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jc w:val="center"/>
        <w:ind w:right="-1100"/>
        <w:spacing w:after="0"/>
        <w:rPr>
          <w:sz w:val="20"/>
          <w:szCs w:val="20"/>
          <w:color w:val="auto"/>
        </w:rPr>
      </w:pPr>
      <w:r>
        <w:rPr>
          <w:rFonts w:ascii="Calibri" w:cs="Calibri" w:eastAsia="Calibri" w:hAnsi="Calibri"/>
          <w:sz w:val="22"/>
          <w:szCs w:val="22"/>
          <w:b w:val="1"/>
          <w:bCs w:val="1"/>
          <w:color w:val="auto"/>
        </w:rPr>
        <w:t>UNITED STATES</w:t>
      </w:r>
    </w:p>
    <w:p>
      <w:pPr>
        <w:spacing w:after="0" w:line="96" w:lineRule="exact"/>
        <w:rPr>
          <w:sz w:val="24"/>
          <w:szCs w:val="24"/>
          <w:color w:val="auto"/>
        </w:rPr>
      </w:pPr>
    </w:p>
    <w:p>
      <w:pPr>
        <w:jc w:val="center"/>
        <w:ind w:right="-1100"/>
        <w:spacing w:after="0"/>
        <w:rPr>
          <w:sz w:val="20"/>
          <w:szCs w:val="20"/>
          <w:color w:val="auto"/>
        </w:rPr>
      </w:pPr>
      <w:r>
        <w:rPr>
          <w:rFonts w:ascii="Calibri" w:cs="Calibri" w:eastAsia="Calibri" w:hAnsi="Calibri"/>
          <w:sz w:val="22"/>
          <w:szCs w:val="22"/>
          <w:b w:val="1"/>
          <w:bCs w:val="1"/>
          <w:color w:val="auto"/>
        </w:rPr>
        <w:t>SECURITIES AND EXCHANGE COMMISSION</w:t>
      </w:r>
    </w:p>
    <w:p>
      <w:pPr>
        <w:spacing w:after="0" w:line="115" w:lineRule="exact"/>
        <w:rPr>
          <w:sz w:val="24"/>
          <w:szCs w:val="24"/>
          <w:color w:val="auto"/>
        </w:rPr>
      </w:pPr>
    </w:p>
    <w:p>
      <w:pPr>
        <w:jc w:val="center"/>
        <w:ind w:right="-1100"/>
        <w:spacing w:after="0"/>
        <w:rPr>
          <w:sz w:val="20"/>
          <w:szCs w:val="20"/>
          <w:color w:val="auto"/>
        </w:rPr>
      </w:pPr>
      <w:r>
        <w:rPr>
          <w:rFonts w:ascii="Calibri" w:cs="Calibri" w:eastAsia="Calibri" w:hAnsi="Calibri"/>
          <w:sz w:val="16"/>
          <w:szCs w:val="16"/>
          <w:b w:val="1"/>
          <w:bCs w:val="1"/>
          <w:color w:val="auto"/>
        </w:rPr>
        <w:t>Washington, D.C. 20549</w:t>
      </w:r>
    </w:p>
    <w:p>
      <w:pPr>
        <w:spacing w:after="0" w:line="96" w:lineRule="exact"/>
        <w:rPr>
          <w:sz w:val="24"/>
          <w:szCs w:val="24"/>
          <w:color w:val="auto"/>
        </w:rPr>
      </w:pPr>
    </w:p>
    <w:p>
      <w:pPr>
        <w:jc w:val="center"/>
        <w:ind w:right="-1100"/>
        <w:spacing w:after="0"/>
        <w:rPr>
          <w:sz w:val="20"/>
          <w:szCs w:val="20"/>
          <w:color w:val="auto"/>
        </w:rPr>
      </w:pPr>
      <w:r>
        <w:rPr>
          <w:rFonts w:ascii="Calibri" w:cs="Calibri" w:eastAsia="Calibri" w:hAnsi="Calibri"/>
          <w:sz w:val="22"/>
          <w:szCs w:val="22"/>
          <w:b w:val="1"/>
          <w:bCs w:val="1"/>
          <w:color w:val="auto"/>
        </w:rPr>
        <w:t>SCHEDULE 14A</w:t>
      </w:r>
    </w:p>
    <w:p>
      <w:pPr>
        <w:spacing w:after="0" w:line="115" w:lineRule="exact"/>
        <w:rPr>
          <w:sz w:val="24"/>
          <w:szCs w:val="24"/>
          <w:color w:val="auto"/>
        </w:rPr>
      </w:pPr>
    </w:p>
    <w:p>
      <w:pPr>
        <w:jc w:val="center"/>
        <w:ind w:right="-1100"/>
        <w:spacing w:after="0"/>
        <w:rPr>
          <w:sz w:val="20"/>
          <w:szCs w:val="20"/>
          <w:color w:val="auto"/>
        </w:rPr>
      </w:pPr>
      <w:r>
        <w:rPr>
          <w:rFonts w:ascii="Calibri" w:cs="Calibri" w:eastAsia="Calibri" w:hAnsi="Calibri"/>
          <w:sz w:val="16"/>
          <w:szCs w:val="16"/>
          <w:b w:val="1"/>
          <w:bCs w:val="1"/>
          <w:color w:val="auto"/>
        </w:rPr>
        <w:t>Proxy Statement Pursuant to Secton 14(a)</w:t>
      </w:r>
    </w:p>
    <w:p>
      <w:pPr>
        <w:spacing w:after="0" w:line="102" w:lineRule="exact"/>
        <w:rPr>
          <w:sz w:val="24"/>
          <w:szCs w:val="24"/>
          <w:color w:val="auto"/>
        </w:rPr>
      </w:pPr>
    </w:p>
    <w:p>
      <w:pPr>
        <w:jc w:val="center"/>
        <w:ind w:right="-1100"/>
        <w:spacing w:after="0"/>
        <w:rPr>
          <w:sz w:val="20"/>
          <w:szCs w:val="20"/>
          <w:color w:val="auto"/>
        </w:rPr>
      </w:pPr>
      <w:r>
        <w:rPr>
          <w:rFonts w:ascii="Calibri" w:cs="Calibri" w:eastAsia="Calibri" w:hAnsi="Calibri"/>
          <w:sz w:val="16"/>
          <w:szCs w:val="16"/>
          <w:b w:val="1"/>
          <w:bCs w:val="1"/>
          <w:color w:val="auto"/>
        </w:rPr>
        <w:t>of the Securites Exchange Act of 1934</w:t>
      </w:r>
    </w:p>
    <w:p>
      <w:pPr>
        <w:spacing w:after="0" w:line="136" w:lineRule="exact"/>
        <w:rPr>
          <w:sz w:val="24"/>
          <w:szCs w:val="24"/>
          <w:color w:val="auto"/>
        </w:rPr>
      </w:pPr>
    </w:p>
    <w:p>
      <w:pPr>
        <w:spacing w:after="0"/>
        <w:rPr>
          <w:sz w:val="20"/>
          <w:szCs w:val="20"/>
          <w:color w:val="auto"/>
        </w:rPr>
      </w:pPr>
      <w:r>
        <w:rPr>
          <w:rFonts w:ascii="Calibri" w:cs="Calibri" w:eastAsia="Calibri" w:hAnsi="Calibri"/>
          <w:sz w:val="16"/>
          <w:szCs w:val="16"/>
          <w:color w:val="auto"/>
        </w:rPr>
        <w:t xml:space="preserve">Filed by the Registrant </w:t>
      </w:r>
      <w:r>
        <w:rPr>
          <w:sz w:val="1"/>
          <w:szCs w:val="1"/>
          <w:color w:val="auto"/>
        </w:rPr>
        <w:drawing>
          <wp:inline distT="0" distB="0" distL="0" distR="0">
            <wp:extent cx="111760" cy="111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p>
    <w:p>
      <w:pPr>
        <w:spacing w:after="0" w:line="153" w:lineRule="exact"/>
        <w:rPr>
          <w:sz w:val="24"/>
          <w:szCs w:val="24"/>
          <w:color w:val="auto"/>
        </w:rPr>
      </w:pPr>
    </w:p>
    <w:p>
      <w:pPr>
        <w:spacing w:after="0"/>
        <w:rPr>
          <w:sz w:val="20"/>
          <w:szCs w:val="20"/>
          <w:color w:val="auto"/>
        </w:rPr>
      </w:pPr>
      <w:r>
        <w:rPr>
          <w:rFonts w:ascii="Calibri" w:cs="Calibri" w:eastAsia="Calibri" w:hAnsi="Calibri"/>
          <w:sz w:val="16"/>
          <w:szCs w:val="16"/>
          <w:color w:val="auto"/>
        </w:rPr>
        <w:t>Filed by a Party other than the Registrant</w:t>
      </w:r>
    </w:p>
    <w:p>
      <w:pPr>
        <w:spacing w:after="0" w:line="102" w:lineRule="exact"/>
        <w:rPr>
          <w:sz w:val="24"/>
          <w:szCs w:val="24"/>
          <w:color w:val="auto"/>
        </w:rPr>
      </w:pPr>
    </w:p>
    <w:p>
      <w:pPr>
        <w:spacing w:after="0"/>
        <w:rPr>
          <w:sz w:val="20"/>
          <w:szCs w:val="20"/>
          <w:color w:val="auto"/>
        </w:rPr>
      </w:pPr>
      <w:r>
        <w:rPr>
          <w:rFonts w:ascii="Calibri" w:cs="Calibri" w:eastAsia="Calibri" w:hAnsi="Calibri"/>
          <w:sz w:val="16"/>
          <w:szCs w:val="16"/>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103505</wp:posOffset>
            </wp:positionV>
            <wp:extent cx="120015" cy="111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11760"/>
                    </a:xfrm>
                    <a:prstGeom prst="rect">
                      <a:avLst/>
                    </a:prstGeom>
                    <a:noFill/>
                  </pic:spPr>
                </pic:pic>
              </a:graphicData>
            </a:graphic>
          </wp:anchor>
        </w:drawing>
      </w:r>
    </w:p>
    <w:p>
      <w:pPr>
        <w:spacing w:after="0" w:line="142" w:lineRule="exact"/>
        <w:rPr>
          <w:sz w:val="24"/>
          <w:szCs w:val="24"/>
          <w:color w:val="auto"/>
        </w:rPr>
      </w:pPr>
    </w:p>
    <w:p>
      <w:pPr>
        <w:ind w:left="400"/>
        <w:spacing w:after="0"/>
        <w:rPr>
          <w:sz w:val="20"/>
          <w:szCs w:val="20"/>
          <w:color w:val="auto"/>
        </w:rPr>
      </w:pPr>
      <w:r>
        <w:rPr>
          <w:rFonts w:ascii="Calibri" w:cs="Calibri" w:eastAsia="Calibri" w:hAnsi="Calibri"/>
          <w:sz w:val="18"/>
          <w:szCs w:val="18"/>
          <w:color w:val="auto"/>
        </w:rPr>
        <w:t>Preliminary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20015" cy="111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015" cy="111760"/>
                    </a:xfrm>
                    <a:prstGeom prst="rect">
                      <a:avLst/>
                    </a:prstGeom>
                    <a:noFill/>
                  </pic:spPr>
                </pic:pic>
              </a:graphicData>
            </a:graphic>
          </wp:anchor>
        </w:drawing>
      </w:r>
    </w:p>
    <w:p>
      <w:pPr>
        <w:spacing w:after="0" w:line="30" w:lineRule="exact"/>
        <w:rPr>
          <w:sz w:val="24"/>
          <w:szCs w:val="24"/>
          <w:color w:val="auto"/>
        </w:rPr>
      </w:pPr>
    </w:p>
    <w:p>
      <w:pPr>
        <w:ind w:left="400"/>
        <w:spacing w:after="0"/>
        <w:rPr>
          <w:sz w:val="20"/>
          <w:szCs w:val="20"/>
          <w:color w:val="auto"/>
        </w:rPr>
      </w:pPr>
      <w:r>
        <w:rPr>
          <w:rFonts w:ascii="Calibri" w:cs="Calibri" w:eastAsia="Calibri" w:hAnsi="Calibri"/>
          <w:sz w:val="18"/>
          <w:szCs w:val="18"/>
          <w:b w:val="1"/>
          <w:bCs w:val="1"/>
          <w:color w:val="auto"/>
        </w:rPr>
        <w:t>Confdental, for Use of the Commission Only (as permited by Rule 14a-6(e)(2))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20015" cy="111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30" w:lineRule="exact"/>
        <w:rPr>
          <w:sz w:val="24"/>
          <w:szCs w:val="24"/>
          <w:color w:val="auto"/>
        </w:rPr>
      </w:pPr>
    </w:p>
    <w:p>
      <w:pPr>
        <w:ind w:left="400"/>
        <w:spacing w:after="0"/>
        <w:rPr>
          <w:sz w:val="20"/>
          <w:szCs w:val="20"/>
          <w:color w:val="auto"/>
        </w:rPr>
      </w:pPr>
      <w:r>
        <w:rPr>
          <w:rFonts w:ascii="Calibri" w:cs="Calibri" w:eastAsia="Calibri" w:hAnsi="Calibri"/>
          <w:sz w:val="18"/>
          <w:szCs w:val="18"/>
          <w:color w:val="auto"/>
        </w:rPr>
        <w:t>Defnitve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20015" cy="111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30" w:lineRule="exact"/>
        <w:rPr>
          <w:sz w:val="24"/>
          <w:szCs w:val="24"/>
          <w:color w:val="auto"/>
        </w:rPr>
      </w:pPr>
    </w:p>
    <w:p>
      <w:pPr>
        <w:ind w:left="400"/>
        <w:spacing w:after="0"/>
        <w:rPr>
          <w:sz w:val="20"/>
          <w:szCs w:val="20"/>
          <w:color w:val="auto"/>
        </w:rPr>
      </w:pPr>
      <w:r>
        <w:rPr>
          <w:rFonts w:ascii="Calibri" w:cs="Calibri" w:eastAsia="Calibri" w:hAnsi="Calibri"/>
          <w:sz w:val="18"/>
          <w:szCs w:val="18"/>
          <w:color w:val="auto"/>
        </w:rPr>
        <w:t>Defnitve Additonal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20015" cy="111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30" w:lineRule="exact"/>
        <w:rPr>
          <w:sz w:val="24"/>
          <w:szCs w:val="24"/>
          <w:color w:val="auto"/>
        </w:rPr>
      </w:pPr>
    </w:p>
    <w:p>
      <w:pPr>
        <w:ind w:left="400"/>
        <w:spacing w:after="0"/>
        <w:rPr>
          <w:sz w:val="20"/>
          <w:szCs w:val="20"/>
          <w:color w:val="auto"/>
        </w:rPr>
      </w:pPr>
      <w:r>
        <w:rPr>
          <w:rFonts w:ascii="Calibri" w:cs="Calibri" w:eastAsia="Calibri" w:hAnsi="Calibri"/>
          <w:sz w:val="18"/>
          <w:szCs w:val="18"/>
          <w:color w:val="auto"/>
        </w:rPr>
        <w:t>Solicitng Material Pursuant to §240.14a-12</w:t>
      </w:r>
    </w:p>
    <w:p>
      <w:pPr>
        <w:spacing w:after="0" w:line="200" w:lineRule="exact"/>
        <w:rPr>
          <w:sz w:val="24"/>
          <w:szCs w:val="24"/>
          <w:color w:val="auto"/>
        </w:rPr>
      </w:pPr>
    </w:p>
    <w:p>
      <w:pPr>
        <w:ind w:left="4160"/>
        <w:spacing w:after="0"/>
        <w:rPr>
          <w:sz w:val="20"/>
          <w:szCs w:val="20"/>
          <w:color w:val="auto"/>
        </w:rPr>
      </w:pPr>
      <w:r>
        <w:rPr>
          <w:rFonts w:ascii="Calibri" w:cs="Calibri" w:eastAsia="Calibri" w:hAnsi="Calibri"/>
          <w:sz w:val="22"/>
          <w:szCs w:val="22"/>
          <w:b w:val="1"/>
          <w:bCs w:val="1"/>
          <w:color w:val="auto"/>
        </w:rPr>
        <w:t>Northrop Grumman Corporaton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102870</wp:posOffset>
            </wp:positionV>
            <wp:extent cx="59664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70" w:lineRule="exact"/>
        <w:rPr>
          <w:sz w:val="24"/>
          <w:szCs w:val="24"/>
          <w:color w:val="auto"/>
        </w:rPr>
      </w:pPr>
    </w:p>
    <w:p>
      <w:pPr>
        <w:ind w:left="4260"/>
        <w:spacing w:after="0"/>
        <w:rPr>
          <w:sz w:val="20"/>
          <w:szCs w:val="20"/>
          <w:color w:val="auto"/>
        </w:rPr>
      </w:pPr>
      <w:r>
        <w:rPr>
          <w:rFonts w:ascii="Calibri" w:cs="Calibri" w:eastAsia="Calibri" w:hAnsi="Calibri"/>
          <w:sz w:val="14"/>
          <w:szCs w:val="14"/>
          <w:color w:val="auto"/>
        </w:rPr>
        <w:t>(Name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140970</wp:posOffset>
            </wp:positionV>
            <wp:extent cx="59664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390" w:lineRule="exact"/>
        <w:rPr>
          <w:sz w:val="24"/>
          <w:szCs w:val="24"/>
          <w:color w:val="auto"/>
        </w:rPr>
      </w:pPr>
    </w:p>
    <w:p>
      <w:pPr>
        <w:ind w:left="3560"/>
        <w:spacing w:after="0"/>
        <w:rPr>
          <w:sz w:val="20"/>
          <w:szCs w:val="20"/>
          <w:color w:val="auto"/>
        </w:rPr>
      </w:pPr>
      <w:r>
        <w:rPr>
          <w:rFonts w:ascii="Calibri" w:cs="Calibri" w:eastAsia="Calibri" w:hAnsi="Calibri"/>
          <w:sz w:val="14"/>
          <w:szCs w:val="14"/>
          <w:color w:val="auto"/>
        </w:rPr>
        <w:t>(Name of Person(s) Filing Proxy Statement, if other than the Registrant)</w:t>
      </w:r>
    </w:p>
    <w:p>
      <w:pPr>
        <w:spacing w:after="0" w:line="108" w:lineRule="exact"/>
        <w:rPr>
          <w:sz w:val="24"/>
          <w:szCs w:val="24"/>
          <w:color w:val="auto"/>
        </w:rPr>
      </w:pPr>
    </w:p>
    <w:p>
      <w:pPr>
        <w:spacing w:after="0"/>
        <w:rPr>
          <w:sz w:val="20"/>
          <w:szCs w:val="20"/>
          <w:color w:val="auto"/>
        </w:rPr>
      </w:pPr>
      <w:r>
        <w:rPr>
          <w:rFonts w:ascii="Calibri" w:cs="Calibri" w:eastAsia="Calibri" w:hAnsi="Calibri"/>
          <w:sz w:val="16"/>
          <w:szCs w:val="16"/>
          <w:color w:val="auto"/>
        </w:rPr>
        <w:t>Payment of Filing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120015" cy="111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34" w:lineRule="exact"/>
        <w:rPr>
          <w:sz w:val="24"/>
          <w:szCs w:val="24"/>
          <w:color w:val="auto"/>
        </w:rPr>
      </w:pPr>
    </w:p>
    <w:p>
      <w:pPr>
        <w:ind w:left="740"/>
        <w:spacing w:after="0"/>
        <w:rPr>
          <w:sz w:val="20"/>
          <w:szCs w:val="20"/>
          <w:color w:val="auto"/>
        </w:rPr>
      </w:pPr>
      <w:r>
        <w:rPr>
          <w:rFonts w:ascii="Calibri" w:cs="Calibri" w:eastAsia="Calibri" w:hAnsi="Calibri"/>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20015" cy="111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30" w:lineRule="exact"/>
        <w:rPr>
          <w:sz w:val="24"/>
          <w:szCs w:val="24"/>
          <w:color w:val="auto"/>
        </w:rPr>
      </w:pPr>
    </w:p>
    <w:p>
      <w:pPr>
        <w:ind w:left="740"/>
        <w:spacing w:after="0"/>
        <w:rPr>
          <w:sz w:val="20"/>
          <w:szCs w:val="20"/>
          <w:color w:val="auto"/>
        </w:rPr>
      </w:pPr>
      <w:r>
        <w:rPr>
          <w:rFonts w:ascii="Calibri" w:cs="Calibri" w:eastAsia="Calibri" w:hAnsi="Calibri"/>
          <w:sz w:val="18"/>
          <w:szCs w:val="18"/>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20015" cy="111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35" w:lineRule="exact"/>
        <w:rPr>
          <w:sz w:val="24"/>
          <w:szCs w:val="24"/>
          <w:color w:val="auto"/>
        </w:rPr>
      </w:pPr>
    </w:p>
    <w:p>
      <w:pPr>
        <w:ind w:left="740"/>
        <w:spacing w:after="0"/>
        <w:rPr>
          <w:sz w:val="20"/>
          <w:szCs w:val="20"/>
          <w:color w:val="auto"/>
        </w:rPr>
      </w:pPr>
      <w:r>
        <w:rPr>
          <w:rFonts w:ascii="Calibri" w:cs="Calibri" w:eastAsia="Calibri" w:hAnsi="Calibri"/>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004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3"/>
          <w:szCs w:val="43"/>
          <w:b w:val="1"/>
          <w:bCs w:val="1"/>
          <w:color w:val="29378D"/>
        </w:rPr>
        <w:t>Our Values</w:t>
      </w:r>
    </w:p>
    <w:p>
      <w:pPr>
        <w:spacing w:after="0" w:line="200" w:lineRule="exact"/>
        <w:rPr>
          <w:sz w:val="20"/>
          <w:szCs w:val="20"/>
          <w:color w:val="auto"/>
        </w:rPr>
      </w:pPr>
    </w:p>
    <w:p>
      <w:pPr>
        <w:spacing w:after="0" w:line="263" w:lineRule="exact"/>
        <w:rPr>
          <w:sz w:val="20"/>
          <w:szCs w:val="20"/>
          <w:color w:val="auto"/>
        </w:rPr>
      </w:pPr>
    </w:p>
    <w:p>
      <w:pPr>
        <w:ind w:right="20"/>
        <w:spacing w:after="0" w:line="276" w:lineRule="auto"/>
        <w:rPr>
          <w:sz w:val="20"/>
          <w:szCs w:val="20"/>
          <w:color w:val="auto"/>
        </w:rPr>
      </w:pPr>
      <w:r>
        <w:rPr>
          <w:rFonts w:ascii="Arial" w:cs="Arial" w:eastAsia="Arial" w:hAnsi="Arial"/>
          <w:sz w:val="23"/>
          <w:szCs w:val="23"/>
          <w:color w:val="auto"/>
        </w:rPr>
        <w:t>Our Values form the foundation of our pioneering culture and enable us to deliver for our shareholders. Our Values define our operating principles as we face an increasingly complex world. They reflect who we are and how we behave, and they articulate what is important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080"/>
          </w:cols>
          <w:pgMar w:left="320" w:top="129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60"/>
        <w:spacing w:after="0"/>
        <w:rPr>
          <w:sz w:val="20"/>
          <w:szCs w:val="20"/>
          <w:color w:val="auto"/>
        </w:rPr>
      </w:pPr>
      <w:r>
        <w:rPr>
          <w:rFonts w:ascii="Arial" w:cs="Arial" w:eastAsia="Arial" w:hAnsi="Arial"/>
          <w:sz w:val="29"/>
          <w:szCs w:val="29"/>
          <w:color w:val="auto"/>
        </w:rPr>
        <w:t>We Do the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29378D"/>
        </w:rPr>
        <w:t>Right Thing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We earn trust, act with ethics, integrity and transparency, treat everyone with respect, value diversity and foster safe and inclusive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235585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3060" w:space="720"/>
            <w:col w:w="7300"/>
          </w:cols>
          <w:pgMar w:left="320" w:top="1298" w:right="49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ind w:left="160"/>
        <w:spacing w:after="0"/>
        <w:rPr>
          <w:sz w:val="20"/>
          <w:szCs w:val="20"/>
          <w:color w:val="auto"/>
        </w:rPr>
      </w:pPr>
      <w:r>
        <w:rPr>
          <w:rFonts w:ascii="Arial" w:cs="Arial" w:eastAsia="Arial" w:hAnsi="Arial"/>
          <w:sz w:val="28"/>
          <w:szCs w:val="28"/>
          <w:color w:val="auto"/>
        </w:rPr>
        <w:t>We Do What We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29378D"/>
        </w:rPr>
        <w:t>Promise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500"/>
        <w:spacing w:after="0"/>
        <w:rPr>
          <w:sz w:val="20"/>
          <w:szCs w:val="20"/>
          <w:color w:val="auto"/>
        </w:rPr>
      </w:pPr>
      <w:r>
        <w:rPr>
          <w:rFonts w:ascii="Arial" w:cs="Arial" w:eastAsia="Arial" w:hAnsi="Arial"/>
          <w:sz w:val="21"/>
          <w:szCs w:val="21"/>
          <w:color w:val="auto"/>
        </w:rPr>
        <w:t>We own the delivery of results, focused on quality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368935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9" w:lineRule="exact"/>
        <w:rPr>
          <w:sz w:val="20"/>
          <w:szCs w:val="20"/>
          <w:color w:val="auto"/>
        </w:rPr>
      </w:pPr>
    </w:p>
    <w:p>
      <w:pPr>
        <w:sectPr>
          <w:pgSz w:w="11900" w:h="16838" w:orient="portrait"/>
          <w:cols w:equalWidth="0" w:num="2">
            <w:col w:w="3060" w:space="720"/>
            <w:col w:w="7300"/>
          </w:cols>
          <w:pgMar w:left="320" w:top="1298" w:right="49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ind w:left="160"/>
        <w:spacing w:after="0"/>
        <w:rPr>
          <w:sz w:val="20"/>
          <w:szCs w:val="20"/>
          <w:color w:val="auto"/>
        </w:rPr>
      </w:pPr>
      <w:r>
        <w:rPr>
          <w:rFonts w:ascii="Arial" w:cs="Arial" w:eastAsia="Arial" w:hAnsi="Arial"/>
          <w:sz w:val="29"/>
          <w:szCs w:val="29"/>
          <w:color w:val="auto"/>
        </w:rPr>
        <w:t>We Commit to</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29378D"/>
        </w:rPr>
        <w:t>Shared Success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We work together to focus on the mission and take accountability for the sustainable success of our people, customers, shareholders, suppliers and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189865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300"/>
          </w:cols>
          <w:pgMar w:left="320" w:top="1298" w:right="49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Arial" w:cs="Arial" w:eastAsia="Arial" w:hAnsi="Arial"/>
          <w:sz w:val="29"/>
          <w:szCs w:val="29"/>
          <w:color w:val="auto"/>
        </w:rPr>
        <w:t>We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29378D"/>
        </w:rPr>
        <w:t>Pioneer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right="60"/>
        <w:spacing w:after="0" w:line="272" w:lineRule="auto"/>
        <w:rPr>
          <w:sz w:val="20"/>
          <w:szCs w:val="20"/>
          <w:color w:val="auto"/>
        </w:rPr>
      </w:pPr>
      <w:r>
        <w:rPr>
          <w:rFonts w:ascii="Arial" w:cs="Arial" w:eastAsia="Arial" w:hAnsi="Arial"/>
          <w:sz w:val="22"/>
          <w:szCs w:val="22"/>
          <w:color w:val="auto"/>
        </w:rPr>
        <w:t>With fierce curiosity, dedication and innovation, we seek to solve the world’s most challenging problems.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848995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060" w:space="720"/>
            <w:col w:w="7300"/>
          </w:cols>
          <w:pgMar w:left="320" w:top="1298" w:right="4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43"/>
          <w:szCs w:val="43"/>
          <w:b w:val="1"/>
          <w:bCs w:val="1"/>
          <w:color w:val="29378D"/>
        </w:rPr>
        <w:t>Letter from the Board of Directors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April 3, 2024</w:t>
      </w:r>
    </w:p>
    <w:p>
      <w:pPr>
        <w:spacing w:after="0" w:line="287"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Dear Fellow Shareholders,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We invite you to attend Northrop Grumman Corporation’s 2024 Annual Meeting of Shareholders on Wednesday, May 15, 2024, beginning at 8 a.m. ET. The</w:t>
      </w:r>
    </w:p>
    <w:p>
      <w:pPr>
        <w:spacing w:after="0" w:line="8" w:lineRule="exact"/>
        <w:rPr>
          <w:sz w:val="20"/>
          <w:szCs w:val="20"/>
          <w:color w:val="auto"/>
        </w:rPr>
      </w:pPr>
    </w:p>
    <w:p>
      <w:pPr>
        <w:ind w:right="460"/>
        <w:spacing w:after="0" w:line="235" w:lineRule="auto"/>
        <w:rPr>
          <w:sz w:val="20"/>
          <w:szCs w:val="20"/>
          <w:color w:val="auto"/>
        </w:rPr>
      </w:pPr>
      <w:r>
        <w:rPr>
          <w:rFonts w:ascii="Arial" w:cs="Arial" w:eastAsia="Arial" w:hAnsi="Arial"/>
          <w:sz w:val="16"/>
          <w:szCs w:val="16"/>
          <w:color w:val="auto"/>
        </w:rPr>
        <w:t>accompanying Proxy Statement explains more about the matters to be voted on at the Annual Meeting, proxy voting instructions and other information regarding participation.</w:t>
      </w:r>
    </w:p>
    <w:p>
      <w:pPr>
        <w:spacing w:after="0" w:line="20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As we reflect on another year, the global security environment has grown increasingly complex. The work we do to develop some of the world’s most unique, capable and critical innovations is more important than ever. Our customers around the globe rely on these capabilities to defend freedom and deter aggression.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Underpinning our financial results is our long-term business strategy based on technology differentiation, a laser focus on performance, investing in our</w:t>
      </w:r>
    </w:p>
    <w:p>
      <w:pPr>
        <w:spacing w:after="0" w:line="8" w:lineRule="exact"/>
        <w:rPr>
          <w:sz w:val="20"/>
          <w:szCs w:val="20"/>
          <w:color w:val="auto"/>
        </w:rPr>
      </w:pPr>
    </w:p>
    <w:p>
      <w:pPr>
        <w:ind w:right="240"/>
        <w:spacing w:after="0" w:line="220" w:lineRule="auto"/>
        <w:rPr>
          <w:sz w:val="20"/>
          <w:szCs w:val="20"/>
          <w:color w:val="auto"/>
        </w:rPr>
      </w:pPr>
      <w:r>
        <w:rPr>
          <w:rFonts w:ascii="Arial" w:cs="Arial" w:eastAsia="Arial" w:hAnsi="Arial"/>
          <w:sz w:val="16"/>
          <w:szCs w:val="16"/>
          <w:color w:val="auto"/>
        </w:rPr>
        <w:t>business and unwavering commitment to each other and our customers. In 2023, we ended the year with a new record backlog of $84.2 billion, driven by continued strong demand for our capabilities. Our annual sales grew by seven percent to $39.3 billion, and our underlying performance was solid, despite</w:t>
      </w:r>
    </w:p>
    <w:p>
      <w:pPr>
        <w:ind w:right="140"/>
        <w:spacing w:after="0" w:line="248" w:lineRule="auto"/>
        <w:rPr>
          <w:sz w:val="20"/>
          <w:szCs w:val="20"/>
          <w:color w:val="auto"/>
        </w:rPr>
      </w:pPr>
      <w:r>
        <w:rPr>
          <w:rFonts w:ascii="Arial" w:cs="Arial" w:eastAsia="Arial" w:hAnsi="Arial"/>
          <w:sz w:val="16"/>
          <w:szCs w:val="16"/>
          <w:color w:val="auto"/>
        </w:rPr>
        <w:t>the cost growth we are seeing on some of our programs as a result of the recent macroeconomic environment. We generated $3.9 billion of operating cash flow with adjusted free cash flow* growing by 30 percent to $2.1 billion.</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As we embark on a new year, we remain focused on executing our long-term business strategy. We anticipate continued strong sales and earnings growth in 2024 and have outlined our plan to grow free cash flow*at a greater than 15 percent CAGR through 2026.</w:t>
      </w:r>
    </w:p>
    <w:p>
      <w:pPr>
        <w:spacing w:after="0" w:line="183" w:lineRule="exact"/>
        <w:rPr>
          <w:sz w:val="20"/>
          <w:szCs w:val="20"/>
          <w:color w:val="auto"/>
        </w:rPr>
      </w:pPr>
    </w:p>
    <w:p>
      <w:pPr>
        <w:spacing w:after="0" w:line="230" w:lineRule="auto"/>
        <w:rPr>
          <w:sz w:val="20"/>
          <w:szCs w:val="20"/>
          <w:color w:val="auto"/>
        </w:rPr>
      </w:pPr>
      <w:r>
        <w:rPr>
          <w:rFonts w:ascii="Arial" w:cs="Arial" w:eastAsia="Arial" w:hAnsi="Arial"/>
          <w:sz w:val="16"/>
          <w:szCs w:val="16"/>
          <w:color w:val="auto"/>
        </w:rPr>
        <w:t>Our outlook is both driven and governed by our Values. Our actions and words demonstrate to our customers and suppliers that we do the right thing, uphold our promises, and commit to shared success. Our team of 101,000 strong embodies these Values as they provide pioneering technological capabilities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essential to our customers’ highest priorities.</w:t>
      </w:r>
    </w:p>
    <w:p>
      <w:pPr>
        <w:spacing w:after="0" w:line="219"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We continue to make great progress on our six sustainability goals. We were named one of America’s Most Just Companies as well as recognized on the Dow Jones Sustainability North America Index for the eighth year in a row. We encourage you to learn more about our commitment to sustainability by reading both the 2023 Sustainability Report as well as our Human Rights Report.</w:t>
      </w:r>
    </w:p>
    <w:p>
      <w:pPr>
        <w:spacing w:after="0" w:line="199" w:lineRule="exact"/>
        <w:rPr>
          <w:sz w:val="20"/>
          <w:szCs w:val="20"/>
          <w:color w:val="auto"/>
        </w:rPr>
      </w:pPr>
    </w:p>
    <w:p>
      <w:pPr>
        <w:ind w:right="840"/>
        <w:spacing w:after="0" w:line="251" w:lineRule="auto"/>
        <w:rPr>
          <w:sz w:val="20"/>
          <w:szCs w:val="20"/>
          <w:color w:val="auto"/>
        </w:rPr>
      </w:pPr>
      <w:r>
        <w:rPr>
          <w:rFonts w:ascii="Arial" w:cs="Arial" w:eastAsia="Arial" w:hAnsi="Arial"/>
          <w:sz w:val="16"/>
          <w:szCs w:val="16"/>
          <w:color w:val="auto"/>
        </w:rPr>
        <w:t>As we look to the future, we are confident we have the right strategy, technology, and team to lead our industry and deliver for our customers and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900"/>
        <w:spacing w:after="0" w:line="427" w:lineRule="auto"/>
        <w:rPr>
          <w:sz w:val="20"/>
          <w:szCs w:val="20"/>
          <w:color w:val="auto"/>
        </w:rPr>
      </w:pPr>
      <w:r>
        <w:rPr>
          <w:rFonts w:ascii="Arial" w:cs="Arial" w:eastAsia="Arial" w:hAnsi="Arial"/>
          <w:sz w:val="16"/>
          <w:szCs w:val="16"/>
          <w:color w:val="auto"/>
        </w:rPr>
        <w:t>*This metric is a non-GAAP financial measure. For more information, see ”Appendix A - Use of Non-GAAP Financial Measures.”</w:t>
      </w:r>
    </w:p>
    <w:p>
      <w:pPr>
        <w:sectPr>
          <w:pgSz w:w="11900" w:h="16838" w:orient="portrait"/>
          <w:cols w:equalWidth="0" w:num="1">
            <w:col w:w="11220"/>
          </w:cols>
          <w:pgMar w:left="320" w:top="1298" w:right="359" w:bottom="606" w:gutter="0" w:footer="0" w:header="0"/>
        </w:sectPr>
      </w:pPr>
    </w:p>
    <w:p>
      <w:pPr>
        <w:spacing w:after="0" w:line="200" w:lineRule="exact"/>
        <w:rPr>
          <w:sz w:val="20"/>
          <w:szCs w:val="20"/>
          <w:color w:val="auto"/>
        </w:rPr>
      </w:pPr>
    </w:p>
    <w:p>
      <w:pPr>
        <w:spacing w:after="0" w:line="338" w:lineRule="exact"/>
        <w:rPr>
          <w:sz w:val="20"/>
          <w:szCs w:val="20"/>
          <w:color w:val="auto"/>
        </w:rPr>
      </w:pPr>
    </w:p>
    <w:p>
      <w:pPr>
        <w:ind w:left="9280"/>
        <w:spacing w:after="0"/>
        <w:tabs>
          <w:tab w:leader="none" w:pos="11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8" w:right="359" w:bottom="606"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b w:val="1"/>
          <w:bCs w:val="1"/>
          <w:color w:val="auto"/>
        </w:rPr>
        <w:t>Letter from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Your vote is important, and we value receiving feedback from our stakeholders.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entire leadership team, thank you for your continued support of Northrop Grumman.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518160</wp:posOffset>
            </wp:positionV>
            <wp:extent cx="1200150"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0" cy="34290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389255</wp:posOffset>
            </wp:positionV>
            <wp:extent cx="1028700" cy="600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0" cy="60007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509270</wp:posOffset>
            </wp:positionV>
            <wp:extent cx="1603375" cy="360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0337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3800" w:val="left"/>
          <w:tab w:leader="none" w:pos="7600" w:val="left"/>
        </w:tabs>
        <w:rPr>
          <w:sz w:val="20"/>
          <w:szCs w:val="20"/>
          <w:color w:val="auto"/>
        </w:rPr>
      </w:pPr>
      <w:r>
        <w:rPr>
          <w:rFonts w:ascii="Arial" w:cs="Arial" w:eastAsia="Arial" w:hAnsi="Arial"/>
          <w:sz w:val="16"/>
          <w:szCs w:val="16"/>
          <w:b w:val="1"/>
          <w:bCs w:val="1"/>
          <w:color w:val="29378D"/>
        </w:rPr>
        <w:t>David P. Abney</w:t>
      </w:r>
      <w:r>
        <w:rPr>
          <w:sz w:val="20"/>
          <w:szCs w:val="20"/>
          <w:color w:val="auto"/>
        </w:rPr>
        <w:tab/>
      </w:r>
      <w:r>
        <w:rPr>
          <w:rFonts w:ascii="Arial" w:cs="Arial" w:eastAsia="Arial" w:hAnsi="Arial"/>
          <w:sz w:val="16"/>
          <w:szCs w:val="16"/>
          <w:b w:val="1"/>
          <w:bCs w:val="1"/>
          <w:color w:val="29378D"/>
        </w:rPr>
        <w:t>Marianne C. Brown</w:t>
      </w:r>
      <w:r>
        <w:rPr>
          <w:sz w:val="20"/>
          <w:szCs w:val="20"/>
          <w:color w:val="auto"/>
        </w:rPr>
        <w:tab/>
      </w:r>
      <w:r>
        <w:rPr>
          <w:rFonts w:ascii="Arial" w:cs="Arial" w:eastAsia="Arial" w:hAnsi="Arial"/>
          <w:sz w:val="16"/>
          <w:szCs w:val="16"/>
          <w:b w:val="1"/>
          <w:bCs w:val="1"/>
          <w:color w:val="29378D"/>
        </w:rPr>
        <w:t>Ann M. Fudge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260985</wp:posOffset>
            </wp:positionV>
            <wp:extent cx="6334760" cy="351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3476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tabs>
          <w:tab w:leader="none" w:pos="3800" w:val="left"/>
          <w:tab w:leader="none" w:pos="7600" w:val="left"/>
        </w:tabs>
        <w:rPr>
          <w:sz w:val="20"/>
          <w:szCs w:val="20"/>
          <w:color w:val="auto"/>
        </w:rPr>
      </w:pPr>
      <w:r>
        <w:rPr>
          <w:rFonts w:ascii="Arial" w:cs="Arial" w:eastAsia="Arial" w:hAnsi="Arial"/>
          <w:sz w:val="16"/>
          <w:szCs w:val="16"/>
          <w:b w:val="1"/>
          <w:bCs w:val="1"/>
          <w:color w:val="29378D"/>
        </w:rPr>
        <w:t>Madeleine A. Kleiner</w:t>
      </w:r>
      <w:r>
        <w:rPr>
          <w:sz w:val="20"/>
          <w:szCs w:val="20"/>
          <w:color w:val="auto"/>
        </w:rPr>
        <w:tab/>
      </w:r>
      <w:r>
        <w:rPr>
          <w:rFonts w:ascii="Arial" w:cs="Arial" w:eastAsia="Arial" w:hAnsi="Arial"/>
          <w:sz w:val="16"/>
          <w:szCs w:val="16"/>
          <w:b w:val="1"/>
          <w:bCs w:val="1"/>
          <w:color w:val="29378D"/>
        </w:rPr>
        <w:t>Arvind Krishna</w:t>
      </w:r>
      <w:r>
        <w:rPr>
          <w:sz w:val="20"/>
          <w:szCs w:val="20"/>
          <w:color w:val="auto"/>
        </w:rPr>
        <w:tab/>
      </w:r>
      <w:r>
        <w:rPr>
          <w:rFonts w:ascii="Arial" w:cs="Arial" w:eastAsia="Arial" w:hAnsi="Arial"/>
          <w:sz w:val="16"/>
          <w:szCs w:val="16"/>
          <w:b w:val="1"/>
          <w:bCs w:val="1"/>
          <w:color w:val="29378D"/>
        </w:rPr>
        <w:t>Graham N.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217805</wp:posOffset>
            </wp:positionV>
            <wp:extent cx="728345" cy="52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345" cy="52260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346710</wp:posOffset>
            </wp:positionV>
            <wp:extent cx="1080135"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0135" cy="26543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303530</wp:posOffset>
            </wp:positionV>
            <wp:extent cx="1397000" cy="351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970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3800" w:val="left"/>
          <w:tab w:leader="none" w:pos="7600" w:val="left"/>
        </w:tabs>
        <w:rPr>
          <w:sz w:val="20"/>
          <w:szCs w:val="20"/>
          <w:color w:val="auto"/>
        </w:rPr>
      </w:pPr>
      <w:r>
        <w:rPr>
          <w:rFonts w:ascii="Arial" w:cs="Arial" w:eastAsia="Arial" w:hAnsi="Arial"/>
          <w:sz w:val="16"/>
          <w:szCs w:val="16"/>
          <w:b w:val="1"/>
          <w:bCs w:val="1"/>
          <w:color w:val="29378D"/>
        </w:rPr>
        <w:t>Kimberly A. Ross</w:t>
      </w:r>
      <w:r>
        <w:rPr>
          <w:sz w:val="20"/>
          <w:szCs w:val="20"/>
          <w:color w:val="auto"/>
        </w:rPr>
        <w:tab/>
      </w:r>
      <w:r>
        <w:rPr>
          <w:rFonts w:ascii="Arial" w:cs="Arial" w:eastAsia="Arial" w:hAnsi="Arial"/>
          <w:sz w:val="16"/>
          <w:szCs w:val="16"/>
          <w:b w:val="1"/>
          <w:bCs w:val="1"/>
          <w:color w:val="29378D"/>
        </w:rPr>
        <w:t>Gary Roughead</w:t>
      </w:r>
      <w:r>
        <w:rPr>
          <w:sz w:val="20"/>
          <w:szCs w:val="20"/>
          <w:color w:val="auto"/>
        </w:rPr>
        <w:tab/>
      </w:r>
      <w:r>
        <w:rPr>
          <w:rFonts w:ascii="Arial" w:cs="Arial" w:eastAsia="Arial" w:hAnsi="Arial"/>
          <w:sz w:val="16"/>
          <w:szCs w:val="16"/>
          <w:b w:val="1"/>
          <w:bCs w:val="1"/>
          <w:color w:val="29378D"/>
        </w:rPr>
        <w:t>Thomas M. Schoewe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209550</wp:posOffset>
            </wp:positionV>
            <wp:extent cx="1285875" cy="514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5875" cy="51435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260985</wp:posOffset>
            </wp:positionV>
            <wp:extent cx="1131570" cy="419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31570" cy="41973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278130</wp:posOffset>
            </wp:positionV>
            <wp:extent cx="1371600" cy="377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3800" w:val="left"/>
          <w:tab w:leader="none" w:pos="7600" w:val="left"/>
        </w:tabs>
        <w:rPr>
          <w:sz w:val="20"/>
          <w:szCs w:val="20"/>
          <w:color w:val="auto"/>
        </w:rPr>
      </w:pPr>
      <w:r>
        <w:rPr>
          <w:rFonts w:ascii="Arial" w:cs="Arial" w:eastAsia="Arial" w:hAnsi="Arial"/>
          <w:sz w:val="16"/>
          <w:szCs w:val="16"/>
          <w:b w:val="1"/>
          <w:bCs w:val="1"/>
          <w:color w:val="29378D"/>
        </w:rPr>
        <w:t>James S. Turley</w:t>
      </w:r>
      <w:r>
        <w:rPr>
          <w:sz w:val="20"/>
          <w:szCs w:val="20"/>
          <w:color w:val="auto"/>
        </w:rPr>
        <w:tab/>
      </w:r>
      <w:r>
        <w:rPr>
          <w:rFonts w:ascii="Arial" w:cs="Arial" w:eastAsia="Arial" w:hAnsi="Arial"/>
          <w:sz w:val="16"/>
          <w:szCs w:val="16"/>
          <w:b w:val="1"/>
          <w:bCs w:val="1"/>
          <w:color w:val="29378D"/>
        </w:rPr>
        <w:t>Kathy J. Warden</w:t>
      </w:r>
      <w:r>
        <w:rPr>
          <w:sz w:val="20"/>
          <w:szCs w:val="20"/>
          <w:color w:val="auto"/>
        </w:rPr>
        <w:tab/>
      </w:r>
      <w:r>
        <w:rPr>
          <w:rFonts w:ascii="Arial" w:cs="Arial" w:eastAsia="Arial" w:hAnsi="Arial"/>
          <w:sz w:val="16"/>
          <w:szCs w:val="16"/>
          <w:b w:val="1"/>
          <w:bCs w:val="1"/>
          <w:color w:val="29378D"/>
        </w:rPr>
        <w:t>Mark A. Welsh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217805</wp:posOffset>
            </wp:positionV>
            <wp:extent cx="1131570" cy="351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3157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9378D"/>
        </w:rPr>
        <w:t>Mary A. Winston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0" w:hanging="494"/>
        <w:spacing w:after="0"/>
        <w:tabs>
          <w:tab w:leader="none" w:pos="520" w:val="left"/>
        </w:tabs>
        <w:numPr>
          <w:ilvl w:val="0"/>
          <w:numId w:val="1"/>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38" w:right="1440" w:bottom="1440" w:gutter="0" w:footer="0" w:header="0"/>
        </w:sectPr>
      </w:pPr>
    </w:p>
    <w:bookmarkStart w:id="5" w:name="page6"/>
    <w:bookmarkEnd w:id="5"/>
    <w:p>
      <w:pPr>
        <w:spacing w:after="0"/>
        <w:rPr>
          <w:sz w:val="20"/>
          <w:szCs w:val="20"/>
          <w:color w:val="auto"/>
        </w:rPr>
      </w:pPr>
      <w:r>
        <w:rPr>
          <w:rFonts w:ascii="Arial" w:cs="Arial" w:eastAsia="Arial" w:hAnsi="Arial"/>
          <w:sz w:val="43"/>
          <w:szCs w:val="43"/>
          <w:b w:val="1"/>
          <w:bCs w:val="1"/>
          <w:color w:val="29378D"/>
        </w:rPr>
        <w:t>Notice of 2024 Annual Meeting of Shareholders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2720" w:type="dxa"/>
            <w:vAlign w:val="bottom"/>
          </w:tcPr>
          <w:p>
            <w:pPr>
              <w:ind w:left="580"/>
              <w:spacing w:after="0"/>
              <w:rPr>
                <w:sz w:val="20"/>
                <w:szCs w:val="20"/>
                <w:color w:val="auto"/>
              </w:rPr>
            </w:pPr>
            <w:r>
              <w:rPr>
                <w:rFonts w:ascii="Arial" w:cs="Arial" w:eastAsia="Arial" w:hAnsi="Arial"/>
                <w:sz w:val="14"/>
                <w:szCs w:val="14"/>
                <w:b w:val="1"/>
                <w:bCs w:val="1"/>
                <w:color w:val="00249C"/>
              </w:rPr>
              <w:t>DATE AND TIME</w:t>
            </w:r>
          </w:p>
        </w:tc>
        <w:tc>
          <w:tcPr>
            <w:tcW w:w="5200" w:type="dxa"/>
            <w:vAlign w:val="bottom"/>
          </w:tcPr>
          <w:p>
            <w:pPr>
              <w:ind w:left="620"/>
              <w:spacing w:after="0"/>
              <w:rPr>
                <w:sz w:val="20"/>
                <w:szCs w:val="20"/>
                <w:color w:val="auto"/>
              </w:rPr>
            </w:pPr>
            <w:r>
              <w:rPr>
                <w:rFonts w:ascii="Arial" w:cs="Arial" w:eastAsia="Arial" w:hAnsi="Arial"/>
                <w:sz w:val="14"/>
                <w:szCs w:val="14"/>
                <w:b w:val="1"/>
                <w:bCs w:val="1"/>
                <w:color w:val="29378D"/>
              </w:rPr>
              <w:t>LOCATION</w:t>
            </w:r>
          </w:p>
        </w:tc>
        <w:tc>
          <w:tcPr>
            <w:tcW w:w="1720" w:type="dxa"/>
            <w:vAlign w:val="bottom"/>
          </w:tcPr>
          <w:p>
            <w:pPr>
              <w:spacing w:after="0"/>
              <w:rPr>
                <w:sz w:val="20"/>
                <w:szCs w:val="20"/>
                <w:color w:val="auto"/>
              </w:rPr>
            </w:pPr>
            <w:r>
              <w:rPr>
                <w:rFonts w:ascii="Arial" w:cs="Arial" w:eastAsia="Arial" w:hAnsi="Arial"/>
                <w:sz w:val="14"/>
                <w:szCs w:val="14"/>
                <w:b w:val="1"/>
                <w:bCs w:val="1"/>
                <w:color w:val="00249C"/>
              </w:rPr>
              <w:t>WHO CAN VOTE</w:t>
            </w:r>
          </w:p>
        </w:tc>
        <w:tc>
          <w:tcPr>
            <w:tcW w:w="1340" w:type="dxa"/>
            <w:vAlign w:val="bottom"/>
          </w:tcPr>
          <w:p>
            <w:pPr>
              <w:spacing w:after="0"/>
              <w:rPr>
                <w:sz w:val="16"/>
                <w:szCs w:val="16"/>
                <w:color w:val="auto"/>
              </w:rPr>
            </w:pPr>
          </w:p>
        </w:tc>
      </w:tr>
      <w:tr>
        <w:trPr>
          <w:trHeight w:val="189"/>
        </w:trPr>
        <w:tc>
          <w:tcPr>
            <w:tcW w:w="260" w:type="dxa"/>
            <w:vAlign w:val="bottom"/>
          </w:tcPr>
          <w:p>
            <w:pPr>
              <w:spacing w:after="0"/>
              <w:rPr>
                <w:sz w:val="16"/>
                <w:szCs w:val="16"/>
                <w:color w:val="auto"/>
              </w:rPr>
            </w:pPr>
          </w:p>
        </w:tc>
        <w:tc>
          <w:tcPr>
            <w:tcW w:w="2720" w:type="dxa"/>
            <w:vAlign w:val="bottom"/>
          </w:tcPr>
          <w:p>
            <w:pPr>
              <w:ind w:left="580"/>
              <w:spacing w:after="0"/>
              <w:rPr>
                <w:sz w:val="20"/>
                <w:szCs w:val="20"/>
                <w:color w:val="auto"/>
              </w:rPr>
            </w:pPr>
            <w:r>
              <w:rPr>
                <w:rFonts w:ascii="Arial" w:cs="Arial" w:eastAsia="Arial" w:hAnsi="Arial"/>
                <w:sz w:val="16"/>
                <w:szCs w:val="16"/>
                <w:color w:val="auto"/>
              </w:rPr>
              <w:t>May 15, 2024</w:t>
            </w:r>
          </w:p>
        </w:tc>
        <w:tc>
          <w:tcPr>
            <w:tcW w:w="5200" w:type="dxa"/>
            <w:vAlign w:val="bottom"/>
          </w:tcPr>
          <w:p>
            <w:pPr>
              <w:ind w:left="620"/>
              <w:spacing w:after="0"/>
              <w:rPr>
                <w:sz w:val="20"/>
                <w:szCs w:val="20"/>
                <w:color w:val="auto"/>
              </w:rPr>
            </w:pPr>
            <w:r>
              <w:rPr>
                <w:rFonts w:ascii="Arial" w:cs="Arial" w:eastAsia="Arial" w:hAnsi="Arial"/>
                <w:sz w:val="16"/>
                <w:szCs w:val="16"/>
                <w:color w:val="auto"/>
              </w:rPr>
              <w:t>Online via live webcast at:</w:t>
            </w:r>
          </w:p>
        </w:tc>
        <w:tc>
          <w:tcPr>
            <w:tcW w:w="3060" w:type="dxa"/>
            <w:vAlign w:val="bottom"/>
            <w:gridSpan w:val="2"/>
          </w:tcPr>
          <w:p>
            <w:pPr>
              <w:spacing w:after="0"/>
              <w:rPr>
                <w:sz w:val="20"/>
                <w:szCs w:val="20"/>
                <w:color w:val="auto"/>
              </w:rPr>
            </w:pPr>
            <w:r>
              <w:rPr>
                <w:rFonts w:ascii="Arial" w:cs="Arial" w:eastAsia="Arial" w:hAnsi="Arial"/>
                <w:sz w:val="16"/>
                <w:szCs w:val="16"/>
                <w:color w:val="auto"/>
              </w:rPr>
              <w:t>Shareholders of record at the close of</w:t>
            </w:r>
          </w:p>
        </w:tc>
      </w:tr>
      <w:tr>
        <w:trPr>
          <w:trHeight w:val="203"/>
        </w:trPr>
        <w:tc>
          <w:tcPr>
            <w:tcW w:w="260" w:type="dxa"/>
            <w:vAlign w:val="bottom"/>
          </w:tcPr>
          <w:p>
            <w:pPr>
              <w:spacing w:after="0"/>
              <w:rPr>
                <w:sz w:val="17"/>
                <w:szCs w:val="17"/>
                <w:color w:val="auto"/>
              </w:rPr>
            </w:pPr>
          </w:p>
        </w:tc>
        <w:tc>
          <w:tcPr>
            <w:tcW w:w="2720" w:type="dxa"/>
            <w:vAlign w:val="bottom"/>
          </w:tcPr>
          <w:p>
            <w:pPr>
              <w:ind w:left="580"/>
              <w:spacing w:after="0"/>
              <w:rPr>
                <w:sz w:val="20"/>
                <w:szCs w:val="20"/>
                <w:color w:val="auto"/>
              </w:rPr>
            </w:pPr>
            <w:r>
              <w:rPr>
                <w:rFonts w:ascii="Arial" w:cs="Arial" w:eastAsia="Arial" w:hAnsi="Arial"/>
                <w:sz w:val="16"/>
                <w:szCs w:val="16"/>
                <w:color w:val="auto"/>
              </w:rPr>
              <w:t>(Wednesday)</w:t>
            </w:r>
          </w:p>
        </w:tc>
        <w:tc>
          <w:tcPr>
            <w:tcW w:w="5200" w:type="dxa"/>
            <w:vAlign w:val="bottom"/>
          </w:tcPr>
          <w:p>
            <w:pPr>
              <w:ind w:left="620"/>
              <w:spacing w:after="0"/>
              <w:rPr>
                <w:sz w:val="20"/>
                <w:szCs w:val="20"/>
                <w:color w:val="auto"/>
              </w:rPr>
            </w:pPr>
            <w:r>
              <w:rPr>
                <w:rFonts w:ascii="Arial" w:cs="Arial" w:eastAsia="Arial" w:hAnsi="Arial"/>
                <w:sz w:val="14"/>
                <w:szCs w:val="14"/>
                <w:color w:val="29378D"/>
              </w:rPr>
              <w:t>virtualshareholdermeeting.com/NOC2024</w:t>
            </w:r>
          </w:p>
        </w:tc>
        <w:tc>
          <w:tcPr>
            <w:tcW w:w="3060" w:type="dxa"/>
            <w:vAlign w:val="bottom"/>
            <w:gridSpan w:val="2"/>
          </w:tcPr>
          <w:p>
            <w:pPr>
              <w:spacing w:after="0"/>
              <w:rPr>
                <w:sz w:val="20"/>
                <w:szCs w:val="20"/>
                <w:color w:val="auto"/>
              </w:rPr>
            </w:pPr>
            <w:r>
              <w:rPr>
                <w:rFonts w:ascii="Arial" w:cs="Arial" w:eastAsia="Arial" w:hAnsi="Arial"/>
                <w:sz w:val="16"/>
                <w:szCs w:val="16"/>
                <w:color w:val="auto"/>
              </w:rPr>
              <w:t>business on March 19, 2024 are</w:t>
            </w:r>
          </w:p>
        </w:tc>
      </w:tr>
      <w:tr>
        <w:trPr>
          <w:trHeight w:val="229"/>
        </w:trPr>
        <w:tc>
          <w:tcPr>
            <w:tcW w:w="260" w:type="dxa"/>
            <w:vAlign w:val="bottom"/>
          </w:tcPr>
          <w:p>
            <w:pPr>
              <w:spacing w:after="0"/>
              <w:rPr>
                <w:sz w:val="19"/>
                <w:szCs w:val="19"/>
                <w:color w:val="auto"/>
              </w:rPr>
            </w:pPr>
          </w:p>
        </w:tc>
        <w:tc>
          <w:tcPr>
            <w:tcW w:w="2720" w:type="dxa"/>
            <w:vAlign w:val="bottom"/>
          </w:tcPr>
          <w:p>
            <w:pPr>
              <w:ind w:left="580"/>
              <w:spacing w:after="0"/>
              <w:rPr>
                <w:sz w:val="20"/>
                <w:szCs w:val="20"/>
                <w:color w:val="auto"/>
              </w:rPr>
            </w:pPr>
            <w:r>
              <w:rPr>
                <w:rFonts w:ascii="Arial" w:cs="Arial" w:eastAsia="Arial" w:hAnsi="Arial"/>
                <w:sz w:val="16"/>
                <w:szCs w:val="16"/>
                <w:color w:val="auto"/>
              </w:rPr>
              <w:t>8:00 AM Eastern</w:t>
            </w:r>
          </w:p>
        </w:tc>
        <w:tc>
          <w:tcPr>
            <w:tcW w:w="520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6"/>
                <w:szCs w:val="16"/>
                <w:color w:val="auto"/>
              </w:rPr>
              <w:t>entitled to vote at the Annual Meeting</w:t>
            </w:r>
          </w:p>
        </w:tc>
      </w:tr>
      <w:tr>
        <w:trPr>
          <w:trHeight w:val="215"/>
        </w:trPr>
        <w:tc>
          <w:tcPr>
            <w:tcW w:w="260" w:type="dxa"/>
            <w:vAlign w:val="bottom"/>
          </w:tcPr>
          <w:p>
            <w:pPr>
              <w:spacing w:after="0"/>
              <w:rPr>
                <w:sz w:val="18"/>
                <w:szCs w:val="18"/>
                <w:color w:val="auto"/>
              </w:rPr>
            </w:pPr>
          </w:p>
        </w:tc>
        <w:tc>
          <w:tcPr>
            <w:tcW w:w="2720" w:type="dxa"/>
            <w:vAlign w:val="bottom"/>
          </w:tcPr>
          <w:p>
            <w:pPr>
              <w:ind w:left="580"/>
              <w:spacing w:after="0"/>
              <w:rPr>
                <w:sz w:val="20"/>
                <w:szCs w:val="20"/>
                <w:color w:val="auto"/>
              </w:rPr>
            </w:pPr>
            <w:r>
              <w:rPr>
                <w:rFonts w:ascii="Arial" w:cs="Arial" w:eastAsia="Arial" w:hAnsi="Arial"/>
                <w:sz w:val="16"/>
                <w:szCs w:val="16"/>
                <w:color w:val="auto"/>
              </w:rPr>
              <w:t>Daylight Time</w:t>
            </w:r>
          </w:p>
        </w:tc>
        <w:tc>
          <w:tcPr>
            <w:tcW w:w="5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750"/>
        </w:trPr>
        <w:tc>
          <w:tcPr>
            <w:tcW w:w="2980" w:type="dxa"/>
            <w:vAlign w:val="bottom"/>
            <w:gridSpan w:val="2"/>
          </w:tcPr>
          <w:p>
            <w:pPr>
              <w:spacing w:after="0"/>
              <w:rPr>
                <w:sz w:val="20"/>
                <w:szCs w:val="20"/>
                <w:color w:val="auto"/>
              </w:rPr>
            </w:pPr>
            <w:r>
              <w:rPr>
                <w:rFonts w:ascii="Arial" w:cs="Arial" w:eastAsia="Arial" w:hAnsi="Arial"/>
                <w:sz w:val="27"/>
                <w:szCs w:val="27"/>
                <w:b w:val="1"/>
                <w:bCs w:val="1"/>
                <w:color w:val="29378D"/>
              </w:rPr>
              <w:t>Voting Items</w:t>
            </w:r>
          </w:p>
        </w:tc>
        <w:tc>
          <w:tcPr>
            <w:tcW w:w="5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4"/>
        </w:trPr>
        <w:tc>
          <w:tcPr>
            <w:tcW w:w="26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200" w:type="dxa"/>
            <w:vAlign w:val="bottom"/>
          </w:tcPr>
          <w:p>
            <w:pPr>
              <w:spacing w:after="0"/>
              <w:rPr>
                <w:sz w:val="23"/>
                <w:szCs w:val="23"/>
                <w:color w:val="auto"/>
              </w:rPr>
            </w:pPr>
          </w:p>
        </w:tc>
        <w:tc>
          <w:tcPr>
            <w:tcW w:w="1720" w:type="dxa"/>
            <w:vAlign w:val="bottom"/>
          </w:tcPr>
          <w:p>
            <w:pPr>
              <w:ind w:left="180"/>
              <w:spacing w:after="0"/>
              <w:rPr>
                <w:sz w:val="20"/>
                <w:szCs w:val="20"/>
                <w:color w:val="auto"/>
              </w:rPr>
            </w:pPr>
            <w:r>
              <w:rPr>
                <w:rFonts w:ascii="Arial" w:cs="Arial" w:eastAsia="Arial" w:hAnsi="Arial"/>
                <w:sz w:val="13"/>
                <w:szCs w:val="13"/>
                <w:b w:val="1"/>
                <w:bCs w:val="1"/>
                <w:color w:val="auto"/>
              </w:rPr>
              <w:t>Board Vote</w:t>
            </w:r>
          </w:p>
        </w:tc>
        <w:tc>
          <w:tcPr>
            <w:tcW w:w="1340" w:type="dxa"/>
            <w:vAlign w:val="bottom"/>
          </w:tcPr>
          <w:p>
            <w:pPr>
              <w:ind w:left="260"/>
              <w:spacing w:after="0"/>
              <w:rPr>
                <w:sz w:val="20"/>
                <w:szCs w:val="20"/>
                <w:color w:val="auto"/>
              </w:rPr>
            </w:pPr>
            <w:r>
              <w:rPr>
                <w:rFonts w:ascii="Arial" w:cs="Arial" w:eastAsia="Arial" w:hAnsi="Arial"/>
                <w:sz w:val="13"/>
                <w:szCs w:val="13"/>
                <w:b w:val="1"/>
                <w:bCs w:val="1"/>
                <w:color w:val="auto"/>
              </w:rPr>
              <w:t>For Further</w:t>
            </w:r>
          </w:p>
        </w:tc>
      </w:tr>
      <w:tr>
        <w:trPr>
          <w:trHeight w:val="185"/>
        </w:trPr>
        <w:tc>
          <w:tcPr>
            <w:tcW w:w="2980" w:type="dxa"/>
            <w:vAlign w:val="bottom"/>
            <w:gridSpan w:val="2"/>
          </w:tcPr>
          <w:p>
            <w:pPr>
              <w:ind w:left="20"/>
              <w:spacing w:after="0"/>
              <w:rPr>
                <w:sz w:val="20"/>
                <w:szCs w:val="20"/>
                <w:color w:val="auto"/>
              </w:rPr>
            </w:pPr>
            <w:r>
              <w:rPr>
                <w:rFonts w:ascii="Arial" w:cs="Arial" w:eastAsia="Arial" w:hAnsi="Arial"/>
                <w:sz w:val="13"/>
                <w:szCs w:val="13"/>
                <w:b w:val="1"/>
                <w:bCs w:val="1"/>
                <w:color w:val="auto"/>
              </w:rPr>
              <w:t>Proposals</w:t>
            </w:r>
          </w:p>
        </w:tc>
        <w:tc>
          <w:tcPr>
            <w:tcW w:w="5200" w:type="dxa"/>
            <w:vAlign w:val="bottom"/>
          </w:tcPr>
          <w:p>
            <w:pPr>
              <w:spacing w:after="0"/>
              <w:rPr>
                <w:sz w:val="16"/>
                <w:szCs w:val="16"/>
                <w:color w:val="auto"/>
              </w:rPr>
            </w:pPr>
          </w:p>
        </w:tc>
        <w:tc>
          <w:tcPr>
            <w:tcW w:w="1720" w:type="dxa"/>
            <w:vAlign w:val="bottom"/>
          </w:tcPr>
          <w:p>
            <w:pPr>
              <w:ind w:left="180"/>
              <w:spacing w:after="0"/>
              <w:rPr>
                <w:sz w:val="20"/>
                <w:szCs w:val="20"/>
                <w:color w:val="auto"/>
              </w:rPr>
            </w:pPr>
            <w:r>
              <w:rPr>
                <w:rFonts w:ascii="Arial" w:cs="Arial" w:eastAsia="Arial" w:hAnsi="Arial"/>
                <w:sz w:val="13"/>
                <w:szCs w:val="13"/>
                <w:b w:val="1"/>
                <w:bCs w:val="1"/>
                <w:color w:val="auto"/>
              </w:rPr>
              <w:t>Recommendations</w:t>
            </w:r>
          </w:p>
        </w:tc>
        <w:tc>
          <w:tcPr>
            <w:tcW w:w="1340" w:type="dxa"/>
            <w:vAlign w:val="bottom"/>
          </w:tcPr>
          <w:p>
            <w:pPr>
              <w:ind w:left="260"/>
              <w:spacing w:after="0"/>
              <w:rPr>
                <w:sz w:val="20"/>
                <w:szCs w:val="20"/>
                <w:color w:val="auto"/>
              </w:rPr>
            </w:pPr>
            <w:r>
              <w:rPr>
                <w:rFonts w:ascii="Arial" w:cs="Arial" w:eastAsia="Arial" w:hAnsi="Arial"/>
                <w:sz w:val="13"/>
                <w:szCs w:val="13"/>
                <w:b w:val="1"/>
                <w:bCs w:val="1"/>
                <w:color w:val="auto"/>
              </w:rPr>
              <w:t>Details</w:t>
            </w:r>
          </w:p>
        </w:tc>
      </w:tr>
      <w:tr>
        <w:trPr>
          <w:trHeight w:val="22"/>
        </w:trPr>
        <w:tc>
          <w:tcPr>
            <w:tcW w:w="260" w:type="dxa"/>
            <w:vAlign w:val="bottom"/>
            <w:tcBorders>
              <w:bottom w:val="single" w:sz="8" w:color="29378D"/>
            </w:tcBorders>
          </w:tcPr>
          <w:p>
            <w:pPr>
              <w:spacing w:after="0" w:line="20" w:lineRule="exact"/>
              <w:rPr>
                <w:sz w:val="1"/>
                <w:szCs w:val="1"/>
                <w:color w:val="auto"/>
              </w:rPr>
            </w:pPr>
          </w:p>
        </w:tc>
        <w:tc>
          <w:tcPr>
            <w:tcW w:w="2720" w:type="dxa"/>
            <w:vAlign w:val="bottom"/>
            <w:tcBorders>
              <w:bottom w:val="single" w:sz="8" w:color="29378D"/>
            </w:tcBorders>
          </w:tcPr>
          <w:p>
            <w:pPr>
              <w:spacing w:after="0" w:line="20" w:lineRule="exact"/>
              <w:rPr>
                <w:sz w:val="1"/>
                <w:szCs w:val="1"/>
                <w:color w:val="auto"/>
              </w:rPr>
            </w:pPr>
          </w:p>
        </w:tc>
        <w:tc>
          <w:tcPr>
            <w:tcW w:w="5200" w:type="dxa"/>
            <w:vAlign w:val="bottom"/>
            <w:tcBorders>
              <w:bottom w:val="single" w:sz="8" w:color="29378D"/>
            </w:tcBorders>
          </w:tcPr>
          <w:p>
            <w:pPr>
              <w:spacing w:after="0" w:line="20" w:lineRule="exact"/>
              <w:rPr>
                <w:sz w:val="1"/>
                <w:szCs w:val="1"/>
                <w:color w:val="auto"/>
              </w:rPr>
            </w:pPr>
          </w:p>
        </w:tc>
        <w:tc>
          <w:tcPr>
            <w:tcW w:w="1720" w:type="dxa"/>
            <w:vAlign w:val="bottom"/>
            <w:tcBorders>
              <w:bottom w:val="single" w:sz="8" w:color="29378D"/>
            </w:tcBorders>
          </w:tcPr>
          <w:p>
            <w:pPr>
              <w:spacing w:after="0" w:line="20" w:lineRule="exact"/>
              <w:rPr>
                <w:sz w:val="1"/>
                <w:szCs w:val="1"/>
                <w:color w:val="auto"/>
              </w:rPr>
            </w:pPr>
          </w:p>
        </w:tc>
        <w:tc>
          <w:tcPr>
            <w:tcW w:w="1340" w:type="dxa"/>
            <w:vAlign w:val="bottom"/>
            <w:tcBorders>
              <w:bottom w:val="single" w:sz="8" w:color="29378D"/>
            </w:tcBorders>
          </w:tcPr>
          <w:p>
            <w:pPr>
              <w:spacing w:after="0" w:line="20" w:lineRule="exact"/>
              <w:rPr>
                <w:sz w:val="1"/>
                <w:szCs w:val="1"/>
                <w:color w:val="auto"/>
              </w:rPr>
            </w:pPr>
          </w:p>
        </w:tc>
      </w:tr>
      <w:tr>
        <w:trPr>
          <w:trHeight w:val="195"/>
        </w:trPr>
        <w:tc>
          <w:tcPr>
            <w:tcW w:w="260" w:type="dxa"/>
            <w:vAlign w:val="bottom"/>
          </w:tcPr>
          <w:p>
            <w:pPr>
              <w:ind w:left="20"/>
              <w:spacing w:after="0"/>
              <w:rPr>
                <w:sz w:val="20"/>
                <w:szCs w:val="20"/>
                <w:color w:val="auto"/>
              </w:rPr>
            </w:pPr>
            <w:r>
              <w:rPr>
                <w:rFonts w:ascii="Arial" w:cs="Arial" w:eastAsia="Arial" w:hAnsi="Arial"/>
                <w:sz w:val="14"/>
                <w:szCs w:val="14"/>
                <w:b w:val="1"/>
                <w:bCs w:val="1"/>
                <w:color w:val="29378D"/>
              </w:rPr>
              <w:t>1.</w:t>
            </w:r>
          </w:p>
        </w:tc>
        <w:tc>
          <w:tcPr>
            <w:tcW w:w="2720" w:type="dxa"/>
            <w:vAlign w:val="bottom"/>
          </w:tcPr>
          <w:p>
            <w:pPr>
              <w:ind w:left="100"/>
              <w:spacing w:after="0"/>
              <w:rPr>
                <w:sz w:val="20"/>
                <w:szCs w:val="20"/>
                <w:color w:val="auto"/>
              </w:rPr>
            </w:pPr>
            <w:r>
              <w:rPr>
                <w:rFonts w:ascii="Arial" w:cs="Arial" w:eastAsia="Arial" w:hAnsi="Arial"/>
                <w:sz w:val="16"/>
                <w:szCs w:val="16"/>
                <w:color w:val="auto"/>
              </w:rPr>
              <w:t>Election of Directors</w:t>
            </w:r>
          </w:p>
        </w:tc>
        <w:tc>
          <w:tcPr>
            <w:tcW w:w="5200" w:type="dxa"/>
            <w:vAlign w:val="bottom"/>
          </w:tcPr>
          <w:p>
            <w:pPr>
              <w:spacing w:after="0"/>
              <w:rPr>
                <w:sz w:val="16"/>
                <w:szCs w:val="16"/>
                <w:color w:val="auto"/>
              </w:rPr>
            </w:pPr>
          </w:p>
        </w:tc>
        <w:tc>
          <w:tcPr>
            <w:tcW w:w="1720" w:type="dxa"/>
            <w:vAlign w:val="bottom"/>
          </w:tcPr>
          <w:p>
            <w:pPr>
              <w:ind w:left="180"/>
              <w:spacing w:after="0"/>
              <w:rPr>
                <w:sz w:val="20"/>
                <w:szCs w:val="20"/>
                <w:color w:val="auto"/>
              </w:rPr>
            </w:pPr>
            <w:r>
              <w:rPr>
                <w:rFonts w:ascii="Arial" w:cs="Arial" w:eastAsia="Arial" w:hAnsi="Arial"/>
                <w:sz w:val="16"/>
                <w:szCs w:val="16"/>
                <w:b w:val="1"/>
                <w:bCs w:val="1"/>
                <w:color w:val="29378D"/>
              </w:rPr>
              <w:t xml:space="preserve">“FOR” </w:t>
            </w:r>
            <w:r>
              <w:rPr>
                <w:rFonts w:ascii="Arial" w:cs="Arial" w:eastAsia="Arial" w:hAnsi="Arial"/>
                <w:sz w:val="16"/>
                <w:szCs w:val="16"/>
                <w:color w:val="000000"/>
              </w:rPr>
              <w:t>each</w:t>
            </w:r>
          </w:p>
        </w:tc>
        <w:tc>
          <w:tcPr>
            <w:tcW w:w="1340" w:type="dxa"/>
            <w:vAlign w:val="bottom"/>
          </w:tcPr>
          <w:p>
            <w:pPr>
              <w:ind w:left="260"/>
              <w:spacing w:after="0"/>
              <w:rPr>
                <w:sz w:val="20"/>
                <w:szCs w:val="20"/>
                <w:color w:val="auto"/>
              </w:rPr>
            </w:pPr>
            <w:r>
              <w:rPr>
                <w:rFonts w:ascii="Arial" w:cs="Arial" w:eastAsia="Arial" w:hAnsi="Arial"/>
                <w:sz w:val="16"/>
                <w:szCs w:val="16"/>
                <w:color w:val="auto"/>
              </w:rPr>
              <w:t>Page 16</w:t>
            </w:r>
          </w:p>
        </w:tc>
      </w:tr>
      <w:tr>
        <w:trPr>
          <w:trHeight w:val="215"/>
        </w:trPr>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720" w:type="dxa"/>
            <w:vAlign w:val="bottom"/>
          </w:tcPr>
          <w:p>
            <w:pPr>
              <w:ind w:left="180"/>
              <w:spacing w:after="0"/>
              <w:rPr>
                <w:sz w:val="20"/>
                <w:szCs w:val="20"/>
                <w:color w:val="auto"/>
              </w:rPr>
            </w:pPr>
            <w:r>
              <w:rPr>
                <w:rFonts w:ascii="Arial" w:cs="Arial" w:eastAsia="Arial" w:hAnsi="Arial"/>
                <w:sz w:val="16"/>
                <w:szCs w:val="16"/>
                <w:color w:val="auto"/>
              </w:rPr>
              <w:t>Director Nominee</w:t>
            </w:r>
          </w:p>
        </w:tc>
        <w:tc>
          <w:tcPr>
            <w:tcW w:w="1340" w:type="dxa"/>
            <w:vAlign w:val="bottom"/>
          </w:tcPr>
          <w:p>
            <w:pPr>
              <w:spacing w:after="0"/>
              <w:rPr>
                <w:sz w:val="18"/>
                <w:szCs w:val="18"/>
                <w:color w:val="auto"/>
              </w:rPr>
            </w:pPr>
          </w:p>
        </w:tc>
      </w:tr>
      <w:tr>
        <w:trPr>
          <w:trHeight w:val="43"/>
        </w:trPr>
        <w:tc>
          <w:tcPr>
            <w:tcW w:w="260" w:type="dxa"/>
            <w:vAlign w:val="bottom"/>
            <w:tcBorders>
              <w:bottom w:val="single" w:sz="8" w:color="BCBEC0"/>
            </w:tcBorders>
          </w:tcPr>
          <w:p>
            <w:pPr>
              <w:spacing w:after="0"/>
              <w:rPr>
                <w:sz w:val="3"/>
                <w:szCs w:val="3"/>
                <w:color w:val="auto"/>
              </w:rPr>
            </w:pPr>
          </w:p>
        </w:tc>
        <w:tc>
          <w:tcPr>
            <w:tcW w:w="7920" w:type="dxa"/>
            <w:vAlign w:val="bottom"/>
            <w:tcBorders>
              <w:bottom w:val="single" w:sz="8" w:color="BCBEC0"/>
            </w:tcBorders>
            <w:gridSpan w:val="2"/>
          </w:tcPr>
          <w:p>
            <w:pPr>
              <w:spacing w:after="0"/>
              <w:rPr>
                <w:sz w:val="3"/>
                <w:szCs w:val="3"/>
                <w:color w:val="auto"/>
              </w:rPr>
            </w:pPr>
          </w:p>
        </w:tc>
        <w:tc>
          <w:tcPr>
            <w:tcW w:w="1720" w:type="dxa"/>
            <w:vAlign w:val="bottom"/>
            <w:tcBorders>
              <w:bottom w:val="single" w:sz="8" w:color="BCBEC0"/>
            </w:tcBorders>
          </w:tcPr>
          <w:p>
            <w:pPr>
              <w:spacing w:after="0"/>
              <w:rPr>
                <w:sz w:val="3"/>
                <w:szCs w:val="3"/>
                <w:color w:val="auto"/>
              </w:rPr>
            </w:pPr>
          </w:p>
        </w:tc>
        <w:tc>
          <w:tcPr>
            <w:tcW w:w="1340" w:type="dxa"/>
            <w:vAlign w:val="bottom"/>
            <w:tcBorders>
              <w:bottom w:val="single" w:sz="8" w:color="BCBEC0"/>
            </w:tcBorders>
          </w:tcPr>
          <w:p>
            <w:pPr>
              <w:spacing w:after="0"/>
              <w:rPr>
                <w:sz w:val="3"/>
                <w:szCs w:val="3"/>
                <w:color w:val="auto"/>
              </w:rPr>
            </w:pPr>
          </w:p>
        </w:tc>
      </w:tr>
      <w:tr>
        <w:trPr>
          <w:trHeight w:val="216"/>
        </w:trPr>
        <w:tc>
          <w:tcPr>
            <w:tcW w:w="260" w:type="dxa"/>
            <w:vAlign w:val="bottom"/>
          </w:tcPr>
          <w:p>
            <w:pPr>
              <w:ind w:left="20"/>
              <w:spacing w:after="0"/>
              <w:rPr>
                <w:sz w:val="20"/>
                <w:szCs w:val="20"/>
                <w:color w:val="auto"/>
              </w:rPr>
            </w:pPr>
            <w:r>
              <w:rPr>
                <w:rFonts w:ascii="Arial" w:cs="Arial" w:eastAsia="Arial" w:hAnsi="Arial"/>
                <w:sz w:val="14"/>
                <w:szCs w:val="14"/>
                <w:b w:val="1"/>
                <w:bCs w:val="1"/>
                <w:color w:val="29378D"/>
              </w:rPr>
              <w:t>2.</w:t>
            </w:r>
          </w:p>
        </w:tc>
        <w:tc>
          <w:tcPr>
            <w:tcW w:w="7920" w:type="dxa"/>
            <w:vAlign w:val="bottom"/>
            <w:gridSpan w:val="2"/>
          </w:tcPr>
          <w:p>
            <w:pPr>
              <w:ind w:left="100"/>
              <w:spacing w:after="0"/>
              <w:rPr>
                <w:sz w:val="20"/>
                <w:szCs w:val="20"/>
                <w:color w:val="auto"/>
              </w:rPr>
            </w:pPr>
            <w:r>
              <w:rPr>
                <w:rFonts w:ascii="Arial" w:cs="Arial" w:eastAsia="Arial" w:hAnsi="Arial"/>
                <w:sz w:val="16"/>
                <w:szCs w:val="16"/>
                <w:color w:val="auto"/>
              </w:rPr>
              <w:t>Advisory Vote on Compensation of Named Executive Officers</w:t>
            </w:r>
          </w:p>
        </w:tc>
        <w:tc>
          <w:tcPr>
            <w:tcW w:w="1720" w:type="dxa"/>
            <w:vAlign w:val="bottom"/>
          </w:tcPr>
          <w:p>
            <w:pPr>
              <w:ind w:left="180"/>
              <w:spacing w:after="0"/>
              <w:rPr>
                <w:sz w:val="20"/>
                <w:szCs w:val="20"/>
                <w:color w:val="auto"/>
              </w:rPr>
            </w:pPr>
            <w:r>
              <w:rPr>
                <w:rFonts w:ascii="Arial" w:cs="Arial" w:eastAsia="Arial" w:hAnsi="Arial"/>
                <w:sz w:val="16"/>
                <w:szCs w:val="16"/>
                <w:b w:val="1"/>
                <w:bCs w:val="1"/>
                <w:color w:val="29378D"/>
              </w:rPr>
              <w:t>“FOR”</w:t>
            </w:r>
          </w:p>
        </w:tc>
        <w:tc>
          <w:tcPr>
            <w:tcW w:w="1340" w:type="dxa"/>
            <w:vAlign w:val="bottom"/>
          </w:tcPr>
          <w:p>
            <w:pPr>
              <w:ind w:left="260"/>
              <w:spacing w:after="0"/>
              <w:rPr>
                <w:sz w:val="20"/>
                <w:szCs w:val="20"/>
                <w:color w:val="auto"/>
              </w:rPr>
            </w:pPr>
            <w:r>
              <w:rPr>
                <w:rFonts w:ascii="Arial" w:cs="Arial" w:eastAsia="Arial" w:hAnsi="Arial"/>
                <w:sz w:val="16"/>
                <w:szCs w:val="16"/>
                <w:color w:val="auto"/>
              </w:rPr>
              <w:t>Page 49</w:t>
            </w:r>
          </w:p>
        </w:tc>
      </w:tr>
      <w:tr>
        <w:trPr>
          <w:trHeight w:val="20"/>
        </w:trPr>
        <w:tc>
          <w:tcPr>
            <w:tcW w:w="260" w:type="dxa"/>
            <w:vAlign w:val="bottom"/>
            <w:tcBorders>
              <w:bottom w:val="single" w:sz="8" w:color="BCBEC0"/>
            </w:tcBorders>
          </w:tcPr>
          <w:p>
            <w:pPr>
              <w:spacing w:after="0" w:line="20" w:lineRule="exact"/>
              <w:rPr>
                <w:sz w:val="1"/>
                <w:szCs w:val="1"/>
                <w:color w:val="auto"/>
              </w:rPr>
            </w:pPr>
          </w:p>
        </w:tc>
        <w:tc>
          <w:tcPr>
            <w:tcW w:w="7920" w:type="dxa"/>
            <w:vAlign w:val="bottom"/>
            <w:tcBorders>
              <w:bottom w:val="single" w:sz="8" w:color="BCBEC0"/>
            </w:tcBorders>
            <w:gridSpan w:val="2"/>
          </w:tcPr>
          <w:p>
            <w:pPr>
              <w:spacing w:after="0" w:line="20" w:lineRule="exact"/>
              <w:rPr>
                <w:sz w:val="1"/>
                <w:szCs w:val="1"/>
                <w:color w:val="auto"/>
              </w:rPr>
            </w:pPr>
          </w:p>
        </w:tc>
        <w:tc>
          <w:tcPr>
            <w:tcW w:w="172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r>
      <w:tr>
        <w:trPr>
          <w:trHeight w:val="216"/>
        </w:trPr>
        <w:tc>
          <w:tcPr>
            <w:tcW w:w="260" w:type="dxa"/>
            <w:vAlign w:val="bottom"/>
          </w:tcPr>
          <w:p>
            <w:pPr>
              <w:ind w:left="20"/>
              <w:spacing w:after="0"/>
              <w:rPr>
                <w:sz w:val="20"/>
                <w:szCs w:val="20"/>
                <w:color w:val="auto"/>
              </w:rPr>
            </w:pPr>
            <w:r>
              <w:rPr>
                <w:rFonts w:ascii="Arial" w:cs="Arial" w:eastAsia="Arial" w:hAnsi="Arial"/>
                <w:sz w:val="14"/>
                <w:szCs w:val="14"/>
                <w:b w:val="1"/>
                <w:bCs w:val="1"/>
                <w:color w:val="29378D"/>
              </w:rPr>
              <w:t>3.</w:t>
            </w:r>
          </w:p>
        </w:tc>
        <w:tc>
          <w:tcPr>
            <w:tcW w:w="7920" w:type="dxa"/>
            <w:vAlign w:val="bottom"/>
            <w:gridSpan w:val="2"/>
          </w:tcPr>
          <w:p>
            <w:pPr>
              <w:ind w:left="100"/>
              <w:spacing w:after="0"/>
              <w:rPr>
                <w:sz w:val="20"/>
                <w:szCs w:val="20"/>
                <w:color w:val="auto"/>
              </w:rPr>
            </w:pPr>
            <w:r>
              <w:rPr>
                <w:rFonts w:ascii="Arial" w:cs="Arial" w:eastAsia="Arial" w:hAnsi="Arial"/>
                <w:sz w:val="16"/>
                <w:szCs w:val="16"/>
                <w:color w:val="auto"/>
              </w:rPr>
              <w:t>Ratification of Appointment of Independent Auditor</w:t>
            </w:r>
          </w:p>
        </w:tc>
        <w:tc>
          <w:tcPr>
            <w:tcW w:w="1720" w:type="dxa"/>
            <w:vAlign w:val="bottom"/>
          </w:tcPr>
          <w:p>
            <w:pPr>
              <w:ind w:left="180"/>
              <w:spacing w:after="0"/>
              <w:rPr>
                <w:sz w:val="20"/>
                <w:szCs w:val="20"/>
                <w:color w:val="auto"/>
              </w:rPr>
            </w:pPr>
            <w:r>
              <w:rPr>
                <w:rFonts w:ascii="Arial" w:cs="Arial" w:eastAsia="Arial" w:hAnsi="Arial"/>
                <w:sz w:val="16"/>
                <w:szCs w:val="16"/>
                <w:b w:val="1"/>
                <w:bCs w:val="1"/>
                <w:color w:val="29378D"/>
              </w:rPr>
              <w:t>“FOR”</w:t>
            </w:r>
          </w:p>
        </w:tc>
        <w:tc>
          <w:tcPr>
            <w:tcW w:w="1340" w:type="dxa"/>
            <w:vAlign w:val="bottom"/>
          </w:tcPr>
          <w:p>
            <w:pPr>
              <w:ind w:left="260"/>
              <w:spacing w:after="0"/>
              <w:rPr>
                <w:sz w:val="20"/>
                <w:szCs w:val="20"/>
                <w:color w:val="auto"/>
              </w:rPr>
            </w:pPr>
            <w:r>
              <w:rPr>
                <w:rFonts w:ascii="Arial" w:cs="Arial" w:eastAsia="Arial" w:hAnsi="Arial"/>
                <w:sz w:val="16"/>
                <w:szCs w:val="16"/>
                <w:color w:val="auto"/>
              </w:rPr>
              <w:t>Page 90</w:t>
            </w:r>
          </w:p>
        </w:tc>
      </w:tr>
      <w:tr>
        <w:trPr>
          <w:trHeight w:val="20"/>
        </w:trPr>
        <w:tc>
          <w:tcPr>
            <w:tcW w:w="260" w:type="dxa"/>
            <w:vAlign w:val="bottom"/>
            <w:tcBorders>
              <w:bottom w:val="single" w:sz="8" w:color="BCBEC0"/>
            </w:tcBorders>
          </w:tcPr>
          <w:p>
            <w:pPr>
              <w:spacing w:after="0" w:line="20" w:lineRule="exact"/>
              <w:rPr>
                <w:sz w:val="1"/>
                <w:szCs w:val="1"/>
                <w:color w:val="auto"/>
              </w:rPr>
            </w:pPr>
          </w:p>
        </w:tc>
        <w:tc>
          <w:tcPr>
            <w:tcW w:w="7920" w:type="dxa"/>
            <w:vAlign w:val="bottom"/>
            <w:tcBorders>
              <w:bottom w:val="single" w:sz="8" w:color="BCBEC0"/>
            </w:tcBorders>
            <w:gridSpan w:val="2"/>
          </w:tcPr>
          <w:p>
            <w:pPr>
              <w:spacing w:after="0" w:line="20" w:lineRule="exact"/>
              <w:rPr>
                <w:sz w:val="1"/>
                <w:szCs w:val="1"/>
                <w:color w:val="auto"/>
              </w:rPr>
            </w:pPr>
          </w:p>
        </w:tc>
        <w:tc>
          <w:tcPr>
            <w:tcW w:w="172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r>
      <w:tr>
        <w:trPr>
          <w:trHeight w:val="195"/>
        </w:trPr>
        <w:tc>
          <w:tcPr>
            <w:tcW w:w="260" w:type="dxa"/>
            <w:vAlign w:val="bottom"/>
          </w:tcPr>
          <w:p>
            <w:pPr>
              <w:ind w:left="20"/>
              <w:spacing w:after="0"/>
              <w:rPr>
                <w:sz w:val="20"/>
                <w:szCs w:val="20"/>
                <w:color w:val="auto"/>
              </w:rPr>
            </w:pPr>
            <w:r>
              <w:rPr>
                <w:rFonts w:ascii="Arial" w:cs="Arial" w:eastAsia="Arial" w:hAnsi="Arial"/>
                <w:sz w:val="14"/>
                <w:szCs w:val="14"/>
                <w:b w:val="1"/>
                <w:bCs w:val="1"/>
                <w:color w:val="00249C"/>
              </w:rPr>
              <w:t>4.</w:t>
            </w:r>
          </w:p>
        </w:tc>
        <w:tc>
          <w:tcPr>
            <w:tcW w:w="7920" w:type="dxa"/>
            <w:vAlign w:val="bottom"/>
            <w:gridSpan w:val="2"/>
          </w:tcPr>
          <w:p>
            <w:pPr>
              <w:ind w:left="100"/>
              <w:spacing w:after="0"/>
              <w:rPr>
                <w:sz w:val="20"/>
                <w:szCs w:val="20"/>
                <w:color w:val="auto"/>
              </w:rPr>
            </w:pPr>
            <w:r>
              <w:rPr>
                <w:rFonts w:ascii="Arial" w:cs="Arial" w:eastAsia="Arial" w:hAnsi="Arial"/>
                <w:sz w:val="16"/>
                <w:szCs w:val="16"/>
                <w:color w:val="auto"/>
              </w:rPr>
              <w:t>Elimination of Personal Liability of Officers for Monetary Damages for Breach of Certain Fiduciary Duties as</w:t>
            </w:r>
          </w:p>
        </w:tc>
        <w:tc>
          <w:tcPr>
            <w:tcW w:w="1720" w:type="dxa"/>
            <w:vAlign w:val="bottom"/>
          </w:tcPr>
          <w:p>
            <w:pPr>
              <w:ind w:left="180"/>
              <w:spacing w:after="0"/>
              <w:rPr>
                <w:sz w:val="20"/>
                <w:szCs w:val="20"/>
                <w:color w:val="auto"/>
              </w:rPr>
            </w:pPr>
            <w:r>
              <w:rPr>
                <w:rFonts w:ascii="Arial" w:cs="Arial" w:eastAsia="Arial" w:hAnsi="Arial"/>
                <w:sz w:val="16"/>
                <w:szCs w:val="16"/>
                <w:b w:val="1"/>
                <w:bCs w:val="1"/>
                <w:color w:val="00249C"/>
              </w:rPr>
              <w:t>“FOR”</w:t>
            </w:r>
          </w:p>
        </w:tc>
        <w:tc>
          <w:tcPr>
            <w:tcW w:w="1340" w:type="dxa"/>
            <w:vAlign w:val="bottom"/>
          </w:tcPr>
          <w:p>
            <w:pPr>
              <w:ind w:left="260"/>
              <w:spacing w:after="0"/>
              <w:rPr>
                <w:sz w:val="20"/>
                <w:szCs w:val="20"/>
                <w:color w:val="auto"/>
              </w:rPr>
            </w:pPr>
            <w:r>
              <w:rPr>
                <w:rFonts w:ascii="Arial" w:cs="Arial" w:eastAsia="Arial" w:hAnsi="Arial"/>
                <w:sz w:val="16"/>
                <w:szCs w:val="16"/>
                <w:color w:val="auto"/>
              </w:rPr>
              <w:t>Page 93</w:t>
            </w:r>
          </w:p>
        </w:tc>
      </w:tr>
      <w:tr>
        <w:trPr>
          <w:trHeight w:val="215"/>
        </w:trPr>
        <w:tc>
          <w:tcPr>
            <w:tcW w:w="260" w:type="dxa"/>
            <w:vAlign w:val="bottom"/>
          </w:tcPr>
          <w:p>
            <w:pPr>
              <w:spacing w:after="0"/>
              <w:rPr>
                <w:sz w:val="18"/>
                <w:szCs w:val="18"/>
                <w:color w:val="auto"/>
              </w:rPr>
            </w:pPr>
          </w:p>
        </w:tc>
        <w:tc>
          <w:tcPr>
            <w:tcW w:w="2720" w:type="dxa"/>
            <w:vAlign w:val="bottom"/>
          </w:tcPr>
          <w:p>
            <w:pPr>
              <w:ind w:left="100"/>
              <w:spacing w:after="0"/>
              <w:rPr>
                <w:sz w:val="20"/>
                <w:szCs w:val="20"/>
                <w:color w:val="auto"/>
              </w:rPr>
            </w:pPr>
            <w:r>
              <w:rPr>
                <w:rFonts w:ascii="Arial" w:cs="Arial" w:eastAsia="Arial" w:hAnsi="Arial"/>
                <w:sz w:val="16"/>
                <w:szCs w:val="16"/>
                <w:color w:val="auto"/>
              </w:rPr>
              <w:t>Permitted by Delaware Law</w:t>
            </w:r>
          </w:p>
        </w:tc>
        <w:tc>
          <w:tcPr>
            <w:tcW w:w="5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61"/>
        </w:trPr>
        <w:tc>
          <w:tcPr>
            <w:tcW w:w="260" w:type="dxa"/>
            <w:vAlign w:val="bottom"/>
            <w:tcBorders>
              <w:bottom w:val="single" w:sz="8" w:color="BCBEC0"/>
            </w:tcBorders>
          </w:tcPr>
          <w:p>
            <w:pPr>
              <w:spacing w:after="0"/>
              <w:rPr>
                <w:sz w:val="24"/>
                <w:szCs w:val="24"/>
                <w:color w:val="auto"/>
              </w:rPr>
            </w:pPr>
          </w:p>
        </w:tc>
        <w:tc>
          <w:tcPr>
            <w:tcW w:w="7920" w:type="dxa"/>
            <w:vAlign w:val="bottom"/>
            <w:tcBorders>
              <w:bottom w:val="single" w:sz="8" w:color="BCBEC0"/>
            </w:tcBorders>
            <w:gridSpan w:val="2"/>
          </w:tcPr>
          <w:p>
            <w:pPr>
              <w:spacing w:after="0"/>
              <w:rPr>
                <w:sz w:val="24"/>
                <w:szCs w:val="24"/>
                <w:color w:val="auto"/>
              </w:rPr>
            </w:pPr>
          </w:p>
        </w:tc>
        <w:tc>
          <w:tcPr>
            <w:tcW w:w="1720" w:type="dxa"/>
            <w:vAlign w:val="bottom"/>
            <w:tcBorders>
              <w:bottom w:val="single" w:sz="8" w:color="BCBEC0"/>
            </w:tcBorders>
          </w:tcPr>
          <w:p>
            <w:pPr>
              <w:spacing w:after="0"/>
              <w:rPr>
                <w:sz w:val="24"/>
                <w:szCs w:val="24"/>
                <w:color w:val="auto"/>
              </w:rPr>
            </w:pPr>
          </w:p>
        </w:tc>
        <w:tc>
          <w:tcPr>
            <w:tcW w:w="1340" w:type="dxa"/>
            <w:vAlign w:val="bottom"/>
            <w:tcBorders>
              <w:bottom w:val="single" w:sz="8" w:color="BCBEC0"/>
            </w:tcBorders>
          </w:tcPr>
          <w:p>
            <w:pPr>
              <w:spacing w:after="0"/>
              <w:rPr>
                <w:sz w:val="24"/>
                <w:szCs w:val="24"/>
                <w:color w:val="auto"/>
              </w:rPr>
            </w:pPr>
          </w:p>
        </w:tc>
      </w:tr>
      <w:tr>
        <w:trPr>
          <w:trHeight w:val="216"/>
        </w:trPr>
        <w:tc>
          <w:tcPr>
            <w:tcW w:w="260" w:type="dxa"/>
            <w:vAlign w:val="bottom"/>
          </w:tcPr>
          <w:p>
            <w:pPr>
              <w:ind w:left="20"/>
              <w:spacing w:after="0"/>
              <w:rPr>
                <w:sz w:val="20"/>
                <w:szCs w:val="20"/>
                <w:color w:val="auto"/>
              </w:rPr>
            </w:pPr>
            <w:r>
              <w:rPr>
                <w:rFonts w:ascii="Arial" w:cs="Arial" w:eastAsia="Arial" w:hAnsi="Arial"/>
                <w:sz w:val="14"/>
                <w:szCs w:val="14"/>
                <w:b w:val="1"/>
                <w:bCs w:val="1"/>
                <w:color w:val="00249C"/>
              </w:rPr>
              <w:t>5.</w:t>
            </w:r>
          </w:p>
        </w:tc>
        <w:tc>
          <w:tcPr>
            <w:tcW w:w="7920" w:type="dxa"/>
            <w:vAlign w:val="bottom"/>
            <w:gridSpan w:val="2"/>
          </w:tcPr>
          <w:p>
            <w:pPr>
              <w:ind w:left="100"/>
              <w:spacing w:after="0"/>
              <w:rPr>
                <w:sz w:val="20"/>
                <w:szCs w:val="20"/>
                <w:color w:val="auto"/>
              </w:rPr>
            </w:pPr>
            <w:r>
              <w:rPr>
                <w:rFonts w:ascii="Arial" w:cs="Arial" w:eastAsia="Arial" w:hAnsi="Arial"/>
                <w:sz w:val="16"/>
                <w:szCs w:val="16"/>
                <w:color w:val="auto"/>
              </w:rPr>
              <w:t>Approval of 2024 Long-Term Incentive Stock Plan</w:t>
            </w:r>
          </w:p>
        </w:tc>
        <w:tc>
          <w:tcPr>
            <w:tcW w:w="1720" w:type="dxa"/>
            <w:vAlign w:val="bottom"/>
          </w:tcPr>
          <w:p>
            <w:pPr>
              <w:ind w:left="180"/>
              <w:spacing w:after="0"/>
              <w:rPr>
                <w:sz w:val="20"/>
                <w:szCs w:val="20"/>
                <w:color w:val="auto"/>
              </w:rPr>
            </w:pPr>
            <w:r>
              <w:rPr>
                <w:rFonts w:ascii="Arial" w:cs="Arial" w:eastAsia="Arial" w:hAnsi="Arial"/>
                <w:sz w:val="16"/>
                <w:szCs w:val="16"/>
                <w:b w:val="1"/>
                <w:bCs w:val="1"/>
                <w:color w:val="00249C"/>
              </w:rPr>
              <w:t>“FOR”</w:t>
            </w:r>
          </w:p>
        </w:tc>
        <w:tc>
          <w:tcPr>
            <w:tcW w:w="1340" w:type="dxa"/>
            <w:vAlign w:val="bottom"/>
          </w:tcPr>
          <w:p>
            <w:pPr>
              <w:ind w:left="260"/>
              <w:spacing w:after="0"/>
              <w:rPr>
                <w:sz w:val="20"/>
                <w:szCs w:val="20"/>
                <w:color w:val="auto"/>
              </w:rPr>
            </w:pPr>
            <w:r>
              <w:rPr>
                <w:rFonts w:ascii="Arial" w:cs="Arial" w:eastAsia="Arial" w:hAnsi="Arial"/>
                <w:sz w:val="16"/>
                <w:szCs w:val="16"/>
                <w:color w:val="auto"/>
              </w:rPr>
              <w:t>Page 95</w:t>
            </w:r>
          </w:p>
        </w:tc>
      </w:tr>
      <w:tr>
        <w:trPr>
          <w:trHeight w:val="20"/>
        </w:trPr>
        <w:tc>
          <w:tcPr>
            <w:tcW w:w="260" w:type="dxa"/>
            <w:vAlign w:val="bottom"/>
            <w:tcBorders>
              <w:bottom w:val="single" w:sz="8" w:color="BCBEC0"/>
            </w:tcBorders>
          </w:tcPr>
          <w:p>
            <w:pPr>
              <w:spacing w:after="0" w:line="20" w:lineRule="exact"/>
              <w:rPr>
                <w:sz w:val="1"/>
                <w:szCs w:val="1"/>
                <w:color w:val="auto"/>
              </w:rPr>
            </w:pPr>
          </w:p>
        </w:tc>
        <w:tc>
          <w:tcPr>
            <w:tcW w:w="7920" w:type="dxa"/>
            <w:vAlign w:val="bottom"/>
            <w:tcBorders>
              <w:bottom w:val="single" w:sz="8" w:color="BCBEC0"/>
            </w:tcBorders>
            <w:gridSpan w:val="2"/>
          </w:tcPr>
          <w:p>
            <w:pPr>
              <w:spacing w:after="0" w:line="20" w:lineRule="exact"/>
              <w:rPr>
                <w:sz w:val="1"/>
                <w:szCs w:val="1"/>
                <w:color w:val="auto"/>
              </w:rPr>
            </w:pPr>
          </w:p>
        </w:tc>
        <w:tc>
          <w:tcPr>
            <w:tcW w:w="172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r>
      <w:tr>
        <w:trPr>
          <w:trHeight w:val="182"/>
        </w:trPr>
        <w:tc>
          <w:tcPr>
            <w:tcW w:w="260" w:type="dxa"/>
            <w:vAlign w:val="bottom"/>
          </w:tcPr>
          <w:p>
            <w:pPr>
              <w:ind w:left="20"/>
              <w:spacing w:after="0"/>
              <w:rPr>
                <w:sz w:val="20"/>
                <w:szCs w:val="20"/>
                <w:color w:val="auto"/>
              </w:rPr>
            </w:pPr>
            <w:r>
              <w:rPr>
                <w:rFonts w:ascii="Arial" w:cs="Arial" w:eastAsia="Arial" w:hAnsi="Arial"/>
                <w:sz w:val="14"/>
                <w:szCs w:val="14"/>
                <w:b w:val="1"/>
                <w:bCs w:val="1"/>
                <w:color w:val="00249C"/>
              </w:rPr>
              <w:t>6.</w:t>
            </w:r>
          </w:p>
        </w:tc>
        <w:tc>
          <w:tcPr>
            <w:tcW w:w="7920" w:type="dxa"/>
            <w:vAlign w:val="bottom"/>
            <w:gridSpan w:val="2"/>
          </w:tcPr>
          <w:p>
            <w:pPr>
              <w:ind w:left="100"/>
              <w:spacing w:after="0" w:line="182" w:lineRule="exact"/>
              <w:rPr>
                <w:sz w:val="20"/>
                <w:szCs w:val="20"/>
                <w:color w:val="auto"/>
              </w:rPr>
            </w:pPr>
            <w:r>
              <w:rPr>
                <w:rFonts w:ascii="Arial" w:cs="Arial" w:eastAsia="Arial" w:hAnsi="Arial"/>
                <w:sz w:val="16"/>
                <w:szCs w:val="16"/>
                <w:color w:val="auto"/>
              </w:rPr>
              <w:t>Shareholder Proposal to Annually Conduct an Evaluation and Issue a Report Describing the Alignment of the</w:t>
            </w:r>
          </w:p>
        </w:tc>
        <w:tc>
          <w:tcPr>
            <w:tcW w:w="1720" w:type="dxa"/>
            <w:vAlign w:val="bottom"/>
          </w:tcPr>
          <w:p>
            <w:pPr>
              <w:ind w:left="180"/>
              <w:spacing w:after="0" w:line="182" w:lineRule="exact"/>
              <w:rPr>
                <w:sz w:val="20"/>
                <w:szCs w:val="20"/>
                <w:color w:val="auto"/>
              </w:rPr>
            </w:pPr>
            <w:r>
              <w:rPr>
                <w:rFonts w:ascii="Arial" w:cs="Arial" w:eastAsia="Arial" w:hAnsi="Arial"/>
                <w:sz w:val="16"/>
                <w:szCs w:val="16"/>
                <w:b w:val="1"/>
                <w:bCs w:val="1"/>
                <w:color w:val="00249C"/>
              </w:rPr>
              <w:t>“AGAINST”</w:t>
            </w:r>
          </w:p>
        </w:tc>
        <w:tc>
          <w:tcPr>
            <w:tcW w:w="1340" w:type="dxa"/>
            <w:vAlign w:val="bottom"/>
          </w:tcPr>
          <w:p>
            <w:pPr>
              <w:ind w:left="260"/>
              <w:spacing w:after="0" w:line="182" w:lineRule="exact"/>
              <w:rPr>
                <w:sz w:val="20"/>
                <w:szCs w:val="20"/>
                <w:color w:val="auto"/>
              </w:rPr>
            </w:pPr>
            <w:r>
              <w:rPr>
                <w:rFonts w:ascii="Arial" w:cs="Arial" w:eastAsia="Arial" w:hAnsi="Arial"/>
                <w:sz w:val="16"/>
                <w:szCs w:val="16"/>
                <w:color w:val="auto"/>
              </w:rPr>
              <w:t>Page 98</w:t>
            </w:r>
          </w:p>
        </w:tc>
      </w:tr>
      <w:tr>
        <w:trPr>
          <w:trHeight w:val="215"/>
        </w:trPr>
        <w:tc>
          <w:tcPr>
            <w:tcW w:w="260" w:type="dxa"/>
            <w:vAlign w:val="bottom"/>
          </w:tcPr>
          <w:p>
            <w:pPr>
              <w:spacing w:after="0"/>
              <w:rPr>
                <w:sz w:val="18"/>
                <w:szCs w:val="18"/>
                <w:color w:val="auto"/>
              </w:rPr>
            </w:pPr>
          </w:p>
        </w:tc>
        <w:tc>
          <w:tcPr>
            <w:tcW w:w="7920" w:type="dxa"/>
            <w:vAlign w:val="bottom"/>
            <w:gridSpan w:val="2"/>
          </w:tcPr>
          <w:p>
            <w:pPr>
              <w:ind w:left="100"/>
              <w:spacing w:after="0"/>
              <w:rPr>
                <w:sz w:val="20"/>
                <w:szCs w:val="20"/>
                <w:color w:val="auto"/>
              </w:rPr>
            </w:pPr>
            <w:r>
              <w:rPr>
                <w:rFonts w:ascii="Arial" w:cs="Arial" w:eastAsia="Arial" w:hAnsi="Arial"/>
                <w:sz w:val="16"/>
                <w:szCs w:val="16"/>
                <w:color w:val="auto"/>
              </w:rPr>
              <w:t>Company’s Political Activities With Its Human Rights Policy</w:t>
            </w:r>
          </w:p>
        </w:tc>
        <w:tc>
          <w:tcPr>
            <w:tcW w:w="17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9"/>
        </w:trPr>
        <w:tc>
          <w:tcPr>
            <w:tcW w:w="260" w:type="dxa"/>
            <w:vAlign w:val="bottom"/>
            <w:tcBorders>
              <w:bottom w:val="single" w:sz="8" w:color="BCBEC0"/>
            </w:tcBorders>
          </w:tcPr>
          <w:p>
            <w:pPr>
              <w:spacing w:after="0"/>
              <w:rPr>
                <w:sz w:val="2"/>
                <w:szCs w:val="2"/>
                <w:color w:val="auto"/>
              </w:rPr>
            </w:pPr>
          </w:p>
        </w:tc>
        <w:tc>
          <w:tcPr>
            <w:tcW w:w="7920" w:type="dxa"/>
            <w:vAlign w:val="bottom"/>
            <w:tcBorders>
              <w:bottom w:val="single" w:sz="8" w:color="BCBEC0"/>
            </w:tcBorders>
            <w:gridSpan w:val="2"/>
          </w:tcPr>
          <w:p>
            <w:pPr>
              <w:spacing w:after="0"/>
              <w:rPr>
                <w:sz w:val="2"/>
                <w:szCs w:val="2"/>
                <w:color w:val="auto"/>
              </w:rPr>
            </w:pPr>
          </w:p>
        </w:tc>
        <w:tc>
          <w:tcPr>
            <w:tcW w:w="1720" w:type="dxa"/>
            <w:vAlign w:val="bottom"/>
            <w:tcBorders>
              <w:bottom w:val="single" w:sz="8" w:color="BCBEC0"/>
            </w:tcBorders>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r>
      <w:tr>
        <w:trPr>
          <w:trHeight w:val="216"/>
        </w:trPr>
        <w:tc>
          <w:tcPr>
            <w:tcW w:w="260" w:type="dxa"/>
            <w:vAlign w:val="bottom"/>
          </w:tcPr>
          <w:p>
            <w:pPr>
              <w:ind w:left="20"/>
              <w:spacing w:after="0"/>
              <w:rPr>
                <w:sz w:val="20"/>
                <w:szCs w:val="20"/>
                <w:color w:val="auto"/>
              </w:rPr>
            </w:pPr>
            <w:r>
              <w:rPr>
                <w:rFonts w:ascii="Arial" w:cs="Arial" w:eastAsia="Arial" w:hAnsi="Arial"/>
                <w:sz w:val="14"/>
                <w:szCs w:val="14"/>
                <w:b w:val="1"/>
                <w:bCs w:val="1"/>
                <w:color w:val="00249C"/>
              </w:rPr>
              <w:t>7.</w:t>
            </w:r>
          </w:p>
        </w:tc>
        <w:tc>
          <w:tcPr>
            <w:tcW w:w="7920" w:type="dxa"/>
            <w:vAlign w:val="bottom"/>
            <w:gridSpan w:val="2"/>
          </w:tcPr>
          <w:p>
            <w:pPr>
              <w:ind w:left="100"/>
              <w:spacing w:after="0"/>
              <w:rPr>
                <w:sz w:val="20"/>
                <w:szCs w:val="20"/>
                <w:color w:val="auto"/>
              </w:rPr>
            </w:pPr>
            <w:r>
              <w:rPr>
                <w:rFonts w:ascii="Arial" w:cs="Arial" w:eastAsia="Arial" w:hAnsi="Arial"/>
                <w:sz w:val="16"/>
                <w:szCs w:val="16"/>
                <w:color w:val="auto"/>
              </w:rPr>
              <w:t>Shareholder Proposal to Provide for an Independent Board Chair</w:t>
            </w:r>
          </w:p>
        </w:tc>
        <w:tc>
          <w:tcPr>
            <w:tcW w:w="1720" w:type="dxa"/>
            <w:vAlign w:val="bottom"/>
          </w:tcPr>
          <w:p>
            <w:pPr>
              <w:ind w:left="180"/>
              <w:spacing w:after="0"/>
              <w:rPr>
                <w:sz w:val="20"/>
                <w:szCs w:val="20"/>
                <w:color w:val="auto"/>
              </w:rPr>
            </w:pPr>
            <w:r>
              <w:rPr>
                <w:rFonts w:ascii="Arial" w:cs="Arial" w:eastAsia="Arial" w:hAnsi="Arial"/>
                <w:sz w:val="16"/>
                <w:szCs w:val="16"/>
                <w:b w:val="1"/>
                <w:bCs w:val="1"/>
                <w:color w:val="00249C"/>
              </w:rPr>
              <w:t>“AGAINST”</w:t>
            </w:r>
          </w:p>
        </w:tc>
        <w:tc>
          <w:tcPr>
            <w:tcW w:w="1340" w:type="dxa"/>
            <w:vAlign w:val="bottom"/>
          </w:tcPr>
          <w:p>
            <w:pPr>
              <w:ind w:left="260"/>
              <w:spacing w:after="0"/>
              <w:rPr>
                <w:sz w:val="20"/>
                <w:szCs w:val="20"/>
                <w:color w:val="auto"/>
              </w:rPr>
            </w:pPr>
            <w:r>
              <w:rPr>
                <w:rFonts w:ascii="Arial" w:cs="Arial" w:eastAsia="Arial" w:hAnsi="Arial"/>
                <w:sz w:val="16"/>
                <w:szCs w:val="16"/>
                <w:color w:val="auto"/>
              </w:rPr>
              <w:t>Page 103</w:t>
            </w:r>
          </w:p>
        </w:tc>
      </w:tr>
      <w:tr>
        <w:trPr>
          <w:trHeight w:val="20"/>
        </w:trPr>
        <w:tc>
          <w:tcPr>
            <w:tcW w:w="260" w:type="dxa"/>
            <w:vAlign w:val="bottom"/>
            <w:tcBorders>
              <w:bottom w:val="single" w:sz="8" w:color="BCBEC0"/>
            </w:tcBorders>
          </w:tcPr>
          <w:p>
            <w:pPr>
              <w:spacing w:after="0" w:line="20" w:lineRule="exact"/>
              <w:rPr>
                <w:sz w:val="1"/>
                <w:szCs w:val="1"/>
                <w:color w:val="auto"/>
              </w:rPr>
            </w:pPr>
          </w:p>
        </w:tc>
        <w:tc>
          <w:tcPr>
            <w:tcW w:w="2720" w:type="dxa"/>
            <w:vAlign w:val="bottom"/>
            <w:tcBorders>
              <w:bottom w:val="single" w:sz="8" w:color="BCBEC0"/>
            </w:tcBorders>
          </w:tcPr>
          <w:p>
            <w:pPr>
              <w:spacing w:after="0" w:line="20" w:lineRule="exact"/>
              <w:rPr>
                <w:sz w:val="1"/>
                <w:szCs w:val="1"/>
                <w:color w:val="auto"/>
              </w:rPr>
            </w:pPr>
          </w:p>
        </w:tc>
        <w:tc>
          <w:tcPr>
            <w:tcW w:w="5200" w:type="dxa"/>
            <w:vAlign w:val="bottom"/>
            <w:tcBorders>
              <w:bottom w:val="single" w:sz="8" w:color="BCBEC0"/>
            </w:tcBorders>
          </w:tcPr>
          <w:p>
            <w:pPr>
              <w:spacing w:after="0" w:line="20" w:lineRule="exact"/>
              <w:rPr>
                <w:sz w:val="1"/>
                <w:szCs w:val="1"/>
                <w:color w:val="auto"/>
              </w:rPr>
            </w:pPr>
          </w:p>
        </w:tc>
        <w:tc>
          <w:tcPr>
            <w:tcW w:w="172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-3231515</wp:posOffset>
            </wp:positionV>
            <wp:extent cx="334010" cy="334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4010" cy="334645"/>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-3231515</wp:posOffset>
            </wp:positionV>
            <wp:extent cx="334010" cy="3346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4010" cy="3346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-3231515</wp:posOffset>
            </wp:positionV>
            <wp:extent cx="325755" cy="325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16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Shareholders will also act on any other business as may properly come before the Annual Meeting or any adjournment or postponement thereof by or at the direction of the Board of Directors.</w:t>
      </w:r>
    </w:p>
    <w:p>
      <w:pPr>
        <w:spacing w:after="0" w:line="48"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The 2024 Annual Meeting will be conducted exclusively online through a live webcast in order to facilitate stockholder attendance and participation. You can find detailed instructions on how to attend on page 110 of this Proxy Statement.</w:t>
      </w:r>
    </w:p>
    <w:p>
      <w:pPr>
        <w:spacing w:after="0" w:line="33" w:lineRule="exact"/>
        <w:rPr>
          <w:sz w:val="20"/>
          <w:szCs w:val="20"/>
          <w:color w:val="auto"/>
        </w:rPr>
      </w:pPr>
    </w:p>
    <w:p>
      <w:pPr>
        <w:ind w:right="460"/>
        <w:spacing w:after="0" w:line="304" w:lineRule="auto"/>
        <w:rPr>
          <w:sz w:val="20"/>
          <w:szCs w:val="20"/>
          <w:color w:val="auto"/>
        </w:rPr>
      </w:pPr>
      <w:r>
        <w:rPr>
          <w:rFonts w:ascii="Arial" w:cs="Arial" w:eastAsia="Arial" w:hAnsi="Arial"/>
          <w:sz w:val="16"/>
          <w:szCs w:val="16"/>
          <w:color w:val="auto"/>
        </w:rPr>
        <w:t>Your vote is important. Please promptly submit your vote by internet or telephone, or by signing, dating and returning the enclosed proxy card or voting instruction form in the postage-prepaid envelope provided so that your shares will be represented and voted at the meeting.</w:t>
      </w:r>
    </w:p>
    <w:p>
      <w:pPr>
        <w:spacing w:after="0" w:line="33" w:lineRule="exact"/>
        <w:rPr>
          <w:sz w:val="20"/>
          <w:szCs w:val="20"/>
          <w:color w:val="auto"/>
        </w:rPr>
      </w:pPr>
    </w:p>
    <w:p>
      <w:pPr>
        <w:ind w:right="1820"/>
        <w:spacing w:after="0" w:line="427" w:lineRule="auto"/>
        <w:rPr>
          <w:sz w:val="20"/>
          <w:szCs w:val="20"/>
          <w:color w:val="auto"/>
        </w:rPr>
      </w:pPr>
      <w:r>
        <w:rPr>
          <w:rFonts w:ascii="Arial" w:cs="Arial" w:eastAsia="Arial" w:hAnsi="Arial"/>
          <w:sz w:val="16"/>
          <w:szCs w:val="16"/>
          <w:color w:val="auto"/>
        </w:rPr>
        <w:t>We encourage all shareholders to vote on the matters described in the accompanying Proxy Statement prior to the Annual Meeting. 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122680" cy="3600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268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Jennifer C. McGarey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306"/>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Notice of 2024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606425</wp:posOffset>
            </wp:positionV>
            <wp:extent cx="2606040" cy="2074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6040" cy="2074545"/>
                    </a:xfrm>
                    <a:prstGeom prst="rect">
                      <a:avLst/>
                    </a:prstGeom>
                    <a:noFill/>
                  </pic:spPr>
                </pic:pic>
              </a:graphicData>
            </a:graphic>
          </wp:anchor>
        </w:drawing>
      </w:r>
    </w:p>
    <w:p>
      <w:pPr>
        <w:sectPr>
          <w:pgSz w:w="11900" w:h="16838" w:orient="portrait"/>
          <w:cols w:equalWidth="0" w:num="1">
            <w:col w:w="11040"/>
          </w:cols>
          <w:pgMar w:left="320" w:top="238"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29378D"/>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334010" cy="3346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4010" cy="33464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78740</wp:posOffset>
            </wp:positionV>
            <wp:extent cx="334010" cy="3346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4010" cy="334645"/>
                    </a:xfrm>
                    <a:prstGeom prst="rect">
                      <a:avLst/>
                    </a:prstGeom>
                    <a:noFill/>
                  </pic:spPr>
                </pic:pic>
              </a:graphicData>
            </a:graphic>
          </wp:anchor>
        </w:drawing>
      </w:r>
    </w:p>
    <w:p>
      <w:pPr>
        <w:spacing w:after="0" w:line="122"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29378D"/>
        </w:rPr>
        <w:t>INTERNET</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6"/>
          <w:szCs w:val="16"/>
          <w:i w:val="1"/>
          <w:iCs w:val="1"/>
          <w:color w:val="29378D"/>
        </w:rPr>
        <w:t>www.proxyvote.com</w:t>
      </w:r>
    </w:p>
    <w:p>
      <w:pPr>
        <w:spacing w:after="0" w:line="372"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29378D"/>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-18415</wp:posOffset>
            </wp:positionV>
            <wp:extent cx="334010" cy="3346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4010" cy="334645"/>
                    </a:xfrm>
                    <a:prstGeom prst="rect">
                      <a:avLst/>
                    </a:prstGeom>
                    <a:noFill/>
                  </pic:spPr>
                </pic:pic>
              </a:graphicData>
            </a:graphic>
          </wp:anchor>
        </w:drawing>
      </w:r>
    </w:p>
    <w:p>
      <w:pPr>
        <w:spacing w:after="0" w:line="6" w:lineRule="exact"/>
        <w:rPr>
          <w:sz w:val="20"/>
          <w:szCs w:val="20"/>
          <w:color w:val="auto"/>
        </w:rPr>
      </w:pPr>
    </w:p>
    <w:p>
      <w:pPr>
        <w:ind w:left="840" w:right="180"/>
        <w:spacing w:after="0" w:line="256" w:lineRule="auto"/>
        <w:rPr>
          <w:sz w:val="20"/>
          <w:szCs w:val="20"/>
          <w:color w:val="auto"/>
        </w:rPr>
      </w:pPr>
      <w:r>
        <w:rPr>
          <w:rFonts w:ascii="Arial" w:cs="Arial" w:eastAsia="Arial" w:hAnsi="Arial"/>
          <w:sz w:val="16"/>
          <w:szCs w:val="16"/>
          <w:color w:val="auto"/>
        </w:rPr>
        <w:t>Mark, sign, date and promptly mail the enclosed proxy card in the postage-paid envelope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00249C"/>
        </w:rPr>
        <w:t>TELEPHONE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800-690-6903</w:t>
      </w:r>
    </w:p>
    <w:p>
      <w:pPr>
        <w:spacing w:after="0" w:line="200" w:lineRule="exact"/>
        <w:rPr>
          <w:sz w:val="20"/>
          <w:szCs w:val="20"/>
          <w:color w:val="auto"/>
        </w:rPr>
      </w:pPr>
    </w:p>
    <w:p>
      <w:pPr>
        <w:spacing w:after="0" w:line="257" w:lineRule="exact"/>
        <w:rPr>
          <w:sz w:val="20"/>
          <w:szCs w:val="20"/>
          <w:color w:val="auto"/>
        </w:rPr>
      </w:pPr>
    </w:p>
    <w:p>
      <w:pPr>
        <w:spacing w:after="0" w:line="269" w:lineRule="auto"/>
        <w:rPr>
          <w:sz w:val="20"/>
          <w:szCs w:val="20"/>
          <w:color w:val="auto"/>
        </w:rPr>
      </w:pPr>
      <w:r>
        <w:rPr>
          <w:rFonts w:ascii="Arial" w:cs="Arial" w:eastAsia="Arial" w:hAnsi="Arial"/>
          <w:sz w:val="14"/>
          <w:szCs w:val="14"/>
          <w:b w:val="1"/>
          <w:bCs w:val="1"/>
          <w:color w:val="29378D"/>
        </w:rPr>
        <w:t xml:space="preserve">QR CODE </w:t>
      </w:r>
      <w:r>
        <w:rPr>
          <w:rFonts w:ascii="Arial" w:cs="Arial" w:eastAsia="Arial" w:hAnsi="Arial"/>
          <w:sz w:val="14"/>
          <w:szCs w:val="14"/>
          <w:color w:val="000000"/>
        </w:rPr>
        <w:t>Registered shareholders</w:t>
      </w:r>
      <w:r>
        <w:rPr>
          <w:rFonts w:ascii="Arial" w:cs="Arial" w:eastAsia="Arial" w:hAnsi="Arial"/>
          <w:sz w:val="14"/>
          <w:szCs w:val="14"/>
          <w:b w:val="1"/>
          <w:bCs w:val="1"/>
          <w:color w:val="29378D"/>
        </w:rPr>
        <w:t xml:space="preserve"> </w:t>
      </w:r>
      <w:r>
        <w:rPr>
          <w:rFonts w:ascii="Arial" w:cs="Arial" w:eastAsia="Arial" w:hAnsi="Arial"/>
          <w:sz w:val="14"/>
          <w:szCs w:val="14"/>
          <w:color w:val="000000"/>
        </w:rPr>
        <w:t>may vote by scanning the QR code on their proxy card or notice with their mobile device.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-434975</wp:posOffset>
            </wp:positionV>
            <wp:extent cx="334010" cy="3346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4010" cy="334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b w:val="1"/>
          <w:bCs w:val="1"/>
          <w:color w:val="29378D"/>
        </w:rPr>
        <w:t>Important Notice Regarding the Availability of Proxy Materials for the Shareholders Meeting to be held on May 15, 2024:</w:t>
      </w:r>
    </w:p>
    <w:p>
      <w:pPr>
        <w:spacing w:after="0" w:line="256" w:lineRule="auto"/>
        <w:rPr>
          <w:sz w:val="20"/>
          <w:szCs w:val="20"/>
          <w:color w:val="auto"/>
        </w:rPr>
      </w:pPr>
      <w:r>
        <w:rPr>
          <w:rFonts w:ascii="Arial" w:cs="Arial" w:eastAsia="Arial" w:hAnsi="Arial"/>
          <w:sz w:val="15"/>
          <w:szCs w:val="15"/>
          <w:b w:val="1"/>
          <w:bCs w:val="1"/>
          <w:color w:val="29378D"/>
        </w:rPr>
        <w:t>The Proxy Statement for the 2024 Annual Meeting of Shareholders and the Annual Report for the year ended December 31, 2023 are available at:</w:t>
      </w:r>
    </w:p>
    <w:p>
      <w:pPr>
        <w:spacing w:after="0" w:line="2" w:lineRule="exact"/>
        <w:rPr>
          <w:sz w:val="20"/>
          <w:szCs w:val="20"/>
          <w:color w:val="auto"/>
        </w:rPr>
      </w:pPr>
    </w:p>
    <w:p>
      <w:pPr>
        <w:sectPr>
          <w:pgSz w:w="11900" w:h="16838" w:orient="portrait"/>
          <w:cols w:equalWidth="0" w:num="3">
            <w:col w:w="3880" w:space="720"/>
            <w:col w:w="2440" w:space="280"/>
            <w:col w:w="3720"/>
          </w:cols>
          <w:pgMar w:left="320" w:top="238" w:right="539" w:bottom="1440" w:gutter="0" w:footer="0" w:header="0"/>
          <w:type w:val="continuous"/>
        </w:sectPr>
      </w:pPr>
    </w:p>
    <w:p>
      <w:pPr>
        <w:spacing w:after="0" w:line="61"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29378D"/>
        </w:rPr>
        <w:t>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334010" cy="437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4010" cy="437515"/>
                    </a:xfrm>
                    <a:prstGeom prst="rect">
                      <a:avLst/>
                    </a:prstGeom>
                    <a:noFill/>
                  </pic:spPr>
                </pic:pic>
              </a:graphicData>
            </a:graphic>
          </wp:anchor>
        </w:drawing>
      </w:r>
    </w:p>
    <w:p>
      <w:pPr>
        <w:ind w:left="840"/>
        <w:spacing w:after="0"/>
        <w:rPr>
          <w:sz w:val="20"/>
          <w:szCs w:val="20"/>
          <w:color w:val="auto"/>
        </w:rPr>
      </w:pPr>
      <w:r>
        <w:rPr>
          <w:rFonts w:ascii="Arial" w:cs="Arial" w:eastAsia="Arial" w:hAnsi="Arial"/>
          <w:sz w:val="14"/>
          <w:szCs w:val="14"/>
          <w:color w:val="auto"/>
        </w:rPr>
        <w:t>Registered shareholders may vote during the Annual Meeting online at</w:t>
      </w:r>
    </w:p>
    <w:p>
      <w:pPr>
        <w:spacing w:after="0" w:line="15" w:lineRule="exact"/>
        <w:rPr>
          <w:sz w:val="20"/>
          <w:szCs w:val="20"/>
          <w:color w:val="auto"/>
        </w:rPr>
      </w:pPr>
    </w:p>
    <w:p>
      <w:pPr>
        <w:ind w:left="840"/>
        <w:spacing w:after="0" w:line="264" w:lineRule="auto"/>
        <w:rPr>
          <w:sz w:val="20"/>
          <w:szCs w:val="20"/>
          <w:color w:val="auto"/>
        </w:rPr>
      </w:pPr>
      <w:r>
        <w:rPr>
          <w:rFonts w:ascii="Arial" w:cs="Arial" w:eastAsia="Arial" w:hAnsi="Arial"/>
          <w:sz w:val="14"/>
          <w:szCs w:val="14"/>
          <w:color w:val="auto"/>
        </w:rPr>
        <w:t>v</w:t>
      </w:r>
      <w:r>
        <w:rPr>
          <w:rFonts w:ascii="Arial" w:cs="Arial" w:eastAsia="Arial" w:hAnsi="Arial"/>
          <w:sz w:val="14"/>
          <w:szCs w:val="14"/>
          <w:i w:val="1"/>
          <w:iCs w:val="1"/>
          <w:color w:val="auto"/>
        </w:rPr>
        <w:t>irtualshareholdermeeting.com/NOC2024</w:t>
      </w:r>
      <w:r>
        <w:rPr>
          <w:rFonts w:ascii="Arial" w:cs="Arial" w:eastAsia="Arial" w:hAnsi="Arial"/>
          <w:sz w:val="14"/>
          <w:szCs w:val="14"/>
          <w:color w:val="auto"/>
        </w:rPr>
        <w:t>. If you have already voted online, by telephone, by QR code or by mail, your vote during the Annual Meeting will supersede your earlier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0" w:hanging="494"/>
        <w:spacing w:after="0"/>
        <w:tabs>
          <w:tab w:leader="none" w:pos="520" w:val="left"/>
        </w:tabs>
        <w:numPr>
          <w:ilvl w:val="0"/>
          <w:numId w:val="2"/>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i w:val="1"/>
          <w:iCs w:val="1"/>
          <w:color w:val="29378D"/>
        </w:rPr>
        <w:t>www.proxyvote.com.</w:t>
      </w:r>
    </w:p>
    <w:p>
      <w:pPr>
        <w:sectPr>
          <w:pgSz w:w="11900" w:h="16838" w:orient="portrait"/>
          <w:cols w:equalWidth="0" w:num="2">
            <w:col w:w="6980" w:space="340"/>
            <w:col w:w="3720"/>
          </w:cols>
          <w:pgMar w:left="320" w:top="238" w:right="539" w:bottom="1440" w:gutter="0" w:footer="0" w:header="0"/>
          <w:type w:val="continuous"/>
        </w:sectPr>
      </w:pPr>
    </w:p>
    <w:bookmarkStart w:id="7" w:name="page8"/>
    <w:bookmarkEnd w:id="7"/>
    <w:p>
      <w:pPr>
        <w:spacing w:after="0" w:line="290" w:lineRule="exact"/>
        <w:rPr>
          <w:sz w:val="20"/>
          <w:szCs w:val="20"/>
          <w:color w:val="auto"/>
        </w:rPr>
      </w:pPr>
    </w:p>
    <w:p>
      <w:pPr>
        <w:spacing w:after="0"/>
        <w:rPr>
          <w:sz w:val="20"/>
          <w:szCs w:val="20"/>
          <w:color w:val="auto"/>
        </w:rPr>
      </w:pPr>
      <w:r>
        <w:rPr>
          <w:rFonts w:ascii="Arial" w:cs="Arial" w:eastAsia="Arial" w:hAnsi="Arial"/>
          <w:sz w:val="43"/>
          <w:szCs w:val="43"/>
          <w:b w:val="1"/>
          <w:bCs w:val="1"/>
          <w:color w:val="29378D"/>
        </w:rPr>
        <w:t>Table of Contents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29378D"/>
              </w:rPr>
              <w:t>Our Values</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29378D"/>
              </w:rPr>
              <w:t>IFC*</w:t>
            </w:r>
          </w:p>
        </w:tc>
      </w:tr>
      <w:tr>
        <w:trPr>
          <w:trHeight w:val="219"/>
        </w:trPr>
        <w:tc>
          <w:tcPr>
            <w:tcW w:w="8480" w:type="dxa"/>
            <w:vAlign w:val="bottom"/>
          </w:tcPr>
          <w:p>
            <w:pPr>
              <w:ind w:left="20"/>
              <w:spacing w:after="0"/>
              <w:rPr>
                <w:sz w:val="20"/>
                <w:szCs w:val="20"/>
                <w:color w:val="auto"/>
              </w:rPr>
            </w:pPr>
            <w:r>
              <w:rPr>
                <w:rFonts w:ascii="Arial" w:cs="Arial" w:eastAsia="Arial" w:hAnsi="Arial"/>
                <w:sz w:val="16"/>
                <w:szCs w:val="16"/>
                <w:b w:val="1"/>
                <w:bCs w:val="1"/>
                <w:color w:val="29378D"/>
              </w:rPr>
              <w:t>Letter from the Board of Directors</w:t>
            </w:r>
          </w:p>
        </w:tc>
        <w:tc>
          <w:tcPr>
            <w:tcW w:w="2760" w:type="dxa"/>
            <w:vAlign w:val="bottom"/>
          </w:tcPr>
          <w:p>
            <w:pPr>
              <w:jc w:val="right"/>
              <w:spacing w:after="0"/>
              <w:rPr>
                <w:sz w:val="20"/>
                <w:szCs w:val="20"/>
                <w:color w:val="auto"/>
              </w:rPr>
            </w:pPr>
            <w:r>
              <w:rPr>
                <w:rFonts w:ascii="Arial" w:cs="Arial" w:eastAsia="Arial" w:hAnsi="Arial"/>
                <w:sz w:val="16"/>
                <w:szCs w:val="16"/>
                <w:b w:val="1"/>
                <w:bCs w:val="1"/>
                <w:color w:val="29378D"/>
              </w:rPr>
              <w:t>1</w:t>
            </w: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r>
        <w:trPr>
          <w:trHeight w:val="216"/>
        </w:trPr>
        <w:tc>
          <w:tcPr>
            <w:tcW w:w="8480" w:type="dxa"/>
            <w:vAlign w:val="bottom"/>
          </w:tcPr>
          <w:p>
            <w:pPr>
              <w:ind w:left="20"/>
              <w:spacing w:after="0"/>
              <w:rPr>
                <w:sz w:val="20"/>
                <w:szCs w:val="20"/>
                <w:color w:val="auto"/>
              </w:rPr>
            </w:pPr>
            <w:r>
              <w:rPr>
                <w:rFonts w:ascii="Arial" w:cs="Arial" w:eastAsia="Arial" w:hAnsi="Arial"/>
                <w:sz w:val="16"/>
                <w:szCs w:val="16"/>
                <w:b w:val="1"/>
                <w:bCs w:val="1"/>
                <w:color w:val="29378D"/>
              </w:rPr>
              <w:t>Notice of 2024 Annual Meeting of Shareholders</w:t>
            </w:r>
          </w:p>
        </w:tc>
        <w:tc>
          <w:tcPr>
            <w:tcW w:w="2760" w:type="dxa"/>
            <w:vAlign w:val="bottom"/>
          </w:tcPr>
          <w:p>
            <w:pPr>
              <w:jc w:val="right"/>
              <w:spacing w:after="0"/>
              <w:rPr>
                <w:sz w:val="20"/>
                <w:szCs w:val="20"/>
                <w:color w:val="auto"/>
              </w:rPr>
            </w:pPr>
            <w:r>
              <w:rPr>
                <w:rFonts w:ascii="Arial" w:cs="Arial" w:eastAsia="Arial" w:hAnsi="Arial"/>
                <w:sz w:val="16"/>
                <w:szCs w:val="16"/>
                <w:b w:val="1"/>
                <w:bCs w:val="1"/>
                <w:color w:val="29378D"/>
              </w:rPr>
              <w:t>3</w:t>
            </w: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r>
        <w:trPr>
          <w:trHeight w:val="216"/>
        </w:trPr>
        <w:tc>
          <w:tcPr>
            <w:tcW w:w="8480" w:type="dxa"/>
            <w:vAlign w:val="bottom"/>
          </w:tcPr>
          <w:p>
            <w:pPr>
              <w:ind w:left="20"/>
              <w:spacing w:after="0"/>
              <w:rPr>
                <w:sz w:val="20"/>
                <w:szCs w:val="20"/>
                <w:color w:val="auto"/>
              </w:rPr>
            </w:pPr>
            <w:r>
              <w:rPr>
                <w:rFonts w:ascii="Arial" w:cs="Arial" w:eastAsia="Arial" w:hAnsi="Arial"/>
                <w:sz w:val="16"/>
                <w:szCs w:val="16"/>
                <w:b w:val="1"/>
                <w:bCs w:val="1"/>
                <w:color w:val="29378D"/>
              </w:rPr>
              <w:t>Proxy Statement Summary</w:t>
            </w:r>
          </w:p>
        </w:tc>
        <w:tc>
          <w:tcPr>
            <w:tcW w:w="2760" w:type="dxa"/>
            <w:vAlign w:val="bottom"/>
          </w:tcPr>
          <w:p>
            <w:pPr>
              <w:jc w:val="right"/>
              <w:spacing w:after="0"/>
              <w:rPr>
                <w:sz w:val="20"/>
                <w:szCs w:val="20"/>
                <w:color w:val="auto"/>
              </w:rPr>
            </w:pPr>
            <w:r>
              <w:rPr>
                <w:rFonts w:ascii="Arial" w:cs="Arial" w:eastAsia="Arial" w:hAnsi="Arial"/>
                <w:sz w:val="16"/>
                <w:szCs w:val="16"/>
                <w:b w:val="1"/>
                <w:bCs w:val="1"/>
                <w:color w:val="29378D"/>
              </w:rPr>
              <w:t>7</w:t>
            </w: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r>
        <w:trPr>
          <w:trHeight w:val="216"/>
        </w:trPr>
        <w:tc>
          <w:tcPr>
            <w:tcW w:w="8480" w:type="dxa"/>
            <w:vAlign w:val="bottom"/>
          </w:tcPr>
          <w:p>
            <w:pPr>
              <w:ind w:left="20"/>
              <w:spacing w:after="0"/>
              <w:rPr>
                <w:sz w:val="20"/>
                <w:szCs w:val="20"/>
                <w:color w:val="auto"/>
              </w:rPr>
            </w:pPr>
            <w:r>
              <w:rPr>
                <w:rFonts w:ascii="Arial" w:cs="Arial" w:eastAsia="Arial" w:hAnsi="Arial"/>
                <w:sz w:val="16"/>
                <w:szCs w:val="16"/>
                <w:b w:val="1"/>
                <w:bCs w:val="1"/>
                <w:color w:val="29378D"/>
              </w:rPr>
              <w:t>Management and Shareholder Proposals</w:t>
            </w:r>
          </w:p>
        </w:tc>
        <w:tc>
          <w:tcPr>
            <w:tcW w:w="2760" w:type="dxa"/>
            <w:vAlign w:val="bottom"/>
          </w:tcPr>
          <w:p>
            <w:pPr>
              <w:jc w:val="right"/>
              <w:spacing w:after="0"/>
              <w:rPr>
                <w:sz w:val="20"/>
                <w:szCs w:val="20"/>
                <w:color w:val="auto"/>
              </w:rPr>
            </w:pPr>
            <w:r>
              <w:rPr>
                <w:rFonts w:ascii="Arial" w:cs="Arial" w:eastAsia="Arial" w:hAnsi="Arial"/>
                <w:sz w:val="16"/>
                <w:szCs w:val="16"/>
                <w:b w:val="1"/>
                <w:bCs w:val="1"/>
                <w:color w:val="29378D"/>
              </w:rPr>
              <w:t>13</w:t>
            </w: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r>
        <w:trPr>
          <w:trHeight w:val="216"/>
        </w:trPr>
        <w:tc>
          <w:tcPr>
            <w:tcW w:w="8480" w:type="dxa"/>
            <w:vAlign w:val="bottom"/>
          </w:tcPr>
          <w:p>
            <w:pPr>
              <w:ind w:left="20"/>
              <w:spacing w:after="0"/>
              <w:rPr>
                <w:sz w:val="20"/>
                <w:szCs w:val="20"/>
                <w:color w:val="auto"/>
              </w:rPr>
            </w:pPr>
            <w:r>
              <w:rPr>
                <w:rFonts w:ascii="Arial" w:cs="Arial" w:eastAsia="Arial" w:hAnsi="Arial"/>
                <w:sz w:val="16"/>
                <w:szCs w:val="16"/>
                <w:b w:val="1"/>
                <w:bCs w:val="1"/>
                <w:color w:val="29378D"/>
              </w:rPr>
              <w:t>Shareholder Engagement</w:t>
            </w:r>
          </w:p>
        </w:tc>
        <w:tc>
          <w:tcPr>
            <w:tcW w:w="2760" w:type="dxa"/>
            <w:vAlign w:val="bottom"/>
          </w:tcPr>
          <w:p>
            <w:pPr>
              <w:jc w:val="right"/>
              <w:spacing w:after="0"/>
              <w:rPr>
                <w:sz w:val="20"/>
                <w:szCs w:val="20"/>
                <w:color w:val="auto"/>
              </w:rPr>
            </w:pPr>
            <w:r>
              <w:rPr>
                <w:rFonts w:ascii="Arial" w:cs="Arial" w:eastAsia="Arial" w:hAnsi="Arial"/>
                <w:sz w:val="16"/>
                <w:szCs w:val="16"/>
                <w:b w:val="1"/>
                <w:bCs w:val="1"/>
                <w:color w:val="29378D"/>
              </w:rPr>
              <w:t>15</w:t>
            </w: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r>
        <w:trPr>
          <w:trHeight w:val="88"/>
        </w:trPr>
        <w:tc>
          <w:tcPr>
            <w:tcW w:w="8480" w:type="dxa"/>
            <w:vAlign w:val="bottom"/>
          </w:tcPr>
          <w:p>
            <w:pPr>
              <w:spacing w:after="0"/>
              <w:rPr>
                <w:sz w:val="7"/>
                <w:szCs w:val="7"/>
                <w:color w:val="auto"/>
              </w:rPr>
            </w:pPr>
          </w:p>
        </w:tc>
        <w:tc>
          <w:tcPr>
            <w:tcW w:w="2760" w:type="dxa"/>
            <w:vAlign w:val="bottom"/>
          </w:tcPr>
          <w:p>
            <w:pPr>
              <w:spacing w:after="0"/>
              <w:rPr>
                <w:sz w:val="7"/>
                <w:szCs w:val="7"/>
                <w:color w:val="auto"/>
              </w:rPr>
            </w:pPr>
          </w:p>
        </w:tc>
      </w:tr>
      <w:tr>
        <w:trPr>
          <w:trHeight w:val="237"/>
        </w:trPr>
        <w:tc>
          <w:tcPr>
            <w:tcW w:w="8480" w:type="dxa"/>
            <w:vAlign w:val="bottom"/>
            <w:tcBorders>
              <w:bottom w:val="single" w:sz="8" w:color="29378D"/>
            </w:tcBorders>
            <w:shd w:val="clear" w:color="auto" w:fill="29378D"/>
          </w:tcPr>
          <w:p>
            <w:pPr>
              <w:ind w:left="420"/>
              <w:spacing w:after="0"/>
              <w:rPr>
                <w:sz w:val="20"/>
                <w:szCs w:val="20"/>
                <w:color w:val="auto"/>
              </w:rPr>
            </w:pPr>
            <w:r>
              <w:rPr>
                <w:rFonts w:ascii="Arial" w:cs="Arial" w:eastAsia="Arial" w:hAnsi="Arial"/>
                <w:sz w:val="16"/>
                <w:szCs w:val="16"/>
                <w:b w:val="1"/>
                <w:bCs w:val="1"/>
                <w:color w:val="FFFFFF"/>
              </w:rPr>
              <w:t>Proposal 1: Election of Directors</w:t>
            </w:r>
          </w:p>
        </w:tc>
        <w:tc>
          <w:tcPr>
            <w:tcW w:w="2760" w:type="dxa"/>
            <w:vAlign w:val="bottom"/>
            <w:tcBorders>
              <w:bottom w:val="single" w:sz="8" w:color="29378D"/>
            </w:tcBorders>
            <w:shd w:val="clear" w:color="auto" w:fill="29378D"/>
          </w:tcPr>
          <w:p>
            <w:pPr>
              <w:jc w:val="right"/>
              <w:spacing w:after="0"/>
              <w:rPr>
                <w:sz w:val="20"/>
                <w:szCs w:val="20"/>
                <w:color w:val="auto"/>
              </w:rPr>
            </w:pPr>
            <w:r>
              <w:rPr>
                <w:rFonts w:ascii="Arial" w:cs="Arial" w:eastAsia="Arial" w:hAnsi="Arial"/>
                <w:sz w:val="16"/>
                <w:szCs w:val="16"/>
                <w:b w:val="1"/>
                <w:bCs w:val="1"/>
                <w:color w:val="FFFFFF"/>
              </w:rPr>
              <w:t>16</w:t>
            </w:r>
          </w:p>
        </w:tc>
      </w:tr>
      <w:tr>
        <w:trPr>
          <w:trHeight w:val="215"/>
        </w:trPr>
        <w:tc>
          <w:tcPr>
            <w:tcW w:w="8480" w:type="dxa"/>
            <w:vAlign w:val="bottom"/>
          </w:tcPr>
          <w:p>
            <w:pPr>
              <w:ind w:left="20"/>
              <w:spacing w:after="0"/>
              <w:rPr>
                <w:sz w:val="20"/>
                <w:szCs w:val="20"/>
                <w:color w:val="auto"/>
              </w:rPr>
            </w:pPr>
            <w:r>
              <w:rPr>
                <w:rFonts w:ascii="Arial" w:cs="Arial" w:eastAsia="Arial" w:hAnsi="Arial"/>
                <w:sz w:val="16"/>
                <w:szCs w:val="16"/>
                <w:color w:val="auto"/>
              </w:rPr>
              <w:t>Director Qualifications and Experience</w:t>
            </w:r>
          </w:p>
        </w:tc>
        <w:tc>
          <w:tcPr>
            <w:tcW w:w="27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2"/>
        </w:trPr>
        <w:tc>
          <w:tcPr>
            <w:tcW w:w="8480" w:type="dxa"/>
            <w:vAlign w:val="bottom"/>
          </w:tcPr>
          <w:p>
            <w:pPr>
              <w:ind w:left="20"/>
              <w:spacing w:after="0"/>
              <w:rPr>
                <w:sz w:val="20"/>
                <w:szCs w:val="20"/>
                <w:color w:val="auto"/>
              </w:rPr>
            </w:pPr>
            <w:r>
              <w:rPr>
                <w:rFonts w:ascii="Arial" w:cs="Arial" w:eastAsia="Arial" w:hAnsi="Arial"/>
                <w:sz w:val="16"/>
                <w:szCs w:val="16"/>
                <w:color w:val="auto"/>
              </w:rPr>
              <w:t>2024 Nominees for Director</w:t>
            </w:r>
          </w:p>
        </w:tc>
        <w:tc>
          <w:tcPr>
            <w:tcW w:w="27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Director Nomination Process</w:t>
            </w:r>
          </w:p>
        </w:tc>
        <w:tc>
          <w:tcPr>
            <w:tcW w:w="27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1"/>
        </w:trPr>
        <w:tc>
          <w:tcPr>
            <w:tcW w:w="8480" w:type="dxa"/>
            <w:vAlign w:val="bottom"/>
          </w:tcPr>
          <w:p>
            <w:pPr>
              <w:ind w:left="20"/>
              <w:spacing w:after="0"/>
              <w:rPr>
                <w:sz w:val="20"/>
                <w:szCs w:val="20"/>
                <w:color w:val="auto"/>
              </w:rPr>
            </w:pPr>
            <w:r>
              <w:rPr>
                <w:rFonts w:ascii="Arial" w:cs="Arial" w:eastAsia="Arial" w:hAnsi="Arial"/>
                <w:sz w:val="16"/>
                <w:szCs w:val="16"/>
                <w:b w:val="1"/>
                <w:bCs w:val="1"/>
                <w:color w:val="29378D"/>
              </w:rPr>
              <w:t>Corporate Governance</w:t>
            </w:r>
          </w:p>
        </w:tc>
        <w:tc>
          <w:tcPr>
            <w:tcW w:w="2760" w:type="dxa"/>
            <w:vAlign w:val="bottom"/>
          </w:tcPr>
          <w:p>
            <w:pPr>
              <w:jc w:val="right"/>
              <w:spacing w:after="0"/>
              <w:rPr>
                <w:sz w:val="20"/>
                <w:szCs w:val="20"/>
                <w:color w:val="auto"/>
              </w:rPr>
            </w:pPr>
            <w:r>
              <w:rPr>
                <w:rFonts w:ascii="Arial" w:cs="Arial" w:eastAsia="Arial" w:hAnsi="Arial"/>
                <w:sz w:val="16"/>
                <w:szCs w:val="16"/>
                <w:b w:val="1"/>
                <w:bCs w:val="1"/>
                <w:color w:val="29378D"/>
              </w:rPr>
              <w:t>28</w:t>
            </w:r>
          </w:p>
        </w:tc>
      </w:tr>
      <w:tr>
        <w:trPr>
          <w:trHeight w:val="21"/>
        </w:trPr>
        <w:tc>
          <w:tcPr>
            <w:tcW w:w="848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r>
        <w:trPr>
          <w:trHeight w:val="208"/>
        </w:trPr>
        <w:tc>
          <w:tcPr>
            <w:tcW w:w="8480" w:type="dxa"/>
            <w:vAlign w:val="bottom"/>
          </w:tcPr>
          <w:p>
            <w:pPr>
              <w:ind w:left="20"/>
              <w:spacing w:after="0"/>
              <w:rPr>
                <w:sz w:val="20"/>
                <w:szCs w:val="20"/>
                <w:color w:val="auto"/>
              </w:rPr>
            </w:pPr>
            <w:r>
              <w:rPr>
                <w:rFonts w:ascii="Arial" w:cs="Arial" w:eastAsia="Arial" w:hAnsi="Arial"/>
                <w:sz w:val="16"/>
                <w:szCs w:val="16"/>
                <w:color w:val="auto"/>
              </w:rPr>
              <w:t>Overview</w:t>
            </w:r>
          </w:p>
        </w:tc>
        <w:tc>
          <w:tcPr>
            <w:tcW w:w="27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42"/>
        </w:trPr>
        <w:tc>
          <w:tcPr>
            <w:tcW w:w="8480" w:type="dxa"/>
            <w:vAlign w:val="bottom"/>
          </w:tcPr>
          <w:p>
            <w:pPr>
              <w:ind w:left="20"/>
              <w:spacing w:after="0"/>
              <w:rPr>
                <w:sz w:val="20"/>
                <w:szCs w:val="20"/>
                <w:color w:val="auto"/>
              </w:rPr>
            </w:pPr>
            <w:r>
              <w:rPr>
                <w:rFonts w:ascii="Arial" w:cs="Arial" w:eastAsia="Arial" w:hAnsi="Arial"/>
                <w:sz w:val="16"/>
                <w:szCs w:val="16"/>
                <w:color w:val="auto"/>
              </w:rPr>
              <w:t>Role of the Board and Key Areas of Board Oversight</w:t>
            </w:r>
          </w:p>
        </w:tc>
        <w:tc>
          <w:tcPr>
            <w:tcW w:w="27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Risk Oversight</w:t>
            </w:r>
          </w:p>
        </w:tc>
        <w:tc>
          <w:tcPr>
            <w:tcW w:w="27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Board Leadership Structure</w:t>
            </w:r>
          </w:p>
        </w:tc>
        <w:tc>
          <w:tcPr>
            <w:tcW w:w="27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Committees of the Board</w:t>
            </w:r>
          </w:p>
        </w:tc>
        <w:tc>
          <w:tcPr>
            <w:tcW w:w="27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Board Meetings and Executive Sessions</w:t>
            </w:r>
          </w:p>
        </w:tc>
        <w:tc>
          <w:tcPr>
            <w:tcW w:w="27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Director Independence</w:t>
            </w:r>
          </w:p>
        </w:tc>
        <w:tc>
          <w:tcPr>
            <w:tcW w:w="27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Our Culture</w:t>
            </w:r>
          </w:p>
        </w:tc>
        <w:tc>
          <w:tcPr>
            <w:tcW w:w="27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Director Orientation and Continuing Education</w:t>
            </w:r>
          </w:p>
        </w:tc>
        <w:tc>
          <w:tcPr>
            <w:tcW w:w="27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Board Memberships and External Relationships</w:t>
            </w:r>
          </w:p>
        </w:tc>
        <w:tc>
          <w:tcPr>
            <w:tcW w:w="27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Annual Self-Assessment Process</w:t>
            </w:r>
          </w:p>
        </w:tc>
        <w:tc>
          <w:tcPr>
            <w:tcW w:w="27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Succession Planning</w:t>
            </w:r>
          </w:p>
        </w:tc>
        <w:tc>
          <w:tcPr>
            <w:tcW w:w="27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Communications with the Board of Directors</w:t>
            </w:r>
          </w:p>
        </w:tc>
        <w:tc>
          <w:tcPr>
            <w:tcW w:w="27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51"/>
        </w:trPr>
        <w:tc>
          <w:tcPr>
            <w:tcW w:w="8480" w:type="dxa"/>
            <w:vAlign w:val="bottom"/>
          </w:tcPr>
          <w:p>
            <w:pPr>
              <w:ind w:left="20"/>
              <w:spacing w:after="0"/>
              <w:rPr>
                <w:sz w:val="20"/>
                <w:szCs w:val="20"/>
                <w:color w:val="auto"/>
              </w:rPr>
            </w:pPr>
            <w:r>
              <w:rPr>
                <w:rFonts w:ascii="Arial" w:cs="Arial" w:eastAsia="Arial" w:hAnsi="Arial"/>
                <w:sz w:val="16"/>
                <w:szCs w:val="16"/>
                <w:b w:val="1"/>
                <w:bCs w:val="1"/>
                <w:color w:val="29378D"/>
              </w:rPr>
              <w:t>Compensation of Directors</w:t>
            </w:r>
          </w:p>
        </w:tc>
        <w:tc>
          <w:tcPr>
            <w:tcW w:w="2760" w:type="dxa"/>
            <w:vAlign w:val="bottom"/>
          </w:tcPr>
          <w:p>
            <w:pPr>
              <w:jc w:val="right"/>
              <w:spacing w:after="0"/>
              <w:rPr>
                <w:sz w:val="20"/>
                <w:szCs w:val="20"/>
                <w:color w:val="auto"/>
              </w:rPr>
            </w:pPr>
            <w:r>
              <w:rPr>
                <w:rFonts w:ascii="Arial" w:cs="Arial" w:eastAsia="Arial" w:hAnsi="Arial"/>
                <w:sz w:val="16"/>
                <w:szCs w:val="16"/>
                <w:b w:val="1"/>
                <w:bCs w:val="1"/>
                <w:color w:val="29378D"/>
              </w:rPr>
              <w:t>45</w:t>
            </w:r>
          </w:p>
        </w:tc>
      </w:tr>
      <w:tr>
        <w:trPr>
          <w:trHeight w:val="21"/>
        </w:trPr>
        <w:tc>
          <w:tcPr>
            <w:tcW w:w="8480" w:type="dxa"/>
            <w:vAlign w:val="bottom"/>
            <w:tcBorders>
              <w:bottom w:val="single" w:sz="8" w:color="29378D"/>
            </w:tcBorders>
          </w:tcPr>
          <w:p>
            <w:pPr>
              <w:spacing w:after="0" w:line="20" w:lineRule="exact"/>
              <w:rPr>
                <w:sz w:val="1"/>
                <w:szCs w:val="1"/>
                <w:color w:val="auto"/>
              </w:rPr>
            </w:pPr>
          </w:p>
        </w:tc>
        <w:tc>
          <w:tcPr>
            <w:tcW w:w="2760" w:type="dxa"/>
            <w:vAlign w:val="bottom"/>
            <w:tcBorders>
              <w:bottom w:val="single" w:sz="8" w:color="29378D"/>
            </w:tcBorders>
          </w:tcPr>
          <w:p>
            <w:pPr>
              <w:spacing w:after="0" w:line="20" w:lineRule="exact"/>
              <w:rPr>
                <w:sz w:val="1"/>
                <w:szCs w:val="1"/>
                <w:color w:val="auto"/>
              </w:rPr>
            </w:pPr>
          </w:p>
        </w:tc>
      </w:tr>
      <w:tr>
        <w:trPr>
          <w:trHeight w:val="208"/>
        </w:trPr>
        <w:tc>
          <w:tcPr>
            <w:tcW w:w="8480" w:type="dxa"/>
            <w:vAlign w:val="bottom"/>
          </w:tcPr>
          <w:p>
            <w:pPr>
              <w:ind w:left="20"/>
              <w:spacing w:after="0"/>
              <w:rPr>
                <w:sz w:val="20"/>
                <w:szCs w:val="20"/>
                <w:color w:val="auto"/>
              </w:rPr>
            </w:pPr>
            <w:r>
              <w:rPr>
                <w:rFonts w:ascii="Arial" w:cs="Arial" w:eastAsia="Arial" w:hAnsi="Arial"/>
                <w:sz w:val="16"/>
                <w:szCs w:val="16"/>
                <w:color w:val="auto"/>
              </w:rPr>
              <w:t>2023 Director Compensation</w:t>
            </w:r>
          </w:p>
        </w:tc>
        <w:tc>
          <w:tcPr>
            <w:tcW w:w="27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42"/>
        </w:trPr>
        <w:tc>
          <w:tcPr>
            <w:tcW w:w="8480" w:type="dxa"/>
            <w:vAlign w:val="bottom"/>
          </w:tcPr>
          <w:p>
            <w:pPr>
              <w:ind w:left="20"/>
              <w:spacing w:after="0"/>
              <w:rPr>
                <w:sz w:val="20"/>
                <w:szCs w:val="20"/>
                <w:color w:val="auto"/>
              </w:rPr>
            </w:pPr>
            <w:r>
              <w:rPr>
                <w:rFonts w:ascii="Arial" w:cs="Arial" w:eastAsia="Arial" w:hAnsi="Arial"/>
                <w:sz w:val="16"/>
                <w:szCs w:val="16"/>
                <w:color w:val="auto"/>
              </w:rPr>
              <w:t>Deferred Stock Units</w:t>
            </w:r>
          </w:p>
        </w:tc>
        <w:tc>
          <w:tcPr>
            <w:tcW w:w="27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150"/>
        </w:trPr>
        <w:tc>
          <w:tcPr>
            <w:tcW w:w="8480" w:type="dxa"/>
            <w:vAlign w:val="bottom"/>
          </w:tcPr>
          <w:p>
            <w:pPr>
              <w:spacing w:after="0"/>
              <w:rPr>
                <w:sz w:val="13"/>
                <w:szCs w:val="13"/>
                <w:color w:val="auto"/>
              </w:rPr>
            </w:pPr>
          </w:p>
        </w:tc>
        <w:tc>
          <w:tcPr>
            <w:tcW w:w="2760" w:type="dxa"/>
            <w:vAlign w:val="bottom"/>
          </w:tcPr>
          <w:p>
            <w:pPr>
              <w:spacing w:after="0"/>
              <w:rPr>
                <w:sz w:val="13"/>
                <w:szCs w:val="13"/>
                <w:color w:val="auto"/>
              </w:rPr>
            </w:pPr>
          </w:p>
        </w:tc>
      </w:tr>
      <w:tr>
        <w:trPr>
          <w:trHeight w:val="236"/>
        </w:trPr>
        <w:tc>
          <w:tcPr>
            <w:tcW w:w="8480" w:type="dxa"/>
            <w:vAlign w:val="bottom"/>
            <w:tcBorders>
              <w:bottom w:val="single" w:sz="8" w:color="29378D"/>
            </w:tcBorders>
            <w:shd w:val="clear" w:color="auto" w:fill="29378D"/>
          </w:tcPr>
          <w:p>
            <w:pPr>
              <w:ind w:left="420"/>
              <w:spacing w:after="0"/>
              <w:rPr>
                <w:sz w:val="20"/>
                <w:szCs w:val="20"/>
                <w:color w:val="auto"/>
              </w:rPr>
            </w:pPr>
            <w:r>
              <w:rPr>
                <w:rFonts w:ascii="Arial" w:cs="Arial" w:eastAsia="Arial" w:hAnsi="Arial"/>
                <w:sz w:val="16"/>
                <w:szCs w:val="16"/>
                <w:b w:val="1"/>
                <w:bCs w:val="1"/>
                <w:color w:val="FFFFFF"/>
              </w:rPr>
              <w:t>Proposal 2: Advisory Vote on Compensation of Named Executive Officers</w:t>
            </w:r>
          </w:p>
        </w:tc>
        <w:tc>
          <w:tcPr>
            <w:tcW w:w="2760" w:type="dxa"/>
            <w:vAlign w:val="bottom"/>
            <w:tcBorders>
              <w:bottom w:val="single" w:sz="8" w:color="29378D"/>
            </w:tcBorders>
            <w:shd w:val="clear" w:color="auto" w:fill="29378D"/>
          </w:tcPr>
          <w:p>
            <w:pPr>
              <w:jc w:val="right"/>
              <w:spacing w:after="0"/>
              <w:rPr>
                <w:sz w:val="20"/>
                <w:szCs w:val="20"/>
                <w:color w:val="auto"/>
              </w:rPr>
            </w:pPr>
            <w:r>
              <w:rPr>
                <w:rFonts w:ascii="Arial" w:cs="Arial" w:eastAsia="Arial" w:hAnsi="Arial"/>
                <w:sz w:val="16"/>
                <w:szCs w:val="16"/>
                <w:b w:val="1"/>
                <w:bCs w:val="1"/>
                <w:color w:val="FFFFFF"/>
              </w:rPr>
              <w:t>49</w:t>
            </w:r>
          </w:p>
        </w:tc>
      </w:tr>
      <w:tr>
        <w:trPr>
          <w:trHeight w:val="330"/>
        </w:trPr>
        <w:tc>
          <w:tcPr>
            <w:tcW w:w="8480" w:type="dxa"/>
            <w:vAlign w:val="bottom"/>
          </w:tcPr>
          <w:p>
            <w:pPr>
              <w:ind w:left="20"/>
              <w:spacing w:after="0"/>
              <w:rPr>
                <w:sz w:val="20"/>
                <w:szCs w:val="20"/>
                <w:color w:val="auto"/>
              </w:rPr>
            </w:pPr>
            <w:r>
              <w:rPr>
                <w:rFonts w:ascii="Arial" w:cs="Arial" w:eastAsia="Arial" w:hAnsi="Arial"/>
                <w:sz w:val="16"/>
                <w:szCs w:val="16"/>
                <w:b w:val="1"/>
                <w:bCs w:val="1"/>
                <w:color w:val="29378D"/>
              </w:rPr>
              <w:t>Executive Compensation</w:t>
            </w:r>
          </w:p>
        </w:tc>
        <w:tc>
          <w:tcPr>
            <w:tcW w:w="2760" w:type="dxa"/>
            <w:vAlign w:val="bottom"/>
          </w:tcPr>
          <w:p>
            <w:pPr>
              <w:jc w:val="right"/>
              <w:spacing w:after="0"/>
              <w:rPr>
                <w:sz w:val="20"/>
                <w:szCs w:val="20"/>
                <w:color w:val="auto"/>
              </w:rPr>
            </w:pPr>
            <w:r>
              <w:rPr>
                <w:rFonts w:ascii="Arial" w:cs="Arial" w:eastAsia="Arial" w:hAnsi="Arial"/>
                <w:sz w:val="16"/>
                <w:szCs w:val="16"/>
                <w:b w:val="1"/>
                <w:bCs w:val="1"/>
                <w:color w:val="29378D"/>
              </w:rPr>
              <w:t>50</w:t>
            </w:r>
          </w:p>
        </w:tc>
      </w:tr>
      <w:tr>
        <w:trPr>
          <w:trHeight w:val="21"/>
        </w:trPr>
        <w:tc>
          <w:tcPr>
            <w:tcW w:w="8480" w:type="dxa"/>
            <w:vAlign w:val="bottom"/>
            <w:tcBorders>
              <w:bottom w:val="single" w:sz="8" w:color="29378D"/>
            </w:tcBorders>
          </w:tcPr>
          <w:p>
            <w:pPr>
              <w:spacing w:after="0" w:line="20" w:lineRule="exact"/>
              <w:rPr>
                <w:sz w:val="1"/>
                <w:szCs w:val="1"/>
                <w:color w:val="auto"/>
              </w:rPr>
            </w:pPr>
          </w:p>
        </w:tc>
        <w:tc>
          <w:tcPr>
            <w:tcW w:w="2760" w:type="dxa"/>
            <w:vAlign w:val="bottom"/>
            <w:tcBorders>
              <w:bottom w:val="single" w:sz="8" w:color="29378D"/>
            </w:tcBorders>
          </w:tcPr>
          <w:p>
            <w:pPr>
              <w:spacing w:after="0" w:line="20" w:lineRule="exact"/>
              <w:rPr>
                <w:sz w:val="1"/>
                <w:szCs w:val="1"/>
                <w:color w:val="auto"/>
              </w:rPr>
            </w:pPr>
          </w:p>
        </w:tc>
      </w:tr>
      <w:tr>
        <w:trPr>
          <w:trHeight w:val="208"/>
        </w:trPr>
        <w:tc>
          <w:tcPr>
            <w:tcW w:w="8480" w:type="dxa"/>
            <w:vAlign w:val="bottom"/>
          </w:tcPr>
          <w:p>
            <w:pPr>
              <w:ind w:left="20"/>
              <w:spacing w:after="0"/>
              <w:rPr>
                <w:sz w:val="20"/>
                <w:szCs w:val="20"/>
                <w:color w:val="auto"/>
              </w:rPr>
            </w:pPr>
            <w:r>
              <w:rPr>
                <w:rFonts w:ascii="Arial" w:cs="Arial" w:eastAsia="Arial" w:hAnsi="Arial"/>
                <w:sz w:val="16"/>
                <w:szCs w:val="16"/>
                <w:color w:val="auto"/>
              </w:rPr>
              <w:t>Compensation Discussion &amp; Analysis</w:t>
            </w:r>
          </w:p>
        </w:tc>
        <w:tc>
          <w:tcPr>
            <w:tcW w:w="27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2"/>
        </w:trPr>
        <w:tc>
          <w:tcPr>
            <w:tcW w:w="8480" w:type="dxa"/>
            <w:vAlign w:val="bottom"/>
          </w:tcPr>
          <w:p>
            <w:pPr>
              <w:ind w:left="240"/>
              <w:spacing w:after="0"/>
              <w:rPr>
                <w:sz w:val="20"/>
                <w:szCs w:val="20"/>
                <w:color w:val="auto"/>
              </w:rPr>
            </w:pPr>
            <w:r>
              <w:rPr>
                <w:rFonts w:ascii="Arial" w:cs="Arial" w:eastAsia="Arial" w:hAnsi="Arial"/>
                <w:sz w:val="16"/>
                <w:szCs w:val="16"/>
                <w:color w:val="auto"/>
              </w:rPr>
              <w:t>Compensation Philosophy and Objectives</w:t>
            </w:r>
          </w:p>
        </w:tc>
        <w:tc>
          <w:tcPr>
            <w:tcW w:w="27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3"/>
        </w:trPr>
        <w:tc>
          <w:tcPr>
            <w:tcW w:w="8480" w:type="dxa"/>
            <w:vAlign w:val="bottom"/>
          </w:tcPr>
          <w:p>
            <w:pPr>
              <w:ind w:left="240"/>
              <w:spacing w:after="0"/>
              <w:rPr>
                <w:sz w:val="20"/>
                <w:szCs w:val="20"/>
                <w:color w:val="auto"/>
              </w:rPr>
            </w:pPr>
            <w:r>
              <w:rPr>
                <w:rFonts w:ascii="Arial" w:cs="Arial" w:eastAsia="Arial" w:hAnsi="Arial"/>
                <w:sz w:val="16"/>
                <w:szCs w:val="16"/>
                <w:color w:val="auto"/>
              </w:rPr>
              <w:t>2023 Compensation Elements</w:t>
            </w:r>
          </w:p>
        </w:tc>
        <w:tc>
          <w:tcPr>
            <w:tcW w:w="27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43"/>
        </w:trPr>
        <w:tc>
          <w:tcPr>
            <w:tcW w:w="8480" w:type="dxa"/>
            <w:vAlign w:val="bottom"/>
          </w:tcPr>
          <w:p>
            <w:pPr>
              <w:ind w:left="240"/>
              <w:spacing w:after="0"/>
              <w:rPr>
                <w:sz w:val="20"/>
                <w:szCs w:val="20"/>
                <w:color w:val="auto"/>
              </w:rPr>
            </w:pPr>
            <w:r>
              <w:rPr>
                <w:rFonts w:ascii="Arial" w:cs="Arial" w:eastAsia="Arial" w:hAnsi="Arial"/>
                <w:sz w:val="16"/>
                <w:szCs w:val="16"/>
                <w:color w:val="auto"/>
              </w:rPr>
              <w:t>2023 Performance Highlights</w:t>
            </w:r>
          </w:p>
        </w:tc>
        <w:tc>
          <w:tcPr>
            <w:tcW w:w="27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43"/>
        </w:trPr>
        <w:tc>
          <w:tcPr>
            <w:tcW w:w="8480" w:type="dxa"/>
            <w:vAlign w:val="bottom"/>
          </w:tcPr>
          <w:p>
            <w:pPr>
              <w:ind w:left="240"/>
              <w:spacing w:after="0"/>
              <w:rPr>
                <w:sz w:val="20"/>
                <w:szCs w:val="20"/>
                <w:color w:val="auto"/>
              </w:rPr>
            </w:pPr>
            <w:r>
              <w:rPr>
                <w:rFonts w:ascii="Arial" w:cs="Arial" w:eastAsia="Arial" w:hAnsi="Arial"/>
                <w:sz w:val="16"/>
                <w:szCs w:val="16"/>
                <w:color w:val="auto"/>
              </w:rPr>
              <w:t>Consideration of Say-On-Pay Vote</w:t>
            </w:r>
          </w:p>
        </w:tc>
        <w:tc>
          <w:tcPr>
            <w:tcW w:w="276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43"/>
        </w:trPr>
        <w:tc>
          <w:tcPr>
            <w:tcW w:w="8480" w:type="dxa"/>
            <w:vAlign w:val="bottom"/>
          </w:tcPr>
          <w:p>
            <w:pPr>
              <w:ind w:left="240"/>
              <w:spacing w:after="0"/>
              <w:rPr>
                <w:sz w:val="20"/>
                <w:szCs w:val="20"/>
                <w:color w:val="auto"/>
              </w:rPr>
            </w:pPr>
            <w:r>
              <w:rPr>
                <w:rFonts w:ascii="Arial" w:cs="Arial" w:eastAsia="Arial" w:hAnsi="Arial"/>
                <w:sz w:val="16"/>
                <w:szCs w:val="16"/>
                <w:color w:val="auto"/>
              </w:rPr>
              <w:t>Our Compensation Best Practices</w:t>
            </w:r>
          </w:p>
        </w:tc>
        <w:tc>
          <w:tcPr>
            <w:tcW w:w="27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43"/>
        </w:trPr>
        <w:tc>
          <w:tcPr>
            <w:tcW w:w="8480" w:type="dxa"/>
            <w:vAlign w:val="bottom"/>
          </w:tcPr>
          <w:p>
            <w:pPr>
              <w:ind w:left="240"/>
              <w:spacing w:after="0"/>
              <w:rPr>
                <w:sz w:val="20"/>
                <w:szCs w:val="20"/>
                <w:color w:val="auto"/>
              </w:rPr>
            </w:pPr>
            <w:r>
              <w:rPr>
                <w:rFonts w:ascii="Arial" w:cs="Arial" w:eastAsia="Arial" w:hAnsi="Arial"/>
                <w:sz w:val="16"/>
                <w:szCs w:val="16"/>
                <w:color w:val="auto"/>
              </w:rPr>
              <w:t>How We Make Executive Compensation Decisions</w:t>
            </w:r>
          </w:p>
        </w:tc>
        <w:tc>
          <w:tcPr>
            <w:tcW w:w="27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43"/>
        </w:trPr>
        <w:tc>
          <w:tcPr>
            <w:tcW w:w="8480" w:type="dxa"/>
            <w:vAlign w:val="bottom"/>
          </w:tcPr>
          <w:p>
            <w:pPr>
              <w:ind w:left="240"/>
              <w:spacing w:after="0"/>
              <w:rPr>
                <w:sz w:val="20"/>
                <w:szCs w:val="20"/>
                <w:color w:val="auto"/>
              </w:rPr>
            </w:pPr>
            <w:r>
              <w:rPr>
                <w:rFonts w:ascii="Arial" w:cs="Arial" w:eastAsia="Arial" w:hAnsi="Arial"/>
                <w:sz w:val="16"/>
                <w:szCs w:val="16"/>
                <w:color w:val="auto"/>
              </w:rPr>
              <w:t>Key Components of Our Executive Compensation Programs</w:t>
            </w:r>
          </w:p>
        </w:tc>
        <w:tc>
          <w:tcPr>
            <w:tcW w:w="27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43"/>
        </w:trPr>
        <w:tc>
          <w:tcPr>
            <w:tcW w:w="8480" w:type="dxa"/>
            <w:vAlign w:val="bottom"/>
          </w:tcPr>
          <w:p>
            <w:pPr>
              <w:ind w:left="240"/>
              <w:spacing w:after="0"/>
              <w:rPr>
                <w:sz w:val="20"/>
                <w:szCs w:val="20"/>
                <w:color w:val="auto"/>
              </w:rPr>
            </w:pPr>
            <w:r>
              <w:rPr>
                <w:rFonts w:ascii="Arial" w:cs="Arial" w:eastAsia="Arial" w:hAnsi="Arial"/>
                <w:sz w:val="16"/>
                <w:szCs w:val="16"/>
                <w:color w:val="auto"/>
              </w:rPr>
              <w:t>Other NEO Benefits</w:t>
            </w:r>
          </w:p>
        </w:tc>
        <w:tc>
          <w:tcPr>
            <w:tcW w:w="27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43"/>
        </w:trPr>
        <w:tc>
          <w:tcPr>
            <w:tcW w:w="8480" w:type="dxa"/>
            <w:vAlign w:val="bottom"/>
          </w:tcPr>
          <w:p>
            <w:pPr>
              <w:ind w:left="240"/>
              <w:spacing w:after="0"/>
              <w:rPr>
                <w:sz w:val="20"/>
                <w:szCs w:val="20"/>
                <w:color w:val="auto"/>
              </w:rPr>
            </w:pPr>
            <w:r>
              <w:rPr>
                <w:rFonts w:ascii="Arial" w:cs="Arial" w:eastAsia="Arial" w:hAnsi="Arial"/>
                <w:sz w:val="16"/>
                <w:szCs w:val="16"/>
                <w:color w:val="auto"/>
              </w:rPr>
              <w:t>Policies and Procedures</w:t>
            </w:r>
          </w:p>
        </w:tc>
        <w:tc>
          <w:tcPr>
            <w:tcW w:w="27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43"/>
        </w:trPr>
        <w:tc>
          <w:tcPr>
            <w:tcW w:w="8480" w:type="dxa"/>
            <w:vAlign w:val="bottom"/>
          </w:tcPr>
          <w:p>
            <w:pPr>
              <w:ind w:left="20"/>
              <w:spacing w:after="0"/>
              <w:rPr>
                <w:sz w:val="20"/>
                <w:szCs w:val="20"/>
                <w:color w:val="auto"/>
              </w:rPr>
            </w:pPr>
            <w:r>
              <w:rPr>
                <w:rFonts w:ascii="Arial" w:cs="Arial" w:eastAsia="Arial" w:hAnsi="Arial"/>
                <w:sz w:val="16"/>
                <w:szCs w:val="16"/>
                <w:color w:val="auto"/>
              </w:rPr>
              <w:t>Compensation and Human Capital Committee Report</w:t>
            </w:r>
          </w:p>
        </w:tc>
        <w:tc>
          <w:tcPr>
            <w:tcW w:w="2760" w:type="dxa"/>
            <w:vAlign w:val="bottom"/>
          </w:tcPr>
          <w:p>
            <w:pPr>
              <w:jc w:val="right"/>
              <w:spacing w:after="0"/>
              <w:rPr>
                <w:sz w:val="20"/>
                <w:szCs w:val="20"/>
                <w:color w:val="auto"/>
              </w:rPr>
            </w:pPr>
            <w:r>
              <w:rPr>
                <w:rFonts w:ascii="Arial" w:cs="Arial" w:eastAsia="Arial" w:hAnsi="Arial"/>
                <w:sz w:val="16"/>
                <w:szCs w:val="16"/>
                <w:color w:val="auto"/>
              </w:rPr>
              <w:t>70</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280"/>
        <w:spacing w:after="0"/>
        <w:tabs>
          <w:tab w:leader="none" w:pos="111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gridSpan w:val="2"/>
          </w:tcPr>
          <w:p>
            <w:pPr>
              <w:ind w:left="20"/>
              <w:spacing w:after="0"/>
              <w:rPr>
                <w:sz w:val="20"/>
                <w:szCs w:val="20"/>
                <w:color w:val="auto"/>
              </w:rPr>
            </w:pPr>
            <w:r>
              <w:rPr>
                <w:rFonts w:ascii="Arial" w:cs="Arial" w:eastAsia="Arial" w:hAnsi="Arial"/>
                <w:sz w:val="16"/>
                <w:szCs w:val="16"/>
                <w:b w:val="1"/>
                <w:bCs w:val="1"/>
                <w:color w:val="29378D"/>
              </w:rPr>
              <w:t>Compensation Tables</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29378D"/>
              </w:rPr>
              <w:t>71</w:t>
            </w:r>
          </w:p>
        </w:tc>
      </w:tr>
      <w:tr>
        <w:trPr>
          <w:trHeight w:val="21"/>
        </w:trPr>
        <w:tc>
          <w:tcPr>
            <w:tcW w:w="8180" w:type="dxa"/>
            <w:vAlign w:val="bottom"/>
            <w:tcBorders>
              <w:bottom w:val="single" w:sz="8" w:color="29378D"/>
            </w:tcBorders>
            <w:gridSpan w:val="2"/>
          </w:tcPr>
          <w:p>
            <w:pPr>
              <w:spacing w:after="0" w:line="20" w:lineRule="exact"/>
              <w:rPr>
                <w:sz w:val="1"/>
                <w:szCs w:val="1"/>
                <w:color w:val="auto"/>
              </w:rPr>
            </w:pPr>
          </w:p>
        </w:tc>
        <w:tc>
          <w:tcPr>
            <w:tcW w:w="1540" w:type="dxa"/>
            <w:vAlign w:val="bottom"/>
            <w:tcBorders>
              <w:bottom w:val="single" w:sz="8" w:color="29378D"/>
            </w:tcBorders>
          </w:tcPr>
          <w:p>
            <w:pPr>
              <w:spacing w:after="0" w:line="20" w:lineRule="exact"/>
              <w:rPr>
                <w:sz w:val="1"/>
                <w:szCs w:val="1"/>
                <w:color w:val="auto"/>
              </w:rPr>
            </w:pPr>
          </w:p>
        </w:tc>
      </w:tr>
      <w:tr>
        <w:trPr>
          <w:trHeight w:val="208"/>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Summary Compensation Table</w:t>
            </w:r>
          </w:p>
        </w:tc>
        <w:tc>
          <w:tcPr>
            <w:tcW w:w="15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42"/>
        </w:trPr>
        <w:tc>
          <w:tcPr>
            <w:tcW w:w="400" w:type="dxa"/>
            <w:vAlign w:val="bottom"/>
          </w:tcPr>
          <w:p>
            <w:pPr>
              <w:ind w:left="20"/>
              <w:spacing w:after="0"/>
              <w:rPr>
                <w:sz w:val="20"/>
                <w:szCs w:val="20"/>
                <w:color w:val="auto"/>
              </w:rPr>
            </w:pPr>
            <w:r>
              <w:rPr>
                <w:rFonts w:ascii="Arial" w:cs="Arial" w:eastAsia="Arial" w:hAnsi="Arial"/>
                <w:sz w:val="16"/>
                <w:szCs w:val="16"/>
                <w:color w:val="auto"/>
              </w:rPr>
              <w:t>2023</w:t>
            </w:r>
          </w:p>
        </w:tc>
        <w:tc>
          <w:tcPr>
            <w:tcW w:w="7780" w:type="dxa"/>
            <w:vAlign w:val="bottom"/>
          </w:tcPr>
          <w:p>
            <w:pPr>
              <w:ind w:left="40"/>
              <w:spacing w:after="0"/>
              <w:rPr>
                <w:sz w:val="20"/>
                <w:szCs w:val="20"/>
                <w:color w:val="auto"/>
              </w:rPr>
            </w:pPr>
            <w:r>
              <w:rPr>
                <w:rFonts w:ascii="Arial" w:cs="Arial" w:eastAsia="Arial" w:hAnsi="Arial"/>
                <w:sz w:val="16"/>
                <w:szCs w:val="16"/>
                <w:color w:val="auto"/>
              </w:rPr>
              <w:t>Grants of Plan-Based Awards</w:t>
            </w:r>
          </w:p>
        </w:tc>
        <w:tc>
          <w:tcPr>
            <w:tcW w:w="154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Outstanding Equity Awards at 2023 Fiscal Year End</w:t>
            </w:r>
          </w:p>
        </w:tc>
        <w:tc>
          <w:tcPr>
            <w:tcW w:w="15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43"/>
        </w:trPr>
        <w:tc>
          <w:tcPr>
            <w:tcW w:w="400" w:type="dxa"/>
            <w:vAlign w:val="bottom"/>
          </w:tcPr>
          <w:p>
            <w:pPr>
              <w:ind w:left="20"/>
              <w:spacing w:after="0"/>
              <w:rPr>
                <w:sz w:val="20"/>
                <w:szCs w:val="20"/>
                <w:color w:val="auto"/>
              </w:rPr>
            </w:pPr>
            <w:r>
              <w:rPr>
                <w:rFonts w:ascii="Arial" w:cs="Arial" w:eastAsia="Arial" w:hAnsi="Arial"/>
                <w:sz w:val="16"/>
                <w:szCs w:val="16"/>
                <w:color w:val="auto"/>
              </w:rPr>
              <w:t>2023</w:t>
            </w:r>
          </w:p>
        </w:tc>
        <w:tc>
          <w:tcPr>
            <w:tcW w:w="7780" w:type="dxa"/>
            <w:vAlign w:val="bottom"/>
          </w:tcPr>
          <w:p>
            <w:pPr>
              <w:ind w:left="40"/>
              <w:spacing w:after="0"/>
              <w:rPr>
                <w:sz w:val="20"/>
                <w:szCs w:val="20"/>
                <w:color w:val="auto"/>
              </w:rPr>
            </w:pPr>
            <w:r>
              <w:rPr>
                <w:rFonts w:ascii="Arial" w:cs="Arial" w:eastAsia="Arial" w:hAnsi="Arial"/>
                <w:sz w:val="16"/>
                <w:szCs w:val="16"/>
                <w:color w:val="auto"/>
              </w:rPr>
              <w:t>Stock Vested</w:t>
            </w:r>
          </w:p>
        </w:tc>
        <w:tc>
          <w:tcPr>
            <w:tcW w:w="15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43"/>
        </w:trPr>
        <w:tc>
          <w:tcPr>
            <w:tcW w:w="400" w:type="dxa"/>
            <w:vAlign w:val="bottom"/>
          </w:tcPr>
          <w:p>
            <w:pPr>
              <w:ind w:left="20"/>
              <w:spacing w:after="0"/>
              <w:rPr>
                <w:sz w:val="20"/>
                <w:szCs w:val="20"/>
                <w:color w:val="auto"/>
              </w:rPr>
            </w:pPr>
            <w:r>
              <w:rPr>
                <w:rFonts w:ascii="Arial" w:cs="Arial" w:eastAsia="Arial" w:hAnsi="Arial"/>
                <w:sz w:val="16"/>
                <w:szCs w:val="16"/>
                <w:color w:val="auto"/>
              </w:rPr>
              <w:t>2023</w:t>
            </w:r>
          </w:p>
        </w:tc>
        <w:tc>
          <w:tcPr>
            <w:tcW w:w="7780" w:type="dxa"/>
            <w:vAlign w:val="bottom"/>
          </w:tcPr>
          <w:p>
            <w:pPr>
              <w:ind w:left="40"/>
              <w:spacing w:after="0"/>
              <w:rPr>
                <w:sz w:val="20"/>
                <w:szCs w:val="20"/>
                <w:color w:val="auto"/>
              </w:rPr>
            </w:pPr>
            <w:r>
              <w:rPr>
                <w:rFonts w:ascii="Arial" w:cs="Arial" w:eastAsia="Arial" w:hAnsi="Arial"/>
                <w:sz w:val="16"/>
                <w:szCs w:val="16"/>
                <w:color w:val="auto"/>
              </w:rPr>
              <w:t>Pension Benefits</w:t>
            </w:r>
          </w:p>
        </w:tc>
        <w:tc>
          <w:tcPr>
            <w:tcW w:w="15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43"/>
        </w:trPr>
        <w:tc>
          <w:tcPr>
            <w:tcW w:w="400" w:type="dxa"/>
            <w:vAlign w:val="bottom"/>
          </w:tcPr>
          <w:p>
            <w:pPr>
              <w:ind w:left="20"/>
              <w:spacing w:after="0"/>
              <w:rPr>
                <w:sz w:val="20"/>
                <w:szCs w:val="20"/>
                <w:color w:val="auto"/>
              </w:rPr>
            </w:pPr>
            <w:r>
              <w:rPr>
                <w:rFonts w:ascii="Arial" w:cs="Arial" w:eastAsia="Arial" w:hAnsi="Arial"/>
                <w:sz w:val="16"/>
                <w:szCs w:val="16"/>
                <w:color w:val="auto"/>
              </w:rPr>
              <w:t>2023</w:t>
            </w:r>
          </w:p>
        </w:tc>
        <w:tc>
          <w:tcPr>
            <w:tcW w:w="7780" w:type="dxa"/>
            <w:vAlign w:val="bottom"/>
          </w:tcPr>
          <w:p>
            <w:pPr>
              <w:ind w:left="40"/>
              <w:spacing w:after="0"/>
              <w:rPr>
                <w:sz w:val="20"/>
                <w:szCs w:val="20"/>
                <w:color w:val="auto"/>
              </w:rPr>
            </w:pPr>
            <w:r>
              <w:rPr>
                <w:rFonts w:ascii="Arial" w:cs="Arial" w:eastAsia="Arial" w:hAnsi="Arial"/>
                <w:sz w:val="16"/>
                <w:szCs w:val="16"/>
                <w:color w:val="auto"/>
              </w:rPr>
              <w:t>Nonqualified Deferred Compensation</w:t>
            </w:r>
          </w:p>
        </w:tc>
        <w:tc>
          <w:tcPr>
            <w:tcW w:w="154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Termination Payments and Benefits</w:t>
            </w:r>
          </w:p>
        </w:tc>
        <w:tc>
          <w:tcPr>
            <w:tcW w:w="154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51"/>
        </w:trPr>
        <w:tc>
          <w:tcPr>
            <w:tcW w:w="8180" w:type="dxa"/>
            <w:vAlign w:val="bottom"/>
            <w:gridSpan w:val="2"/>
          </w:tcPr>
          <w:p>
            <w:pPr>
              <w:ind w:left="20"/>
              <w:spacing w:after="0"/>
              <w:rPr>
                <w:sz w:val="20"/>
                <w:szCs w:val="20"/>
                <w:color w:val="auto"/>
              </w:rPr>
            </w:pPr>
            <w:r>
              <w:rPr>
                <w:rFonts w:ascii="Arial" w:cs="Arial" w:eastAsia="Arial" w:hAnsi="Arial"/>
                <w:sz w:val="16"/>
                <w:szCs w:val="16"/>
                <w:b w:val="1"/>
                <w:bCs w:val="1"/>
                <w:color w:val="29378D"/>
              </w:rPr>
              <w:t>2023 CEO Pay Ratio</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29378D"/>
              </w:rPr>
              <w:t>84</w:t>
            </w:r>
          </w:p>
        </w:tc>
      </w:tr>
      <w:tr>
        <w:trPr>
          <w:trHeight w:val="21"/>
        </w:trPr>
        <w:tc>
          <w:tcPr>
            <w:tcW w:w="8180" w:type="dxa"/>
            <w:vAlign w:val="bottom"/>
            <w:tcBorders>
              <w:bottom w:val="single" w:sz="8" w:color="29378D"/>
            </w:tcBorders>
            <w:gridSpan w:val="2"/>
          </w:tcPr>
          <w:p>
            <w:pPr>
              <w:spacing w:after="0" w:line="20" w:lineRule="exact"/>
              <w:rPr>
                <w:sz w:val="1"/>
                <w:szCs w:val="1"/>
                <w:color w:val="auto"/>
              </w:rPr>
            </w:pPr>
          </w:p>
        </w:tc>
        <w:tc>
          <w:tcPr>
            <w:tcW w:w="1540" w:type="dxa"/>
            <w:vAlign w:val="bottom"/>
            <w:tcBorders>
              <w:bottom w:val="single" w:sz="8" w:color="29378D"/>
            </w:tcBorders>
          </w:tcPr>
          <w:p>
            <w:pPr>
              <w:spacing w:after="0" w:line="20" w:lineRule="exact"/>
              <w:rPr>
                <w:sz w:val="1"/>
                <w:szCs w:val="1"/>
                <w:color w:val="auto"/>
              </w:rPr>
            </w:pPr>
          </w:p>
        </w:tc>
      </w:tr>
      <w:tr>
        <w:trPr>
          <w:trHeight w:val="216"/>
        </w:trPr>
        <w:tc>
          <w:tcPr>
            <w:tcW w:w="8180" w:type="dxa"/>
            <w:vAlign w:val="bottom"/>
            <w:gridSpan w:val="2"/>
          </w:tcPr>
          <w:p>
            <w:pPr>
              <w:ind w:left="20"/>
              <w:spacing w:after="0"/>
              <w:rPr>
                <w:sz w:val="20"/>
                <w:szCs w:val="20"/>
                <w:color w:val="auto"/>
              </w:rPr>
            </w:pPr>
            <w:r>
              <w:rPr>
                <w:rFonts w:ascii="Arial" w:cs="Arial" w:eastAsia="Arial" w:hAnsi="Arial"/>
                <w:sz w:val="16"/>
                <w:szCs w:val="16"/>
                <w:b w:val="1"/>
                <w:bCs w:val="1"/>
                <w:color w:val="00249C"/>
              </w:rPr>
              <w:t>Pay Versus Performance</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29378D"/>
              </w:rPr>
              <w:t>85</w:t>
            </w:r>
          </w:p>
        </w:tc>
      </w:tr>
      <w:tr>
        <w:trPr>
          <w:trHeight w:val="20"/>
        </w:trPr>
        <w:tc>
          <w:tcPr>
            <w:tcW w:w="818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16"/>
        </w:trPr>
        <w:tc>
          <w:tcPr>
            <w:tcW w:w="8180" w:type="dxa"/>
            <w:vAlign w:val="bottom"/>
            <w:gridSpan w:val="2"/>
          </w:tcPr>
          <w:p>
            <w:pPr>
              <w:ind w:left="20"/>
              <w:spacing w:after="0"/>
              <w:rPr>
                <w:sz w:val="20"/>
                <w:szCs w:val="20"/>
                <w:color w:val="auto"/>
              </w:rPr>
            </w:pPr>
            <w:r>
              <w:rPr>
                <w:rFonts w:ascii="Arial" w:cs="Arial" w:eastAsia="Arial" w:hAnsi="Arial"/>
                <w:sz w:val="16"/>
                <w:szCs w:val="16"/>
                <w:b w:val="1"/>
                <w:bCs w:val="1"/>
                <w:color w:val="29378D"/>
              </w:rPr>
              <w:t>Equity Compensation Plan Information</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29378D"/>
              </w:rPr>
              <w:t>89</w:t>
            </w:r>
          </w:p>
        </w:tc>
      </w:tr>
      <w:tr>
        <w:trPr>
          <w:trHeight w:val="20"/>
        </w:trPr>
        <w:tc>
          <w:tcPr>
            <w:tcW w:w="8180" w:type="dxa"/>
            <w:vAlign w:val="bottom"/>
            <w:tcBorders>
              <w:bottom w:val="single" w:sz="8" w:color="auto"/>
            </w:tcBorders>
            <w:gridSpan w:val="2"/>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88"/>
        </w:trPr>
        <w:tc>
          <w:tcPr>
            <w:tcW w:w="400" w:type="dxa"/>
            <w:vAlign w:val="bottom"/>
          </w:tcPr>
          <w:p>
            <w:pPr>
              <w:spacing w:after="0"/>
              <w:rPr>
                <w:sz w:val="7"/>
                <w:szCs w:val="7"/>
                <w:color w:val="auto"/>
              </w:rPr>
            </w:pPr>
          </w:p>
        </w:tc>
        <w:tc>
          <w:tcPr>
            <w:tcW w:w="7780" w:type="dxa"/>
            <w:vAlign w:val="bottom"/>
          </w:tcPr>
          <w:p>
            <w:pPr>
              <w:spacing w:after="0"/>
              <w:rPr>
                <w:sz w:val="7"/>
                <w:szCs w:val="7"/>
                <w:color w:val="auto"/>
              </w:rPr>
            </w:pPr>
          </w:p>
        </w:tc>
        <w:tc>
          <w:tcPr>
            <w:tcW w:w="1540" w:type="dxa"/>
            <w:vAlign w:val="bottom"/>
          </w:tcPr>
          <w:p>
            <w:pPr>
              <w:spacing w:after="0"/>
              <w:rPr>
                <w:sz w:val="7"/>
                <w:szCs w:val="7"/>
                <w:color w:val="auto"/>
              </w:rPr>
            </w:pPr>
          </w:p>
        </w:tc>
      </w:tr>
      <w:tr>
        <w:trPr>
          <w:trHeight w:val="237"/>
        </w:trPr>
        <w:tc>
          <w:tcPr>
            <w:tcW w:w="8180" w:type="dxa"/>
            <w:vAlign w:val="bottom"/>
            <w:tcBorders>
              <w:bottom w:val="single" w:sz="8" w:color="29378D"/>
            </w:tcBorders>
            <w:gridSpan w:val="2"/>
            <w:shd w:val="clear" w:color="auto" w:fill="29378D"/>
          </w:tcPr>
          <w:p>
            <w:pPr>
              <w:ind w:left="360"/>
              <w:spacing w:after="0"/>
              <w:rPr>
                <w:sz w:val="20"/>
                <w:szCs w:val="20"/>
                <w:color w:val="auto"/>
              </w:rPr>
            </w:pPr>
            <w:r>
              <w:rPr>
                <w:rFonts w:ascii="Arial" w:cs="Arial" w:eastAsia="Arial" w:hAnsi="Arial"/>
                <w:sz w:val="16"/>
                <w:szCs w:val="16"/>
                <w:b w:val="1"/>
                <w:bCs w:val="1"/>
                <w:color w:val="FFFFFF"/>
              </w:rPr>
              <w:t>Proposal 3: Ratification of Appointment of Independent Auditor</w:t>
            </w:r>
          </w:p>
        </w:tc>
        <w:tc>
          <w:tcPr>
            <w:tcW w:w="1540" w:type="dxa"/>
            <w:vAlign w:val="bottom"/>
            <w:tcBorders>
              <w:bottom w:val="single" w:sz="8" w:color="29378D"/>
            </w:tcBorders>
            <w:shd w:val="clear" w:color="auto" w:fill="29378D"/>
          </w:tcPr>
          <w:p>
            <w:pPr>
              <w:jc w:val="right"/>
              <w:spacing w:after="0"/>
              <w:rPr>
                <w:sz w:val="20"/>
                <w:szCs w:val="20"/>
                <w:color w:val="auto"/>
              </w:rPr>
            </w:pPr>
            <w:r>
              <w:rPr>
                <w:rFonts w:ascii="Arial" w:cs="Arial" w:eastAsia="Arial" w:hAnsi="Arial"/>
                <w:sz w:val="16"/>
                <w:szCs w:val="16"/>
                <w:b w:val="1"/>
                <w:bCs w:val="1"/>
                <w:color w:val="FFFFFF"/>
              </w:rPr>
              <w:t>90</w:t>
            </w:r>
          </w:p>
        </w:tc>
      </w:tr>
      <w:tr>
        <w:trPr>
          <w:trHeight w:val="215"/>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Audit Fees and All Other Fees</w:t>
            </w:r>
          </w:p>
        </w:tc>
        <w:tc>
          <w:tcPr>
            <w:tcW w:w="15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42"/>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Policy on Audit and Risk Committee Pre-Approval of Audit and Permissible Non-Audit Services</w:t>
            </w:r>
          </w:p>
        </w:tc>
        <w:tc>
          <w:tcPr>
            <w:tcW w:w="15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6"/>
                <w:szCs w:val="16"/>
                <w:color w:val="auto"/>
              </w:rPr>
              <w:t>Audit and Risk Committee Report</w:t>
            </w:r>
          </w:p>
        </w:tc>
        <w:tc>
          <w:tcPr>
            <w:tcW w:w="1540" w:type="dxa"/>
            <w:vAlign w:val="bottom"/>
          </w:tcPr>
          <w:p>
            <w:pPr>
              <w:jc w:val="right"/>
              <w:spacing w:after="0"/>
              <w:rPr>
                <w:sz w:val="20"/>
                <w:szCs w:val="20"/>
                <w:color w:val="auto"/>
              </w:rPr>
            </w:pPr>
            <w:r>
              <w:rPr>
                <w:rFonts w:ascii="Arial" w:cs="Arial" w:eastAsia="Arial" w:hAnsi="Arial"/>
                <w:sz w:val="16"/>
                <w:szCs w:val="16"/>
                <w:color w:val="auto"/>
              </w:rPr>
              <w:t>91</w:t>
            </w:r>
          </w:p>
        </w:tc>
      </w:tr>
    </w:tbl>
    <w:p>
      <w:pPr>
        <w:spacing w:after="0" w:line="136" w:lineRule="exact"/>
        <w:rPr>
          <w:sz w:val="20"/>
          <w:szCs w:val="20"/>
          <w:color w:val="auto"/>
        </w:rPr>
      </w:pPr>
    </w:p>
    <w:p>
      <w:pPr>
        <w:sectPr>
          <w:pgSz w:w="11900" w:h="16838" w:orient="portrait"/>
          <w:cols w:equalWidth="0" w:num="1">
            <w:col w:w="10139"/>
          </w:cols>
          <w:pgMar w:left="320" w:top="238" w:right="1440" w:bottom="1440" w:gutter="0" w:footer="0" w:header="0"/>
        </w:sectPr>
      </w:pPr>
    </w:p>
    <w:p>
      <w:pPr>
        <w:ind w:left="360"/>
        <w:spacing w:after="0" w:line="296" w:lineRule="auto"/>
        <w:rPr>
          <w:sz w:val="20"/>
          <w:szCs w:val="20"/>
          <w:color w:val="auto"/>
        </w:rPr>
      </w:pPr>
      <w:r>
        <w:rPr>
          <w:rFonts w:ascii="Arial" w:cs="Arial" w:eastAsia="Arial" w:hAnsi="Arial"/>
          <w:sz w:val="16"/>
          <w:szCs w:val="16"/>
          <w:b w:val="1"/>
          <w:bCs w:val="1"/>
          <w:color w:val="FFFFFF"/>
        </w:rPr>
        <w:t>Proposal 4: Elimination of Personal Liability of Officers for Monetary Damages for Breach of Certain Fiduciary Duties as Permitted by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617220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2200" cy="274320"/>
                    </a:xfrm>
                    <a:prstGeom prst="rect">
                      <a:avLst/>
                    </a:prstGeom>
                    <a:noFill/>
                  </pic:spPr>
                </pic:pic>
              </a:graphicData>
            </a:graphic>
          </wp:anchor>
        </w:drawing>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FFFFFF"/>
        </w:rPr>
        <w:t>Proposal 5: Approval of 2024 Long-Term Incentive Stock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617220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72200" cy="163195"/>
                    </a:xfrm>
                    <a:prstGeom prst="rect">
                      <a:avLst/>
                    </a:prstGeom>
                    <a:noFill/>
                  </pic:spPr>
                </pic:pic>
              </a:graphicData>
            </a:graphic>
          </wp:anchor>
        </w:drawing>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FFFFFF"/>
        </w:rPr>
        <w:t>Proposal 6: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617220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72200" cy="163195"/>
                    </a:xfrm>
                    <a:prstGeom prst="rect">
                      <a:avLst/>
                    </a:prstGeom>
                    <a:noFill/>
                  </pic:spPr>
                </pic:pic>
              </a:graphicData>
            </a:graphic>
          </wp:anchor>
        </w:drawing>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FFFFFF"/>
        </w:rPr>
        <w:t>Proposal 7: Shareholder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617220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220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9378D"/>
        </w:rPr>
        <w:t>Transactions with Related Persons and Control Persons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right"/>
        <w:ind w:right="419"/>
        <w:spacing w:after="0"/>
        <w:rPr>
          <w:sz w:val="20"/>
          <w:szCs w:val="20"/>
          <w:color w:val="auto"/>
        </w:rPr>
      </w:pPr>
      <w:r>
        <w:rPr>
          <w:rFonts w:ascii="Arial" w:cs="Arial" w:eastAsia="Arial" w:hAnsi="Arial"/>
          <w:sz w:val="16"/>
          <w:szCs w:val="16"/>
          <w:b w:val="1"/>
          <w:bCs w:val="1"/>
          <w:color w:val="FFFFFF"/>
        </w:rPr>
        <w:t>93</w:t>
      </w:r>
    </w:p>
    <w:p>
      <w:pPr>
        <w:spacing w:after="0" w:line="289" w:lineRule="exact"/>
        <w:rPr>
          <w:sz w:val="20"/>
          <w:szCs w:val="20"/>
          <w:color w:val="auto"/>
        </w:rPr>
      </w:pPr>
    </w:p>
    <w:p>
      <w:pPr>
        <w:jc w:val="right"/>
        <w:ind w:right="419"/>
        <w:spacing w:after="0"/>
        <w:rPr>
          <w:sz w:val="20"/>
          <w:szCs w:val="20"/>
          <w:color w:val="auto"/>
        </w:rPr>
      </w:pPr>
      <w:r>
        <w:rPr>
          <w:rFonts w:ascii="Arial" w:cs="Arial" w:eastAsia="Arial" w:hAnsi="Arial"/>
          <w:sz w:val="16"/>
          <w:szCs w:val="16"/>
          <w:b w:val="1"/>
          <w:bCs w:val="1"/>
          <w:color w:val="FFFFFF"/>
        </w:rPr>
        <w:t>95</w:t>
      </w:r>
    </w:p>
    <w:p>
      <w:pPr>
        <w:spacing w:after="0" w:line="181" w:lineRule="exact"/>
        <w:rPr>
          <w:sz w:val="20"/>
          <w:szCs w:val="20"/>
          <w:color w:val="auto"/>
        </w:rPr>
      </w:pPr>
    </w:p>
    <w:p>
      <w:pPr>
        <w:jc w:val="right"/>
        <w:ind w:right="419"/>
        <w:spacing w:after="0"/>
        <w:rPr>
          <w:sz w:val="20"/>
          <w:szCs w:val="20"/>
          <w:color w:val="auto"/>
        </w:rPr>
      </w:pPr>
      <w:r>
        <w:rPr>
          <w:rFonts w:ascii="Arial" w:cs="Arial" w:eastAsia="Arial" w:hAnsi="Arial"/>
          <w:sz w:val="16"/>
          <w:szCs w:val="16"/>
          <w:b w:val="1"/>
          <w:bCs w:val="1"/>
          <w:color w:val="FFFFFF"/>
        </w:rPr>
        <w:t>98</w:t>
      </w:r>
    </w:p>
    <w:p>
      <w:pPr>
        <w:spacing w:after="0" w:line="181" w:lineRule="exact"/>
        <w:rPr>
          <w:sz w:val="20"/>
          <w:szCs w:val="20"/>
          <w:color w:val="auto"/>
        </w:rPr>
      </w:pPr>
    </w:p>
    <w:p>
      <w:pPr>
        <w:jc w:val="right"/>
        <w:ind w:right="419"/>
        <w:spacing w:after="0"/>
        <w:rPr>
          <w:sz w:val="20"/>
          <w:szCs w:val="20"/>
          <w:color w:val="auto"/>
        </w:rPr>
      </w:pPr>
      <w:r>
        <w:rPr>
          <w:rFonts w:ascii="Arial" w:cs="Arial" w:eastAsia="Arial" w:hAnsi="Arial"/>
          <w:sz w:val="16"/>
          <w:szCs w:val="16"/>
          <w:b w:val="1"/>
          <w:bCs w:val="1"/>
          <w:color w:val="FFFFFF"/>
        </w:rPr>
        <w:t>103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106</w:t>
      </w:r>
    </w:p>
    <w:p>
      <w:pPr>
        <w:spacing w:after="0" w:line="40" w:lineRule="exact"/>
        <w:rPr>
          <w:sz w:val="20"/>
          <w:szCs w:val="20"/>
          <w:color w:val="auto"/>
        </w:rPr>
      </w:pPr>
    </w:p>
    <w:p>
      <w:pPr>
        <w:sectPr>
          <w:pgSz w:w="11900" w:h="16838" w:orient="portrait"/>
          <w:cols w:equalWidth="0" w:num="2">
            <w:col w:w="8820" w:space="620"/>
            <w:col w:w="699"/>
          </w:cols>
          <w:pgMar w:left="320" w:top="238" w:right="1440" w:bottom="144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9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Related Person Transactions</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42"/>
        </w:trPr>
        <w:tc>
          <w:tcPr>
            <w:tcW w:w="9200" w:type="dxa"/>
            <w:vAlign w:val="bottom"/>
          </w:tcPr>
          <w:p>
            <w:pPr>
              <w:ind w:left="20"/>
              <w:spacing w:after="0"/>
              <w:rPr>
                <w:sz w:val="20"/>
                <w:szCs w:val="20"/>
                <w:color w:val="auto"/>
              </w:rPr>
            </w:pPr>
            <w:r>
              <w:rPr>
                <w:rFonts w:ascii="Arial" w:cs="Arial" w:eastAsia="Arial" w:hAnsi="Arial"/>
                <w:sz w:val="16"/>
                <w:szCs w:val="16"/>
                <w:color w:val="auto"/>
              </w:rPr>
              <w:t>Indemnification Agreements</w:t>
            </w:r>
          </w:p>
        </w:tc>
        <w:tc>
          <w:tcPr>
            <w:tcW w:w="52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51"/>
        </w:trPr>
        <w:tc>
          <w:tcPr>
            <w:tcW w:w="9200" w:type="dxa"/>
            <w:vAlign w:val="bottom"/>
          </w:tcPr>
          <w:p>
            <w:pPr>
              <w:ind w:left="20"/>
              <w:spacing w:after="0"/>
              <w:rPr>
                <w:sz w:val="20"/>
                <w:szCs w:val="20"/>
                <w:color w:val="auto"/>
              </w:rPr>
            </w:pPr>
            <w:r>
              <w:rPr>
                <w:rFonts w:ascii="Arial" w:cs="Arial" w:eastAsia="Arial" w:hAnsi="Arial"/>
                <w:sz w:val="16"/>
                <w:szCs w:val="16"/>
                <w:b w:val="1"/>
                <w:bCs w:val="1"/>
                <w:color w:val="29378D"/>
              </w:rPr>
              <w:t>Voting Securities and Principal Holders</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9378D"/>
              </w:rPr>
              <w:t>108</w:t>
            </w:r>
          </w:p>
        </w:tc>
        <w:tc>
          <w:tcPr>
            <w:tcW w:w="0" w:type="dxa"/>
            <w:vAlign w:val="bottom"/>
          </w:tcPr>
          <w:p>
            <w:pPr>
              <w:spacing w:after="0"/>
              <w:rPr>
                <w:sz w:val="1"/>
                <w:szCs w:val="1"/>
                <w:color w:val="auto"/>
              </w:rPr>
            </w:pPr>
          </w:p>
        </w:tc>
      </w:tr>
      <w:tr>
        <w:trPr>
          <w:trHeight w:val="21"/>
        </w:trPr>
        <w:tc>
          <w:tcPr>
            <w:tcW w:w="9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9200" w:type="dxa"/>
            <w:vAlign w:val="bottom"/>
          </w:tcPr>
          <w:p>
            <w:pPr>
              <w:ind w:left="20"/>
              <w:spacing w:after="0"/>
              <w:rPr>
                <w:sz w:val="20"/>
                <w:szCs w:val="20"/>
                <w:color w:val="auto"/>
              </w:rPr>
            </w:pPr>
            <w:r>
              <w:rPr>
                <w:rFonts w:ascii="Arial" w:cs="Arial" w:eastAsia="Arial" w:hAnsi="Arial"/>
                <w:sz w:val="16"/>
                <w:szCs w:val="16"/>
                <w:color w:val="auto"/>
              </w:rPr>
              <w:t>Stock Ownership of Certain Beneficial Holders</w:t>
            </w:r>
          </w:p>
        </w:tc>
        <w:tc>
          <w:tcPr>
            <w:tcW w:w="52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42"/>
        </w:trPr>
        <w:tc>
          <w:tcPr>
            <w:tcW w:w="9200" w:type="dxa"/>
            <w:vAlign w:val="bottom"/>
          </w:tcPr>
          <w:p>
            <w:pPr>
              <w:ind w:left="20"/>
              <w:spacing w:after="0"/>
              <w:rPr>
                <w:sz w:val="20"/>
                <w:szCs w:val="20"/>
                <w:color w:val="auto"/>
              </w:rPr>
            </w:pPr>
            <w:r>
              <w:rPr>
                <w:rFonts w:ascii="Arial" w:cs="Arial" w:eastAsia="Arial" w:hAnsi="Arial"/>
                <w:sz w:val="16"/>
                <w:szCs w:val="16"/>
                <w:color w:val="auto"/>
              </w:rPr>
              <w:t>Stock Ownership of Officers and Directors</w:t>
            </w:r>
          </w:p>
        </w:tc>
        <w:tc>
          <w:tcPr>
            <w:tcW w:w="52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51"/>
        </w:trPr>
        <w:tc>
          <w:tcPr>
            <w:tcW w:w="9200" w:type="dxa"/>
            <w:vAlign w:val="bottom"/>
          </w:tcPr>
          <w:p>
            <w:pPr>
              <w:ind w:left="20"/>
              <w:spacing w:after="0"/>
              <w:rPr>
                <w:sz w:val="20"/>
                <w:szCs w:val="20"/>
                <w:color w:val="auto"/>
              </w:rPr>
            </w:pPr>
            <w:r>
              <w:rPr>
                <w:rFonts w:ascii="Arial" w:cs="Arial" w:eastAsia="Arial" w:hAnsi="Arial"/>
                <w:sz w:val="16"/>
                <w:szCs w:val="16"/>
                <w:b w:val="1"/>
                <w:bCs w:val="1"/>
                <w:color w:val="29378D"/>
              </w:rPr>
              <w:t>Questions and Answers About the Annual Meeting</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9378D"/>
              </w:rPr>
              <w:t>110</w:t>
            </w:r>
          </w:p>
        </w:tc>
        <w:tc>
          <w:tcPr>
            <w:tcW w:w="0" w:type="dxa"/>
            <w:vAlign w:val="bottom"/>
          </w:tcPr>
          <w:p>
            <w:pPr>
              <w:spacing w:after="0"/>
              <w:rPr>
                <w:sz w:val="1"/>
                <w:szCs w:val="1"/>
                <w:color w:val="auto"/>
              </w:rPr>
            </w:pPr>
          </w:p>
        </w:tc>
      </w:tr>
      <w:tr>
        <w:trPr>
          <w:trHeight w:val="21"/>
        </w:trPr>
        <w:tc>
          <w:tcPr>
            <w:tcW w:w="9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20"/>
              <w:spacing w:after="0"/>
              <w:rPr>
                <w:sz w:val="20"/>
                <w:szCs w:val="20"/>
                <w:color w:val="auto"/>
              </w:rPr>
            </w:pPr>
            <w:r>
              <w:rPr>
                <w:rFonts w:ascii="Arial" w:cs="Arial" w:eastAsia="Arial" w:hAnsi="Arial"/>
                <w:sz w:val="16"/>
                <w:szCs w:val="16"/>
                <w:b w:val="1"/>
                <w:bCs w:val="1"/>
                <w:color w:val="29378D"/>
              </w:rPr>
              <w:t>Miscellaneous</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29378D"/>
              </w:rPr>
              <w:t>113</w:t>
            </w:r>
          </w:p>
        </w:tc>
        <w:tc>
          <w:tcPr>
            <w:tcW w:w="0" w:type="dxa"/>
            <w:vAlign w:val="bottom"/>
          </w:tcPr>
          <w:p>
            <w:pPr>
              <w:spacing w:after="0"/>
              <w:rPr>
                <w:sz w:val="1"/>
                <w:szCs w:val="1"/>
                <w:color w:val="auto"/>
              </w:rPr>
            </w:pPr>
          </w:p>
        </w:tc>
      </w:tr>
      <w:tr>
        <w:trPr>
          <w:trHeight w:val="20"/>
        </w:trPr>
        <w:tc>
          <w:tcPr>
            <w:tcW w:w="9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9200" w:type="dxa"/>
            <w:vAlign w:val="bottom"/>
          </w:tcPr>
          <w:p>
            <w:pPr>
              <w:ind w:left="20"/>
              <w:spacing w:after="0"/>
              <w:rPr>
                <w:sz w:val="20"/>
                <w:szCs w:val="20"/>
                <w:color w:val="auto"/>
              </w:rPr>
            </w:pPr>
            <w:r>
              <w:rPr>
                <w:rFonts w:ascii="Arial" w:cs="Arial" w:eastAsia="Arial" w:hAnsi="Arial"/>
                <w:sz w:val="16"/>
                <w:szCs w:val="16"/>
                <w:color w:val="auto"/>
              </w:rPr>
              <w:t>Voting on Other Matters</w:t>
            </w:r>
          </w:p>
        </w:tc>
        <w:tc>
          <w:tcPr>
            <w:tcW w:w="52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42"/>
        </w:trPr>
        <w:tc>
          <w:tcPr>
            <w:tcW w:w="9200" w:type="dxa"/>
            <w:vAlign w:val="bottom"/>
          </w:tcPr>
          <w:p>
            <w:pPr>
              <w:ind w:left="20"/>
              <w:spacing w:after="0"/>
              <w:rPr>
                <w:sz w:val="20"/>
                <w:szCs w:val="20"/>
                <w:color w:val="auto"/>
              </w:rPr>
            </w:pPr>
            <w:r>
              <w:rPr>
                <w:rFonts w:ascii="Arial" w:cs="Arial" w:eastAsia="Arial" w:hAnsi="Arial"/>
                <w:sz w:val="16"/>
                <w:szCs w:val="16"/>
                <w:color w:val="auto"/>
              </w:rPr>
              <w:t>Shareholder Proposals for the 2025 Annual Meeting</w:t>
            </w:r>
          </w:p>
        </w:tc>
        <w:tc>
          <w:tcPr>
            <w:tcW w:w="52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43"/>
        </w:trPr>
        <w:tc>
          <w:tcPr>
            <w:tcW w:w="9200" w:type="dxa"/>
            <w:vAlign w:val="bottom"/>
          </w:tcPr>
          <w:p>
            <w:pPr>
              <w:ind w:left="20"/>
              <w:spacing w:after="0"/>
              <w:rPr>
                <w:sz w:val="20"/>
                <w:szCs w:val="20"/>
                <w:color w:val="auto"/>
              </w:rPr>
            </w:pPr>
            <w:r>
              <w:rPr>
                <w:rFonts w:ascii="Arial" w:cs="Arial" w:eastAsia="Arial" w:hAnsi="Arial"/>
                <w:sz w:val="16"/>
                <w:szCs w:val="16"/>
                <w:color w:val="auto"/>
              </w:rPr>
              <w:t>Shareholder Nominations for Director Elections at the 2025 Annual Meeting</w:t>
            </w:r>
          </w:p>
        </w:tc>
        <w:tc>
          <w:tcPr>
            <w:tcW w:w="52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43"/>
        </w:trPr>
        <w:tc>
          <w:tcPr>
            <w:tcW w:w="9200" w:type="dxa"/>
            <w:vAlign w:val="bottom"/>
          </w:tcPr>
          <w:p>
            <w:pPr>
              <w:ind w:left="20"/>
              <w:spacing w:after="0"/>
              <w:rPr>
                <w:sz w:val="20"/>
                <w:szCs w:val="20"/>
                <w:color w:val="auto"/>
              </w:rPr>
            </w:pPr>
            <w:r>
              <w:rPr>
                <w:rFonts w:ascii="Arial" w:cs="Arial" w:eastAsia="Arial" w:hAnsi="Arial"/>
                <w:sz w:val="16"/>
                <w:szCs w:val="16"/>
                <w:color w:val="auto"/>
              </w:rPr>
              <w:t>Householding Information</w:t>
            </w:r>
          </w:p>
        </w:tc>
        <w:tc>
          <w:tcPr>
            <w:tcW w:w="52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43"/>
        </w:trPr>
        <w:tc>
          <w:tcPr>
            <w:tcW w:w="9200" w:type="dxa"/>
            <w:vAlign w:val="bottom"/>
          </w:tcPr>
          <w:p>
            <w:pPr>
              <w:ind w:left="20"/>
              <w:spacing w:after="0"/>
              <w:rPr>
                <w:sz w:val="20"/>
                <w:szCs w:val="20"/>
                <w:color w:val="auto"/>
              </w:rPr>
            </w:pPr>
            <w:r>
              <w:rPr>
                <w:rFonts w:ascii="Arial" w:cs="Arial" w:eastAsia="Arial" w:hAnsi="Arial"/>
                <w:sz w:val="16"/>
                <w:szCs w:val="16"/>
                <w:color w:val="auto"/>
              </w:rPr>
              <w:t>Cost of Soliciting Proxies</w:t>
            </w:r>
          </w:p>
        </w:tc>
        <w:tc>
          <w:tcPr>
            <w:tcW w:w="52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43"/>
        </w:trPr>
        <w:tc>
          <w:tcPr>
            <w:tcW w:w="9200" w:type="dxa"/>
            <w:vAlign w:val="bottom"/>
          </w:tcPr>
          <w:p>
            <w:pPr>
              <w:ind w:left="20"/>
              <w:spacing w:after="0"/>
              <w:rPr>
                <w:sz w:val="20"/>
                <w:szCs w:val="20"/>
                <w:color w:val="auto"/>
              </w:rPr>
            </w:pPr>
            <w:r>
              <w:rPr>
                <w:rFonts w:ascii="Arial" w:cs="Arial" w:eastAsia="Arial" w:hAnsi="Arial"/>
                <w:sz w:val="16"/>
                <w:szCs w:val="16"/>
                <w:color w:val="auto"/>
              </w:rPr>
              <w:t>Available Information</w:t>
            </w:r>
          </w:p>
        </w:tc>
        <w:tc>
          <w:tcPr>
            <w:tcW w:w="52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43"/>
        </w:trPr>
        <w:tc>
          <w:tcPr>
            <w:tcW w:w="9200" w:type="dxa"/>
            <w:vAlign w:val="bottom"/>
          </w:tcPr>
          <w:p>
            <w:pPr>
              <w:ind w:left="20"/>
              <w:spacing w:after="0"/>
              <w:rPr>
                <w:sz w:val="20"/>
                <w:szCs w:val="20"/>
                <w:color w:val="auto"/>
              </w:rPr>
            </w:pPr>
            <w:r>
              <w:rPr>
                <w:rFonts w:ascii="Arial" w:cs="Arial" w:eastAsia="Arial" w:hAnsi="Arial"/>
                <w:sz w:val="16"/>
                <w:szCs w:val="16"/>
                <w:color w:val="auto"/>
              </w:rPr>
              <w:t>Incorporation by Reference</w:t>
            </w:r>
          </w:p>
        </w:tc>
        <w:tc>
          <w:tcPr>
            <w:tcW w:w="52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43"/>
        </w:trPr>
        <w:tc>
          <w:tcPr>
            <w:tcW w:w="9200" w:type="dxa"/>
            <w:vAlign w:val="bottom"/>
          </w:tcPr>
          <w:p>
            <w:pPr>
              <w:ind w:left="20"/>
              <w:spacing w:after="0"/>
              <w:rPr>
                <w:sz w:val="20"/>
                <w:szCs w:val="20"/>
                <w:color w:val="auto"/>
              </w:rPr>
            </w:pPr>
            <w:r>
              <w:rPr>
                <w:rFonts w:ascii="Arial" w:cs="Arial" w:eastAsia="Arial" w:hAnsi="Arial"/>
                <w:sz w:val="16"/>
                <w:szCs w:val="16"/>
                <w:color w:val="auto"/>
              </w:rPr>
              <w:t>Annual Report</w:t>
            </w:r>
          </w:p>
        </w:tc>
        <w:tc>
          <w:tcPr>
            <w:tcW w:w="52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9"/>
        </w:trPr>
        <w:tc>
          <w:tcPr>
            <w:tcW w:w="9200" w:type="dxa"/>
            <w:vAlign w:val="bottom"/>
            <w:vMerge w:val="restart"/>
          </w:tcPr>
          <w:p>
            <w:pPr>
              <w:ind w:left="20"/>
              <w:spacing w:after="0"/>
              <w:rPr>
                <w:sz w:val="20"/>
                <w:szCs w:val="20"/>
                <w:color w:val="auto"/>
              </w:rPr>
            </w:pPr>
            <w:r>
              <w:rPr>
                <w:rFonts w:ascii="Arial" w:cs="Arial" w:eastAsia="Arial" w:hAnsi="Arial"/>
                <w:sz w:val="16"/>
                <w:szCs w:val="16"/>
                <w:b w:val="1"/>
                <w:bCs w:val="1"/>
                <w:color w:val="29378D"/>
              </w:rPr>
              <w:t>Appendix A – Use of Non-GAAP Financial Measures</w:t>
            </w: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200" w:type="dxa"/>
            <w:vAlign w:val="bottom"/>
            <w:vMerge w:val="continue"/>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29378D"/>
              </w:rPr>
              <w:t>116</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20"/>
              <w:spacing w:after="0"/>
              <w:rPr>
                <w:sz w:val="20"/>
                <w:szCs w:val="20"/>
                <w:color w:val="auto"/>
              </w:rPr>
            </w:pPr>
            <w:r>
              <w:rPr>
                <w:rFonts w:ascii="Arial" w:cs="Arial" w:eastAsia="Arial" w:hAnsi="Arial"/>
                <w:sz w:val="16"/>
                <w:szCs w:val="16"/>
                <w:b w:val="1"/>
                <w:bCs w:val="1"/>
                <w:color w:val="29378D"/>
              </w:rPr>
              <w:t>Appendix B – Summary Description of the 2024 Long-Term Incentive Stock Plan</w:t>
            </w: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9200" w:type="dxa"/>
            <w:vAlign w:val="bottom"/>
            <w:vMerge w:val="continue"/>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29378D"/>
              </w:rPr>
              <w:t>122</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20"/>
              <w:spacing w:after="0"/>
              <w:rPr>
                <w:sz w:val="20"/>
                <w:szCs w:val="20"/>
                <w:color w:val="auto"/>
              </w:rPr>
            </w:pPr>
            <w:r>
              <w:rPr>
                <w:rFonts w:ascii="Arial" w:cs="Arial" w:eastAsia="Arial" w:hAnsi="Arial"/>
                <w:sz w:val="16"/>
                <w:szCs w:val="16"/>
                <w:b w:val="1"/>
                <w:bCs w:val="1"/>
                <w:color w:val="29378D"/>
              </w:rPr>
              <w:t>Exhibit A – Amendment to Amended and Restated Certificate of Incorporation</w:t>
            </w: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9200" w:type="dxa"/>
            <w:vAlign w:val="bottom"/>
            <w:vMerge w:val="continue"/>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29378D"/>
              </w:rPr>
              <w:t>125</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20"/>
              <w:spacing w:after="0"/>
              <w:rPr>
                <w:sz w:val="20"/>
                <w:szCs w:val="20"/>
                <w:color w:val="auto"/>
              </w:rPr>
            </w:pPr>
            <w:r>
              <w:rPr>
                <w:rFonts w:ascii="Arial" w:cs="Arial" w:eastAsia="Arial" w:hAnsi="Arial"/>
                <w:sz w:val="16"/>
                <w:szCs w:val="16"/>
                <w:b w:val="1"/>
                <w:bCs w:val="1"/>
                <w:color w:val="29378D"/>
              </w:rPr>
              <w:t>Exhibit B – Northrop Grumman 2024 Long-Term Incentive Stock Plan</w:t>
            </w: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9200" w:type="dxa"/>
            <w:vAlign w:val="bottom"/>
            <w:vMerge w:val="continue"/>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29378D"/>
              </w:rPr>
              <w:t>126</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 Inside Front Cover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0" w:hanging="494"/>
        <w:spacing w:after="0"/>
        <w:tabs>
          <w:tab w:leader="none" w:pos="520" w:val="left"/>
        </w:tabs>
        <w:numPr>
          <w:ilvl w:val="0"/>
          <w:numId w:val="3"/>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38"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43"/>
          <w:szCs w:val="43"/>
          <w:b w:val="1"/>
          <w:bCs w:val="1"/>
          <w:color w:val="29378D"/>
        </w:rPr>
        <w:t>Proxy Statement Summary</w:t>
      </w:r>
    </w:p>
    <w:p>
      <w:pPr>
        <w:spacing w:after="0" w:line="200" w:lineRule="exact"/>
        <w:rPr>
          <w:sz w:val="20"/>
          <w:szCs w:val="20"/>
          <w:color w:val="auto"/>
        </w:rPr>
      </w:pPr>
    </w:p>
    <w:p>
      <w:pPr>
        <w:spacing w:after="0" w:line="266"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 xml:space="preserve">This summary highlights information contained elsewhere in this Proxy Statement. For additional information about these topics, please refer to the discussions contained in this Proxy Statement and in our Annual Report on Form 10-K for the year ended December 31, 2023 (2023 Form 10-K) filed with the United States (U.S.) Securities and Exchange Commission (SEC) on January 25, 2024. Please also refer to our Sustainability Report and our Human Rights Report which are available on the Investor Relations section of our website at </w:t>
      </w:r>
      <w:r>
        <w:rPr>
          <w:rFonts w:ascii="Arial" w:cs="Arial" w:eastAsia="Arial" w:hAnsi="Arial"/>
          <w:sz w:val="16"/>
          <w:szCs w:val="16"/>
          <w:i w:val="1"/>
          <w:iCs w:val="1"/>
          <w:color w:val="auto"/>
        </w:rPr>
        <w:t>www.northropgrumman.com</w:t>
      </w:r>
      <w:r>
        <w:rPr>
          <w:rFonts w:ascii="Arial" w:cs="Arial" w:eastAsia="Arial" w:hAnsi="Arial"/>
          <w:sz w:val="16"/>
          <w:szCs w:val="16"/>
          <w:color w:val="auto"/>
        </w:rPr>
        <w:t>.</w:t>
      </w:r>
    </w:p>
    <w:p>
      <w:pPr>
        <w:spacing w:after="0" w:line="60"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We intend to mail a Notice of Internet Availability of Proxy Materials to Shareholders of record and to make this Proxy Statement and accompanying materials available on the internet on or about April 3, 2024.</w:t>
      </w:r>
    </w:p>
    <w:p>
      <w:pPr>
        <w:spacing w:after="0" w:line="26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2023 Performance Highlights</w:t>
      </w:r>
    </w:p>
    <w:p>
      <w:pPr>
        <w:spacing w:after="0" w:line="14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remain focused on executing our long-term strategy. This has created outstanding shareholder value, as evidenced by our three-year Total Shareholder Return (TSR), and strong demand for our products and capabilities that has led to a new, record backlog. Meanwhile, our sales continue to expand at a rapid rate, growing by over 7% in 2023. Cash is expanding even faster, with cash provided by operating activities increasing by 34% and adjusted free cash flow* growing 30% year over year. These strong and growing cash flows allow us to execute our capital deployment strategy that prioritizes investing in our business and returning cash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2489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29378D"/>
        </w:rPr>
        <w:t>Financial Highlights</w:t>
      </w:r>
    </w:p>
    <w:p>
      <w:pPr>
        <w:sectPr>
          <w:pgSz w:w="11900" w:h="16838" w:orient="portrait"/>
          <w:cols w:equalWidth="0" w:num="1">
            <w:col w:w="11240"/>
          </w:cols>
          <w:pgMar w:left="320" w:top="1298" w:right="339" w:bottom="1440" w:gutter="0" w:footer="0" w:header="0"/>
        </w:sectPr>
      </w:pPr>
    </w:p>
    <w:p>
      <w:pPr>
        <w:spacing w:after="0" w:line="270" w:lineRule="exact"/>
        <w:rPr>
          <w:sz w:val="20"/>
          <w:szCs w:val="20"/>
          <w:color w:val="auto"/>
        </w:rPr>
      </w:pPr>
    </w:p>
    <w:p>
      <w:pPr>
        <w:ind w:left="20"/>
        <w:spacing w:after="0"/>
        <w:tabs>
          <w:tab w:leader="none" w:pos="3620" w:val="left"/>
        </w:tabs>
        <w:rPr>
          <w:sz w:val="20"/>
          <w:szCs w:val="20"/>
          <w:color w:val="auto"/>
        </w:rPr>
      </w:pPr>
      <w:r>
        <w:rPr>
          <w:rFonts w:ascii="Arial" w:cs="Arial" w:eastAsia="Arial" w:hAnsi="Arial"/>
          <w:sz w:val="20"/>
          <w:szCs w:val="20"/>
          <w:b w:val="1"/>
          <w:bCs w:val="1"/>
          <w:color w:val="00249C"/>
        </w:rPr>
        <w:t xml:space="preserve">61% </w:t>
      </w:r>
      <w:r>
        <w:rPr>
          <w:rFonts w:ascii="Arial" w:cs="Arial" w:eastAsia="Arial" w:hAnsi="Arial"/>
          <w:sz w:val="20"/>
          <w:szCs w:val="20"/>
          <w:color w:val="000000"/>
        </w:rPr>
        <w:t>Cumulative 3-Year Total</w:t>
      </w:r>
      <w:r>
        <w:rPr>
          <w:sz w:val="20"/>
          <w:szCs w:val="20"/>
          <w:color w:val="auto"/>
        </w:rPr>
        <w:tab/>
      </w:r>
      <w:r>
        <w:rPr>
          <w:rFonts w:ascii="Arial" w:cs="Arial" w:eastAsia="Arial" w:hAnsi="Arial"/>
          <w:sz w:val="19"/>
          <w:szCs w:val="19"/>
          <w:color w:val="auto"/>
        </w:rPr>
        <w:t xml:space="preserve">Backlog of </w:t>
      </w:r>
      <w:r>
        <w:rPr>
          <w:rFonts w:ascii="Arial" w:cs="Arial" w:eastAsia="Arial" w:hAnsi="Arial"/>
          <w:sz w:val="19"/>
          <w:szCs w:val="19"/>
          <w:b w:val="1"/>
          <w:bCs w:val="1"/>
          <w:color w:val="00249C"/>
        </w:rPr>
        <w:t>$84.2 billion</w:t>
      </w:r>
      <w:r>
        <w:rPr>
          <w:rFonts w:ascii="Arial" w:cs="Arial" w:eastAsia="Arial" w:hAnsi="Arial"/>
          <w:sz w:val="19"/>
          <w:szCs w:val="19"/>
          <w:color w:val="auto"/>
        </w:rPr>
        <w:t xml:space="preserve"> or more than</w:t>
      </w:r>
    </w:p>
    <w:p>
      <w:pPr>
        <w:spacing w:after="0" w:line="33" w:lineRule="exact"/>
        <w:rPr>
          <w:sz w:val="20"/>
          <w:szCs w:val="20"/>
          <w:color w:val="auto"/>
        </w:rPr>
      </w:pPr>
    </w:p>
    <w:p>
      <w:pPr>
        <w:ind w:left="20"/>
        <w:spacing w:after="0"/>
        <w:tabs>
          <w:tab w:leader="none" w:pos="3620" w:val="left"/>
        </w:tabs>
        <w:rPr>
          <w:sz w:val="20"/>
          <w:szCs w:val="20"/>
          <w:color w:val="auto"/>
        </w:rPr>
      </w:pPr>
      <w:r>
        <w:rPr>
          <w:rFonts w:ascii="Arial" w:cs="Arial" w:eastAsia="Arial" w:hAnsi="Arial"/>
          <w:sz w:val="20"/>
          <w:szCs w:val="20"/>
          <w:color w:val="auto"/>
        </w:rPr>
        <w:t>Shareholder Return</w:t>
      </w:r>
      <w:r>
        <w:rPr>
          <w:sz w:val="20"/>
          <w:szCs w:val="20"/>
          <w:color w:val="auto"/>
        </w:rPr>
        <w:tab/>
      </w:r>
      <w:r>
        <w:rPr>
          <w:rFonts w:ascii="Arial" w:cs="Arial" w:eastAsia="Arial" w:hAnsi="Arial"/>
          <w:sz w:val="19"/>
          <w:szCs w:val="19"/>
          <w:b w:val="1"/>
          <w:bCs w:val="1"/>
          <w:color w:val="00249C"/>
        </w:rPr>
        <w:t xml:space="preserve">2x </w:t>
      </w:r>
      <w:r>
        <w:rPr>
          <w:rFonts w:ascii="Arial" w:cs="Arial" w:eastAsia="Arial" w:hAnsi="Arial"/>
          <w:sz w:val="19"/>
          <w:szCs w:val="19"/>
          <w:color w:val="000000"/>
        </w:rPr>
        <w:t>our annual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920"/>
        <w:spacing w:after="0" w:line="288" w:lineRule="auto"/>
        <w:rPr>
          <w:sz w:val="20"/>
          <w:szCs w:val="20"/>
          <w:color w:val="auto"/>
        </w:rPr>
      </w:pPr>
      <w:r>
        <w:rPr>
          <w:rFonts w:ascii="Arial" w:cs="Arial" w:eastAsia="Arial" w:hAnsi="Arial"/>
          <w:sz w:val="20"/>
          <w:szCs w:val="20"/>
          <w:color w:val="auto"/>
        </w:rPr>
        <w:t xml:space="preserve">Sales of </w:t>
      </w:r>
      <w:r>
        <w:rPr>
          <w:rFonts w:ascii="Arial" w:cs="Arial" w:eastAsia="Arial" w:hAnsi="Arial"/>
          <w:sz w:val="20"/>
          <w:szCs w:val="20"/>
          <w:b w:val="1"/>
          <w:bCs w:val="1"/>
          <w:color w:val="00249C"/>
        </w:rPr>
        <w:t>$39.3 billion</w:t>
      </w:r>
      <w:r>
        <w:rPr>
          <w:rFonts w:ascii="Arial" w:cs="Arial" w:eastAsia="Arial" w:hAnsi="Arial"/>
          <w:sz w:val="20"/>
          <w:szCs w:val="20"/>
          <w:color w:val="auto"/>
        </w:rPr>
        <w:t xml:space="preserve">, up over </w:t>
      </w:r>
      <w:r>
        <w:rPr>
          <w:rFonts w:ascii="Arial" w:cs="Arial" w:eastAsia="Arial" w:hAnsi="Arial"/>
          <w:sz w:val="20"/>
          <w:szCs w:val="20"/>
          <w:b w:val="1"/>
          <w:bCs w:val="1"/>
          <w:color w:val="00249C"/>
        </w:rPr>
        <w:t>7%</w:t>
      </w:r>
      <w:r>
        <w:rPr>
          <w:rFonts w:ascii="Arial" w:cs="Arial" w:eastAsia="Arial" w:hAnsi="Arial"/>
          <w:sz w:val="20"/>
          <w:szCs w:val="20"/>
          <w:color w:val="auto"/>
        </w:rPr>
        <w:t xml:space="preserve"> compared to 2022</w:t>
      </w:r>
    </w:p>
    <w:p>
      <w:pPr>
        <w:spacing w:after="0" w:line="200" w:lineRule="exact"/>
        <w:rPr>
          <w:sz w:val="20"/>
          <w:szCs w:val="20"/>
          <w:color w:val="auto"/>
        </w:rPr>
      </w:pPr>
    </w:p>
    <w:p>
      <w:pPr>
        <w:sectPr>
          <w:pgSz w:w="11900" w:h="16838" w:orient="portrait"/>
          <w:cols w:equalWidth="0" w:num="2">
            <w:col w:w="6940" w:space="360"/>
            <w:col w:w="3940"/>
          </w:cols>
          <w:pgMar w:left="320" w:top="1298" w:right="339" w:bottom="1440" w:gutter="0" w:footer="0" w:header="0"/>
          <w:type w:val="continuous"/>
        </w:sectPr>
      </w:pPr>
    </w:p>
    <w:p>
      <w:pPr>
        <w:spacing w:after="0" w:line="263" w:lineRule="exact"/>
        <w:rPr>
          <w:sz w:val="20"/>
          <w:szCs w:val="20"/>
          <w:color w:val="auto"/>
        </w:rPr>
      </w:pPr>
    </w:p>
    <w:p>
      <w:pPr>
        <w:ind w:left="20"/>
        <w:spacing w:after="0" w:line="259" w:lineRule="auto"/>
        <w:rPr>
          <w:sz w:val="20"/>
          <w:szCs w:val="20"/>
          <w:color w:val="auto"/>
        </w:rPr>
      </w:pPr>
      <w:r>
        <w:rPr>
          <w:rFonts w:ascii="Arial" w:cs="Arial" w:eastAsia="Arial" w:hAnsi="Arial"/>
          <w:sz w:val="20"/>
          <w:szCs w:val="20"/>
          <w:color w:val="auto"/>
        </w:rPr>
        <w:t xml:space="preserve">Net cash provided by operating activities of </w:t>
      </w:r>
      <w:r>
        <w:rPr>
          <w:rFonts w:ascii="Arial" w:cs="Arial" w:eastAsia="Arial" w:hAnsi="Arial"/>
          <w:sz w:val="20"/>
          <w:szCs w:val="20"/>
          <w:b w:val="1"/>
          <w:bCs w:val="1"/>
          <w:color w:val="00249C"/>
        </w:rPr>
        <w:t>$3.9 billion</w:t>
      </w:r>
      <w:r>
        <w:rPr>
          <w:rFonts w:ascii="Arial" w:cs="Arial" w:eastAsia="Arial" w:hAnsi="Arial"/>
          <w:sz w:val="20"/>
          <w:szCs w:val="20"/>
          <w:color w:val="auto"/>
        </w:rPr>
        <w:t xml:space="preserve"> and adjusted free cash flow* of </w:t>
      </w:r>
      <w:r>
        <w:rPr>
          <w:rFonts w:ascii="Arial" w:cs="Arial" w:eastAsia="Arial" w:hAnsi="Arial"/>
          <w:sz w:val="20"/>
          <w:szCs w:val="20"/>
          <w:b w:val="1"/>
          <w:bCs w:val="1"/>
          <w:color w:val="00249C"/>
        </w:rPr>
        <w:t>$2.1 billion</w:t>
      </w:r>
      <w:r>
        <w:rPr>
          <w:rFonts w:ascii="Arial" w:cs="Arial" w:eastAsia="Arial" w:hAnsi="Arial"/>
          <w:sz w:val="20"/>
          <w:szCs w:val="20"/>
          <w:color w:val="auto"/>
        </w:rPr>
        <w:t xml:space="preserve">, up </w:t>
      </w:r>
      <w:r>
        <w:rPr>
          <w:rFonts w:ascii="Arial" w:cs="Arial" w:eastAsia="Arial" w:hAnsi="Arial"/>
          <w:sz w:val="20"/>
          <w:szCs w:val="20"/>
          <w:b w:val="1"/>
          <w:bCs w:val="1"/>
          <w:color w:val="00249C"/>
        </w:rPr>
        <w:t>30%</w:t>
      </w:r>
      <w:r>
        <w:rPr>
          <w:rFonts w:ascii="Arial" w:cs="Arial" w:eastAsia="Arial" w:hAnsi="Arial"/>
          <w:sz w:val="20"/>
          <w:szCs w:val="20"/>
          <w:color w:val="auto"/>
        </w:rPr>
        <w:t xml:space="preserve"> compared to 2022</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Invested </w:t>
      </w:r>
      <w:r>
        <w:rPr>
          <w:rFonts w:ascii="Arial" w:cs="Arial" w:eastAsia="Arial" w:hAnsi="Arial"/>
          <w:sz w:val="20"/>
          <w:szCs w:val="20"/>
          <w:b w:val="1"/>
          <w:bCs w:val="1"/>
          <w:color w:val="00249C"/>
        </w:rPr>
        <w:t>7.5%</w:t>
      </w:r>
      <w:r>
        <w:rPr>
          <w:rFonts w:ascii="Arial" w:cs="Arial" w:eastAsia="Arial" w:hAnsi="Arial"/>
          <w:sz w:val="20"/>
          <w:szCs w:val="20"/>
          <w:color w:val="auto"/>
        </w:rPr>
        <w:t xml:space="preserve"> of sales in R&amp;D and capital expenditures, which totaled </w:t>
      </w:r>
      <w:r>
        <w:rPr>
          <w:rFonts w:ascii="Arial" w:cs="Arial" w:eastAsia="Arial" w:hAnsi="Arial"/>
          <w:sz w:val="20"/>
          <w:szCs w:val="20"/>
          <w:b w:val="1"/>
          <w:bCs w:val="1"/>
          <w:color w:val="00249C"/>
        </w:rPr>
        <w:t xml:space="preserve">$1.2 billion </w:t>
      </w:r>
      <w:r>
        <w:rPr>
          <w:rFonts w:ascii="Arial" w:cs="Arial" w:eastAsia="Arial" w:hAnsi="Arial"/>
          <w:sz w:val="20"/>
          <w:szCs w:val="20"/>
          <w:color w:val="000000"/>
        </w:rPr>
        <w:t>and</w:t>
      </w:r>
      <w:r>
        <w:rPr>
          <w:rFonts w:ascii="Arial" w:cs="Arial" w:eastAsia="Arial" w:hAnsi="Arial"/>
          <w:sz w:val="20"/>
          <w:szCs w:val="20"/>
          <w:b w:val="1"/>
          <w:bCs w:val="1"/>
          <w:color w:val="00249C"/>
        </w:rPr>
        <w:t xml:space="preserve"> $1.8 billion</w:t>
      </w:r>
      <w:r>
        <w:rPr>
          <w:rFonts w:ascii="Arial" w:cs="Arial" w:eastAsia="Arial" w:hAnsi="Arial"/>
          <w:sz w:val="20"/>
          <w:szCs w:val="20"/>
          <w:color w:val="000000"/>
        </w:rPr>
        <w:t>,</w:t>
      </w:r>
      <w:r>
        <w:rPr>
          <w:rFonts w:ascii="Arial" w:cs="Arial" w:eastAsia="Arial" w:hAnsi="Arial"/>
          <w:sz w:val="20"/>
          <w:szCs w:val="20"/>
          <w:b w:val="1"/>
          <w:bCs w:val="1"/>
          <w:color w:val="00249C"/>
        </w:rPr>
        <w:t xml:space="preserve"> </w:t>
      </w:r>
      <w:r>
        <w:rPr>
          <w:rFonts w:ascii="Arial" w:cs="Arial" w:eastAsia="Arial" w:hAnsi="Arial"/>
          <w:sz w:val="20"/>
          <w:szCs w:val="20"/>
          <w:color w:val="000000"/>
        </w:rPr>
        <w:t>respectively</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right="240"/>
        <w:spacing w:after="0" w:line="267" w:lineRule="auto"/>
        <w:rPr>
          <w:sz w:val="20"/>
          <w:szCs w:val="20"/>
          <w:color w:val="auto"/>
        </w:rPr>
      </w:pPr>
      <w:r>
        <w:rPr>
          <w:rFonts w:ascii="Arial" w:cs="Arial" w:eastAsia="Arial" w:hAnsi="Arial"/>
          <w:sz w:val="19"/>
          <w:szCs w:val="19"/>
          <w:color w:val="auto"/>
        </w:rPr>
        <w:t xml:space="preserve">We returned </w:t>
      </w:r>
      <w:r>
        <w:rPr>
          <w:rFonts w:ascii="Arial" w:cs="Arial" w:eastAsia="Arial" w:hAnsi="Arial"/>
          <w:sz w:val="19"/>
          <w:szCs w:val="19"/>
          <w:b w:val="1"/>
          <w:bCs w:val="1"/>
          <w:color w:val="00249C"/>
        </w:rPr>
        <w:t>$2.6 billion</w:t>
      </w:r>
      <w:r>
        <w:rPr>
          <w:rFonts w:ascii="Arial" w:cs="Arial" w:eastAsia="Arial" w:hAnsi="Arial"/>
          <w:sz w:val="19"/>
          <w:szCs w:val="19"/>
          <w:color w:val="auto"/>
        </w:rPr>
        <w:t xml:space="preserve"> to our shareholders through dividends and share repurchases and increased our quarterly dividend by </w:t>
      </w:r>
      <w:r>
        <w:rPr>
          <w:rFonts w:ascii="Arial" w:cs="Arial" w:eastAsia="Arial" w:hAnsi="Arial"/>
          <w:sz w:val="19"/>
          <w:szCs w:val="19"/>
          <w:b w:val="1"/>
          <w:bCs w:val="1"/>
          <w:color w:val="00249C"/>
        </w:rPr>
        <w:t>8% to $1.87 per share</w:t>
      </w:r>
      <w:r>
        <w:rPr>
          <w:rFonts w:ascii="Arial" w:cs="Arial" w:eastAsia="Arial" w:hAnsi="Arial"/>
          <w:sz w:val="19"/>
          <w:szCs w:val="19"/>
          <w:color w:val="auto"/>
        </w:rPr>
        <w:t xml:space="preserve">, our </w:t>
      </w:r>
      <w:r>
        <w:rPr>
          <w:rFonts w:ascii="Arial" w:cs="Arial" w:eastAsia="Arial" w:hAnsi="Arial"/>
          <w:sz w:val="19"/>
          <w:szCs w:val="19"/>
          <w:b w:val="1"/>
          <w:bCs w:val="1"/>
          <w:color w:val="00249C"/>
        </w:rPr>
        <w:t xml:space="preserve">20th </w:t>
      </w:r>
      <w:r>
        <w:rPr>
          <w:rFonts w:ascii="Arial" w:cs="Arial" w:eastAsia="Arial" w:hAnsi="Arial"/>
          <w:sz w:val="19"/>
          <w:szCs w:val="19"/>
          <w:color w:val="000000"/>
        </w:rPr>
        <w:t>consecutive annual increase</w:t>
      </w:r>
    </w:p>
    <w:p>
      <w:pPr>
        <w:spacing w:after="0" w:line="200" w:lineRule="exact"/>
        <w:rPr>
          <w:sz w:val="20"/>
          <w:szCs w:val="20"/>
          <w:color w:val="auto"/>
        </w:rPr>
      </w:pPr>
    </w:p>
    <w:p>
      <w:pPr>
        <w:sectPr>
          <w:pgSz w:w="11900" w:h="16838" w:orient="portrait"/>
          <w:cols w:equalWidth="0" w:num="3">
            <w:col w:w="3400" w:space="360"/>
            <w:col w:w="3040" w:space="500"/>
            <w:col w:w="3940"/>
          </w:cols>
          <w:pgMar w:left="320" w:top="1298"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 This metric is a non-GAAP financial measure. For more information, see ”Appendix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320"/>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Executive Compensation Highlights</w:t>
      </w:r>
    </w:p>
    <w:p>
      <w:pPr>
        <w:spacing w:after="0" w:line="134"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We are committed to performance-based executive compensation programs that align with our shareholders’ interests, reflecting our Company’s objectives and our strategy of investing for and delivering long-term profitable growth.</w:t>
      </w:r>
    </w:p>
    <w:p>
      <w:pPr>
        <w:spacing w:after="0" w:line="59"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Compensation Snapshot</w:t>
      </w:r>
    </w:p>
    <w:p>
      <w:pPr>
        <w:spacing w:after="0" w:line="119" w:lineRule="exact"/>
        <w:rPr>
          <w:sz w:val="20"/>
          <w:szCs w:val="20"/>
          <w:color w:val="auto"/>
        </w:rPr>
      </w:pPr>
    </w:p>
    <w:p>
      <w:pPr>
        <w:ind w:left="2620"/>
        <w:spacing w:after="0"/>
        <w:tabs>
          <w:tab w:leader="none" w:pos="6720" w:val="left"/>
        </w:tabs>
        <w:rPr>
          <w:sz w:val="20"/>
          <w:szCs w:val="20"/>
          <w:color w:val="auto"/>
        </w:rPr>
      </w:pPr>
      <w:r>
        <w:rPr>
          <w:rFonts w:ascii="Arial" w:cs="Arial" w:eastAsia="Arial" w:hAnsi="Arial"/>
          <w:sz w:val="18"/>
          <w:szCs w:val="18"/>
          <w:b w:val="1"/>
          <w:bCs w:val="1"/>
          <w:color w:val="auto"/>
        </w:rPr>
        <w:t>CEO</w:t>
      </w:r>
      <w:r>
        <w:rPr>
          <w:sz w:val="20"/>
          <w:szCs w:val="20"/>
          <w:color w:val="auto"/>
        </w:rPr>
        <w:tab/>
      </w:r>
      <w:r>
        <w:rPr>
          <w:rFonts w:ascii="Arial" w:cs="Arial" w:eastAsia="Arial" w:hAnsi="Arial"/>
          <w:sz w:val="18"/>
          <w:szCs w:val="18"/>
          <w:b w:val="1"/>
          <w:bCs w:val="1"/>
          <w:color w:val="auto"/>
        </w:rPr>
        <w:t>Other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26035</wp:posOffset>
            </wp:positionV>
            <wp:extent cx="6094730" cy="17659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9473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Paying For Performance</w:t>
      </w:r>
    </w:p>
    <w:p>
      <w:pPr>
        <w:spacing w:after="0" w:line="123"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In 2023, we continued to maintain robust pay-for-performance practices. All incentive plan performance payouts reflect our performance against our 2023 goals.</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423"/>
        </w:trPr>
        <w:tc>
          <w:tcPr>
            <w:tcW w:w="3080" w:type="dxa"/>
            <w:vAlign w:val="bottom"/>
            <w:tcBorders>
              <w:right w:val="single" w:sz="8" w:color="29378D"/>
            </w:tcBorders>
          </w:tcPr>
          <w:p>
            <w:pPr>
              <w:spacing w:after="0"/>
              <w:rPr>
                <w:sz w:val="20"/>
                <w:szCs w:val="20"/>
                <w:color w:val="auto"/>
              </w:rPr>
            </w:pPr>
            <w:r>
              <w:rPr>
                <w:rFonts w:ascii="Arial" w:cs="Arial" w:eastAsia="Arial" w:hAnsi="Arial"/>
                <w:sz w:val="14"/>
                <w:szCs w:val="14"/>
                <w:b w:val="1"/>
                <w:bCs w:val="1"/>
                <w:color w:val="29378D"/>
              </w:rPr>
              <w:t>We delivered strong</w:t>
            </w:r>
          </w:p>
        </w:tc>
        <w:tc>
          <w:tcPr>
            <w:tcW w:w="3140" w:type="dxa"/>
            <w:vAlign w:val="bottom"/>
            <w:tcBorders>
              <w:top w:val="single" w:sz="8" w:color="29378D"/>
            </w:tcBorders>
            <w:vMerge w:val="restart"/>
          </w:tcPr>
          <w:p>
            <w:pPr>
              <w:jc w:val="right"/>
              <w:ind w:right="1920"/>
              <w:spacing w:after="0"/>
              <w:rPr>
                <w:sz w:val="20"/>
                <w:szCs w:val="20"/>
                <w:color w:val="auto"/>
              </w:rPr>
            </w:pPr>
            <w:r>
              <w:rPr>
                <w:rFonts w:ascii="Arial" w:cs="Arial" w:eastAsia="Arial" w:hAnsi="Arial"/>
                <w:sz w:val="43"/>
                <w:szCs w:val="43"/>
                <w:b w:val="1"/>
                <w:bCs w:val="1"/>
                <w:color w:val="29378D"/>
                <w:w w:val="98"/>
              </w:rPr>
              <w:t>157%</w:t>
            </w:r>
          </w:p>
        </w:tc>
        <w:tc>
          <w:tcPr>
            <w:tcW w:w="5020" w:type="dxa"/>
            <w:vAlign w:val="bottom"/>
            <w:tcBorders>
              <w:top w:val="single" w:sz="8" w:color="29378D"/>
              <w:right w:val="single" w:sz="8" w:color="29378D"/>
            </w:tcBorders>
            <w:vMerge w:val="restart"/>
          </w:tcPr>
          <w:p>
            <w:pPr>
              <w:ind w:left="800"/>
              <w:spacing w:after="0"/>
              <w:rPr>
                <w:sz w:val="20"/>
                <w:szCs w:val="20"/>
                <w:color w:val="auto"/>
              </w:rPr>
            </w:pPr>
            <w:r>
              <w:rPr>
                <w:rFonts w:ascii="Arial" w:cs="Arial" w:eastAsia="Arial" w:hAnsi="Arial"/>
                <w:sz w:val="43"/>
                <w:szCs w:val="43"/>
                <w:b w:val="1"/>
                <w:bCs w:val="1"/>
                <w:color w:val="29378D"/>
              </w:rPr>
              <w:t>141%</w:t>
            </w:r>
          </w:p>
        </w:tc>
        <w:tc>
          <w:tcPr>
            <w:tcW w:w="0" w:type="dxa"/>
            <w:vAlign w:val="bottom"/>
          </w:tcPr>
          <w:p>
            <w:pPr>
              <w:spacing w:after="0"/>
              <w:rPr>
                <w:sz w:val="1"/>
                <w:szCs w:val="1"/>
                <w:color w:val="auto"/>
              </w:rPr>
            </w:pPr>
          </w:p>
        </w:tc>
      </w:tr>
      <w:tr>
        <w:trPr>
          <w:trHeight w:val="189"/>
        </w:trPr>
        <w:tc>
          <w:tcPr>
            <w:tcW w:w="3080" w:type="dxa"/>
            <w:vAlign w:val="bottom"/>
            <w:tcBorders>
              <w:right w:val="single" w:sz="8" w:color="29378D"/>
            </w:tcBorders>
          </w:tcPr>
          <w:p>
            <w:pPr>
              <w:spacing w:after="0"/>
              <w:rPr>
                <w:sz w:val="20"/>
                <w:szCs w:val="20"/>
                <w:color w:val="auto"/>
              </w:rPr>
            </w:pPr>
            <w:r>
              <w:rPr>
                <w:rFonts w:ascii="Arial" w:cs="Arial" w:eastAsia="Arial" w:hAnsi="Arial"/>
                <w:sz w:val="14"/>
                <w:szCs w:val="14"/>
                <w:b w:val="1"/>
                <w:bCs w:val="1"/>
                <w:color w:val="29378D"/>
              </w:rPr>
              <w:t>financial performance</w:t>
            </w:r>
          </w:p>
        </w:tc>
        <w:tc>
          <w:tcPr>
            <w:tcW w:w="3140" w:type="dxa"/>
            <w:vAlign w:val="bottom"/>
            <w:vMerge w:val="continue"/>
          </w:tcPr>
          <w:p>
            <w:pPr>
              <w:spacing w:after="0"/>
              <w:rPr>
                <w:sz w:val="16"/>
                <w:szCs w:val="16"/>
                <w:color w:val="auto"/>
              </w:rPr>
            </w:pPr>
          </w:p>
        </w:tc>
        <w:tc>
          <w:tcPr>
            <w:tcW w:w="5020" w:type="dxa"/>
            <w:vAlign w:val="bottom"/>
            <w:tcBorders>
              <w:right w:val="single" w:sz="8" w:color="29378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80" w:type="dxa"/>
            <w:vAlign w:val="bottom"/>
            <w:tcBorders>
              <w:right w:val="single" w:sz="8" w:color="29378D"/>
            </w:tcBorders>
          </w:tcPr>
          <w:p>
            <w:pPr>
              <w:spacing w:after="0"/>
              <w:rPr>
                <w:sz w:val="20"/>
                <w:szCs w:val="20"/>
                <w:color w:val="auto"/>
              </w:rPr>
            </w:pPr>
            <w:r>
              <w:rPr>
                <w:rFonts w:ascii="Arial" w:cs="Arial" w:eastAsia="Arial" w:hAnsi="Arial"/>
                <w:sz w:val="14"/>
                <w:szCs w:val="14"/>
                <w:b w:val="1"/>
                <w:bCs w:val="1"/>
                <w:color w:val="29378D"/>
              </w:rPr>
              <w:t>in 2023</w:t>
            </w:r>
          </w:p>
        </w:tc>
        <w:tc>
          <w:tcPr>
            <w:tcW w:w="3140" w:type="dxa"/>
            <w:vAlign w:val="bottom"/>
          </w:tcPr>
          <w:p>
            <w:pPr>
              <w:ind w:left="140"/>
              <w:spacing w:after="0"/>
              <w:rPr>
                <w:sz w:val="20"/>
                <w:szCs w:val="20"/>
                <w:color w:val="auto"/>
              </w:rPr>
            </w:pPr>
            <w:r>
              <w:rPr>
                <w:rFonts w:ascii="Arial" w:cs="Arial" w:eastAsia="Arial" w:hAnsi="Arial"/>
                <w:sz w:val="14"/>
                <w:szCs w:val="14"/>
                <w:b w:val="1"/>
                <w:bCs w:val="1"/>
                <w:color w:val="auto"/>
              </w:rPr>
              <w:t>2023 ANNUAL INCENTIVE PLAN</w:t>
            </w:r>
          </w:p>
        </w:tc>
        <w:tc>
          <w:tcPr>
            <w:tcW w:w="5020" w:type="dxa"/>
            <w:vAlign w:val="bottom"/>
            <w:tcBorders>
              <w:right w:val="single" w:sz="8" w:color="29378D"/>
            </w:tcBorders>
          </w:tcPr>
          <w:p>
            <w:pPr>
              <w:ind w:left="800"/>
              <w:spacing w:after="0"/>
              <w:rPr>
                <w:sz w:val="20"/>
                <w:szCs w:val="20"/>
                <w:color w:val="auto"/>
              </w:rPr>
            </w:pPr>
            <w:r>
              <w:rPr>
                <w:rFonts w:ascii="Arial" w:cs="Arial" w:eastAsia="Arial" w:hAnsi="Arial"/>
                <w:sz w:val="14"/>
                <w:szCs w:val="14"/>
                <w:b w:val="1"/>
                <w:bCs w:val="1"/>
                <w:color w:val="auto"/>
              </w:rPr>
              <w:t>2023 LONG-TERM INCENTIVE PLAN</w:t>
            </w:r>
          </w:p>
        </w:tc>
        <w:tc>
          <w:tcPr>
            <w:tcW w:w="0" w:type="dxa"/>
            <w:vAlign w:val="bottom"/>
          </w:tcPr>
          <w:p>
            <w:pPr>
              <w:spacing w:after="0"/>
              <w:rPr>
                <w:sz w:val="1"/>
                <w:szCs w:val="1"/>
                <w:color w:val="auto"/>
              </w:rPr>
            </w:pPr>
          </w:p>
        </w:tc>
      </w:tr>
      <w:tr>
        <w:trPr>
          <w:trHeight w:val="196"/>
        </w:trPr>
        <w:tc>
          <w:tcPr>
            <w:tcW w:w="3080" w:type="dxa"/>
            <w:vAlign w:val="bottom"/>
            <w:tcBorders>
              <w:right w:val="single" w:sz="8" w:color="29378D"/>
            </w:tcBorders>
          </w:tcPr>
          <w:p>
            <w:pPr>
              <w:spacing w:after="0"/>
              <w:rPr>
                <w:sz w:val="17"/>
                <w:szCs w:val="17"/>
                <w:color w:val="auto"/>
              </w:rPr>
            </w:pPr>
          </w:p>
        </w:tc>
        <w:tc>
          <w:tcPr>
            <w:tcW w:w="3140" w:type="dxa"/>
            <w:vAlign w:val="bottom"/>
          </w:tcPr>
          <w:p>
            <w:pPr>
              <w:ind w:left="140"/>
              <w:spacing w:after="0"/>
              <w:rPr>
                <w:sz w:val="20"/>
                <w:szCs w:val="20"/>
                <w:color w:val="auto"/>
              </w:rPr>
            </w:pPr>
            <w:r>
              <w:rPr>
                <w:rFonts w:ascii="Arial" w:cs="Arial" w:eastAsia="Arial" w:hAnsi="Arial"/>
                <w:sz w:val="14"/>
                <w:szCs w:val="14"/>
                <w:b w:val="1"/>
                <w:bCs w:val="1"/>
                <w:color w:val="auto"/>
              </w:rPr>
              <w:t>(AIP) PAY FOR OUR NEOs</w:t>
            </w:r>
          </w:p>
        </w:tc>
        <w:tc>
          <w:tcPr>
            <w:tcW w:w="5020" w:type="dxa"/>
            <w:vAlign w:val="bottom"/>
            <w:tcBorders>
              <w:right w:val="single" w:sz="8" w:color="29378D"/>
            </w:tcBorders>
          </w:tcPr>
          <w:p>
            <w:pPr>
              <w:ind w:left="800"/>
              <w:spacing w:after="0"/>
              <w:rPr>
                <w:sz w:val="20"/>
                <w:szCs w:val="20"/>
                <w:color w:val="auto"/>
              </w:rPr>
            </w:pPr>
            <w:r>
              <w:rPr>
                <w:rFonts w:ascii="Arial" w:cs="Arial" w:eastAsia="Arial" w:hAnsi="Arial"/>
                <w:sz w:val="14"/>
                <w:szCs w:val="14"/>
                <w:b w:val="1"/>
                <w:bCs w:val="1"/>
                <w:color w:val="auto"/>
              </w:rPr>
              <w:t>(LTIP) PAYOUT FOR OUR NEOs</w:t>
            </w:r>
          </w:p>
        </w:tc>
        <w:tc>
          <w:tcPr>
            <w:tcW w:w="0" w:type="dxa"/>
            <w:vAlign w:val="bottom"/>
          </w:tcPr>
          <w:p>
            <w:pPr>
              <w:spacing w:after="0"/>
              <w:rPr>
                <w:sz w:val="1"/>
                <w:szCs w:val="1"/>
                <w:color w:val="auto"/>
              </w:rPr>
            </w:pPr>
          </w:p>
        </w:tc>
      </w:tr>
      <w:tr>
        <w:trPr>
          <w:trHeight w:val="83"/>
        </w:trPr>
        <w:tc>
          <w:tcPr>
            <w:tcW w:w="3080" w:type="dxa"/>
            <w:vAlign w:val="bottom"/>
            <w:tcBorders>
              <w:right w:val="single" w:sz="8" w:color="29378D"/>
            </w:tcBorders>
          </w:tcPr>
          <w:p>
            <w:pPr>
              <w:spacing w:after="0"/>
              <w:rPr>
                <w:sz w:val="7"/>
                <w:szCs w:val="7"/>
                <w:color w:val="auto"/>
              </w:rPr>
            </w:pPr>
          </w:p>
        </w:tc>
        <w:tc>
          <w:tcPr>
            <w:tcW w:w="3140" w:type="dxa"/>
            <w:vAlign w:val="bottom"/>
            <w:tcBorders>
              <w:bottom w:val="single" w:sz="8" w:color="29378D"/>
            </w:tcBorders>
          </w:tcPr>
          <w:p>
            <w:pPr>
              <w:spacing w:after="0"/>
              <w:rPr>
                <w:sz w:val="7"/>
                <w:szCs w:val="7"/>
                <w:color w:val="auto"/>
              </w:rPr>
            </w:pPr>
          </w:p>
        </w:tc>
        <w:tc>
          <w:tcPr>
            <w:tcW w:w="5020" w:type="dxa"/>
            <w:vAlign w:val="bottom"/>
            <w:tcBorders>
              <w:bottom w:val="single" w:sz="8" w:color="29378D"/>
              <w:right w:val="single" w:sz="8" w:color="29378D"/>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29378D"/>
        </w:rPr>
        <w:t>Non-financial Metrics in Annual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64770</wp:posOffset>
            </wp:positionV>
            <wp:extent cx="4680585" cy="539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80585" cy="539750"/>
                    </a:xfrm>
                    <a:prstGeom prst="rect">
                      <a:avLst/>
                    </a:prstGeom>
                    <a:noFill/>
                  </pic:spPr>
                </pic:pic>
              </a:graphicData>
            </a:graphic>
          </wp:anchor>
        </w:drawing>
      </w:r>
    </w:p>
    <w:p>
      <w:pPr>
        <w:spacing w:after="0" w:line="263" w:lineRule="exact"/>
        <w:rPr>
          <w:sz w:val="20"/>
          <w:szCs w:val="20"/>
          <w:color w:val="auto"/>
        </w:rPr>
      </w:pPr>
    </w:p>
    <w:p>
      <w:pPr>
        <w:jc w:val="center"/>
        <w:ind w:left="5120"/>
        <w:spacing w:after="0"/>
        <w:rPr>
          <w:sz w:val="20"/>
          <w:szCs w:val="20"/>
          <w:color w:val="auto"/>
        </w:rPr>
      </w:pPr>
      <w:r>
        <w:rPr>
          <w:rFonts w:ascii="Arial" w:cs="Arial" w:eastAsia="Arial" w:hAnsi="Arial"/>
          <w:sz w:val="20"/>
          <w:szCs w:val="20"/>
          <w:color w:val="29378D"/>
        </w:rPr>
        <w:t>People</w:t>
      </w:r>
    </w:p>
    <w:p>
      <w:pPr>
        <w:sectPr>
          <w:pgSz w:w="11900" w:h="16838" w:orient="portrait"/>
          <w:cols w:equalWidth="0" w:num="1">
            <w:col w:w="11260"/>
          </w:cols>
          <w:pgMar w:left="320" w:top="238" w:right="319" w:bottom="1440" w:gutter="0" w:footer="0" w:header="0"/>
        </w:sectPr>
      </w:pPr>
    </w:p>
    <w:p>
      <w:pPr>
        <w:spacing w:after="0" w:line="187" w:lineRule="exact"/>
        <w:rPr>
          <w:sz w:val="20"/>
          <w:szCs w:val="20"/>
          <w:color w:val="auto"/>
        </w:rPr>
      </w:pPr>
    </w:p>
    <w:p>
      <w:pPr>
        <w:ind w:left="20" w:right="1260"/>
        <w:spacing w:after="0" w:line="292" w:lineRule="auto"/>
        <w:rPr>
          <w:sz w:val="20"/>
          <w:szCs w:val="20"/>
          <w:color w:val="auto"/>
        </w:rPr>
      </w:pPr>
      <w:r>
        <w:rPr>
          <w:rFonts w:ascii="Arial" w:cs="Arial" w:eastAsia="Arial" w:hAnsi="Arial"/>
          <w:sz w:val="14"/>
          <w:szCs w:val="14"/>
          <w:b w:val="1"/>
          <w:bCs w:val="1"/>
          <w:color w:val="29378D"/>
        </w:rPr>
        <w:t>We are committed to a fair and equitable workplace for our employees, environmental sustainability and an unrelenting focus on our customers. To reinforce these commitments we include related non-financial metrics in our executive compensation program.</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Diversity | Employee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177165</wp:posOffset>
            </wp:positionV>
            <wp:extent cx="4680585" cy="539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80585" cy="5397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29378D"/>
        </w:rPr>
        <w:t>Environment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Environmental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177165</wp:posOffset>
            </wp:positionV>
            <wp:extent cx="4680585" cy="548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80585" cy="548640"/>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2">
            <w:col w:w="4540" w:space="720"/>
            <w:col w:w="6000"/>
          </w:cols>
          <w:pgMar w:left="320" w:top="238" w:right="319" w:bottom="1440" w:gutter="0" w:footer="0" w:header="0"/>
          <w:type w:val="continuous"/>
        </w:sectPr>
      </w:pPr>
    </w:p>
    <w:p>
      <w:pPr>
        <w:spacing w:after="0" w:line="16" w:lineRule="exact"/>
        <w:rPr>
          <w:sz w:val="20"/>
          <w:szCs w:val="20"/>
          <w:color w:val="auto"/>
        </w:rPr>
      </w:pPr>
    </w:p>
    <w:p>
      <w:pPr>
        <w:ind w:left="5260"/>
        <w:spacing w:after="0"/>
        <w:rPr>
          <w:sz w:val="20"/>
          <w:szCs w:val="20"/>
          <w:color w:val="auto"/>
        </w:rPr>
      </w:pPr>
      <w:r>
        <w:rPr>
          <w:rFonts w:ascii="Arial" w:cs="Arial" w:eastAsia="Arial" w:hAnsi="Arial"/>
          <w:sz w:val="20"/>
          <w:szCs w:val="20"/>
          <w:color w:val="29378D"/>
        </w:rPr>
        <w:t>Customer</w:t>
      </w:r>
    </w:p>
    <w:p>
      <w:pPr>
        <w:spacing w:after="0" w:line="31" w:lineRule="exact"/>
        <w:rPr>
          <w:sz w:val="20"/>
          <w:szCs w:val="20"/>
          <w:color w:val="auto"/>
        </w:rPr>
      </w:pPr>
    </w:p>
    <w:p>
      <w:pPr>
        <w:jc w:val="right"/>
        <w:ind w:right="3780"/>
        <w:spacing w:after="0"/>
        <w:rPr>
          <w:sz w:val="20"/>
          <w:szCs w:val="20"/>
          <w:color w:val="auto"/>
        </w:rPr>
      </w:pPr>
      <w:r>
        <w:rPr>
          <w:rFonts w:ascii="Arial" w:cs="Arial" w:eastAsia="Arial" w:hAnsi="Arial"/>
          <w:sz w:val="16"/>
          <w:szCs w:val="16"/>
          <w:color w:val="auto"/>
        </w:rPr>
        <w:t>Quality | Customer Satisfaction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0" w:hanging="494"/>
        <w:spacing w:after="0"/>
        <w:tabs>
          <w:tab w:leader="none" w:pos="520"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8" w:right="319" w:bottom="1440" w:gutter="0" w:footer="0" w:header="0"/>
          <w:type w:val="continuous"/>
        </w:sectPr>
      </w:pPr>
    </w:p>
    <w:bookmarkStart w:id="11" w:name="page12"/>
    <w:bookmarkEnd w:id="11"/>
    <w:p>
      <w:pPr>
        <w:ind w:left="9400"/>
        <w:spacing w:after="0"/>
        <w:rPr>
          <w:sz w:val="20"/>
          <w:szCs w:val="20"/>
          <w:color w:val="auto"/>
        </w:rPr>
      </w:pPr>
      <w:r>
        <w:rPr>
          <w:rFonts w:ascii="Arial" w:cs="Arial" w:eastAsia="Arial" w:hAnsi="Arial"/>
          <w:sz w:val="14"/>
          <w:szCs w:val="14"/>
          <w:b w:val="1"/>
          <w:bCs w:val="1"/>
          <w:color w:val="auto"/>
        </w:rPr>
        <w:t>Proxy Statement Summary</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High Say-on-Pay</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29378D"/>
        </w:rPr>
        <w:t>Consistent</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25"/>
          <w:szCs w:val="25"/>
          <w:color w:val="auto"/>
        </w:rPr>
        <w:t>Shareholder Approval</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29378D"/>
        </w:rPr>
        <w:t>97%</w:t>
      </w:r>
    </w:p>
    <w:p>
      <w:pPr>
        <w:spacing w:after="0" w:line="65" w:lineRule="exact"/>
        <w:rPr>
          <w:sz w:val="20"/>
          <w:szCs w:val="20"/>
          <w:color w:val="auto"/>
        </w:rPr>
      </w:pPr>
    </w:p>
    <w:p>
      <w:pPr>
        <w:ind w:left="20" w:right="80"/>
        <w:spacing w:after="0" w:line="297" w:lineRule="auto"/>
        <w:rPr>
          <w:sz w:val="20"/>
          <w:szCs w:val="20"/>
          <w:color w:val="auto"/>
        </w:rPr>
      </w:pPr>
      <w:r>
        <w:rPr>
          <w:rFonts w:ascii="Arial" w:cs="Arial" w:eastAsia="Arial" w:hAnsi="Arial"/>
          <w:sz w:val="14"/>
          <w:szCs w:val="14"/>
          <w:b w:val="1"/>
          <w:bCs w:val="1"/>
          <w:color w:val="auto"/>
        </w:rPr>
        <w:t>3-YEAR AVERAGE OF SHAREHOLDER VOTES IN FAVOR OF SAY-ON-PAY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Highlights of our 2023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-115570</wp:posOffset>
            </wp:positionV>
            <wp:extent cx="8255" cy="13798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1379855"/>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gridSpan w:val="2"/>
            <w:vMerge w:val="restart"/>
          </w:tcPr>
          <w:p>
            <w:pPr>
              <w:ind w:left="20"/>
              <w:spacing w:after="0"/>
              <w:rPr>
                <w:sz w:val="20"/>
                <w:szCs w:val="20"/>
                <w:color w:val="auto"/>
              </w:rPr>
            </w:pPr>
            <w:r>
              <w:rPr>
                <w:rFonts w:ascii="Arial" w:cs="Arial" w:eastAsia="Arial" w:hAnsi="Arial"/>
                <w:sz w:val="16"/>
                <w:szCs w:val="16"/>
                <w:color w:val="auto"/>
              </w:rPr>
              <w:t xml:space="preserve">Over </w:t>
            </w:r>
            <w:r>
              <w:rPr>
                <w:rFonts w:ascii="Arial" w:cs="Arial" w:eastAsia="Arial" w:hAnsi="Arial"/>
                <w:sz w:val="16"/>
                <w:szCs w:val="16"/>
                <w:b w:val="1"/>
                <w:bCs w:val="1"/>
                <w:color w:val="29378D"/>
              </w:rPr>
              <w:t>80%</w:t>
            </w:r>
            <w:r>
              <w:rPr>
                <w:rFonts w:ascii="Arial" w:cs="Arial" w:eastAsia="Arial" w:hAnsi="Arial"/>
                <w:sz w:val="16"/>
                <w:szCs w:val="16"/>
                <w:color w:val="auto"/>
              </w:rPr>
              <w:t xml:space="preserve"> of Executive</w:t>
            </w:r>
          </w:p>
        </w:tc>
        <w:tc>
          <w:tcPr>
            <w:tcW w:w="2840" w:type="dxa"/>
            <w:vAlign w:val="bottom"/>
            <w:gridSpan w:val="2"/>
          </w:tcPr>
          <w:p>
            <w:pPr>
              <w:ind w:left="20"/>
              <w:spacing w:after="0"/>
              <w:rPr>
                <w:sz w:val="20"/>
                <w:szCs w:val="20"/>
                <w:color w:val="auto"/>
              </w:rPr>
            </w:pPr>
            <w:r>
              <w:rPr>
                <w:rFonts w:ascii="Arial" w:cs="Arial" w:eastAsia="Arial" w:hAnsi="Arial"/>
                <w:sz w:val="16"/>
                <w:szCs w:val="16"/>
                <w:b w:val="1"/>
                <w:bCs w:val="1"/>
                <w:color w:val="29378D"/>
              </w:rPr>
              <w:t xml:space="preserve">Stock Ownership </w:t>
            </w:r>
            <w:r>
              <w:rPr>
                <w:rFonts w:ascii="Arial" w:cs="Arial" w:eastAsia="Arial" w:hAnsi="Arial"/>
                <w:sz w:val="16"/>
                <w:szCs w:val="16"/>
                <w:color w:val="000000"/>
              </w:rPr>
              <w:t>Guidelines for All</w:t>
            </w:r>
          </w:p>
        </w:tc>
        <w:tc>
          <w:tcPr>
            <w:tcW w:w="2800" w:type="dxa"/>
            <w:vAlign w:val="bottom"/>
          </w:tcPr>
          <w:p>
            <w:pPr>
              <w:ind w:left="20"/>
              <w:spacing w:after="0"/>
              <w:rPr>
                <w:sz w:val="20"/>
                <w:szCs w:val="20"/>
                <w:color w:val="auto"/>
              </w:rPr>
            </w:pPr>
            <w:r>
              <w:rPr>
                <w:rFonts w:ascii="Arial" w:cs="Arial" w:eastAsia="Arial" w:hAnsi="Arial"/>
                <w:sz w:val="16"/>
                <w:szCs w:val="16"/>
                <w:b w:val="1"/>
                <w:bCs w:val="1"/>
                <w:color w:val="29378D"/>
              </w:rPr>
              <w:t>3-Year Mandatory Holding Period</w:t>
            </w:r>
          </w:p>
        </w:tc>
        <w:tc>
          <w:tcPr>
            <w:tcW w:w="0" w:type="dxa"/>
            <w:vAlign w:val="bottom"/>
          </w:tcPr>
          <w:p>
            <w:pPr>
              <w:spacing w:after="0"/>
              <w:rPr>
                <w:sz w:val="1"/>
                <w:szCs w:val="1"/>
                <w:color w:val="auto"/>
              </w:rPr>
            </w:pPr>
          </w:p>
        </w:tc>
      </w:tr>
      <w:tr>
        <w:trPr>
          <w:trHeight w:val="108"/>
        </w:trPr>
        <w:tc>
          <w:tcPr>
            <w:tcW w:w="2820" w:type="dxa"/>
            <w:vAlign w:val="bottom"/>
            <w:gridSpan w:val="2"/>
            <w:vMerge w:val="continue"/>
          </w:tcPr>
          <w:p>
            <w:pPr>
              <w:spacing w:after="0"/>
              <w:rPr>
                <w:sz w:val="9"/>
                <w:szCs w:val="9"/>
                <w:color w:val="auto"/>
              </w:rPr>
            </w:pPr>
          </w:p>
        </w:tc>
        <w:tc>
          <w:tcPr>
            <w:tcW w:w="2840" w:type="dxa"/>
            <w:vAlign w:val="bottom"/>
            <w:gridSpan w:val="2"/>
            <w:vMerge w:val="restart"/>
          </w:tcPr>
          <w:p>
            <w:pPr>
              <w:ind w:left="20"/>
              <w:spacing w:after="0"/>
              <w:rPr>
                <w:sz w:val="20"/>
                <w:szCs w:val="20"/>
                <w:color w:val="auto"/>
              </w:rPr>
            </w:pPr>
            <w:r>
              <w:rPr>
                <w:rFonts w:ascii="Arial" w:cs="Arial" w:eastAsia="Arial" w:hAnsi="Arial"/>
                <w:sz w:val="16"/>
                <w:szCs w:val="16"/>
                <w:color w:val="auto"/>
              </w:rPr>
              <w:t>Officers:</w:t>
            </w:r>
          </w:p>
        </w:tc>
        <w:tc>
          <w:tcPr>
            <w:tcW w:w="2800" w:type="dxa"/>
            <w:vAlign w:val="bottom"/>
            <w:vMerge w:val="restart"/>
          </w:tcPr>
          <w:p>
            <w:pPr>
              <w:ind w:left="20"/>
              <w:spacing w:after="0"/>
              <w:rPr>
                <w:sz w:val="20"/>
                <w:szCs w:val="20"/>
                <w:color w:val="auto"/>
              </w:rPr>
            </w:pPr>
            <w:r>
              <w:rPr>
                <w:rFonts w:ascii="Arial" w:cs="Arial" w:eastAsia="Arial" w:hAnsi="Arial"/>
                <w:sz w:val="16"/>
                <w:szCs w:val="16"/>
                <w:color w:val="auto"/>
              </w:rPr>
              <w:t>for 50% of Vested Shares</w:t>
            </w:r>
          </w:p>
        </w:tc>
        <w:tc>
          <w:tcPr>
            <w:tcW w:w="0" w:type="dxa"/>
            <w:vAlign w:val="bottom"/>
          </w:tcPr>
          <w:p>
            <w:pPr>
              <w:spacing w:after="0"/>
              <w:rPr>
                <w:sz w:val="1"/>
                <w:szCs w:val="1"/>
                <w:color w:val="auto"/>
              </w:rPr>
            </w:pPr>
          </w:p>
        </w:tc>
      </w:tr>
      <w:tr>
        <w:trPr>
          <w:trHeight w:val="107"/>
        </w:trPr>
        <w:tc>
          <w:tcPr>
            <w:tcW w:w="2820" w:type="dxa"/>
            <w:vAlign w:val="bottom"/>
            <w:gridSpan w:val="2"/>
            <w:vMerge w:val="restart"/>
          </w:tcPr>
          <w:p>
            <w:pPr>
              <w:ind w:left="20"/>
              <w:spacing w:after="0"/>
              <w:rPr>
                <w:sz w:val="20"/>
                <w:szCs w:val="20"/>
                <w:color w:val="auto"/>
              </w:rPr>
            </w:pPr>
            <w:r>
              <w:rPr>
                <w:rFonts w:ascii="Arial" w:cs="Arial" w:eastAsia="Arial" w:hAnsi="Arial"/>
                <w:sz w:val="16"/>
                <w:szCs w:val="16"/>
                <w:color w:val="auto"/>
              </w:rPr>
              <w:t xml:space="preserve">Compensation is </w:t>
            </w:r>
            <w:r>
              <w:rPr>
                <w:rFonts w:ascii="Arial" w:cs="Arial" w:eastAsia="Arial" w:hAnsi="Arial"/>
                <w:sz w:val="16"/>
                <w:szCs w:val="16"/>
                <w:b w:val="1"/>
                <w:bCs w:val="1"/>
                <w:color w:val="29378D"/>
              </w:rPr>
              <w:t>Variable</w:t>
            </w:r>
          </w:p>
        </w:tc>
        <w:tc>
          <w:tcPr>
            <w:tcW w:w="2840" w:type="dxa"/>
            <w:vAlign w:val="bottom"/>
            <w:gridSpan w:val="2"/>
            <w:vMerge w:val="continue"/>
          </w:tcPr>
          <w:p>
            <w:pPr>
              <w:spacing w:after="0"/>
              <w:rPr>
                <w:sz w:val="9"/>
                <w:szCs w:val="9"/>
                <w:color w:val="auto"/>
              </w:rPr>
            </w:pP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820" w:type="dxa"/>
            <w:vAlign w:val="bottom"/>
            <w:gridSpan w:val="2"/>
            <w:vMerge w:val="continue"/>
          </w:tcPr>
          <w:p>
            <w:pPr>
              <w:spacing w:after="0"/>
              <w:rPr>
                <w:sz w:val="10"/>
                <w:szCs w:val="10"/>
                <w:color w:val="auto"/>
              </w:rPr>
            </w:pPr>
          </w:p>
        </w:tc>
        <w:tc>
          <w:tcPr>
            <w:tcW w:w="2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29378D"/>
              </w:rPr>
              <w:t>CEO 7x</w:t>
            </w: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40" w:type="dxa"/>
            <w:vAlign w:val="bottom"/>
            <w:gridSpan w:val="2"/>
            <w:vMerge w:val="continue"/>
          </w:tcPr>
          <w:p>
            <w:pPr>
              <w:spacing w:after="0"/>
              <w:rPr>
                <w:sz w:val="7"/>
                <w:szCs w:val="7"/>
                <w:color w:val="auto"/>
              </w:rPr>
            </w:pPr>
          </w:p>
        </w:tc>
        <w:tc>
          <w:tcPr>
            <w:tcW w:w="2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Arial" w:cs="Arial" w:eastAsia="Arial" w:hAnsi="Arial"/>
                <w:sz w:val="16"/>
                <w:szCs w:val="16"/>
                <w:b w:val="1"/>
                <w:bCs w:val="1"/>
                <w:color w:val="29378D"/>
              </w:rPr>
              <w:t>Other NEOs 3x</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6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66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29378D"/>
              </w:rPr>
              <w:t xml:space="preserve">Recoupment Policy </w:t>
            </w:r>
            <w:r>
              <w:rPr>
                <w:rFonts w:ascii="Arial" w:cs="Arial" w:eastAsia="Arial" w:hAnsi="Arial"/>
                <w:sz w:val="16"/>
                <w:szCs w:val="16"/>
                <w:color w:val="000000"/>
              </w:rPr>
              <w:t>on Cash</w:t>
            </w:r>
          </w:p>
        </w:tc>
        <w:tc>
          <w:tcPr>
            <w:tcW w:w="2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29378D"/>
              </w:rPr>
              <w:t xml:space="preserve">No </w:t>
            </w:r>
            <w:r>
              <w:rPr>
                <w:rFonts w:ascii="Arial" w:cs="Arial" w:eastAsia="Arial" w:hAnsi="Arial"/>
                <w:sz w:val="16"/>
                <w:szCs w:val="16"/>
                <w:color w:val="000000"/>
              </w:rPr>
              <w:t>Individual</w:t>
            </w:r>
            <w:r>
              <w:rPr>
                <w:rFonts w:ascii="Arial" w:cs="Arial" w:eastAsia="Arial" w:hAnsi="Arial"/>
                <w:sz w:val="16"/>
                <w:szCs w:val="16"/>
                <w:b w:val="1"/>
                <w:bCs w:val="1"/>
                <w:color w:val="29378D"/>
              </w:rPr>
              <w:t xml:space="preserve"> Change in Control</w:t>
            </w:r>
          </w:p>
        </w:tc>
        <w:tc>
          <w:tcPr>
            <w:tcW w:w="2800" w:type="dxa"/>
            <w:vAlign w:val="bottom"/>
            <w:vMerge w:val="restart"/>
          </w:tcPr>
          <w:p>
            <w:pPr>
              <w:ind w:left="20"/>
              <w:spacing w:after="0"/>
              <w:rPr>
                <w:sz w:val="20"/>
                <w:szCs w:val="20"/>
                <w:color w:val="auto"/>
              </w:rPr>
            </w:pPr>
            <w:r>
              <w:rPr>
                <w:rFonts w:ascii="Arial" w:cs="Arial" w:eastAsia="Arial" w:hAnsi="Arial"/>
                <w:sz w:val="16"/>
                <w:szCs w:val="16"/>
                <w:b w:val="1"/>
                <w:bCs w:val="1"/>
                <w:color w:val="29378D"/>
              </w:rPr>
              <w:t xml:space="preserve">No Hedging or Pledging </w:t>
            </w:r>
            <w:r>
              <w:rPr>
                <w:rFonts w:ascii="Arial" w:cs="Arial" w:eastAsia="Arial" w:hAnsi="Arial"/>
                <w:sz w:val="16"/>
                <w:szCs w:val="16"/>
                <w:color w:val="29378D"/>
              </w:rPr>
              <w:t>of</w:t>
            </w:r>
          </w:p>
        </w:tc>
        <w:tc>
          <w:tcPr>
            <w:tcW w:w="0" w:type="dxa"/>
            <w:vAlign w:val="bottom"/>
          </w:tcPr>
          <w:p>
            <w:pPr>
              <w:spacing w:after="0"/>
              <w:rPr>
                <w:sz w:val="1"/>
                <w:szCs w:val="1"/>
                <w:color w:val="auto"/>
              </w:rPr>
            </w:pPr>
          </w:p>
        </w:tc>
      </w:tr>
      <w:tr>
        <w:trPr>
          <w:trHeight w:val="108"/>
        </w:trPr>
        <w:tc>
          <w:tcPr>
            <w:tcW w:w="2820" w:type="dxa"/>
            <w:vAlign w:val="bottom"/>
            <w:gridSpan w:val="2"/>
            <w:vMerge w:val="restart"/>
          </w:tcPr>
          <w:p>
            <w:pPr>
              <w:ind w:left="20"/>
              <w:spacing w:after="0"/>
              <w:rPr>
                <w:sz w:val="20"/>
                <w:szCs w:val="20"/>
                <w:color w:val="auto"/>
              </w:rPr>
            </w:pPr>
            <w:r>
              <w:rPr>
                <w:rFonts w:ascii="Arial" w:cs="Arial" w:eastAsia="Arial" w:hAnsi="Arial"/>
                <w:sz w:val="16"/>
                <w:szCs w:val="16"/>
                <w:color w:val="auto"/>
              </w:rPr>
              <w:t>and Equity Incentive Payouts</w:t>
            </w:r>
          </w:p>
        </w:tc>
        <w:tc>
          <w:tcPr>
            <w:tcW w:w="2840" w:type="dxa"/>
            <w:vAlign w:val="bottom"/>
            <w:gridSpan w:val="2"/>
            <w:vMerge w:val="continue"/>
          </w:tcPr>
          <w:p>
            <w:pPr>
              <w:spacing w:after="0"/>
              <w:rPr>
                <w:sz w:val="9"/>
                <w:szCs w:val="9"/>
                <w:color w:val="auto"/>
              </w:rPr>
            </w:pP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820" w:type="dxa"/>
            <w:vAlign w:val="bottom"/>
            <w:gridSpan w:val="2"/>
            <w:vMerge w:val="continue"/>
          </w:tcPr>
          <w:p>
            <w:pPr>
              <w:spacing w:after="0"/>
              <w:rPr>
                <w:sz w:val="9"/>
                <w:szCs w:val="9"/>
                <w:color w:val="auto"/>
              </w:rPr>
            </w:pPr>
          </w:p>
        </w:tc>
        <w:tc>
          <w:tcPr>
            <w:tcW w:w="2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29378D"/>
              </w:rPr>
              <w:t>Agreements</w:t>
            </w:r>
          </w:p>
        </w:tc>
        <w:tc>
          <w:tcPr>
            <w:tcW w:w="2800" w:type="dxa"/>
            <w:vAlign w:val="bottom"/>
            <w:vMerge w:val="restart"/>
          </w:tcPr>
          <w:p>
            <w:pPr>
              <w:ind w:left="20"/>
              <w:spacing w:after="0"/>
              <w:rPr>
                <w:sz w:val="20"/>
                <w:szCs w:val="20"/>
                <w:color w:val="auto"/>
              </w:rPr>
            </w:pPr>
            <w:r>
              <w:rPr>
                <w:rFonts w:ascii="Arial" w:cs="Arial" w:eastAsia="Arial" w:hAnsi="Arial"/>
                <w:sz w:val="16"/>
                <w:szCs w:val="16"/>
                <w:color w:val="29378D"/>
              </w:rPr>
              <w:t>Company Stock</w:t>
            </w:r>
          </w:p>
        </w:tc>
        <w:tc>
          <w:tcPr>
            <w:tcW w:w="0" w:type="dxa"/>
            <w:vAlign w:val="bottom"/>
          </w:tcPr>
          <w:p>
            <w:pPr>
              <w:spacing w:after="0"/>
              <w:rPr>
                <w:sz w:val="1"/>
                <w:szCs w:val="1"/>
                <w:color w:val="auto"/>
              </w:rPr>
            </w:pPr>
          </w:p>
        </w:tc>
      </w:tr>
      <w:tr>
        <w:trPr>
          <w:trHeight w:val="116"/>
        </w:trPr>
        <w:tc>
          <w:tcPr>
            <w:tcW w:w="2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6500" w:type="dxa"/>
        <w:tblCellMar>
          <w:top w:w="0" w:type="dxa"/>
          <w:left w:w="0" w:type="dxa"/>
          <w:bottom w:w="0" w:type="dxa"/>
          <w:right w:w="0" w:type="dxa"/>
        </w:tblCellMar>
      </w:tblPr>
      <w:tr>
        <w:trPr>
          <w:trHeight w:val="196"/>
        </w:trPr>
        <w:tc>
          <w:tcPr>
            <w:tcW w:w="1640" w:type="dxa"/>
            <w:vAlign w:val="bottom"/>
          </w:tcPr>
          <w:p>
            <w:pPr>
              <w:spacing w:after="0"/>
              <w:rPr>
                <w:sz w:val="20"/>
                <w:szCs w:val="20"/>
                <w:color w:val="auto"/>
              </w:rPr>
            </w:pPr>
            <w:r>
              <w:rPr>
                <w:rFonts w:ascii="Arial" w:cs="Arial" w:eastAsia="Arial" w:hAnsi="Arial"/>
                <w:sz w:val="14"/>
                <w:szCs w:val="14"/>
                <w:color w:val="auto"/>
              </w:rPr>
              <w:t>2024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186055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460" w:space="320"/>
            <w:col w:w="8460"/>
          </w:cols>
          <w:pgMar w:left="320" w:top="238"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Nominee Highlights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96"/>
              </w:rPr>
              <w:t>Director</w:t>
            </w:r>
          </w:p>
        </w:tc>
        <w:tc>
          <w:tcPr>
            <w:tcW w:w="1880" w:type="dxa"/>
            <w:vAlign w:val="bottom"/>
            <w:gridSpan w:val="3"/>
          </w:tcPr>
          <w:p>
            <w:pPr>
              <w:ind w:left="360"/>
              <w:spacing w:after="0"/>
              <w:rPr>
                <w:sz w:val="20"/>
                <w:szCs w:val="20"/>
                <w:color w:val="auto"/>
              </w:rPr>
            </w:pPr>
            <w:r>
              <w:rPr>
                <w:rFonts w:ascii="Arial" w:cs="Arial" w:eastAsia="Arial" w:hAnsi="Arial"/>
                <w:sz w:val="13"/>
                <w:szCs w:val="13"/>
                <w:b w:val="1"/>
                <w:bCs w:val="1"/>
                <w:color w:val="auto"/>
                <w:w w:val="97"/>
              </w:rPr>
              <w:t>Committee Memberships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4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and Professional Background</w:t>
            </w:r>
          </w:p>
        </w:tc>
        <w:tc>
          <w:tcPr>
            <w:tcW w:w="60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560" w:type="dxa"/>
            <w:vAlign w:val="bottom"/>
            <w:tcBorders>
              <w:bottom w:val="single" w:sz="8" w:color="29378D"/>
            </w:tcBorders>
          </w:tcPr>
          <w:p>
            <w:pPr>
              <w:spacing w:after="0" w:line="20" w:lineRule="exact"/>
              <w:rPr>
                <w:sz w:val="1"/>
                <w:szCs w:val="1"/>
                <w:color w:val="auto"/>
              </w:rPr>
            </w:pPr>
          </w:p>
        </w:tc>
        <w:tc>
          <w:tcPr>
            <w:tcW w:w="560" w:type="dxa"/>
            <w:vAlign w:val="bottom"/>
            <w:tcBorders>
              <w:bottom w:val="single" w:sz="8" w:color="29378D"/>
            </w:tcBorders>
          </w:tcPr>
          <w:p>
            <w:pPr>
              <w:spacing w:after="0" w:line="20" w:lineRule="exact"/>
              <w:rPr>
                <w:sz w:val="1"/>
                <w:szCs w:val="1"/>
                <w:color w:val="auto"/>
              </w:rPr>
            </w:pPr>
          </w:p>
        </w:tc>
        <w:tc>
          <w:tcPr>
            <w:tcW w:w="760" w:type="dxa"/>
            <w:vAlign w:val="bottom"/>
            <w:tcBorders>
              <w:bottom w:val="single" w:sz="8" w:color="29378D"/>
            </w:tcBorders>
          </w:tcPr>
          <w:p>
            <w:pPr>
              <w:spacing w:after="0" w:line="20" w:lineRule="exact"/>
              <w:rPr>
                <w:sz w:val="1"/>
                <w:szCs w:val="1"/>
                <w:color w:val="auto"/>
              </w:rPr>
            </w:pPr>
          </w:p>
        </w:tc>
        <w:tc>
          <w:tcPr>
            <w:tcW w:w="34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7400" w:type="dxa"/>
            <w:vAlign w:val="bottom"/>
            <w:tcBorders>
              <w:bottom w:val="single" w:sz="8" w:color="29378D"/>
            </w:tcBorders>
            <w:vMerge w:val="continue"/>
          </w:tcPr>
          <w:p>
            <w:pPr>
              <w:spacing w:after="0"/>
              <w:rPr>
                <w:sz w:val="16"/>
                <w:szCs w:val="16"/>
                <w:color w:val="auto"/>
              </w:rPr>
            </w:pPr>
          </w:p>
        </w:tc>
        <w:tc>
          <w:tcPr>
            <w:tcW w:w="600" w:type="dxa"/>
            <w:vAlign w:val="bottom"/>
            <w:tcBorders>
              <w:bottom w:val="single" w:sz="8" w:color="29378D"/>
            </w:tcBorders>
          </w:tcPr>
          <w:p>
            <w:pPr>
              <w:jc w:val="center"/>
              <w:ind w:right="73"/>
              <w:spacing w:after="0"/>
              <w:rPr>
                <w:sz w:val="20"/>
                <w:szCs w:val="20"/>
                <w:color w:val="auto"/>
              </w:rPr>
            </w:pPr>
            <w:r>
              <w:rPr>
                <w:rFonts w:ascii="Arial" w:cs="Arial" w:eastAsia="Arial" w:hAnsi="Arial"/>
                <w:sz w:val="13"/>
                <w:szCs w:val="13"/>
                <w:b w:val="1"/>
                <w:bCs w:val="1"/>
                <w:color w:val="auto"/>
              </w:rPr>
              <w:t>Age*</w:t>
            </w:r>
          </w:p>
        </w:tc>
        <w:tc>
          <w:tcPr>
            <w:tcW w:w="1020" w:type="dxa"/>
            <w:vAlign w:val="bottom"/>
            <w:tcBorders>
              <w:bottom w:val="single" w:sz="8" w:color="29378D"/>
            </w:tcBorders>
          </w:tcPr>
          <w:p>
            <w:pPr>
              <w:jc w:val="center"/>
              <w:ind w:right="13"/>
              <w:spacing w:after="0"/>
              <w:rPr>
                <w:sz w:val="20"/>
                <w:szCs w:val="20"/>
                <w:color w:val="auto"/>
              </w:rPr>
            </w:pPr>
            <w:r>
              <w:rPr>
                <w:rFonts w:ascii="Arial" w:cs="Arial" w:eastAsia="Arial" w:hAnsi="Arial"/>
                <w:sz w:val="13"/>
                <w:szCs w:val="13"/>
                <w:b w:val="1"/>
                <w:bCs w:val="1"/>
                <w:color w:val="auto"/>
                <w:w w:val="97"/>
              </w:rPr>
              <w:t>Since</w:t>
            </w:r>
          </w:p>
        </w:tc>
        <w:tc>
          <w:tcPr>
            <w:tcW w:w="560" w:type="dxa"/>
            <w:vAlign w:val="bottom"/>
            <w:tcBorders>
              <w:bottom w:val="single" w:sz="8" w:color="29378D"/>
            </w:tcBorders>
          </w:tcPr>
          <w:p>
            <w:pPr>
              <w:ind w:left="200"/>
              <w:spacing w:after="0"/>
              <w:rPr>
                <w:sz w:val="20"/>
                <w:szCs w:val="20"/>
                <w:color w:val="auto"/>
              </w:rPr>
            </w:pPr>
            <w:r>
              <w:rPr>
                <w:rFonts w:ascii="Arial" w:cs="Arial" w:eastAsia="Arial" w:hAnsi="Arial"/>
                <w:sz w:val="13"/>
                <w:szCs w:val="13"/>
                <w:b w:val="1"/>
                <w:bCs w:val="1"/>
                <w:color w:val="auto"/>
              </w:rPr>
              <w:t>AR</w:t>
            </w:r>
          </w:p>
        </w:tc>
        <w:tc>
          <w:tcPr>
            <w:tcW w:w="560" w:type="dxa"/>
            <w:vAlign w:val="bottom"/>
            <w:tcBorders>
              <w:bottom w:val="single" w:sz="8" w:color="29378D"/>
            </w:tcBorders>
          </w:tcPr>
          <w:p>
            <w:pPr>
              <w:ind w:left="180"/>
              <w:spacing w:after="0"/>
              <w:rPr>
                <w:sz w:val="20"/>
                <w:szCs w:val="20"/>
                <w:color w:val="auto"/>
              </w:rPr>
            </w:pPr>
            <w:r>
              <w:rPr>
                <w:rFonts w:ascii="Arial" w:cs="Arial" w:eastAsia="Arial" w:hAnsi="Arial"/>
                <w:sz w:val="13"/>
                <w:szCs w:val="13"/>
                <w:b w:val="1"/>
                <w:bCs w:val="1"/>
                <w:color w:val="auto"/>
              </w:rPr>
              <w:t>CH</w:t>
            </w:r>
          </w:p>
        </w:tc>
        <w:tc>
          <w:tcPr>
            <w:tcW w:w="760" w:type="dxa"/>
            <w:vAlign w:val="bottom"/>
            <w:tcBorders>
              <w:bottom w:val="single" w:sz="8" w:color="29378D"/>
            </w:tcBorders>
          </w:tcPr>
          <w:p>
            <w:pPr>
              <w:ind w:left="180"/>
              <w:spacing w:after="0"/>
              <w:rPr>
                <w:sz w:val="20"/>
                <w:szCs w:val="20"/>
                <w:color w:val="auto"/>
              </w:rPr>
            </w:pPr>
            <w:r>
              <w:rPr>
                <w:rFonts w:ascii="Arial" w:cs="Arial" w:eastAsia="Arial" w:hAnsi="Arial"/>
                <w:sz w:val="13"/>
                <w:szCs w:val="13"/>
                <w:b w:val="1"/>
                <w:bCs w:val="1"/>
                <w:color w:val="auto"/>
              </w:rPr>
              <w:t>NG</w:t>
            </w:r>
          </w:p>
        </w:tc>
        <w:tc>
          <w:tcPr>
            <w:tcW w:w="340" w:type="dxa"/>
            <w:vAlign w:val="bottom"/>
            <w:tcBorders>
              <w:bottom w:val="single" w:sz="8" w:color="29378D"/>
            </w:tcBorders>
          </w:tcPr>
          <w:p>
            <w:pPr>
              <w:ind w:left="20"/>
              <w:spacing w:after="0"/>
              <w:rPr>
                <w:sz w:val="20"/>
                <w:szCs w:val="20"/>
                <w:color w:val="auto"/>
              </w:rPr>
            </w:pPr>
            <w:r>
              <w:rPr>
                <w:rFonts w:ascii="Arial" w:cs="Arial" w:eastAsia="Arial" w:hAnsi="Arial"/>
                <w:sz w:val="13"/>
                <w:szCs w:val="13"/>
                <w:b w:val="1"/>
                <w:bCs w:val="1"/>
                <w:color w:val="auto"/>
              </w:rPr>
              <w:t>P</w:t>
            </w:r>
          </w:p>
        </w:tc>
        <w:tc>
          <w:tcPr>
            <w:tcW w:w="0" w:type="dxa"/>
            <w:vAlign w:val="bottom"/>
          </w:tcPr>
          <w:p>
            <w:pPr>
              <w:spacing w:after="0"/>
              <w:rPr>
                <w:sz w:val="1"/>
                <w:szCs w:val="1"/>
                <w:color w:val="auto"/>
              </w:rPr>
            </w:pPr>
          </w:p>
        </w:tc>
      </w:tr>
      <w:tr>
        <w:trPr>
          <w:trHeight w:val="174"/>
        </w:trPr>
        <w:tc>
          <w:tcPr>
            <w:tcW w:w="7400" w:type="dxa"/>
            <w:vAlign w:val="bottom"/>
          </w:tcPr>
          <w:p>
            <w:pPr>
              <w:ind w:left="840"/>
              <w:spacing w:after="0"/>
              <w:rPr>
                <w:sz w:val="20"/>
                <w:szCs w:val="20"/>
                <w:color w:val="auto"/>
              </w:rPr>
            </w:pPr>
            <w:r>
              <w:rPr>
                <w:rFonts w:ascii="Arial" w:cs="Arial" w:eastAsia="Arial" w:hAnsi="Arial"/>
                <w:sz w:val="13"/>
                <w:szCs w:val="13"/>
                <w:b w:val="1"/>
                <w:bCs w:val="1"/>
                <w:color w:val="00249C"/>
              </w:rPr>
              <w:t>David P. Abney</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840"/>
              <w:spacing w:after="0"/>
              <w:rPr>
                <w:sz w:val="20"/>
                <w:szCs w:val="20"/>
                <w:color w:val="auto"/>
              </w:rPr>
            </w:pPr>
            <w:r>
              <w:rPr>
                <w:rFonts w:ascii="Arial" w:cs="Arial" w:eastAsia="Arial" w:hAnsi="Arial"/>
                <w:sz w:val="13"/>
                <w:szCs w:val="13"/>
                <w:color w:val="auto"/>
              </w:rPr>
              <w:t>Former Executive Chairman of the Board of Directors and</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68</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06/2020</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840"/>
              <w:spacing w:after="0"/>
              <w:rPr>
                <w:sz w:val="20"/>
                <w:szCs w:val="20"/>
                <w:color w:val="auto"/>
              </w:rPr>
            </w:pPr>
            <w:r>
              <w:rPr>
                <w:rFonts w:ascii="Arial" w:cs="Arial" w:eastAsia="Arial" w:hAnsi="Arial"/>
                <w:sz w:val="13"/>
                <w:szCs w:val="13"/>
                <w:color w:val="auto"/>
              </w:rPr>
              <w:t>Chief Executive Officer of United Parcel Service, Inc. (UPS)</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7400" w:type="dxa"/>
            <w:vAlign w:val="bottom"/>
            <w:tcBorders>
              <w:bottom w:val="single" w:sz="8" w:color="BCBEC0"/>
            </w:tcBorders>
          </w:tcPr>
          <w:p>
            <w:pPr>
              <w:spacing w:after="0"/>
              <w:rPr>
                <w:sz w:val="9"/>
                <w:szCs w:val="9"/>
                <w:color w:val="auto"/>
              </w:rPr>
            </w:pPr>
          </w:p>
        </w:tc>
        <w:tc>
          <w:tcPr>
            <w:tcW w:w="600" w:type="dxa"/>
            <w:vAlign w:val="bottom"/>
            <w:tcBorders>
              <w:bottom w:val="single" w:sz="8" w:color="BCBEC0"/>
            </w:tcBorders>
          </w:tcPr>
          <w:p>
            <w:pPr>
              <w:spacing w:after="0"/>
              <w:rPr>
                <w:sz w:val="9"/>
                <w:szCs w:val="9"/>
                <w:color w:val="auto"/>
              </w:rPr>
            </w:pPr>
          </w:p>
        </w:tc>
        <w:tc>
          <w:tcPr>
            <w:tcW w:w="1020" w:type="dxa"/>
            <w:vAlign w:val="bottom"/>
            <w:tcBorders>
              <w:bottom w:val="single" w:sz="8" w:color="BCBEC0"/>
            </w:tcBorders>
          </w:tcPr>
          <w:p>
            <w:pPr>
              <w:spacing w:after="0"/>
              <w:rPr>
                <w:sz w:val="9"/>
                <w:szCs w:val="9"/>
                <w:color w:val="auto"/>
              </w:rPr>
            </w:pPr>
          </w:p>
        </w:tc>
        <w:tc>
          <w:tcPr>
            <w:tcW w:w="560" w:type="dxa"/>
            <w:vAlign w:val="bottom"/>
            <w:tcBorders>
              <w:bottom w:val="single" w:sz="8" w:color="BCBEC0"/>
            </w:tcBorders>
          </w:tcPr>
          <w:p>
            <w:pPr>
              <w:spacing w:after="0"/>
              <w:rPr>
                <w:sz w:val="9"/>
                <w:szCs w:val="9"/>
                <w:color w:val="auto"/>
              </w:rPr>
            </w:pPr>
          </w:p>
        </w:tc>
        <w:tc>
          <w:tcPr>
            <w:tcW w:w="56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7400" w:type="dxa"/>
            <w:vAlign w:val="bottom"/>
          </w:tcPr>
          <w:p>
            <w:pPr>
              <w:ind w:left="840"/>
              <w:spacing w:after="0"/>
              <w:rPr>
                <w:sz w:val="20"/>
                <w:szCs w:val="20"/>
                <w:color w:val="auto"/>
              </w:rPr>
            </w:pPr>
            <w:r>
              <w:rPr>
                <w:rFonts w:ascii="Arial" w:cs="Arial" w:eastAsia="Arial" w:hAnsi="Arial"/>
                <w:sz w:val="13"/>
                <w:szCs w:val="13"/>
                <w:b w:val="1"/>
                <w:bCs w:val="1"/>
                <w:color w:val="00249C"/>
              </w:rPr>
              <w:t>Marianne C. Brown</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840"/>
              <w:spacing w:after="0"/>
              <w:rPr>
                <w:sz w:val="20"/>
                <w:szCs w:val="20"/>
                <w:color w:val="auto"/>
              </w:rPr>
            </w:pPr>
            <w:r>
              <w:rPr>
                <w:rFonts w:ascii="Arial" w:cs="Arial" w:eastAsia="Arial" w:hAnsi="Arial"/>
                <w:sz w:val="13"/>
                <w:szCs w:val="13"/>
                <w:color w:val="auto"/>
              </w:rPr>
              <w:t>Former Chief Operating Officer, Global Financial Solutions,</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65</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03/2015</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840"/>
              <w:spacing w:after="0"/>
              <w:rPr>
                <w:sz w:val="20"/>
                <w:szCs w:val="20"/>
                <w:color w:val="auto"/>
              </w:rPr>
            </w:pPr>
            <w:r>
              <w:rPr>
                <w:rFonts w:ascii="Arial" w:cs="Arial" w:eastAsia="Arial" w:hAnsi="Arial"/>
                <w:sz w:val="13"/>
                <w:szCs w:val="13"/>
                <w:color w:val="auto"/>
              </w:rPr>
              <w:t>Fidelity National Information Services, Inc.</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7400" w:type="dxa"/>
            <w:vAlign w:val="bottom"/>
            <w:tcBorders>
              <w:bottom w:val="single" w:sz="8" w:color="BCBEC0"/>
            </w:tcBorders>
          </w:tcPr>
          <w:p>
            <w:pPr>
              <w:spacing w:after="0"/>
              <w:rPr>
                <w:sz w:val="9"/>
                <w:szCs w:val="9"/>
                <w:color w:val="auto"/>
              </w:rPr>
            </w:pPr>
          </w:p>
        </w:tc>
        <w:tc>
          <w:tcPr>
            <w:tcW w:w="600" w:type="dxa"/>
            <w:vAlign w:val="bottom"/>
            <w:tcBorders>
              <w:bottom w:val="single" w:sz="8" w:color="BCBEC0"/>
            </w:tcBorders>
          </w:tcPr>
          <w:p>
            <w:pPr>
              <w:spacing w:after="0"/>
              <w:rPr>
                <w:sz w:val="9"/>
                <w:szCs w:val="9"/>
                <w:color w:val="auto"/>
              </w:rPr>
            </w:pPr>
          </w:p>
        </w:tc>
        <w:tc>
          <w:tcPr>
            <w:tcW w:w="1020" w:type="dxa"/>
            <w:vAlign w:val="bottom"/>
            <w:tcBorders>
              <w:bottom w:val="single" w:sz="8" w:color="BCBEC0"/>
            </w:tcBorders>
          </w:tcPr>
          <w:p>
            <w:pPr>
              <w:spacing w:after="0"/>
              <w:rPr>
                <w:sz w:val="9"/>
                <w:szCs w:val="9"/>
                <w:color w:val="auto"/>
              </w:rPr>
            </w:pPr>
          </w:p>
        </w:tc>
        <w:tc>
          <w:tcPr>
            <w:tcW w:w="560" w:type="dxa"/>
            <w:vAlign w:val="bottom"/>
            <w:tcBorders>
              <w:bottom w:val="single" w:sz="8" w:color="BCBEC0"/>
            </w:tcBorders>
          </w:tcPr>
          <w:p>
            <w:pPr>
              <w:spacing w:after="0"/>
              <w:rPr>
                <w:sz w:val="9"/>
                <w:szCs w:val="9"/>
                <w:color w:val="auto"/>
              </w:rPr>
            </w:pPr>
          </w:p>
        </w:tc>
        <w:tc>
          <w:tcPr>
            <w:tcW w:w="56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7400" w:type="dxa"/>
            <w:vAlign w:val="bottom"/>
          </w:tcPr>
          <w:p>
            <w:pPr>
              <w:ind w:left="840"/>
              <w:spacing w:after="0"/>
              <w:rPr>
                <w:sz w:val="20"/>
                <w:szCs w:val="20"/>
                <w:color w:val="auto"/>
              </w:rPr>
            </w:pPr>
            <w:r>
              <w:rPr>
                <w:rFonts w:ascii="Arial" w:cs="Arial" w:eastAsia="Arial" w:hAnsi="Arial"/>
                <w:sz w:val="13"/>
                <w:szCs w:val="13"/>
                <w:b w:val="1"/>
                <w:bCs w:val="1"/>
                <w:color w:val="00249C"/>
              </w:rPr>
              <w:t>Ann M. Fudge</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840"/>
              <w:spacing w:after="0"/>
              <w:rPr>
                <w:sz w:val="20"/>
                <w:szCs w:val="20"/>
                <w:color w:val="auto"/>
              </w:rPr>
            </w:pPr>
            <w:r>
              <w:rPr>
                <w:rFonts w:ascii="Arial" w:cs="Arial" w:eastAsia="Arial" w:hAnsi="Arial"/>
                <w:sz w:val="13"/>
                <w:szCs w:val="13"/>
                <w:color w:val="auto"/>
              </w:rPr>
              <w:t>Former Chairman and Chief Executive Officer,</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72</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03/2016</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840"/>
              <w:spacing w:after="0"/>
              <w:rPr>
                <w:sz w:val="20"/>
                <w:szCs w:val="20"/>
                <w:color w:val="auto"/>
              </w:rPr>
            </w:pPr>
            <w:r>
              <w:rPr>
                <w:rFonts w:ascii="Arial" w:cs="Arial" w:eastAsia="Arial" w:hAnsi="Arial"/>
                <w:sz w:val="13"/>
                <w:szCs w:val="13"/>
                <w:color w:val="auto"/>
              </w:rPr>
              <w:t>Young &amp; Rubicam Brands</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7400" w:type="dxa"/>
            <w:vAlign w:val="bottom"/>
            <w:tcBorders>
              <w:bottom w:val="single" w:sz="8" w:color="BCBEC0"/>
            </w:tcBorders>
          </w:tcPr>
          <w:p>
            <w:pPr>
              <w:spacing w:after="0"/>
              <w:rPr>
                <w:sz w:val="9"/>
                <w:szCs w:val="9"/>
                <w:color w:val="auto"/>
              </w:rPr>
            </w:pPr>
          </w:p>
        </w:tc>
        <w:tc>
          <w:tcPr>
            <w:tcW w:w="600" w:type="dxa"/>
            <w:vAlign w:val="bottom"/>
            <w:tcBorders>
              <w:bottom w:val="single" w:sz="8" w:color="BCBEC0"/>
            </w:tcBorders>
          </w:tcPr>
          <w:p>
            <w:pPr>
              <w:spacing w:after="0"/>
              <w:rPr>
                <w:sz w:val="9"/>
                <w:szCs w:val="9"/>
                <w:color w:val="auto"/>
              </w:rPr>
            </w:pPr>
          </w:p>
        </w:tc>
        <w:tc>
          <w:tcPr>
            <w:tcW w:w="1020" w:type="dxa"/>
            <w:vAlign w:val="bottom"/>
            <w:tcBorders>
              <w:bottom w:val="single" w:sz="8" w:color="BCBEC0"/>
            </w:tcBorders>
          </w:tcPr>
          <w:p>
            <w:pPr>
              <w:spacing w:after="0"/>
              <w:rPr>
                <w:sz w:val="9"/>
                <w:szCs w:val="9"/>
                <w:color w:val="auto"/>
              </w:rPr>
            </w:pPr>
          </w:p>
        </w:tc>
        <w:tc>
          <w:tcPr>
            <w:tcW w:w="560" w:type="dxa"/>
            <w:vAlign w:val="bottom"/>
            <w:tcBorders>
              <w:bottom w:val="single" w:sz="8" w:color="BCBEC0"/>
            </w:tcBorders>
          </w:tcPr>
          <w:p>
            <w:pPr>
              <w:spacing w:after="0"/>
              <w:rPr>
                <w:sz w:val="9"/>
                <w:szCs w:val="9"/>
                <w:color w:val="auto"/>
              </w:rPr>
            </w:pPr>
          </w:p>
        </w:tc>
        <w:tc>
          <w:tcPr>
            <w:tcW w:w="560" w:type="dxa"/>
            <w:vAlign w:val="bottom"/>
            <w:tcBorders>
              <w:bottom w:val="single" w:sz="8" w:color="BCBEC0"/>
            </w:tcBorders>
          </w:tcPr>
          <w:p>
            <w:pPr>
              <w:spacing w:after="0"/>
              <w:rPr>
                <w:sz w:val="9"/>
                <w:szCs w:val="9"/>
                <w:color w:val="auto"/>
              </w:rPr>
            </w:pPr>
          </w:p>
        </w:tc>
        <w:tc>
          <w:tcPr>
            <w:tcW w:w="760" w:type="dxa"/>
            <w:vAlign w:val="bottom"/>
            <w:tcBorders>
              <w:bottom w:val="single" w:sz="8" w:color="BCBEC0"/>
            </w:tcBorders>
          </w:tcPr>
          <w:p>
            <w:pPr>
              <w:spacing w:after="0"/>
              <w:rPr>
                <w:sz w:val="9"/>
                <w:szCs w:val="9"/>
                <w:color w:val="auto"/>
              </w:rPr>
            </w:pPr>
          </w:p>
        </w:tc>
        <w:tc>
          <w:tcPr>
            <w:tcW w:w="34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7400" w:type="dxa"/>
            <w:vAlign w:val="bottom"/>
          </w:tcPr>
          <w:p>
            <w:pPr>
              <w:ind w:left="840"/>
              <w:spacing w:after="0"/>
              <w:rPr>
                <w:sz w:val="20"/>
                <w:szCs w:val="20"/>
                <w:color w:val="auto"/>
              </w:rPr>
            </w:pPr>
            <w:r>
              <w:rPr>
                <w:rFonts w:ascii="Arial" w:cs="Arial" w:eastAsia="Arial" w:hAnsi="Arial"/>
                <w:sz w:val="13"/>
                <w:szCs w:val="13"/>
                <w:b w:val="1"/>
                <w:bCs w:val="1"/>
                <w:color w:val="00249C"/>
              </w:rPr>
              <w:t>Madeleine A. Kleiner</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tcPr>
          <w:p>
            <w:pPr>
              <w:ind w:left="840"/>
              <w:spacing w:after="0"/>
              <w:rPr>
                <w:sz w:val="20"/>
                <w:szCs w:val="20"/>
                <w:color w:val="auto"/>
              </w:rPr>
            </w:pPr>
            <w:r>
              <w:rPr>
                <w:rFonts w:ascii="Arial" w:cs="Arial" w:eastAsia="Arial" w:hAnsi="Arial"/>
                <w:sz w:val="13"/>
                <w:szCs w:val="13"/>
                <w:color w:val="auto"/>
              </w:rPr>
              <w:t>Lead Independent Director, Northrop Grumman Corporation; Former</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72</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10/2008</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840"/>
              <w:spacing w:after="0"/>
              <w:rPr>
                <w:sz w:val="20"/>
                <w:szCs w:val="20"/>
                <w:color w:val="auto"/>
              </w:rPr>
            </w:pPr>
            <w:r>
              <w:rPr>
                <w:rFonts w:ascii="Arial" w:cs="Arial" w:eastAsia="Arial" w:hAnsi="Arial"/>
                <w:sz w:val="13"/>
                <w:szCs w:val="13"/>
                <w:color w:val="auto"/>
              </w:rPr>
              <w:t>Executive Vice President and General Counsel, Hilton Hotels Corporation</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400" w:type="dxa"/>
            <w:vAlign w:val="bottom"/>
            <w:tcBorders>
              <w:bottom w:val="single" w:sz="8" w:color="BCBEC0"/>
            </w:tcBorders>
          </w:tcPr>
          <w:p>
            <w:pPr>
              <w:spacing w:after="0"/>
              <w:rPr>
                <w:sz w:val="8"/>
                <w:szCs w:val="8"/>
                <w:color w:val="auto"/>
              </w:rPr>
            </w:pPr>
          </w:p>
        </w:tc>
        <w:tc>
          <w:tcPr>
            <w:tcW w:w="600" w:type="dxa"/>
            <w:vAlign w:val="bottom"/>
            <w:tcBorders>
              <w:bottom w:val="single" w:sz="8" w:color="BCBEC0"/>
            </w:tcBorders>
          </w:tcPr>
          <w:p>
            <w:pPr>
              <w:spacing w:after="0"/>
              <w:rPr>
                <w:sz w:val="8"/>
                <w:szCs w:val="8"/>
                <w:color w:val="auto"/>
              </w:rPr>
            </w:pPr>
          </w:p>
        </w:tc>
        <w:tc>
          <w:tcPr>
            <w:tcW w:w="1020" w:type="dxa"/>
            <w:vAlign w:val="bottom"/>
            <w:tcBorders>
              <w:bottom w:val="single" w:sz="8" w:color="BCBEC0"/>
            </w:tcBorders>
          </w:tcPr>
          <w:p>
            <w:pPr>
              <w:spacing w:after="0"/>
              <w:rPr>
                <w:sz w:val="8"/>
                <w:szCs w:val="8"/>
                <w:color w:val="auto"/>
              </w:rPr>
            </w:pPr>
          </w:p>
        </w:tc>
        <w:tc>
          <w:tcPr>
            <w:tcW w:w="560" w:type="dxa"/>
            <w:vAlign w:val="bottom"/>
            <w:tcBorders>
              <w:bottom w:val="single" w:sz="8" w:color="BCBEC0"/>
            </w:tcBorders>
          </w:tcPr>
          <w:p>
            <w:pPr>
              <w:spacing w:after="0"/>
              <w:rPr>
                <w:sz w:val="8"/>
                <w:szCs w:val="8"/>
                <w:color w:val="auto"/>
              </w:rPr>
            </w:pPr>
          </w:p>
        </w:tc>
        <w:tc>
          <w:tcPr>
            <w:tcW w:w="560" w:type="dxa"/>
            <w:vAlign w:val="bottom"/>
            <w:tcBorders>
              <w:bottom w:val="single" w:sz="8" w:color="BCBEC0"/>
            </w:tcBorders>
          </w:tcPr>
          <w:p>
            <w:pPr>
              <w:spacing w:after="0"/>
              <w:rPr>
                <w:sz w:val="8"/>
                <w:szCs w:val="8"/>
                <w:color w:val="auto"/>
              </w:rPr>
            </w:pPr>
          </w:p>
        </w:tc>
        <w:tc>
          <w:tcPr>
            <w:tcW w:w="760" w:type="dxa"/>
            <w:vAlign w:val="bottom"/>
            <w:tcBorders>
              <w:bottom w:val="single" w:sz="8" w:color="BCBEC0"/>
            </w:tcBorders>
          </w:tcPr>
          <w:p>
            <w:pPr>
              <w:spacing w:after="0"/>
              <w:rPr>
                <w:sz w:val="8"/>
                <w:szCs w:val="8"/>
                <w:color w:val="auto"/>
              </w:rPr>
            </w:pPr>
          </w:p>
        </w:tc>
        <w:tc>
          <w:tcPr>
            <w:tcW w:w="340" w:type="dxa"/>
            <w:vAlign w:val="bottom"/>
            <w:tcBorders>
              <w:bottom w:val="single" w:sz="8" w:color="BCBEC0"/>
            </w:tcBorders>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7400" w:type="dxa"/>
            <w:vAlign w:val="bottom"/>
          </w:tcPr>
          <w:p>
            <w:pPr>
              <w:ind w:left="840"/>
              <w:spacing w:after="0"/>
              <w:rPr>
                <w:sz w:val="20"/>
                <w:szCs w:val="20"/>
                <w:color w:val="auto"/>
              </w:rPr>
            </w:pPr>
            <w:r>
              <w:rPr>
                <w:rFonts w:ascii="Arial" w:cs="Arial" w:eastAsia="Arial" w:hAnsi="Arial"/>
                <w:sz w:val="13"/>
                <w:szCs w:val="13"/>
                <w:b w:val="1"/>
                <w:bCs w:val="1"/>
                <w:color w:val="00249C"/>
              </w:rPr>
              <w:t>Arvind Krishna</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400" w:type="dxa"/>
            <w:vAlign w:val="bottom"/>
          </w:tcPr>
          <w:p>
            <w:pPr>
              <w:ind w:left="840"/>
              <w:spacing w:after="0"/>
              <w:rPr>
                <w:sz w:val="20"/>
                <w:szCs w:val="20"/>
                <w:color w:val="auto"/>
              </w:rPr>
            </w:pPr>
            <w:r>
              <w:rPr>
                <w:rFonts w:ascii="Arial" w:cs="Arial" w:eastAsia="Arial" w:hAnsi="Arial"/>
                <w:sz w:val="13"/>
                <w:szCs w:val="13"/>
                <w:color w:val="auto"/>
              </w:rPr>
              <w:t>Chairman and Chief Executive Officer, International Business Machines</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61</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11/2022</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840"/>
              <w:spacing w:after="0"/>
              <w:rPr>
                <w:sz w:val="20"/>
                <w:szCs w:val="20"/>
                <w:color w:val="auto"/>
              </w:rPr>
            </w:pPr>
            <w:r>
              <w:rPr>
                <w:rFonts w:ascii="Arial" w:cs="Arial" w:eastAsia="Arial" w:hAnsi="Arial"/>
                <w:sz w:val="13"/>
                <w:szCs w:val="13"/>
                <w:color w:val="auto"/>
              </w:rPr>
              <w:t>Corporation (IBM)</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400" w:type="dxa"/>
            <w:vAlign w:val="bottom"/>
            <w:tcBorders>
              <w:bottom w:val="single" w:sz="8" w:color="BCBEC0"/>
            </w:tcBorders>
          </w:tcPr>
          <w:p>
            <w:pPr>
              <w:spacing w:after="0"/>
              <w:rPr>
                <w:sz w:val="8"/>
                <w:szCs w:val="8"/>
                <w:color w:val="auto"/>
              </w:rPr>
            </w:pPr>
          </w:p>
        </w:tc>
        <w:tc>
          <w:tcPr>
            <w:tcW w:w="600" w:type="dxa"/>
            <w:vAlign w:val="bottom"/>
            <w:tcBorders>
              <w:bottom w:val="single" w:sz="8" w:color="BCBEC0"/>
            </w:tcBorders>
          </w:tcPr>
          <w:p>
            <w:pPr>
              <w:spacing w:after="0"/>
              <w:rPr>
                <w:sz w:val="8"/>
                <w:szCs w:val="8"/>
                <w:color w:val="auto"/>
              </w:rPr>
            </w:pPr>
          </w:p>
        </w:tc>
        <w:tc>
          <w:tcPr>
            <w:tcW w:w="1020" w:type="dxa"/>
            <w:vAlign w:val="bottom"/>
            <w:tcBorders>
              <w:bottom w:val="single" w:sz="8" w:color="BCBEC0"/>
            </w:tcBorders>
          </w:tcPr>
          <w:p>
            <w:pPr>
              <w:spacing w:after="0"/>
              <w:rPr>
                <w:sz w:val="8"/>
                <w:szCs w:val="8"/>
                <w:color w:val="auto"/>
              </w:rPr>
            </w:pPr>
          </w:p>
        </w:tc>
        <w:tc>
          <w:tcPr>
            <w:tcW w:w="560" w:type="dxa"/>
            <w:vAlign w:val="bottom"/>
            <w:tcBorders>
              <w:bottom w:val="single" w:sz="8" w:color="BCBEC0"/>
            </w:tcBorders>
          </w:tcPr>
          <w:p>
            <w:pPr>
              <w:spacing w:after="0"/>
              <w:rPr>
                <w:sz w:val="8"/>
                <w:szCs w:val="8"/>
                <w:color w:val="auto"/>
              </w:rPr>
            </w:pPr>
          </w:p>
        </w:tc>
        <w:tc>
          <w:tcPr>
            <w:tcW w:w="560" w:type="dxa"/>
            <w:vAlign w:val="bottom"/>
            <w:tcBorders>
              <w:bottom w:val="single" w:sz="8" w:color="BCBEC0"/>
            </w:tcBorders>
          </w:tcPr>
          <w:p>
            <w:pPr>
              <w:spacing w:after="0"/>
              <w:rPr>
                <w:sz w:val="8"/>
                <w:szCs w:val="8"/>
                <w:color w:val="auto"/>
              </w:rPr>
            </w:pPr>
          </w:p>
        </w:tc>
        <w:tc>
          <w:tcPr>
            <w:tcW w:w="760" w:type="dxa"/>
            <w:vAlign w:val="bottom"/>
            <w:tcBorders>
              <w:bottom w:val="single" w:sz="8" w:color="BCBEC0"/>
            </w:tcBorders>
          </w:tcPr>
          <w:p>
            <w:pPr>
              <w:spacing w:after="0"/>
              <w:rPr>
                <w:sz w:val="8"/>
                <w:szCs w:val="8"/>
                <w:color w:val="auto"/>
              </w:rPr>
            </w:pPr>
          </w:p>
        </w:tc>
        <w:tc>
          <w:tcPr>
            <w:tcW w:w="340" w:type="dxa"/>
            <w:vAlign w:val="bottom"/>
            <w:tcBorders>
              <w:bottom w:val="single" w:sz="8" w:color="BCBEC0"/>
            </w:tcBorders>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7400" w:type="dxa"/>
            <w:vAlign w:val="bottom"/>
          </w:tcPr>
          <w:p>
            <w:pPr>
              <w:ind w:left="840"/>
              <w:spacing w:after="0"/>
              <w:rPr>
                <w:sz w:val="20"/>
                <w:szCs w:val="20"/>
                <w:color w:val="auto"/>
              </w:rPr>
            </w:pPr>
            <w:r>
              <w:rPr>
                <w:rFonts w:ascii="Arial" w:cs="Arial" w:eastAsia="Arial" w:hAnsi="Arial"/>
                <w:sz w:val="13"/>
                <w:szCs w:val="13"/>
                <w:b w:val="1"/>
                <w:bCs w:val="1"/>
                <w:color w:val="29378D"/>
              </w:rPr>
              <w:t>Graham N. Robinson</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00" w:type="dxa"/>
            <w:vAlign w:val="bottom"/>
          </w:tcPr>
          <w:p>
            <w:pPr>
              <w:ind w:left="840"/>
              <w:spacing w:after="0"/>
              <w:rPr>
                <w:sz w:val="20"/>
                <w:szCs w:val="20"/>
                <w:color w:val="auto"/>
              </w:rPr>
            </w:pPr>
            <w:r>
              <w:rPr>
                <w:rFonts w:ascii="Arial" w:cs="Arial" w:eastAsia="Arial" w:hAnsi="Arial"/>
                <w:sz w:val="13"/>
                <w:szCs w:val="13"/>
                <w:color w:val="auto"/>
              </w:rPr>
              <w:t>Senior Vice President, Stanley Black &amp; Decker, Inc., and President of</w:t>
            </w:r>
          </w:p>
        </w:tc>
        <w:tc>
          <w:tcPr>
            <w:tcW w:w="600" w:type="dxa"/>
            <w:vAlign w:val="bottom"/>
            <w:vMerge w:val="restart"/>
          </w:tcPr>
          <w:p>
            <w:pPr>
              <w:jc w:val="center"/>
              <w:ind w:right="73"/>
              <w:spacing w:after="0"/>
              <w:rPr>
                <w:sz w:val="20"/>
                <w:szCs w:val="20"/>
                <w:color w:val="auto"/>
              </w:rPr>
            </w:pPr>
            <w:r>
              <w:rPr>
                <w:rFonts w:ascii="Arial" w:cs="Arial" w:eastAsia="Arial" w:hAnsi="Arial"/>
                <w:sz w:val="13"/>
                <w:szCs w:val="13"/>
                <w:color w:val="auto"/>
                <w:w w:val="96"/>
              </w:rPr>
              <w:t>55</w:t>
            </w:r>
          </w:p>
        </w:tc>
        <w:tc>
          <w:tcPr>
            <w:tcW w:w="1020" w:type="dxa"/>
            <w:vAlign w:val="bottom"/>
            <w:vMerge w:val="restart"/>
          </w:tcPr>
          <w:p>
            <w:pPr>
              <w:jc w:val="center"/>
              <w:ind w:right="33"/>
              <w:spacing w:after="0"/>
              <w:rPr>
                <w:sz w:val="20"/>
                <w:szCs w:val="20"/>
                <w:color w:val="auto"/>
              </w:rPr>
            </w:pPr>
            <w:r>
              <w:rPr>
                <w:rFonts w:ascii="Arial" w:cs="Arial" w:eastAsia="Arial" w:hAnsi="Arial"/>
                <w:sz w:val="13"/>
                <w:szCs w:val="13"/>
                <w:color w:val="auto"/>
              </w:rPr>
              <w:t>08/2021</w:t>
            </w: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7400" w:type="dxa"/>
            <w:vAlign w:val="bottom"/>
            <w:vMerge w:val="restart"/>
          </w:tcPr>
          <w:p>
            <w:pPr>
              <w:ind w:left="840"/>
              <w:spacing w:after="0"/>
              <w:rPr>
                <w:sz w:val="20"/>
                <w:szCs w:val="20"/>
                <w:color w:val="auto"/>
              </w:rPr>
            </w:pPr>
            <w:r>
              <w:rPr>
                <w:rFonts w:ascii="Arial" w:cs="Arial" w:eastAsia="Arial" w:hAnsi="Arial"/>
                <w:sz w:val="13"/>
                <w:szCs w:val="13"/>
                <w:color w:val="auto"/>
              </w:rPr>
              <w:t>STANLEY Industrial</w:t>
            </w:r>
          </w:p>
        </w:tc>
        <w:tc>
          <w:tcPr>
            <w:tcW w:w="60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74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7400" w:type="dxa"/>
            <w:vAlign w:val="bottom"/>
            <w:tcBorders>
              <w:bottom w:val="single" w:sz="8" w:color="BCBEC0"/>
            </w:tcBorders>
          </w:tcPr>
          <w:p>
            <w:pPr>
              <w:spacing w:after="0"/>
              <w:rPr>
                <w:sz w:val="11"/>
                <w:szCs w:val="11"/>
                <w:color w:val="auto"/>
              </w:rPr>
            </w:pPr>
          </w:p>
        </w:tc>
        <w:tc>
          <w:tcPr>
            <w:tcW w:w="600" w:type="dxa"/>
            <w:vAlign w:val="bottom"/>
            <w:tcBorders>
              <w:bottom w:val="single" w:sz="8" w:color="BCBEC0"/>
            </w:tcBorders>
          </w:tcPr>
          <w:p>
            <w:pPr>
              <w:spacing w:after="0"/>
              <w:rPr>
                <w:sz w:val="11"/>
                <w:szCs w:val="11"/>
                <w:color w:val="auto"/>
              </w:rPr>
            </w:pPr>
          </w:p>
        </w:tc>
        <w:tc>
          <w:tcPr>
            <w:tcW w:w="1020" w:type="dxa"/>
            <w:vAlign w:val="bottom"/>
            <w:tcBorders>
              <w:bottom w:val="single" w:sz="8" w:color="BCBEC0"/>
            </w:tcBorders>
          </w:tcPr>
          <w:p>
            <w:pPr>
              <w:spacing w:after="0"/>
              <w:rPr>
                <w:sz w:val="11"/>
                <w:szCs w:val="11"/>
                <w:color w:val="auto"/>
              </w:rPr>
            </w:pPr>
          </w:p>
        </w:tc>
        <w:tc>
          <w:tcPr>
            <w:tcW w:w="560" w:type="dxa"/>
            <w:vAlign w:val="bottom"/>
            <w:tcBorders>
              <w:bottom w:val="single" w:sz="8" w:color="BCBEC0"/>
            </w:tcBorders>
          </w:tcPr>
          <w:p>
            <w:pPr>
              <w:spacing w:after="0"/>
              <w:rPr>
                <w:sz w:val="11"/>
                <w:szCs w:val="11"/>
                <w:color w:val="auto"/>
              </w:rPr>
            </w:pPr>
          </w:p>
        </w:tc>
        <w:tc>
          <w:tcPr>
            <w:tcW w:w="560" w:type="dxa"/>
            <w:vAlign w:val="bottom"/>
            <w:tcBorders>
              <w:bottom w:val="single" w:sz="8" w:color="BCBEC0"/>
            </w:tcBorders>
          </w:tcPr>
          <w:p>
            <w:pPr>
              <w:spacing w:after="0"/>
              <w:rPr>
                <w:sz w:val="11"/>
                <w:szCs w:val="11"/>
                <w:color w:val="auto"/>
              </w:rPr>
            </w:pPr>
          </w:p>
        </w:tc>
        <w:tc>
          <w:tcPr>
            <w:tcW w:w="760" w:type="dxa"/>
            <w:vAlign w:val="bottom"/>
            <w:tcBorders>
              <w:bottom w:val="single" w:sz="8" w:color="BCBEC0"/>
            </w:tcBorders>
          </w:tcPr>
          <w:p>
            <w:pPr>
              <w:spacing w:after="0"/>
              <w:rPr>
                <w:sz w:val="11"/>
                <w:szCs w:val="11"/>
                <w:color w:val="auto"/>
              </w:rPr>
            </w:pPr>
          </w:p>
        </w:tc>
        <w:tc>
          <w:tcPr>
            <w:tcW w:w="340" w:type="dxa"/>
            <w:vAlign w:val="bottom"/>
            <w:tcBorders>
              <w:bottom w:val="single" w:sz="8" w:color="BCBEC0"/>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400" w:type="dxa"/>
            <w:vAlign w:val="bottom"/>
          </w:tcPr>
          <w:p>
            <w:pPr>
              <w:ind w:left="840"/>
              <w:spacing w:after="0"/>
              <w:rPr>
                <w:sz w:val="20"/>
                <w:szCs w:val="20"/>
                <w:color w:val="auto"/>
              </w:rPr>
            </w:pPr>
            <w:r>
              <w:rPr>
                <w:rFonts w:ascii="Arial" w:cs="Arial" w:eastAsia="Arial" w:hAnsi="Arial"/>
                <w:sz w:val="13"/>
                <w:szCs w:val="13"/>
                <w:b w:val="1"/>
                <w:bCs w:val="1"/>
                <w:color w:val="29378D"/>
              </w:rPr>
              <w:t>Kimberly A. Ross</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840"/>
              <w:spacing w:after="0"/>
              <w:rPr>
                <w:sz w:val="20"/>
                <w:szCs w:val="20"/>
                <w:color w:val="auto"/>
              </w:rPr>
            </w:pPr>
            <w:r>
              <w:rPr>
                <w:rFonts w:ascii="Arial" w:cs="Arial" w:eastAsia="Arial" w:hAnsi="Arial"/>
                <w:sz w:val="13"/>
                <w:szCs w:val="13"/>
                <w:color w:val="auto"/>
              </w:rPr>
              <w:t>Former Chief Financial Officer, WeWork and Baker Hughes Company</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58</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03/2023</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0" w:type="dxa"/>
            <w:vAlign w:val="bottom"/>
            <w:tcBorders>
              <w:bottom w:val="single" w:sz="8" w:color="BCBEC0"/>
            </w:tcBorders>
          </w:tcPr>
          <w:p>
            <w:pPr>
              <w:spacing w:after="0"/>
              <w:rPr>
                <w:sz w:val="19"/>
                <w:szCs w:val="19"/>
                <w:color w:val="auto"/>
              </w:rPr>
            </w:pPr>
          </w:p>
        </w:tc>
        <w:tc>
          <w:tcPr>
            <w:tcW w:w="600" w:type="dxa"/>
            <w:vAlign w:val="bottom"/>
            <w:tcBorders>
              <w:bottom w:val="single" w:sz="8" w:color="BCBEC0"/>
            </w:tcBorders>
          </w:tcPr>
          <w:p>
            <w:pPr>
              <w:spacing w:after="0"/>
              <w:rPr>
                <w:sz w:val="19"/>
                <w:szCs w:val="19"/>
                <w:color w:val="auto"/>
              </w:rPr>
            </w:pPr>
          </w:p>
        </w:tc>
        <w:tc>
          <w:tcPr>
            <w:tcW w:w="1020" w:type="dxa"/>
            <w:vAlign w:val="bottom"/>
            <w:tcBorders>
              <w:bottom w:val="single" w:sz="8" w:color="BCBEC0"/>
            </w:tcBorders>
          </w:tcPr>
          <w:p>
            <w:pPr>
              <w:spacing w:after="0"/>
              <w:rPr>
                <w:sz w:val="19"/>
                <w:szCs w:val="19"/>
                <w:color w:val="auto"/>
              </w:rPr>
            </w:pPr>
          </w:p>
        </w:tc>
        <w:tc>
          <w:tcPr>
            <w:tcW w:w="560" w:type="dxa"/>
            <w:vAlign w:val="bottom"/>
            <w:tcBorders>
              <w:bottom w:val="single" w:sz="8" w:color="BCBEC0"/>
            </w:tcBorders>
          </w:tcPr>
          <w:p>
            <w:pPr>
              <w:spacing w:after="0"/>
              <w:rPr>
                <w:sz w:val="19"/>
                <w:szCs w:val="19"/>
                <w:color w:val="auto"/>
              </w:rPr>
            </w:pPr>
          </w:p>
        </w:tc>
        <w:tc>
          <w:tcPr>
            <w:tcW w:w="560" w:type="dxa"/>
            <w:vAlign w:val="bottom"/>
            <w:tcBorders>
              <w:bottom w:val="single" w:sz="8" w:color="BCBEC0"/>
            </w:tcBorders>
          </w:tcPr>
          <w:p>
            <w:pPr>
              <w:spacing w:after="0"/>
              <w:rPr>
                <w:sz w:val="19"/>
                <w:szCs w:val="19"/>
                <w:color w:val="auto"/>
              </w:rPr>
            </w:pPr>
          </w:p>
        </w:tc>
        <w:tc>
          <w:tcPr>
            <w:tcW w:w="760" w:type="dxa"/>
            <w:vAlign w:val="bottom"/>
            <w:tcBorders>
              <w:bottom w:val="single" w:sz="8" w:color="BCBEC0"/>
            </w:tcBorders>
          </w:tcPr>
          <w:p>
            <w:pPr>
              <w:spacing w:after="0"/>
              <w:rPr>
                <w:sz w:val="19"/>
                <w:szCs w:val="19"/>
                <w:color w:val="auto"/>
              </w:rPr>
            </w:pPr>
          </w:p>
        </w:tc>
        <w:tc>
          <w:tcPr>
            <w:tcW w:w="34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400" w:type="dxa"/>
            <w:vAlign w:val="bottom"/>
          </w:tcPr>
          <w:p>
            <w:pPr>
              <w:ind w:left="840"/>
              <w:spacing w:after="0"/>
              <w:rPr>
                <w:sz w:val="20"/>
                <w:szCs w:val="20"/>
                <w:color w:val="auto"/>
              </w:rPr>
            </w:pPr>
            <w:r>
              <w:rPr>
                <w:rFonts w:ascii="Arial" w:cs="Arial" w:eastAsia="Arial" w:hAnsi="Arial"/>
                <w:sz w:val="13"/>
                <w:szCs w:val="13"/>
                <w:b w:val="1"/>
                <w:bCs w:val="1"/>
                <w:color w:val="29378D"/>
              </w:rPr>
              <w:t>Gary Roughead</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840"/>
              <w:spacing w:after="0"/>
              <w:rPr>
                <w:sz w:val="20"/>
                <w:szCs w:val="20"/>
                <w:color w:val="auto"/>
              </w:rPr>
            </w:pPr>
            <w:r>
              <w:rPr>
                <w:rFonts w:ascii="Arial" w:cs="Arial" w:eastAsia="Arial" w:hAnsi="Arial"/>
                <w:sz w:val="13"/>
                <w:szCs w:val="13"/>
                <w:color w:val="auto"/>
              </w:rPr>
              <w:t>Retired Admiral, United States Navy and Former Chief of Naval Operations</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72</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02/2012</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00" w:type="dxa"/>
            <w:vAlign w:val="bottom"/>
            <w:tcBorders>
              <w:bottom w:val="single" w:sz="8" w:color="BCBEC0"/>
            </w:tcBorders>
          </w:tcPr>
          <w:p>
            <w:pPr>
              <w:spacing w:after="0"/>
              <w:rPr>
                <w:sz w:val="21"/>
                <w:szCs w:val="21"/>
                <w:color w:val="auto"/>
              </w:rPr>
            </w:pPr>
          </w:p>
        </w:tc>
        <w:tc>
          <w:tcPr>
            <w:tcW w:w="600" w:type="dxa"/>
            <w:vAlign w:val="bottom"/>
            <w:tcBorders>
              <w:bottom w:val="single" w:sz="8" w:color="BCBEC0"/>
            </w:tcBorders>
          </w:tcPr>
          <w:p>
            <w:pPr>
              <w:spacing w:after="0"/>
              <w:rPr>
                <w:sz w:val="21"/>
                <w:szCs w:val="21"/>
                <w:color w:val="auto"/>
              </w:rPr>
            </w:pPr>
          </w:p>
        </w:tc>
        <w:tc>
          <w:tcPr>
            <w:tcW w:w="1020" w:type="dxa"/>
            <w:vAlign w:val="bottom"/>
            <w:tcBorders>
              <w:bottom w:val="single" w:sz="8" w:color="BCBEC0"/>
            </w:tcBorders>
          </w:tcPr>
          <w:p>
            <w:pPr>
              <w:spacing w:after="0"/>
              <w:rPr>
                <w:sz w:val="21"/>
                <w:szCs w:val="21"/>
                <w:color w:val="auto"/>
              </w:rPr>
            </w:pPr>
          </w:p>
        </w:tc>
        <w:tc>
          <w:tcPr>
            <w:tcW w:w="560" w:type="dxa"/>
            <w:vAlign w:val="bottom"/>
            <w:tcBorders>
              <w:bottom w:val="single" w:sz="8" w:color="BCBEC0"/>
            </w:tcBorders>
          </w:tcPr>
          <w:p>
            <w:pPr>
              <w:spacing w:after="0"/>
              <w:rPr>
                <w:sz w:val="21"/>
                <w:szCs w:val="21"/>
                <w:color w:val="auto"/>
              </w:rPr>
            </w:pPr>
          </w:p>
        </w:tc>
        <w:tc>
          <w:tcPr>
            <w:tcW w:w="560" w:type="dxa"/>
            <w:vAlign w:val="bottom"/>
            <w:tcBorders>
              <w:bottom w:val="single" w:sz="8" w:color="BCBEC0"/>
            </w:tcBorders>
          </w:tcPr>
          <w:p>
            <w:pPr>
              <w:spacing w:after="0"/>
              <w:rPr>
                <w:sz w:val="21"/>
                <w:szCs w:val="21"/>
                <w:color w:val="auto"/>
              </w:rPr>
            </w:pPr>
          </w:p>
        </w:tc>
        <w:tc>
          <w:tcPr>
            <w:tcW w:w="760" w:type="dxa"/>
            <w:vAlign w:val="bottom"/>
            <w:tcBorders>
              <w:bottom w:val="single" w:sz="8" w:color="BCBEC0"/>
            </w:tcBorders>
          </w:tcPr>
          <w:p>
            <w:pPr>
              <w:spacing w:after="0"/>
              <w:rPr>
                <w:sz w:val="21"/>
                <w:szCs w:val="21"/>
                <w:color w:val="auto"/>
              </w:rPr>
            </w:pPr>
          </w:p>
        </w:tc>
        <w:tc>
          <w:tcPr>
            <w:tcW w:w="340" w:type="dxa"/>
            <w:vAlign w:val="bottom"/>
            <w:tcBorders>
              <w:bottom w:val="single" w:sz="8" w:color="BCBEC0"/>
            </w:tcBorders>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7400" w:type="dxa"/>
            <w:vAlign w:val="bottom"/>
          </w:tcPr>
          <w:p>
            <w:pPr>
              <w:ind w:left="840"/>
              <w:spacing w:after="0"/>
              <w:rPr>
                <w:sz w:val="20"/>
                <w:szCs w:val="20"/>
                <w:color w:val="auto"/>
              </w:rPr>
            </w:pPr>
            <w:r>
              <w:rPr>
                <w:rFonts w:ascii="Arial" w:cs="Arial" w:eastAsia="Arial" w:hAnsi="Arial"/>
                <w:sz w:val="13"/>
                <w:szCs w:val="13"/>
                <w:b w:val="1"/>
                <w:bCs w:val="1"/>
                <w:color w:val="29378D"/>
              </w:rPr>
              <w:t>Thomas M. Schoewe</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840"/>
              <w:spacing w:after="0"/>
              <w:rPr>
                <w:sz w:val="20"/>
                <w:szCs w:val="20"/>
                <w:color w:val="auto"/>
              </w:rPr>
            </w:pPr>
            <w:r>
              <w:rPr>
                <w:rFonts w:ascii="Arial" w:cs="Arial" w:eastAsia="Arial" w:hAnsi="Arial"/>
                <w:sz w:val="13"/>
                <w:szCs w:val="13"/>
                <w:color w:val="auto"/>
              </w:rPr>
              <w:t>Former Executive Vice President and CFO, Wal-Mart Stores, Inc.</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71</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08/2011</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0" w:type="dxa"/>
            <w:vAlign w:val="bottom"/>
            <w:tcBorders>
              <w:bottom w:val="single" w:sz="8" w:color="BCBEC0"/>
            </w:tcBorders>
          </w:tcPr>
          <w:p>
            <w:pPr>
              <w:spacing w:after="0"/>
              <w:rPr>
                <w:sz w:val="19"/>
                <w:szCs w:val="19"/>
                <w:color w:val="auto"/>
              </w:rPr>
            </w:pPr>
          </w:p>
        </w:tc>
        <w:tc>
          <w:tcPr>
            <w:tcW w:w="600" w:type="dxa"/>
            <w:vAlign w:val="bottom"/>
            <w:tcBorders>
              <w:bottom w:val="single" w:sz="8" w:color="BCBEC0"/>
            </w:tcBorders>
          </w:tcPr>
          <w:p>
            <w:pPr>
              <w:spacing w:after="0"/>
              <w:rPr>
                <w:sz w:val="19"/>
                <w:szCs w:val="19"/>
                <w:color w:val="auto"/>
              </w:rPr>
            </w:pPr>
          </w:p>
        </w:tc>
        <w:tc>
          <w:tcPr>
            <w:tcW w:w="1020" w:type="dxa"/>
            <w:vAlign w:val="bottom"/>
            <w:tcBorders>
              <w:bottom w:val="single" w:sz="8" w:color="BCBEC0"/>
            </w:tcBorders>
          </w:tcPr>
          <w:p>
            <w:pPr>
              <w:spacing w:after="0"/>
              <w:rPr>
                <w:sz w:val="19"/>
                <w:szCs w:val="19"/>
                <w:color w:val="auto"/>
              </w:rPr>
            </w:pPr>
          </w:p>
        </w:tc>
        <w:tc>
          <w:tcPr>
            <w:tcW w:w="560" w:type="dxa"/>
            <w:vAlign w:val="bottom"/>
            <w:tcBorders>
              <w:bottom w:val="single" w:sz="8" w:color="BCBEC0"/>
            </w:tcBorders>
          </w:tcPr>
          <w:p>
            <w:pPr>
              <w:spacing w:after="0"/>
              <w:rPr>
                <w:sz w:val="19"/>
                <w:szCs w:val="19"/>
                <w:color w:val="auto"/>
              </w:rPr>
            </w:pPr>
          </w:p>
        </w:tc>
        <w:tc>
          <w:tcPr>
            <w:tcW w:w="560" w:type="dxa"/>
            <w:vAlign w:val="bottom"/>
            <w:tcBorders>
              <w:bottom w:val="single" w:sz="8" w:color="BCBEC0"/>
            </w:tcBorders>
          </w:tcPr>
          <w:p>
            <w:pPr>
              <w:spacing w:after="0"/>
              <w:rPr>
                <w:sz w:val="19"/>
                <w:szCs w:val="19"/>
                <w:color w:val="auto"/>
              </w:rPr>
            </w:pPr>
          </w:p>
        </w:tc>
        <w:tc>
          <w:tcPr>
            <w:tcW w:w="760" w:type="dxa"/>
            <w:vAlign w:val="bottom"/>
            <w:tcBorders>
              <w:bottom w:val="single" w:sz="8" w:color="BCBEC0"/>
            </w:tcBorders>
          </w:tcPr>
          <w:p>
            <w:pPr>
              <w:spacing w:after="0"/>
              <w:rPr>
                <w:sz w:val="19"/>
                <w:szCs w:val="19"/>
                <w:color w:val="auto"/>
              </w:rPr>
            </w:pPr>
          </w:p>
        </w:tc>
        <w:tc>
          <w:tcPr>
            <w:tcW w:w="34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400" w:type="dxa"/>
            <w:vAlign w:val="bottom"/>
          </w:tcPr>
          <w:p>
            <w:pPr>
              <w:ind w:left="840"/>
              <w:spacing w:after="0"/>
              <w:rPr>
                <w:sz w:val="20"/>
                <w:szCs w:val="20"/>
                <w:color w:val="auto"/>
              </w:rPr>
            </w:pPr>
            <w:r>
              <w:rPr>
                <w:rFonts w:ascii="Arial" w:cs="Arial" w:eastAsia="Arial" w:hAnsi="Arial"/>
                <w:sz w:val="13"/>
                <w:szCs w:val="13"/>
                <w:b w:val="1"/>
                <w:bCs w:val="1"/>
                <w:color w:val="29378D"/>
              </w:rPr>
              <w:t>James S. Turley</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840"/>
              <w:spacing w:after="0"/>
              <w:rPr>
                <w:sz w:val="20"/>
                <w:szCs w:val="20"/>
                <w:color w:val="auto"/>
              </w:rPr>
            </w:pPr>
            <w:r>
              <w:rPr>
                <w:rFonts w:ascii="Arial" w:cs="Arial" w:eastAsia="Arial" w:hAnsi="Arial"/>
                <w:sz w:val="13"/>
                <w:szCs w:val="13"/>
                <w:color w:val="auto"/>
              </w:rPr>
              <w:t>Former Chairman and Chief Executive Officer, Ernst &amp; Young</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68</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02/2015</w:t>
            </w: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00" w:type="dxa"/>
            <w:vAlign w:val="bottom"/>
            <w:tcBorders>
              <w:bottom w:val="single" w:sz="8" w:color="BCBEC0"/>
            </w:tcBorders>
          </w:tcPr>
          <w:p>
            <w:pPr>
              <w:spacing w:after="0"/>
              <w:rPr>
                <w:sz w:val="18"/>
                <w:szCs w:val="18"/>
                <w:color w:val="auto"/>
              </w:rPr>
            </w:pPr>
          </w:p>
        </w:tc>
        <w:tc>
          <w:tcPr>
            <w:tcW w:w="600" w:type="dxa"/>
            <w:vAlign w:val="bottom"/>
            <w:tcBorders>
              <w:bottom w:val="single" w:sz="8" w:color="BCBEC0"/>
            </w:tcBorders>
          </w:tcPr>
          <w:p>
            <w:pPr>
              <w:spacing w:after="0"/>
              <w:rPr>
                <w:sz w:val="18"/>
                <w:szCs w:val="18"/>
                <w:color w:val="auto"/>
              </w:rPr>
            </w:pPr>
          </w:p>
        </w:tc>
        <w:tc>
          <w:tcPr>
            <w:tcW w:w="1020" w:type="dxa"/>
            <w:vAlign w:val="bottom"/>
            <w:tcBorders>
              <w:bottom w:val="single" w:sz="8" w:color="BCBEC0"/>
            </w:tcBorders>
          </w:tcPr>
          <w:p>
            <w:pPr>
              <w:spacing w:after="0"/>
              <w:rPr>
                <w:sz w:val="18"/>
                <w:szCs w:val="18"/>
                <w:color w:val="auto"/>
              </w:rPr>
            </w:pPr>
          </w:p>
        </w:tc>
        <w:tc>
          <w:tcPr>
            <w:tcW w:w="560" w:type="dxa"/>
            <w:vAlign w:val="bottom"/>
            <w:tcBorders>
              <w:bottom w:val="single" w:sz="8" w:color="BCBEC0"/>
            </w:tcBorders>
          </w:tcPr>
          <w:p>
            <w:pPr>
              <w:spacing w:after="0"/>
              <w:rPr>
                <w:sz w:val="18"/>
                <w:szCs w:val="18"/>
                <w:color w:val="auto"/>
              </w:rPr>
            </w:pPr>
          </w:p>
        </w:tc>
        <w:tc>
          <w:tcPr>
            <w:tcW w:w="560" w:type="dxa"/>
            <w:vAlign w:val="bottom"/>
            <w:tcBorders>
              <w:bottom w:val="single" w:sz="8" w:color="BCBEC0"/>
            </w:tcBorders>
          </w:tcPr>
          <w:p>
            <w:pPr>
              <w:spacing w:after="0"/>
              <w:rPr>
                <w:sz w:val="18"/>
                <w:szCs w:val="18"/>
                <w:color w:val="auto"/>
              </w:rPr>
            </w:pPr>
          </w:p>
        </w:tc>
        <w:tc>
          <w:tcPr>
            <w:tcW w:w="760" w:type="dxa"/>
            <w:vAlign w:val="bottom"/>
            <w:tcBorders>
              <w:bottom w:val="single" w:sz="8" w:color="BCBEC0"/>
            </w:tcBorders>
          </w:tcPr>
          <w:p>
            <w:pPr>
              <w:spacing w:after="0"/>
              <w:rPr>
                <w:sz w:val="18"/>
                <w:szCs w:val="18"/>
                <w:color w:val="auto"/>
              </w:rPr>
            </w:pPr>
          </w:p>
        </w:tc>
        <w:tc>
          <w:tcPr>
            <w:tcW w:w="34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400" w:type="dxa"/>
            <w:vAlign w:val="bottom"/>
          </w:tcPr>
          <w:p>
            <w:pPr>
              <w:ind w:left="840"/>
              <w:spacing w:after="0"/>
              <w:rPr>
                <w:sz w:val="20"/>
                <w:szCs w:val="20"/>
                <w:color w:val="auto"/>
              </w:rPr>
            </w:pPr>
            <w:r>
              <w:rPr>
                <w:rFonts w:ascii="Arial" w:cs="Arial" w:eastAsia="Arial" w:hAnsi="Arial"/>
                <w:sz w:val="13"/>
                <w:szCs w:val="13"/>
                <w:b w:val="1"/>
                <w:bCs w:val="1"/>
                <w:color w:val="29378D"/>
              </w:rPr>
              <w:t>Kathy J. Warden</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840"/>
              <w:spacing w:after="0"/>
              <w:rPr>
                <w:sz w:val="20"/>
                <w:szCs w:val="20"/>
                <w:color w:val="auto"/>
              </w:rPr>
            </w:pPr>
            <w:r>
              <w:rPr>
                <w:rFonts w:ascii="Arial" w:cs="Arial" w:eastAsia="Arial" w:hAnsi="Arial"/>
                <w:sz w:val="13"/>
                <w:szCs w:val="13"/>
                <w:color w:val="auto"/>
              </w:rPr>
              <w:t>Chair, Chief Executive Officer and President, Northrop Grumman Corporation</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52</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07/2018</w:t>
            </w: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400" w:type="dxa"/>
            <w:vAlign w:val="bottom"/>
            <w:tcBorders>
              <w:bottom w:val="single" w:sz="8" w:color="BCBEC0"/>
            </w:tcBorders>
          </w:tcPr>
          <w:p>
            <w:pPr>
              <w:spacing w:after="0"/>
              <w:rPr>
                <w:sz w:val="19"/>
                <w:szCs w:val="19"/>
                <w:color w:val="auto"/>
              </w:rPr>
            </w:pPr>
          </w:p>
        </w:tc>
        <w:tc>
          <w:tcPr>
            <w:tcW w:w="600" w:type="dxa"/>
            <w:vAlign w:val="bottom"/>
            <w:tcBorders>
              <w:bottom w:val="single" w:sz="8" w:color="BCBEC0"/>
            </w:tcBorders>
          </w:tcPr>
          <w:p>
            <w:pPr>
              <w:spacing w:after="0"/>
              <w:rPr>
                <w:sz w:val="19"/>
                <w:szCs w:val="19"/>
                <w:color w:val="auto"/>
              </w:rPr>
            </w:pPr>
          </w:p>
        </w:tc>
        <w:tc>
          <w:tcPr>
            <w:tcW w:w="1020" w:type="dxa"/>
            <w:vAlign w:val="bottom"/>
            <w:tcBorders>
              <w:bottom w:val="single" w:sz="8" w:color="BCBEC0"/>
            </w:tcBorders>
          </w:tcPr>
          <w:p>
            <w:pPr>
              <w:spacing w:after="0"/>
              <w:rPr>
                <w:sz w:val="19"/>
                <w:szCs w:val="19"/>
                <w:color w:val="auto"/>
              </w:rPr>
            </w:pPr>
          </w:p>
        </w:tc>
        <w:tc>
          <w:tcPr>
            <w:tcW w:w="560" w:type="dxa"/>
            <w:vAlign w:val="bottom"/>
            <w:tcBorders>
              <w:bottom w:val="single" w:sz="8" w:color="BCBEC0"/>
            </w:tcBorders>
          </w:tcPr>
          <w:p>
            <w:pPr>
              <w:spacing w:after="0"/>
              <w:rPr>
                <w:sz w:val="19"/>
                <w:szCs w:val="19"/>
                <w:color w:val="auto"/>
              </w:rPr>
            </w:pPr>
          </w:p>
        </w:tc>
        <w:tc>
          <w:tcPr>
            <w:tcW w:w="560" w:type="dxa"/>
            <w:vAlign w:val="bottom"/>
            <w:tcBorders>
              <w:bottom w:val="single" w:sz="8" w:color="BCBEC0"/>
            </w:tcBorders>
          </w:tcPr>
          <w:p>
            <w:pPr>
              <w:spacing w:after="0"/>
              <w:rPr>
                <w:sz w:val="19"/>
                <w:szCs w:val="19"/>
                <w:color w:val="auto"/>
              </w:rPr>
            </w:pPr>
          </w:p>
        </w:tc>
        <w:tc>
          <w:tcPr>
            <w:tcW w:w="760" w:type="dxa"/>
            <w:vAlign w:val="bottom"/>
            <w:tcBorders>
              <w:bottom w:val="single" w:sz="8" w:color="BCBEC0"/>
            </w:tcBorders>
          </w:tcPr>
          <w:p>
            <w:pPr>
              <w:spacing w:after="0"/>
              <w:rPr>
                <w:sz w:val="19"/>
                <w:szCs w:val="19"/>
                <w:color w:val="auto"/>
              </w:rPr>
            </w:pPr>
          </w:p>
        </w:tc>
        <w:tc>
          <w:tcPr>
            <w:tcW w:w="34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400" w:type="dxa"/>
            <w:vAlign w:val="bottom"/>
          </w:tcPr>
          <w:p>
            <w:pPr>
              <w:ind w:left="840"/>
              <w:spacing w:after="0"/>
              <w:rPr>
                <w:sz w:val="20"/>
                <w:szCs w:val="20"/>
                <w:color w:val="auto"/>
              </w:rPr>
            </w:pPr>
            <w:r>
              <w:rPr>
                <w:rFonts w:ascii="Arial" w:cs="Arial" w:eastAsia="Arial" w:hAnsi="Arial"/>
                <w:sz w:val="13"/>
                <w:szCs w:val="13"/>
                <w:b w:val="1"/>
                <w:bCs w:val="1"/>
                <w:color w:val="29378D"/>
              </w:rPr>
              <w:t>Mark A. Welsh III</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400" w:type="dxa"/>
            <w:vAlign w:val="bottom"/>
          </w:tcPr>
          <w:p>
            <w:pPr>
              <w:ind w:left="840"/>
              <w:spacing w:after="0"/>
              <w:rPr>
                <w:sz w:val="20"/>
                <w:szCs w:val="20"/>
                <w:color w:val="auto"/>
              </w:rPr>
            </w:pPr>
            <w:r>
              <w:rPr>
                <w:rFonts w:ascii="Arial" w:cs="Arial" w:eastAsia="Arial" w:hAnsi="Arial"/>
                <w:sz w:val="13"/>
                <w:szCs w:val="13"/>
                <w:color w:val="auto"/>
              </w:rPr>
              <w:t>President, Texas A&amp;M University; Retired General, United States Air Force and Former Chief of Staff, United</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70</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12/2016</w:t>
            </w: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tcPr>
          <w:p>
            <w:pPr>
              <w:ind w:left="840"/>
              <w:spacing w:after="0"/>
              <w:rPr>
                <w:sz w:val="20"/>
                <w:szCs w:val="20"/>
                <w:color w:val="auto"/>
              </w:rPr>
            </w:pPr>
            <w:r>
              <w:rPr>
                <w:rFonts w:ascii="Arial" w:cs="Arial" w:eastAsia="Arial" w:hAnsi="Arial"/>
                <w:sz w:val="13"/>
                <w:szCs w:val="13"/>
                <w:color w:val="auto"/>
              </w:rPr>
              <w:t>States Air Force</w:t>
            </w: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7400" w:type="dxa"/>
            <w:vAlign w:val="bottom"/>
            <w:tcBorders>
              <w:bottom w:val="single" w:sz="8" w:color="BCBEC0"/>
            </w:tcBorders>
          </w:tcPr>
          <w:p>
            <w:pPr>
              <w:spacing w:after="0"/>
              <w:rPr>
                <w:sz w:val="8"/>
                <w:szCs w:val="8"/>
                <w:color w:val="auto"/>
              </w:rPr>
            </w:pPr>
          </w:p>
        </w:tc>
        <w:tc>
          <w:tcPr>
            <w:tcW w:w="600" w:type="dxa"/>
            <w:vAlign w:val="bottom"/>
            <w:tcBorders>
              <w:bottom w:val="single" w:sz="8" w:color="BCBEC0"/>
            </w:tcBorders>
          </w:tcPr>
          <w:p>
            <w:pPr>
              <w:spacing w:after="0"/>
              <w:rPr>
                <w:sz w:val="8"/>
                <w:szCs w:val="8"/>
                <w:color w:val="auto"/>
              </w:rPr>
            </w:pPr>
          </w:p>
        </w:tc>
        <w:tc>
          <w:tcPr>
            <w:tcW w:w="1020" w:type="dxa"/>
            <w:vAlign w:val="bottom"/>
            <w:tcBorders>
              <w:bottom w:val="single" w:sz="8" w:color="BCBEC0"/>
            </w:tcBorders>
          </w:tcPr>
          <w:p>
            <w:pPr>
              <w:spacing w:after="0"/>
              <w:rPr>
                <w:sz w:val="8"/>
                <w:szCs w:val="8"/>
                <w:color w:val="auto"/>
              </w:rPr>
            </w:pPr>
          </w:p>
        </w:tc>
        <w:tc>
          <w:tcPr>
            <w:tcW w:w="560" w:type="dxa"/>
            <w:vAlign w:val="bottom"/>
            <w:tcBorders>
              <w:bottom w:val="single" w:sz="8" w:color="BCBEC0"/>
            </w:tcBorders>
          </w:tcPr>
          <w:p>
            <w:pPr>
              <w:spacing w:after="0"/>
              <w:rPr>
                <w:sz w:val="8"/>
                <w:szCs w:val="8"/>
                <w:color w:val="auto"/>
              </w:rPr>
            </w:pPr>
          </w:p>
        </w:tc>
        <w:tc>
          <w:tcPr>
            <w:tcW w:w="560" w:type="dxa"/>
            <w:vAlign w:val="bottom"/>
            <w:tcBorders>
              <w:bottom w:val="single" w:sz="8" w:color="BCBEC0"/>
            </w:tcBorders>
          </w:tcPr>
          <w:p>
            <w:pPr>
              <w:spacing w:after="0"/>
              <w:rPr>
                <w:sz w:val="8"/>
                <w:szCs w:val="8"/>
                <w:color w:val="auto"/>
              </w:rPr>
            </w:pPr>
          </w:p>
        </w:tc>
        <w:tc>
          <w:tcPr>
            <w:tcW w:w="760" w:type="dxa"/>
            <w:vAlign w:val="bottom"/>
            <w:tcBorders>
              <w:bottom w:val="single" w:sz="8" w:color="BCBEC0"/>
            </w:tcBorders>
          </w:tcPr>
          <w:p>
            <w:pPr>
              <w:spacing w:after="0"/>
              <w:rPr>
                <w:sz w:val="8"/>
                <w:szCs w:val="8"/>
                <w:color w:val="auto"/>
              </w:rPr>
            </w:pPr>
          </w:p>
        </w:tc>
        <w:tc>
          <w:tcPr>
            <w:tcW w:w="340" w:type="dxa"/>
            <w:vAlign w:val="bottom"/>
            <w:tcBorders>
              <w:bottom w:val="single" w:sz="8" w:color="BCBEC0"/>
            </w:tcBorders>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7400" w:type="dxa"/>
            <w:vAlign w:val="bottom"/>
          </w:tcPr>
          <w:p>
            <w:pPr>
              <w:ind w:left="840"/>
              <w:spacing w:after="0"/>
              <w:rPr>
                <w:sz w:val="20"/>
                <w:szCs w:val="20"/>
                <w:color w:val="auto"/>
              </w:rPr>
            </w:pPr>
            <w:r>
              <w:rPr>
                <w:rFonts w:ascii="Arial" w:cs="Arial" w:eastAsia="Arial" w:hAnsi="Arial"/>
                <w:sz w:val="13"/>
                <w:szCs w:val="13"/>
                <w:b w:val="1"/>
                <w:bCs w:val="1"/>
                <w:color w:val="29378D"/>
              </w:rPr>
              <w:t>Mary A. Winston</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840"/>
              <w:spacing w:after="0"/>
              <w:rPr>
                <w:sz w:val="20"/>
                <w:szCs w:val="20"/>
                <w:color w:val="auto"/>
              </w:rPr>
            </w:pPr>
            <w:r>
              <w:rPr>
                <w:rFonts w:ascii="Arial" w:cs="Arial" w:eastAsia="Arial" w:hAnsi="Arial"/>
                <w:sz w:val="13"/>
                <w:szCs w:val="13"/>
                <w:color w:val="auto"/>
              </w:rPr>
              <w:t>President and Founder of WinsCo Enterprises, Inc.</w:t>
            </w:r>
          </w:p>
        </w:tc>
        <w:tc>
          <w:tcPr>
            <w:tcW w:w="600" w:type="dxa"/>
            <w:vAlign w:val="bottom"/>
          </w:tcPr>
          <w:p>
            <w:pPr>
              <w:jc w:val="center"/>
              <w:ind w:right="73"/>
              <w:spacing w:after="0"/>
              <w:rPr>
                <w:sz w:val="20"/>
                <w:szCs w:val="20"/>
                <w:color w:val="auto"/>
              </w:rPr>
            </w:pPr>
            <w:r>
              <w:rPr>
                <w:rFonts w:ascii="Arial" w:cs="Arial" w:eastAsia="Arial" w:hAnsi="Arial"/>
                <w:sz w:val="13"/>
                <w:szCs w:val="13"/>
                <w:color w:val="auto"/>
                <w:w w:val="96"/>
              </w:rPr>
              <w:t>62</w:t>
            </w:r>
          </w:p>
        </w:tc>
        <w:tc>
          <w:tcPr>
            <w:tcW w:w="1020" w:type="dxa"/>
            <w:vAlign w:val="bottom"/>
          </w:tcPr>
          <w:p>
            <w:pPr>
              <w:jc w:val="center"/>
              <w:ind w:right="33"/>
              <w:spacing w:after="0"/>
              <w:rPr>
                <w:sz w:val="20"/>
                <w:szCs w:val="20"/>
                <w:color w:val="auto"/>
              </w:rPr>
            </w:pPr>
            <w:r>
              <w:rPr>
                <w:rFonts w:ascii="Arial" w:cs="Arial" w:eastAsia="Arial" w:hAnsi="Arial"/>
                <w:sz w:val="13"/>
                <w:szCs w:val="13"/>
                <w:color w:val="auto"/>
              </w:rPr>
              <w:t>03/2023</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0" w:type="dxa"/>
            <w:vAlign w:val="bottom"/>
            <w:tcBorders>
              <w:bottom w:val="single" w:sz="8" w:color="29378D"/>
            </w:tcBorders>
          </w:tcPr>
          <w:p>
            <w:pPr>
              <w:spacing w:after="0"/>
              <w:rPr>
                <w:sz w:val="19"/>
                <w:szCs w:val="19"/>
                <w:color w:val="auto"/>
              </w:rPr>
            </w:pPr>
          </w:p>
        </w:tc>
        <w:tc>
          <w:tcPr>
            <w:tcW w:w="600" w:type="dxa"/>
            <w:vAlign w:val="bottom"/>
            <w:tcBorders>
              <w:bottom w:val="single" w:sz="8" w:color="29378D"/>
            </w:tcBorders>
          </w:tcPr>
          <w:p>
            <w:pPr>
              <w:spacing w:after="0"/>
              <w:rPr>
                <w:sz w:val="19"/>
                <w:szCs w:val="19"/>
                <w:color w:val="auto"/>
              </w:rPr>
            </w:pPr>
          </w:p>
        </w:tc>
        <w:tc>
          <w:tcPr>
            <w:tcW w:w="1020" w:type="dxa"/>
            <w:vAlign w:val="bottom"/>
            <w:tcBorders>
              <w:bottom w:val="single" w:sz="8" w:color="29378D"/>
            </w:tcBorders>
          </w:tcPr>
          <w:p>
            <w:pPr>
              <w:spacing w:after="0"/>
              <w:rPr>
                <w:sz w:val="19"/>
                <w:szCs w:val="19"/>
                <w:color w:val="auto"/>
              </w:rPr>
            </w:pPr>
          </w:p>
        </w:tc>
        <w:tc>
          <w:tcPr>
            <w:tcW w:w="560" w:type="dxa"/>
            <w:vAlign w:val="bottom"/>
            <w:tcBorders>
              <w:bottom w:val="single" w:sz="8" w:color="29378D"/>
            </w:tcBorders>
          </w:tcPr>
          <w:p>
            <w:pPr>
              <w:spacing w:after="0"/>
              <w:rPr>
                <w:sz w:val="19"/>
                <w:szCs w:val="19"/>
                <w:color w:val="auto"/>
              </w:rPr>
            </w:pPr>
          </w:p>
        </w:tc>
        <w:tc>
          <w:tcPr>
            <w:tcW w:w="560" w:type="dxa"/>
            <w:vAlign w:val="bottom"/>
            <w:tcBorders>
              <w:bottom w:val="single" w:sz="8" w:color="29378D"/>
            </w:tcBorders>
          </w:tcPr>
          <w:p>
            <w:pPr>
              <w:spacing w:after="0"/>
              <w:rPr>
                <w:sz w:val="19"/>
                <w:szCs w:val="19"/>
                <w:color w:val="auto"/>
              </w:rPr>
            </w:pPr>
          </w:p>
        </w:tc>
        <w:tc>
          <w:tcPr>
            <w:tcW w:w="760" w:type="dxa"/>
            <w:vAlign w:val="bottom"/>
            <w:tcBorders>
              <w:bottom w:val="single" w:sz="8" w:color="29378D"/>
            </w:tcBorders>
          </w:tcPr>
          <w:p>
            <w:pPr>
              <w:spacing w:after="0"/>
              <w:rPr>
                <w:sz w:val="19"/>
                <w:szCs w:val="19"/>
                <w:color w:val="auto"/>
              </w:rPr>
            </w:pPr>
          </w:p>
        </w:tc>
        <w:tc>
          <w:tcPr>
            <w:tcW w:w="340" w:type="dxa"/>
            <w:vAlign w:val="bottom"/>
            <w:tcBorders>
              <w:bottom w:val="single" w:sz="8" w:color="29378D"/>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-5186045</wp:posOffset>
            </wp:positionV>
            <wp:extent cx="308610" cy="325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-5074285</wp:posOffset>
            </wp:positionV>
            <wp:extent cx="10287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-5074285</wp:posOffset>
            </wp:positionV>
            <wp:extent cx="102870" cy="102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-4774565</wp:posOffset>
            </wp:positionV>
            <wp:extent cx="308610" cy="3257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-4662805</wp:posOffset>
            </wp:positionV>
            <wp:extent cx="102870"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-4662805</wp:posOffset>
            </wp:positionV>
            <wp:extent cx="10287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-4363085</wp:posOffset>
            </wp:positionV>
            <wp:extent cx="308610" cy="3257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-4251325</wp:posOffset>
            </wp:positionV>
            <wp:extent cx="102870" cy="102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-4251325</wp:posOffset>
            </wp:positionV>
            <wp:extent cx="102870" cy="1028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-3959860</wp:posOffset>
            </wp:positionV>
            <wp:extent cx="308610" cy="3257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-3848735</wp:posOffset>
            </wp:positionV>
            <wp:extent cx="102870"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-3848735</wp:posOffset>
            </wp:positionV>
            <wp:extent cx="102870"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-3565525</wp:posOffset>
            </wp:positionV>
            <wp:extent cx="308610" cy="3257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-3454400</wp:posOffset>
            </wp:positionV>
            <wp:extent cx="102870"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-3454400</wp:posOffset>
            </wp:positionV>
            <wp:extent cx="102870" cy="1028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-3162935</wp:posOffset>
            </wp:positionV>
            <wp:extent cx="308610" cy="3257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-3051175</wp:posOffset>
            </wp:positionV>
            <wp:extent cx="102870" cy="1028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-3051175</wp:posOffset>
            </wp:positionV>
            <wp:extent cx="102870" cy="102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-2759710</wp:posOffset>
            </wp:positionV>
            <wp:extent cx="308610" cy="3257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-2648585</wp:posOffset>
            </wp:positionV>
            <wp:extent cx="102870" cy="1028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-2648585</wp:posOffset>
            </wp:positionV>
            <wp:extent cx="102870" cy="102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-2357120</wp:posOffset>
            </wp:positionV>
            <wp:extent cx="308610" cy="3257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-2245360</wp:posOffset>
            </wp:positionV>
            <wp:extent cx="102870" cy="102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-2245360</wp:posOffset>
            </wp:positionV>
            <wp:extent cx="102870" cy="102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-1953895</wp:posOffset>
            </wp:positionV>
            <wp:extent cx="308610" cy="3257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-1842770</wp:posOffset>
            </wp:positionV>
            <wp:extent cx="102870" cy="1028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-1842770</wp:posOffset>
            </wp:positionV>
            <wp:extent cx="102870" cy="1028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-1559560</wp:posOffset>
            </wp:positionV>
            <wp:extent cx="308610" cy="308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-1456690</wp:posOffset>
            </wp:positionV>
            <wp:extent cx="102870" cy="1028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-1456690</wp:posOffset>
            </wp:positionV>
            <wp:extent cx="102870" cy="1028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-1182370</wp:posOffset>
            </wp:positionV>
            <wp:extent cx="308610" cy="3257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-788035</wp:posOffset>
            </wp:positionV>
            <wp:extent cx="308610" cy="3257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-676910</wp:posOffset>
            </wp:positionV>
            <wp:extent cx="102870" cy="1028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-676910</wp:posOffset>
            </wp:positionV>
            <wp:extent cx="102870" cy="1028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-393700</wp:posOffset>
            </wp:positionV>
            <wp:extent cx="308610" cy="3257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8610" cy="3257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-282575</wp:posOffset>
            </wp:positionV>
            <wp:extent cx="102870" cy="102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-282575</wp:posOffset>
            </wp:positionV>
            <wp:extent cx="102870" cy="1028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AR</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Audit and Risk Committee</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NG</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Nominating and Corporate Governance Committee</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Chair</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Member</w:t>
      </w:r>
    </w:p>
    <w:p>
      <w:pPr>
        <w:spacing w:after="0" w:line="201" w:lineRule="exact"/>
        <w:rPr>
          <w:sz w:val="20"/>
          <w:szCs w:val="20"/>
          <w:color w:val="auto"/>
        </w:rPr>
      </w:pPr>
    </w:p>
    <w:p>
      <w:pPr>
        <w:sectPr>
          <w:pgSz w:w="11900" w:h="16838" w:orient="portrait"/>
          <w:cols w:equalWidth="0" w:num="6">
            <w:col w:w="240" w:space="200"/>
            <w:col w:w="3100" w:space="720"/>
            <w:col w:w="200" w:space="340"/>
            <w:col w:w="3840" w:space="720"/>
            <w:col w:w="360" w:space="720"/>
            <w:col w:w="800"/>
          </w:cols>
          <w:pgMar w:left="320" w:top="238" w:right="339" w:bottom="1440" w:gutter="0" w:footer="0" w:header="0"/>
          <w:type w:val="continuous"/>
        </w:sectPr>
      </w:pP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Compensation and Human Capital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Policy Committee</w:t>
      </w:r>
    </w:p>
    <w:p>
      <w:pPr>
        <w:spacing w:after="0" w:line="174" w:lineRule="exact"/>
        <w:rPr>
          <w:sz w:val="20"/>
          <w:szCs w:val="20"/>
          <w:color w:val="auto"/>
        </w:rPr>
      </w:pPr>
    </w:p>
    <w:p>
      <w:pPr>
        <w:sectPr>
          <w:pgSz w:w="11900" w:h="16838" w:orient="portrait"/>
          <w:cols w:equalWidth="0" w:num="4">
            <w:col w:w="240" w:space="200"/>
            <w:col w:w="3100" w:space="720"/>
            <w:col w:w="80" w:space="460"/>
            <w:col w:w="6440"/>
          </w:cols>
          <w:pgMar w:left="320" w:top="238" w:right="33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  Age as of April 3, 2024.</w:t>
      </w:r>
    </w:p>
    <w:p>
      <w:pPr>
        <w:sectPr>
          <w:pgSz w:w="11900" w:h="16838" w:orient="portrait"/>
          <w:cols w:equalWidth="0" w:num="1">
            <w:col w:w="1124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 w:hanging="494"/>
        <w:spacing w:after="0"/>
        <w:tabs>
          <w:tab w:leader="none" w:pos="520" w:val="left"/>
        </w:tabs>
        <w:numPr>
          <w:ilvl w:val="0"/>
          <w:numId w:val="5"/>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4"/>
          <w:szCs w:val="14"/>
          <w:b w:val="1"/>
          <w:bCs w:val="1"/>
          <w:color w:val="auto"/>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5"/>
          <w:szCs w:val="25"/>
          <w:color w:val="auto"/>
        </w:rPr>
        <w:t xml:space="preserve">We have a </w:t>
      </w:r>
      <w:r>
        <w:rPr>
          <w:rFonts w:ascii="Arial" w:cs="Arial" w:eastAsia="Arial" w:hAnsi="Arial"/>
          <w:sz w:val="25"/>
          <w:szCs w:val="25"/>
          <w:b w:val="1"/>
          <w:bCs w:val="1"/>
          <w:color w:val="29378D"/>
        </w:rPr>
        <w:t>diverse and highly qualified slate of 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244475</wp:posOffset>
            </wp:positionV>
            <wp:extent cx="1731645" cy="6940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31645" cy="6940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364490</wp:posOffset>
            </wp:positionV>
            <wp:extent cx="1722755" cy="676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2275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5360" w:val="left"/>
        </w:tabs>
        <w:rPr>
          <w:sz w:val="20"/>
          <w:szCs w:val="20"/>
          <w:color w:val="auto"/>
        </w:rPr>
      </w:pPr>
      <w:r>
        <w:rPr>
          <w:rFonts w:ascii="Arial" w:cs="Arial" w:eastAsia="Arial" w:hAnsi="Arial"/>
          <w:sz w:val="14"/>
          <w:szCs w:val="14"/>
          <w:b w:val="1"/>
          <w:bCs w:val="1"/>
          <w:color w:val="00249C"/>
        </w:rPr>
        <w:t>AVERAGE AGE</w:t>
      </w:r>
      <w:r>
        <w:rPr>
          <w:sz w:val="20"/>
          <w:szCs w:val="20"/>
          <w:color w:val="auto"/>
        </w:rPr>
        <w:tab/>
      </w:r>
      <w:r>
        <w:rPr>
          <w:rFonts w:ascii="Arial" w:cs="Arial" w:eastAsia="Arial" w:hAnsi="Arial"/>
          <w:sz w:val="14"/>
          <w:szCs w:val="14"/>
          <w:b w:val="1"/>
          <w:bCs w:val="1"/>
          <w:color w:val="00249C"/>
        </w:rPr>
        <w:t>AVERAGE TENURE</w:t>
      </w:r>
    </w:p>
    <w:p>
      <w:pPr>
        <w:sectPr>
          <w:pgSz w:w="11900" w:h="16838" w:orient="portrait"/>
          <w:cols w:equalWidth="0" w:num="1">
            <w:col w:w="11240"/>
          </w:cols>
          <w:pgMar w:left="320" w:top="238" w:right="339" w:bottom="1440" w:gutter="0" w:footer="0" w:header="0"/>
        </w:sectPr>
      </w:pPr>
    </w:p>
    <w:p>
      <w:pPr>
        <w:spacing w:after="0" w:line="196"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29378D"/>
        </w:rPr>
        <w:t>65.1</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43"/>
          <w:szCs w:val="43"/>
          <w:b w:val="1"/>
          <w:bCs w:val="1"/>
          <w:color w:val="00249C"/>
        </w:rPr>
        <w:t>6.9</w:t>
      </w:r>
    </w:p>
    <w:p>
      <w:pPr>
        <w:spacing w:after="0" w:line="107" w:lineRule="exact"/>
        <w:rPr>
          <w:sz w:val="20"/>
          <w:szCs w:val="20"/>
          <w:color w:val="auto"/>
        </w:rPr>
      </w:pPr>
    </w:p>
    <w:p>
      <w:pPr>
        <w:sectPr>
          <w:pgSz w:w="11900" w:h="16838" w:orient="portrait"/>
          <w:cols w:equalWidth="0" w:num="2">
            <w:col w:w="4660" w:space="720"/>
            <w:col w:w="5860"/>
          </w:cols>
          <w:pgMar w:left="320" w:top="238" w:right="33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29378D"/>
        </w:rPr>
        <w:t>YEARS</w:t>
      </w:r>
    </w:p>
    <w:p>
      <w:pPr>
        <w:spacing w:after="0" w:line="20" w:lineRule="exact"/>
        <w:rPr>
          <w:sz w:val="20"/>
          <w:szCs w:val="20"/>
          <w:color w:val="auto"/>
        </w:rPr>
      </w:pPr>
      <w:r>
        <w:rPr>
          <w:sz w:val="20"/>
          <w:szCs w:val="20"/>
          <w:color w:val="auto"/>
        </w:rPr>
        <w:br w:type="column"/>
      </w:r>
    </w:p>
    <w:p>
      <w:pPr>
        <w:jc w:val="center"/>
        <w:ind w:right="5360"/>
        <w:spacing w:after="0"/>
        <w:rPr>
          <w:sz w:val="20"/>
          <w:szCs w:val="20"/>
          <w:color w:val="auto"/>
        </w:rPr>
      </w:pPr>
      <w:r>
        <w:rPr>
          <w:rFonts w:ascii="Arial" w:cs="Arial" w:eastAsia="Arial" w:hAnsi="Arial"/>
          <w:sz w:val="14"/>
          <w:szCs w:val="14"/>
          <w:b w:val="1"/>
          <w:bCs w:val="1"/>
          <w:color w:val="00249C"/>
        </w:rPr>
        <w:t>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-1962150</wp:posOffset>
            </wp:positionH>
            <wp:positionV relativeFrom="paragraph">
              <wp:posOffset>417830</wp:posOffset>
            </wp:positionV>
            <wp:extent cx="1723390" cy="677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23390" cy="677545"/>
                    </a:xfrm>
                    <a:prstGeom prst="rect">
                      <a:avLst/>
                    </a:prstGeom>
                    <a:noFill/>
                  </pic:spPr>
                </pic:pic>
              </a:graphicData>
            </a:graphic>
          </wp:anchor>
        </w:drawing>
        <w:drawing>
          <wp:anchor simplePos="0" relativeHeight="251657728" behindDoc="1" locked="0" layoutInCell="0" allowOverlap="1">
            <wp:simplePos x="0" y="0"/>
            <wp:positionH relativeFrom="column">
              <wp:posOffset>1269365</wp:posOffset>
            </wp:positionH>
            <wp:positionV relativeFrom="paragraph">
              <wp:posOffset>417830</wp:posOffset>
            </wp:positionV>
            <wp:extent cx="1843405" cy="677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43405" cy="677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586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Arial" w:cs="Arial" w:eastAsia="Arial" w:hAnsi="Arial"/>
                <w:sz w:val="14"/>
                <w:szCs w:val="14"/>
                <w:b w:val="1"/>
                <w:bCs w:val="1"/>
                <w:color w:val="29378D"/>
              </w:rPr>
              <w:t>GENDER</w:t>
            </w:r>
          </w:p>
        </w:tc>
        <w:tc>
          <w:tcPr>
            <w:tcW w:w="3420" w:type="dxa"/>
            <w:vAlign w:val="bottom"/>
          </w:tcPr>
          <w:p>
            <w:pPr>
              <w:ind w:left="2260"/>
              <w:spacing w:after="0"/>
              <w:rPr>
                <w:sz w:val="20"/>
                <w:szCs w:val="20"/>
                <w:color w:val="auto"/>
              </w:rPr>
            </w:pPr>
            <w:r>
              <w:rPr>
                <w:rFonts w:ascii="Arial" w:cs="Arial" w:eastAsia="Arial" w:hAnsi="Arial"/>
                <w:sz w:val="14"/>
                <w:szCs w:val="14"/>
                <w:b w:val="1"/>
                <w:bCs w:val="1"/>
                <w:color w:val="29378D"/>
              </w:rPr>
              <w:t>RACIAL/ ETHNIC</w:t>
            </w:r>
          </w:p>
        </w:tc>
        <w:tc>
          <w:tcPr>
            <w:tcW w:w="0" w:type="dxa"/>
            <w:vAlign w:val="bottom"/>
          </w:tcPr>
          <w:p>
            <w:pPr>
              <w:spacing w:after="0"/>
              <w:rPr>
                <w:sz w:val="1"/>
                <w:szCs w:val="1"/>
                <w:color w:val="auto"/>
              </w:rPr>
            </w:pPr>
          </w:p>
        </w:tc>
      </w:tr>
      <w:tr>
        <w:trPr>
          <w:trHeight w:val="196"/>
        </w:trPr>
        <w:tc>
          <w:tcPr>
            <w:tcW w:w="3100" w:type="dxa"/>
            <w:vAlign w:val="bottom"/>
            <w:vMerge w:val="restart"/>
          </w:tcPr>
          <w:p>
            <w:pPr>
              <w:spacing w:after="0"/>
              <w:rPr>
                <w:sz w:val="20"/>
                <w:szCs w:val="20"/>
                <w:color w:val="auto"/>
              </w:rPr>
            </w:pPr>
            <w:r>
              <w:rPr>
                <w:rFonts w:ascii="Arial" w:cs="Arial" w:eastAsia="Arial" w:hAnsi="Arial"/>
                <w:sz w:val="43"/>
                <w:szCs w:val="43"/>
                <w:b w:val="1"/>
                <w:bCs w:val="1"/>
                <w:color w:val="29378D"/>
              </w:rPr>
              <w:t>6/13</w:t>
            </w:r>
          </w:p>
        </w:tc>
        <w:tc>
          <w:tcPr>
            <w:tcW w:w="3420" w:type="dxa"/>
            <w:vAlign w:val="bottom"/>
          </w:tcPr>
          <w:p>
            <w:pPr>
              <w:ind w:left="2260"/>
              <w:spacing w:after="0"/>
              <w:rPr>
                <w:sz w:val="20"/>
                <w:szCs w:val="20"/>
                <w:color w:val="auto"/>
              </w:rPr>
            </w:pPr>
            <w:r>
              <w:rPr>
                <w:rFonts w:ascii="Arial" w:cs="Arial" w:eastAsia="Arial" w:hAnsi="Arial"/>
                <w:sz w:val="14"/>
                <w:szCs w:val="14"/>
                <w:b w:val="1"/>
                <w:bCs w:val="1"/>
                <w:color w:val="29378D"/>
              </w:rPr>
              <w:t>DIVERSITY</w:t>
            </w:r>
          </w:p>
        </w:tc>
        <w:tc>
          <w:tcPr>
            <w:tcW w:w="0" w:type="dxa"/>
            <w:vAlign w:val="bottom"/>
          </w:tcPr>
          <w:p>
            <w:pPr>
              <w:spacing w:after="0"/>
              <w:rPr>
                <w:sz w:val="1"/>
                <w:szCs w:val="1"/>
                <w:color w:val="auto"/>
              </w:rPr>
            </w:pPr>
          </w:p>
        </w:tc>
      </w:tr>
      <w:tr>
        <w:trPr>
          <w:trHeight w:val="594"/>
        </w:trPr>
        <w:tc>
          <w:tcPr>
            <w:tcW w:w="3100" w:type="dxa"/>
            <w:vAlign w:val="bottom"/>
            <w:vMerge w:val="continue"/>
          </w:tcPr>
          <w:p>
            <w:pPr>
              <w:spacing w:after="0"/>
              <w:rPr>
                <w:sz w:val="24"/>
                <w:szCs w:val="24"/>
                <w:color w:val="auto"/>
              </w:rPr>
            </w:pPr>
          </w:p>
        </w:tc>
        <w:tc>
          <w:tcPr>
            <w:tcW w:w="3420" w:type="dxa"/>
            <w:vAlign w:val="bottom"/>
            <w:vMerge w:val="restart"/>
          </w:tcPr>
          <w:p>
            <w:pPr>
              <w:ind w:left="2260"/>
              <w:spacing w:after="0"/>
              <w:rPr>
                <w:sz w:val="20"/>
                <w:szCs w:val="20"/>
                <w:color w:val="auto"/>
              </w:rPr>
            </w:pPr>
            <w:r>
              <w:rPr>
                <w:rFonts w:ascii="Arial" w:cs="Arial" w:eastAsia="Arial" w:hAnsi="Arial"/>
                <w:sz w:val="43"/>
                <w:szCs w:val="43"/>
                <w:b w:val="1"/>
                <w:bCs w:val="1"/>
                <w:color w:val="29378D"/>
              </w:rPr>
              <w:t>4/13</w:t>
            </w:r>
          </w:p>
        </w:tc>
        <w:tc>
          <w:tcPr>
            <w:tcW w:w="0" w:type="dxa"/>
            <w:vAlign w:val="bottom"/>
          </w:tcPr>
          <w:p>
            <w:pPr>
              <w:spacing w:after="0"/>
              <w:rPr>
                <w:sz w:val="1"/>
                <w:szCs w:val="1"/>
                <w:color w:val="auto"/>
              </w:rPr>
            </w:pPr>
          </w:p>
        </w:tc>
      </w:tr>
      <w:tr>
        <w:trPr>
          <w:trHeight w:val="164"/>
        </w:trPr>
        <w:tc>
          <w:tcPr>
            <w:tcW w:w="3100" w:type="dxa"/>
            <w:vAlign w:val="bottom"/>
          </w:tcPr>
          <w:p>
            <w:pPr>
              <w:spacing w:after="0"/>
              <w:rPr>
                <w:sz w:val="14"/>
                <w:szCs w:val="14"/>
                <w:color w:val="auto"/>
              </w:rPr>
            </w:pPr>
          </w:p>
        </w:tc>
        <w:tc>
          <w:tcPr>
            <w:tcW w:w="3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right="200"/>
        <w:spacing w:after="0" w:line="309" w:lineRule="auto"/>
        <w:rPr>
          <w:sz w:val="20"/>
          <w:szCs w:val="20"/>
          <w:color w:val="auto"/>
        </w:rPr>
      </w:pPr>
      <w:r>
        <w:rPr>
          <w:rFonts w:ascii="Arial" w:cs="Arial" w:eastAsia="Arial" w:hAnsi="Arial"/>
          <w:sz w:val="25"/>
          <w:szCs w:val="25"/>
          <w:color w:val="auto"/>
        </w:rPr>
        <w:t xml:space="preserve">Our Board brings a </w:t>
      </w:r>
      <w:r>
        <w:rPr>
          <w:rFonts w:ascii="Arial" w:cs="Arial" w:eastAsia="Arial" w:hAnsi="Arial"/>
          <w:sz w:val="25"/>
          <w:szCs w:val="25"/>
          <w:b w:val="1"/>
          <w:bCs w:val="1"/>
          <w:color w:val="29378D"/>
        </w:rPr>
        <w:t>vast array of experience and talents</w:t>
      </w:r>
      <w:r>
        <w:rPr>
          <w:rFonts w:ascii="Arial" w:cs="Arial" w:eastAsia="Arial" w:hAnsi="Arial"/>
          <w:sz w:val="25"/>
          <w:szCs w:val="25"/>
          <w:color w:val="auto"/>
        </w:rPr>
        <w:t xml:space="preserve"> that help foster the long-term success of the Company, and benefit all of its stakeholders: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546"/>
        </w:trPr>
        <w:tc>
          <w:tcPr>
            <w:tcW w:w="1200" w:type="dxa"/>
            <w:vAlign w:val="bottom"/>
            <w:shd w:val="clear" w:color="auto" w:fill="E6E7E8"/>
          </w:tcPr>
          <w:p>
            <w:pPr>
              <w:spacing w:after="0"/>
              <w:rPr>
                <w:sz w:val="24"/>
                <w:szCs w:val="24"/>
                <w:color w:val="auto"/>
              </w:rPr>
            </w:pPr>
          </w:p>
        </w:tc>
        <w:tc>
          <w:tcPr>
            <w:tcW w:w="4220" w:type="dxa"/>
            <w:vAlign w:val="bottom"/>
            <w:shd w:val="clear" w:color="auto" w:fill="E6E7E8"/>
          </w:tcPr>
          <w:p>
            <w:pPr>
              <w:ind w:left="40"/>
              <w:spacing w:after="0"/>
              <w:rPr>
                <w:sz w:val="20"/>
                <w:szCs w:val="20"/>
                <w:color w:val="auto"/>
              </w:rPr>
            </w:pPr>
            <w:r>
              <w:rPr>
                <w:rFonts w:ascii="Arial" w:cs="Arial" w:eastAsia="Arial" w:hAnsi="Arial"/>
                <w:sz w:val="16"/>
                <w:szCs w:val="16"/>
                <w:b w:val="1"/>
                <w:bCs w:val="1"/>
                <w:color w:val="auto"/>
              </w:rPr>
              <w:t>Senior Leadership Experience</w:t>
            </w:r>
          </w:p>
        </w:tc>
        <w:tc>
          <w:tcPr>
            <w:tcW w:w="1220" w:type="dxa"/>
            <w:vAlign w:val="bottom"/>
            <w:shd w:val="clear" w:color="auto" w:fill="E6E7E8"/>
          </w:tcPr>
          <w:p>
            <w:pPr>
              <w:spacing w:after="0"/>
              <w:rPr>
                <w:sz w:val="24"/>
                <w:szCs w:val="24"/>
                <w:color w:val="auto"/>
              </w:rPr>
            </w:pPr>
          </w:p>
        </w:tc>
        <w:tc>
          <w:tcPr>
            <w:tcW w:w="4580" w:type="dxa"/>
            <w:vAlign w:val="bottom"/>
            <w:shd w:val="clear" w:color="auto" w:fill="E6E7E8"/>
          </w:tcPr>
          <w:p>
            <w:pPr>
              <w:ind w:left="60"/>
              <w:spacing w:after="0"/>
              <w:rPr>
                <w:sz w:val="20"/>
                <w:szCs w:val="20"/>
                <w:color w:val="auto"/>
              </w:rPr>
            </w:pPr>
            <w:r>
              <w:rPr>
                <w:rFonts w:ascii="Arial" w:cs="Arial" w:eastAsia="Arial" w:hAnsi="Arial"/>
                <w:sz w:val="16"/>
                <w:szCs w:val="16"/>
                <w:b w:val="1"/>
                <w:bCs w:val="1"/>
                <w:color w:val="auto"/>
              </w:rPr>
              <w:t>Senior Government/Military Experience</w:t>
            </w:r>
          </w:p>
        </w:tc>
        <w:tc>
          <w:tcPr>
            <w:tcW w:w="0" w:type="dxa"/>
            <w:vAlign w:val="bottom"/>
          </w:tcPr>
          <w:p>
            <w:pPr>
              <w:spacing w:after="0"/>
              <w:rPr>
                <w:sz w:val="1"/>
                <w:szCs w:val="1"/>
                <w:color w:val="auto"/>
              </w:rPr>
            </w:pPr>
          </w:p>
        </w:tc>
      </w:tr>
      <w:tr>
        <w:trPr>
          <w:trHeight w:val="905"/>
        </w:trPr>
        <w:tc>
          <w:tcPr>
            <w:tcW w:w="1200" w:type="dxa"/>
            <w:vAlign w:val="bottom"/>
            <w:shd w:val="clear" w:color="auto" w:fill="E6E7E8"/>
          </w:tcPr>
          <w:p>
            <w:pPr>
              <w:spacing w:after="0"/>
              <w:rPr>
                <w:sz w:val="24"/>
                <w:szCs w:val="24"/>
                <w:color w:val="auto"/>
              </w:rPr>
            </w:pPr>
          </w:p>
        </w:tc>
        <w:tc>
          <w:tcPr>
            <w:tcW w:w="4220" w:type="dxa"/>
            <w:vAlign w:val="bottom"/>
            <w:shd w:val="clear" w:color="auto" w:fill="E6E7E8"/>
          </w:tcPr>
          <w:p>
            <w:pPr>
              <w:ind w:left="40"/>
              <w:spacing w:after="0"/>
              <w:rPr>
                <w:sz w:val="20"/>
                <w:szCs w:val="20"/>
                <w:color w:val="auto"/>
              </w:rPr>
            </w:pPr>
            <w:r>
              <w:rPr>
                <w:rFonts w:ascii="Arial" w:cs="Arial" w:eastAsia="Arial" w:hAnsi="Arial"/>
                <w:sz w:val="16"/>
                <w:szCs w:val="16"/>
                <w:b w:val="1"/>
                <w:bCs w:val="1"/>
                <w:color w:val="auto"/>
              </w:rPr>
              <w:t>Corporate Governance Expertise</w:t>
            </w:r>
          </w:p>
        </w:tc>
        <w:tc>
          <w:tcPr>
            <w:tcW w:w="1220" w:type="dxa"/>
            <w:vAlign w:val="bottom"/>
            <w:shd w:val="clear" w:color="auto" w:fill="E6E7E8"/>
          </w:tcPr>
          <w:p>
            <w:pPr>
              <w:spacing w:after="0"/>
              <w:rPr>
                <w:sz w:val="24"/>
                <w:szCs w:val="24"/>
                <w:color w:val="auto"/>
              </w:rPr>
            </w:pPr>
          </w:p>
        </w:tc>
        <w:tc>
          <w:tcPr>
            <w:tcW w:w="4580" w:type="dxa"/>
            <w:vAlign w:val="bottom"/>
            <w:shd w:val="clear" w:color="auto" w:fill="E6E7E8"/>
          </w:tcPr>
          <w:p>
            <w:pPr>
              <w:ind w:left="60"/>
              <w:spacing w:after="0"/>
              <w:rPr>
                <w:sz w:val="20"/>
                <w:szCs w:val="20"/>
                <w:color w:val="auto"/>
              </w:rPr>
            </w:pPr>
            <w:r>
              <w:rPr>
                <w:rFonts w:ascii="Arial" w:cs="Arial" w:eastAsia="Arial" w:hAnsi="Arial"/>
                <w:sz w:val="16"/>
                <w:szCs w:val="16"/>
                <w:b w:val="1"/>
                <w:bCs w:val="1"/>
                <w:color w:val="auto"/>
              </w:rPr>
              <w:t>International Experience</w:t>
            </w:r>
          </w:p>
        </w:tc>
        <w:tc>
          <w:tcPr>
            <w:tcW w:w="0" w:type="dxa"/>
            <w:vAlign w:val="bottom"/>
          </w:tcPr>
          <w:p>
            <w:pPr>
              <w:spacing w:after="0"/>
              <w:rPr>
                <w:sz w:val="1"/>
                <w:szCs w:val="1"/>
                <w:color w:val="auto"/>
              </w:rPr>
            </w:pPr>
          </w:p>
        </w:tc>
      </w:tr>
      <w:tr>
        <w:trPr>
          <w:trHeight w:val="864"/>
        </w:trPr>
        <w:tc>
          <w:tcPr>
            <w:tcW w:w="1200" w:type="dxa"/>
            <w:vAlign w:val="bottom"/>
            <w:shd w:val="clear" w:color="auto" w:fill="E6E7E8"/>
          </w:tcPr>
          <w:p>
            <w:pPr>
              <w:spacing w:after="0"/>
              <w:rPr>
                <w:sz w:val="24"/>
                <w:szCs w:val="24"/>
                <w:color w:val="auto"/>
              </w:rPr>
            </w:pPr>
          </w:p>
        </w:tc>
        <w:tc>
          <w:tcPr>
            <w:tcW w:w="4220" w:type="dxa"/>
            <w:vAlign w:val="bottom"/>
            <w:vMerge w:val="restart"/>
            <w:shd w:val="clear" w:color="auto" w:fill="E6E7E8"/>
          </w:tcPr>
          <w:p>
            <w:pPr>
              <w:ind w:left="40"/>
              <w:spacing w:after="0"/>
              <w:rPr>
                <w:sz w:val="20"/>
                <w:szCs w:val="20"/>
                <w:color w:val="auto"/>
              </w:rPr>
            </w:pPr>
            <w:r>
              <w:rPr>
                <w:rFonts w:ascii="Arial" w:cs="Arial" w:eastAsia="Arial" w:hAnsi="Arial"/>
                <w:sz w:val="16"/>
                <w:szCs w:val="16"/>
                <w:b w:val="1"/>
                <w:bCs w:val="1"/>
                <w:color w:val="auto"/>
              </w:rPr>
              <w:t>Financial Expertise/Literacy</w:t>
            </w:r>
          </w:p>
        </w:tc>
        <w:tc>
          <w:tcPr>
            <w:tcW w:w="1220" w:type="dxa"/>
            <w:vAlign w:val="bottom"/>
            <w:shd w:val="clear" w:color="auto" w:fill="E6E7E8"/>
          </w:tcPr>
          <w:p>
            <w:pPr>
              <w:spacing w:after="0"/>
              <w:rPr>
                <w:sz w:val="24"/>
                <w:szCs w:val="24"/>
                <w:color w:val="auto"/>
              </w:rPr>
            </w:pPr>
          </w:p>
        </w:tc>
        <w:tc>
          <w:tcPr>
            <w:tcW w:w="4580" w:type="dxa"/>
            <w:vAlign w:val="bottom"/>
            <w:shd w:val="clear" w:color="auto" w:fill="E6E7E8"/>
          </w:tcPr>
          <w:p>
            <w:pPr>
              <w:ind w:left="60"/>
              <w:spacing w:after="0"/>
              <w:rPr>
                <w:sz w:val="20"/>
                <w:szCs w:val="20"/>
                <w:color w:val="auto"/>
              </w:rPr>
            </w:pPr>
            <w:r>
              <w:rPr>
                <w:rFonts w:ascii="Arial" w:cs="Arial" w:eastAsia="Arial" w:hAnsi="Arial"/>
                <w:sz w:val="16"/>
                <w:szCs w:val="16"/>
                <w:b w:val="1"/>
                <w:bCs w:val="1"/>
                <w:color w:val="auto"/>
              </w:rPr>
              <w:t>Human Capital Strategy/</w:t>
            </w:r>
          </w:p>
        </w:tc>
        <w:tc>
          <w:tcPr>
            <w:tcW w:w="0" w:type="dxa"/>
            <w:vAlign w:val="bottom"/>
          </w:tcPr>
          <w:p>
            <w:pPr>
              <w:spacing w:after="0"/>
              <w:rPr>
                <w:sz w:val="1"/>
                <w:szCs w:val="1"/>
                <w:color w:val="auto"/>
              </w:rPr>
            </w:pPr>
          </w:p>
        </w:tc>
      </w:tr>
      <w:tr>
        <w:trPr>
          <w:trHeight w:val="162"/>
        </w:trPr>
        <w:tc>
          <w:tcPr>
            <w:tcW w:w="1200" w:type="dxa"/>
            <w:vAlign w:val="bottom"/>
            <w:shd w:val="clear" w:color="auto" w:fill="E6E7E8"/>
          </w:tcPr>
          <w:p>
            <w:pPr>
              <w:spacing w:after="0"/>
              <w:rPr>
                <w:sz w:val="14"/>
                <w:szCs w:val="14"/>
                <w:color w:val="auto"/>
              </w:rPr>
            </w:pPr>
          </w:p>
        </w:tc>
        <w:tc>
          <w:tcPr>
            <w:tcW w:w="4220" w:type="dxa"/>
            <w:vAlign w:val="bottom"/>
            <w:vMerge w:val="continue"/>
            <w:shd w:val="clear" w:color="auto" w:fill="E6E7E8"/>
          </w:tcPr>
          <w:p>
            <w:pPr>
              <w:spacing w:after="0"/>
              <w:rPr>
                <w:sz w:val="14"/>
                <w:szCs w:val="14"/>
                <w:color w:val="auto"/>
              </w:rPr>
            </w:pPr>
          </w:p>
        </w:tc>
        <w:tc>
          <w:tcPr>
            <w:tcW w:w="1220" w:type="dxa"/>
            <w:vAlign w:val="bottom"/>
            <w:shd w:val="clear" w:color="auto" w:fill="E6E7E8"/>
          </w:tcPr>
          <w:p>
            <w:pPr>
              <w:spacing w:after="0"/>
              <w:rPr>
                <w:sz w:val="14"/>
                <w:szCs w:val="14"/>
                <w:color w:val="auto"/>
              </w:rPr>
            </w:pPr>
          </w:p>
        </w:tc>
        <w:tc>
          <w:tcPr>
            <w:tcW w:w="4580" w:type="dxa"/>
            <w:vAlign w:val="bottom"/>
            <w:vMerge w:val="restart"/>
            <w:shd w:val="clear" w:color="auto" w:fill="E6E7E8"/>
          </w:tcPr>
          <w:p>
            <w:pPr>
              <w:ind w:left="60"/>
              <w:spacing w:after="0"/>
              <w:rPr>
                <w:sz w:val="20"/>
                <w:szCs w:val="20"/>
                <w:color w:val="auto"/>
              </w:rPr>
            </w:pPr>
            <w:r>
              <w:rPr>
                <w:rFonts w:ascii="Arial" w:cs="Arial" w:eastAsia="Arial" w:hAnsi="Arial"/>
                <w:sz w:val="16"/>
                <w:szCs w:val="16"/>
                <w:b w:val="1"/>
                <w:bCs w:val="1"/>
                <w:color w:val="auto"/>
              </w:rPr>
              <w:t>Talent Management</w:t>
            </w:r>
          </w:p>
        </w:tc>
        <w:tc>
          <w:tcPr>
            <w:tcW w:w="0" w:type="dxa"/>
            <w:vAlign w:val="bottom"/>
          </w:tcPr>
          <w:p>
            <w:pPr>
              <w:spacing w:after="0"/>
              <w:rPr>
                <w:sz w:val="1"/>
                <w:szCs w:val="1"/>
                <w:color w:val="auto"/>
              </w:rPr>
            </w:pPr>
          </w:p>
        </w:tc>
      </w:tr>
      <w:tr>
        <w:trPr>
          <w:trHeight w:val="162"/>
        </w:trPr>
        <w:tc>
          <w:tcPr>
            <w:tcW w:w="1200" w:type="dxa"/>
            <w:vAlign w:val="bottom"/>
            <w:shd w:val="clear" w:color="auto" w:fill="E6E7E8"/>
          </w:tcPr>
          <w:p>
            <w:pPr>
              <w:spacing w:after="0"/>
              <w:rPr>
                <w:sz w:val="14"/>
                <w:szCs w:val="14"/>
                <w:color w:val="auto"/>
              </w:rPr>
            </w:pPr>
          </w:p>
        </w:tc>
        <w:tc>
          <w:tcPr>
            <w:tcW w:w="4220" w:type="dxa"/>
            <w:vAlign w:val="bottom"/>
            <w:shd w:val="clear" w:color="auto" w:fill="E6E7E8"/>
          </w:tcPr>
          <w:p>
            <w:pPr>
              <w:spacing w:after="0"/>
              <w:rPr>
                <w:sz w:val="14"/>
                <w:szCs w:val="14"/>
                <w:color w:val="auto"/>
              </w:rPr>
            </w:pPr>
          </w:p>
        </w:tc>
        <w:tc>
          <w:tcPr>
            <w:tcW w:w="1220" w:type="dxa"/>
            <w:vAlign w:val="bottom"/>
            <w:shd w:val="clear" w:color="auto" w:fill="E6E7E8"/>
          </w:tcPr>
          <w:p>
            <w:pPr>
              <w:spacing w:after="0"/>
              <w:rPr>
                <w:sz w:val="14"/>
                <w:szCs w:val="14"/>
                <w:color w:val="auto"/>
              </w:rPr>
            </w:pPr>
          </w:p>
        </w:tc>
        <w:tc>
          <w:tcPr>
            <w:tcW w:w="4580" w:type="dxa"/>
            <w:vAlign w:val="bottom"/>
            <w:vMerge w:val="continue"/>
            <w:shd w:val="clear" w:color="auto" w:fill="E6E7E8"/>
          </w:tcPr>
          <w:p>
            <w:pPr>
              <w:spacing w:after="0"/>
              <w:rPr>
                <w:sz w:val="14"/>
                <w:szCs w:val="14"/>
                <w:color w:val="auto"/>
              </w:rPr>
            </w:pPr>
          </w:p>
        </w:tc>
        <w:tc>
          <w:tcPr>
            <w:tcW w:w="0" w:type="dxa"/>
            <w:vAlign w:val="bottom"/>
          </w:tcPr>
          <w:p>
            <w:pPr>
              <w:spacing w:after="0"/>
              <w:rPr>
                <w:sz w:val="1"/>
                <w:szCs w:val="1"/>
                <w:color w:val="auto"/>
              </w:rPr>
            </w:pPr>
          </w:p>
        </w:tc>
      </w:tr>
      <w:tr>
        <w:trPr>
          <w:trHeight w:val="850"/>
        </w:trPr>
        <w:tc>
          <w:tcPr>
            <w:tcW w:w="1200" w:type="dxa"/>
            <w:vAlign w:val="bottom"/>
            <w:shd w:val="clear" w:color="auto" w:fill="E6E7E8"/>
          </w:tcPr>
          <w:p>
            <w:pPr>
              <w:spacing w:after="0"/>
              <w:rPr>
                <w:sz w:val="24"/>
                <w:szCs w:val="24"/>
                <w:color w:val="auto"/>
              </w:rPr>
            </w:pPr>
          </w:p>
        </w:tc>
        <w:tc>
          <w:tcPr>
            <w:tcW w:w="4220" w:type="dxa"/>
            <w:vAlign w:val="bottom"/>
            <w:shd w:val="clear" w:color="auto" w:fill="E6E7E8"/>
          </w:tcPr>
          <w:p>
            <w:pPr>
              <w:ind w:left="40"/>
              <w:spacing w:after="0"/>
              <w:rPr>
                <w:sz w:val="20"/>
                <w:szCs w:val="20"/>
                <w:color w:val="auto"/>
              </w:rPr>
            </w:pPr>
            <w:r>
              <w:rPr>
                <w:rFonts w:ascii="Arial" w:cs="Arial" w:eastAsia="Arial" w:hAnsi="Arial"/>
                <w:sz w:val="16"/>
                <w:szCs w:val="16"/>
                <w:b w:val="1"/>
                <w:bCs w:val="1"/>
                <w:color w:val="auto"/>
              </w:rPr>
              <w:t>Risk Oversight/Management</w:t>
            </w:r>
          </w:p>
        </w:tc>
        <w:tc>
          <w:tcPr>
            <w:tcW w:w="1220" w:type="dxa"/>
            <w:vAlign w:val="bottom"/>
            <w:shd w:val="clear" w:color="auto" w:fill="E6E7E8"/>
          </w:tcPr>
          <w:p>
            <w:pPr>
              <w:spacing w:after="0"/>
              <w:rPr>
                <w:sz w:val="24"/>
                <w:szCs w:val="24"/>
                <w:color w:val="auto"/>
              </w:rPr>
            </w:pPr>
          </w:p>
        </w:tc>
        <w:tc>
          <w:tcPr>
            <w:tcW w:w="4580" w:type="dxa"/>
            <w:vAlign w:val="bottom"/>
            <w:shd w:val="clear" w:color="auto" w:fill="E6E7E8"/>
          </w:tcPr>
          <w:p>
            <w:pPr>
              <w:ind w:left="60"/>
              <w:spacing w:after="0"/>
              <w:rPr>
                <w:sz w:val="20"/>
                <w:szCs w:val="20"/>
                <w:color w:val="auto"/>
              </w:rPr>
            </w:pPr>
            <w:r>
              <w:rPr>
                <w:rFonts w:ascii="Arial" w:cs="Arial" w:eastAsia="Arial" w:hAnsi="Arial"/>
                <w:sz w:val="16"/>
                <w:szCs w:val="16"/>
                <w:b w:val="1"/>
                <w:bCs w:val="1"/>
                <w:color w:val="auto"/>
              </w:rPr>
              <w:t>Cyber/Technology Expertise</w:t>
            </w:r>
          </w:p>
        </w:tc>
        <w:tc>
          <w:tcPr>
            <w:tcW w:w="0" w:type="dxa"/>
            <w:vAlign w:val="bottom"/>
          </w:tcPr>
          <w:p>
            <w:pPr>
              <w:spacing w:after="0"/>
              <w:rPr>
                <w:sz w:val="1"/>
                <w:szCs w:val="1"/>
                <w:color w:val="auto"/>
              </w:rPr>
            </w:pPr>
          </w:p>
        </w:tc>
      </w:tr>
      <w:tr>
        <w:trPr>
          <w:trHeight w:val="1053"/>
        </w:trPr>
        <w:tc>
          <w:tcPr>
            <w:tcW w:w="1200" w:type="dxa"/>
            <w:vAlign w:val="bottom"/>
            <w:shd w:val="clear" w:color="auto" w:fill="E6E7E8"/>
          </w:tcPr>
          <w:p>
            <w:pPr>
              <w:spacing w:after="0"/>
              <w:rPr>
                <w:sz w:val="24"/>
                <w:szCs w:val="24"/>
                <w:color w:val="auto"/>
              </w:rPr>
            </w:pPr>
          </w:p>
        </w:tc>
        <w:tc>
          <w:tcPr>
            <w:tcW w:w="4220" w:type="dxa"/>
            <w:vAlign w:val="bottom"/>
            <w:shd w:val="clear" w:color="auto" w:fill="E6E7E8"/>
          </w:tcPr>
          <w:p>
            <w:pPr>
              <w:ind w:left="40"/>
              <w:spacing w:after="0"/>
              <w:rPr>
                <w:sz w:val="20"/>
                <w:szCs w:val="20"/>
                <w:color w:val="auto"/>
              </w:rPr>
            </w:pPr>
            <w:r>
              <w:rPr>
                <w:rFonts w:ascii="Arial" w:cs="Arial" w:eastAsia="Arial" w:hAnsi="Arial"/>
                <w:sz w:val="16"/>
                <w:szCs w:val="16"/>
                <w:b w:val="1"/>
                <w:bCs w:val="1"/>
                <w:color w:val="auto"/>
              </w:rPr>
              <w:t>Defense and Industrial Experience</w:t>
            </w:r>
          </w:p>
        </w:tc>
        <w:tc>
          <w:tcPr>
            <w:tcW w:w="1220" w:type="dxa"/>
            <w:vAlign w:val="bottom"/>
            <w:shd w:val="clear" w:color="auto" w:fill="E6E7E8"/>
          </w:tcPr>
          <w:p>
            <w:pPr>
              <w:spacing w:after="0"/>
              <w:rPr>
                <w:sz w:val="24"/>
                <w:szCs w:val="24"/>
                <w:color w:val="auto"/>
              </w:rPr>
            </w:pPr>
          </w:p>
        </w:tc>
        <w:tc>
          <w:tcPr>
            <w:tcW w:w="4580" w:type="dxa"/>
            <w:vAlign w:val="bottom"/>
            <w:shd w:val="clear" w:color="auto" w:fill="E6E7E8"/>
          </w:tcPr>
          <w:p>
            <w:pPr>
              <w:ind w:left="60"/>
              <w:spacing w:after="0"/>
              <w:rPr>
                <w:sz w:val="20"/>
                <w:szCs w:val="20"/>
                <w:color w:val="auto"/>
              </w:rPr>
            </w:pPr>
            <w:r>
              <w:rPr>
                <w:rFonts w:ascii="Arial" w:cs="Arial" w:eastAsia="Arial" w:hAnsi="Arial"/>
                <w:sz w:val="16"/>
                <w:szCs w:val="16"/>
                <w:b w:val="1"/>
                <w:bCs w:val="1"/>
                <w:color w:val="auto"/>
              </w:rPr>
              <w:t>Environmental Sustainability/Corporate Responsibility</w:t>
            </w:r>
          </w:p>
        </w:tc>
        <w:tc>
          <w:tcPr>
            <w:tcW w:w="0" w:type="dxa"/>
            <w:vAlign w:val="bottom"/>
          </w:tcPr>
          <w:p>
            <w:pPr>
              <w:spacing w:after="0"/>
              <w:rPr>
                <w:sz w:val="1"/>
                <w:szCs w:val="1"/>
                <w:color w:val="auto"/>
              </w:rPr>
            </w:pPr>
          </w:p>
        </w:tc>
      </w:tr>
      <w:tr>
        <w:trPr>
          <w:trHeight w:val="520"/>
        </w:trPr>
        <w:tc>
          <w:tcPr>
            <w:tcW w:w="1200" w:type="dxa"/>
            <w:vAlign w:val="bottom"/>
            <w:shd w:val="clear" w:color="auto" w:fill="E6E7E8"/>
          </w:tcPr>
          <w:p>
            <w:pPr>
              <w:spacing w:after="0"/>
              <w:rPr>
                <w:sz w:val="24"/>
                <w:szCs w:val="24"/>
                <w:color w:val="auto"/>
              </w:rPr>
            </w:pPr>
          </w:p>
        </w:tc>
        <w:tc>
          <w:tcPr>
            <w:tcW w:w="4220" w:type="dxa"/>
            <w:vAlign w:val="bottom"/>
            <w:shd w:val="clear" w:color="auto" w:fill="E6E7E8"/>
          </w:tcPr>
          <w:p>
            <w:pPr>
              <w:spacing w:after="0"/>
              <w:rPr>
                <w:sz w:val="24"/>
                <w:szCs w:val="24"/>
                <w:color w:val="auto"/>
              </w:rPr>
            </w:pPr>
          </w:p>
        </w:tc>
        <w:tc>
          <w:tcPr>
            <w:tcW w:w="1220" w:type="dxa"/>
            <w:vAlign w:val="bottom"/>
            <w:shd w:val="clear" w:color="auto" w:fill="E6E7E8"/>
          </w:tcPr>
          <w:p>
            <w:pPr>
              <w:spacing w:after="0"/>
              <w:rPr>
                <w:sz w:val="24"/>
                <w:szCs w:val="24"/>
                <w:color w:val="auto"/>
              </w:rPr>
            </w:pPr>
          </w:p>
        </w:tc>
        <w:tc>
          <w:tcPr>
            <w:tcW w:w="4580" w:type="dxa"/>
            <w:vAlign w:val="bottom"/>
            <w:shd w:val="clear" w:color="auto" w:fill="E6E7E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-3128645</wp:posOffset>
            </wp:positionV>
            <wp:extent cx="394335" cy="3346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94335" cy="33464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-3128645</wp:posOffset>
            </wp:positionV>
            <wp:extent cx="240030" cy="3429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0030" cy="3429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-2580005</wp:posOffset>
            </wp:positionV>
            <wp:extent cx="394335" cy="3860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94335" cy="38608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-2553970</wp:posOffset>
            </wp:positionV>
            <wp:extent cx="342900" cy="3429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-1894205</wp:posOffset>
            </wp:positionV>
            <wp:extent cx="240030" cy="3175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0030" cy="31750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-1911350</wp:posOffset>
            </wp:positionV>
            <wp:extent cx="342900" cy="3511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0" cy="3511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-1268095</wp:posOffset>
            </wp:positionV>
            <wp:extent cx="351155" cy="3511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1155" cy="3511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-1276985</wp:posOffset>
            </wp:positionV>
            <wp:extent cx="360045" cy="3683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0045" cy="3683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-694055</wp:posOffset>
            </wp:positionV>
            <wp:extent cx="411480" cy="411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-625475</wp:posOffset>
            </wp:positionV>
            <wp:extent cx="291465" cy="4032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9146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228850" cy="946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28850" cy="94615"/>
                    </a:xfrm>
                    <a:prstGeom prst="rect">
                      <a:avLst/>
                    </a:prstGeom>
                    <a:noFill/>
                  </pic:spPr>
                </pic:pic>
              </a:graphicData>
            </a:graphic>
          </wp:anchor>
        </w:drawing>
      </w:r>
    </w:p>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29378D"/>
        </w:rPr>
        <w:t>STRONG INDEPENDENT</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29378D"/>
        </w:rPr>
        <w:t>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2228850" cy="14655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28850" cy="1465580"/>
                    </a:xfrm>
                    <a:prstGeom prst="rect">
                      <a:avLst/>
                    </a:prstGeom>
                    <a:noFill/>
                  </pic:spPr>
                </pic:pic>
              </a:graphicData>
            </a:graphic>
          </wp:anchor>
        </w:drawing>
      </w:r>
    </w:p>
    <w:p>
      <w:pPr>
        <w:spacing w:after="0" w:line="26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92% independent Board</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Fully independent Board committees</w:t>
      </w:r>
    </w:p>
    <w:p>
      <w:pPr>
        <w:spacing w:after="0" w:line="125" w:lineRule="exact"/>
        <w:rPr>
          <w:sz w:val="20"/>
          <w:szCs w:val="20"/>
          <w:color w:val="auto"/>
        </w:rPr>
      </w:pPr>
    </w:p>
    <w:p>
      <w:pPr>
        <w:ind w:left="340" w:right="640" w:hanging="12"/>
        <w:spacing w:after="0" w:line="283" w:lineRule="auto"/>
        <w:rPr>
          <w:sz w:val="20"/>
          <w:szCs w:val="20"/>
          <w:color w:val="auto"/>
        </w:rPr>
      </w:pPr>
      <w:r>
        <w:rPr>
          <w:rFonts w:ascii="Arial" w:cs="Arial" w:eastAsia="Arial" w:hAnsi="Arial"/>
          <w:sz w:val="15"/>
          <w:szCs w:val="15"/>
          <w:color w:val="auto"/>
        </w:rPr>
        <w:t>Lead Independent Director with robust responsibilities and oversight</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Regular executive sessions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29378D"/>
        </w:rPr>
        <w:t>BOARD REFRESHMENT AND</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29378D"/>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2228850" cy="27774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28850" cy="2777490"/>
                    </a:xfrm>
                    <a:prstGeom prst="rect">
                      <a:avLst/>
                    </a:prstGeom>
                    <a:noFill/>
                  </pic:spPr>
                </pic:pic>
              </a:graphicData>
            </a:graphic>
          </wp:anchor>
        </w:drawing>
      </w:r>
    </w:p>
    <w:p>
      <w:pPr>
        <w:spacing w:after="0" w:line="337" w:lineRule="exact"/>
        <w:rPr>
          <w:sz w:val="20"/>
          <w:szCs w:val="20"/>
          <w:color w:val="auto"/>
        </w:rPr>
      </w:pPr>
    </w:p>
    <w:p>
      <w:pPr>
        <w:ind w:left="340" w:right="220" w:hanging="12"/>
        <w:spacing w:after="0" w:line="269" w:lineRule="auto"/>
        <w:rPr>
          <w:sz w:val="20"/>
          <w:szCs w:val="20"/>
          <w:color w:val="auto"/>
        </w:rPr>
      </w:pPr>
      <w:r>
        <w:rPr>
          <w:rFonts w:ascii="Arial" w:cs="Arial" w:eastAsia="Arial" w:hAnsi="Arial"/>
          <w:sz w:val="15"/>
          <w:szCs w:val="15"/>
          <w:color w:val="auto"/>
        </w:rPr>
        <w:t>Sustained history of gender and racial/ethnic diversity on our Board, including current slate of director nominees (8 of 13 nominees)</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Mandatory retirement at 75</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6 new directors have been added, including</w:t>
      </w:r>
    </w:p>
    <w:p>
      <w:pPr>
        <w:spacing w:after="0" w:line="28" w:lineRule="exact"/>
        <w:rPr>
          <w:sz w:val="20"/>
          <w:szCs w:val="20"/>
          <w:color w:val="auto"/>
        </w:rPr>
      </w:pPr>
    </w:p>
    <w:p>
      <w:pPr>
        <w:ind w:left="340" w:right="420"/>
        <w:spacing w:after="0" w:line="265" w:lineRule="auto"/>
        <w:rPr>
          <w:sz w:val="20"/>
          <w:szCs w:val="20"/>
          <w:color w:val="auto"/>
        </w:rPr>
      </w:pPr>
      <w:r>
        <w:rPr>
          <w:rFonts w:ascii="Arial" w:cs="Arial" w:eastAsia="Arial" w:hAnsi="Arial"/>
          <w:sz w:val="15"/>
          <w:szCs w:val="15"/>
          <w:color w:val="auto"/>
        </w:rPr>
        <w:t>3 people of color/1 woman of color, and 5 directors have left our Board since the beginning of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9378D"/>
        </w:rPr>
        <w:t>COMMITMENT TO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-241300</wp:posOffset>
            </wp:positionV>
            <wp:extent cx="2237105" cy="94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37105" cy="94615"/>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9378D"/>
        </w:rPr>
        <w:t>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48895</wp:posOffset>
            </wp:positionV>
            <wp:extent cx="2237105" cy="14655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37105" cy="1465580"/>
                    </a:xfrm>
                    <a:prstGeom prst="rect">
                      <a:avLst/>
                    </a:prstGeom>
                    <a:noFill/>
                  </pic:spPr>
                </pic:pic>
              </a:graphicData>
            </a:graphic>
          </wp:anchor>
        </w:drawing>
      </w:r>
    </w:p>
    <w:p>
      <w:pPr>
        <w:spacing w:after="0" w:line="273" w:lineRule="exact"/>
        <w:rPr>
          <w:sz w:val="20"/>
          <w:szCs w:val="20"/>
          <w:color w:val="auto"/>
        </w:rPr>
      </w:pPr>
    </w:p>
    <w:p>
      <w:pPr>
        <w:ind w:left="160" w:right="80" w:hanging="233"/>
        <w:spacing w:after="0"/>
        <w:rPr>
          <w:sz w:val="20"/>
          <w:szCs w:val="20"/>
          <w:color w:val="auto"/>
        </w:rPr>
      </w:pPr>
      <w:r>
        <w:rPr>
          <w:sz w:val="1"/>
          <w:szCs w:val="1"/>
          <w:color w:val="auto"/>
        </w:rPr>
        <w:drawing>
          <wp:inline distT="0" distB="0" distL="0" distR="0">
            <wp:extent cx="85725" cy="8572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5"/>
          <w:szCs w:val="15"/>
          <w:color w:val="auto"/>
        </w:rPr>
        <w:t xml:space="preserve"> Thorough annual self-assessment of Board, Committee and individual director performance</w:t>
      </w:r>
    </w:p>
    <w:p>
      <w:pPr>
        <w:spacing w:after="0" w:line="97" w:lineRule="exact"/>
        <w:rPr>
          <w:sz w:val="20"/>
          <w:szCs w:val="20"/>
          <w:color w:val="auto"/>
        </w:rPr>
      </w:pPr>
    </w:p>
    <w:p>
      <w:pPr>
        <w:ind w:left="160" w:right="240" w:hanging="12"/>
        <w:spacing w:after="0" w:line="269" w:lineRule="auto"/>
        <w:rPr>
          <w:sz w:val="20"/>
          <w:szCs w:val="20"/>
          <w:color w:val="auto"/>
        </w:rPr>
      </w:pPr>
      <w:r>
        <w:rPr>
          <w:rFonts w:ascii="Arial" w:cs="Arial" w:eastAsia="Arial" w:hAnsi="Arial"/>
          <w:sz w:val="15"/>
          <w:szCs w:val="15"/>
          <w:color w:val="auto"/>
        </w:rPr>
        <w:t>Overboarding policy (no more than three other public company boards) without the consent of the Chair, Nominating and Corporate Governance Committee</w:t>
      </w:r>
    </w:p>
    <w:p>
      <w:pPr>
        <w:spacing w:after="0" w:line="91" w:lineRule="exact"/>
        <w:rPr>
          <w:sz w:val="20"/>
          <w:szCs w:val="20"/>
          <w:color w:val="auto"/>
        </w:rPr>
      </w:pPr>
    </w:p>
    <w:p>
      <w:pPr>
        <w:ind w:left="160" w:right="160" w:hanging="12"/>
        <w:spacing w:after="0" w:line="283" w:lineRule="auto"/>
        <w:rPr>
          <w:sz w:val="20"/>
          <w:szCs w:val="20"/>
          <w:color w:val="auto"/>
        </w:rPr>
      </w:pPr>
      <w:r>
        <w:rPr>
          <w:rFonts w:ascii="Arial" w:cs="Arial" w:eastAsia="Arial" w:hAnsi="Arial"/>
          <w:sz w:val="15"/>
          <w:szCs w:val="15"/>
          <w:color w:val="auto"/>
        </w:rPr>
        <w:t>Focus on ability to devote appropriate time and resources</w:t>
      </w:r>
    </w:p>
    <w:p>
      <w:pPr>
        <w:spacing w:after="0" w:line="344"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29378D"/>
        </w:rPr>
        <w:t>DIRECTOR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135255</wp:posOffset>
            </wp:positionV>
            <wp:extent cx="2237105" cy="27774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237105" cy="27774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Our Chair, CEO and President, Kathy</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Warden, was awarded the prestigious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5"/>
          <w:szCs w:val="15"/>
          <w:color w:val="auto"/>
        </w:rPr>
        <w:t>Deming Cup for operational excellence</w:t>
      </w:r>
    </w:p>
    <w:p>
      <w:pPr>
        <w:spacing w:after="0" w:line="100" w:lineRule="exact"/>
        <w:rPr>
          <w:sz w:val="20"/>
          <w:szCs w:val="20"/>
          <w:color w:val="auto"/>
        </w:rPr>
      </w:pPr>
    </w:p>
    <w:p>
      <w:pPr>
        <w:ind w:left="160" w:hanging="12"/>
        <w:spacing w:after="0" w:line="269" w:lineRule="auto"/>
        <w:rPr>
          <w:sz w:val="20"/>
          <w:szCs w:val="20"/>
          <w:color w:val="auto"/>
        </w:rPr>
      </w:pPr>
      <w:r>
        <w:rPr>
          <w:rFonts w:ascii="Arial" w:cs="Arial" w:eastAsia="Arial" w:hAnsi="Arial"/>
          <w:sz w:val="15"/>
          <w:szCs w:val="15"/>
          <w:color w:val="auto"/>
        </w:rPr>
        <w:t>Our directors, Ann Fudge, Graham Robinson and Mary Winston, have been recognized as three of Savoy Magazine’s Most Influential Black Corporate Directors</w:t>
      </w:r>
    </w:p>
    <w:p>
      <w:pPr>
        <w:spacing w:after="0" w:line="77" w:lineRule="exact"/>
        <w:rPr>
          <w:sz w:val="20"/>
          <w:szCs w:val="20"/>
          <w:color w:val="auto"/>
        </w:rPr>
      </w:pPr>
    </w:p>
    <w:p>
      <w:pPr>
        <w:ind w:left="160" w:right="200" w:hanging="12"/>
        <w:spacing w:after="0" w:line="273" w:lineRule="auto"/>
        <w:rPr>
          <w:sz w:val="20"/>
          <w:szCs w:val="20"/>
          <w:color w:val="auto"/>
        </w:rPr>
      </w:pPr>
      <w:r>
        <w:rPr>
          <w:rFonts w:ascii="Arial" w:cs="Arial" w:eastAsia="Arial" w:hAnsi="Arial"/>
          <w:sz w:val="15"/>
          <w:szCs w:val="15"/>
          <w:color w:val="auto"/>
        </w:rPr>
        <w:t>James Turley and Thomas Schoewe have been honored as members of the NACD Directors 100</w:t>
      </w:r>
    </w:p>
    <w:p>
      <w:pPr>
        <w:spacing w:after="0" w:line="59" w:lineRule="exact"/>
        <w:rPr>
          <w:sz w:val="20"/>
          <w:szCs w:val="20"/>
          <w:color w:val="auto"/>
        </w:rPr>
      </w:pPr>
    </w:p>
    <w:p>
      <w:pPr>
        <w:jc w:val="both"/>
        <w:ind w:left="160" w:right="480" w:hanging="12"/>
        <w:spacing w:after="0" w:line="282" w:lineRule="auto"/>
        <w:rPr>
          <w:sz w:val="20"/>
          <w:szCs w:val="20"/>
          <w:color w:val="auto"/>
        </w:rPr>
      </w:pPr>
      <w:r>
        <w:rPr>
          <w:rFonts w:ascii="Arial" w:cs="Arial" w:eastAsia="Arial" w:hAnsi="Arial"/>
          <w:sz w:val="15"/>
          <w:szCs w:val="15"/>
          <w:color w:val="auto"/>
        </w:rPr>
        <w:t>Six of our female directors have been honored by Women’s Inc. as the most influential corporate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29378D"/>
        </w:rPr>
        <w:t>ROBUST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-241300</wp:posOffset>
            </wp:positionV>
            <wp:extent cx="2237105" cy="946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37105" cy="94615"/>
                    </a:xfrm>
                    <a:prstGeom prst="rect">
                      <a:avLst/>
                    </a:prstGeom>
                    <a:noFill/>
                  </pic:spPr>
                </pic:pic>
              </a:graphicData>
            </a:graphic>
          </wp:anchor>
        </w:drawing>
      </w:r>
    </w:p>
    <w:p>
      <w:pPr>
        <w:spacing w:after="0" w:line="9"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29378D"/>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48895</wp:posOffset>
            </wp:positionV>
            <wp:extent cx="2237105" cy="46202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237105" cy="4620260"/>
                    </a:xfrm>
                    <a:prstGeom prst="rect">
                      <a:avLst/>
                    </a:prstGeom>
                    <a:noFill/>
                  </pic:spPr>
                </pic:pic>
              </a:graphicData>
            </a:graphic>
          </wp:anchor>
        </w:drawing>
      </w:r>
    </w:p>
    <w:p>
      <w:pPr>
        <w:spacing w:after="0" w:line="273" w:lineRule="exact"/>
        <w:rPr>
          <w:sz w:val="20"/>
          <w:szCs w:val="20"/>
          <w:color w:val="auto"/>
        </w:rPr>
      </w:pPr>
    </w:p>
    <w:p>
      <w:pPr>
        <w:ind w:left="120" w:right="200" w:hanging="233"/>
        <w:spacing w:after="0"/>
        <w:rPr>
          <w:sz w:val="20"/>
          <w:szCs w:val="20"/>
          <w:color w:val="auto"/>
        </w:rPr>
      </w:pPr>
      <w:r>
        <w:rPr>
          <w:sz w:val="1"/>
          <w:szCs w:val="1"/>
          <w:color w:val="auto"/>
        </w:rPr>
        <w:drawing>
          <wp:inline distT="0" distB="0" distL="0" distR="0">
            <wp:extent cx="85725" cy="7747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77470"/>
                    </a:xfrm>
                    <a:prstGeom prst="rect">
                      <a:avLst/>
                    </a:prstGeom>
                    <a:noFill/>
                    <a:ln>
                      <a:noFill/>
                    </a:ln>
                  </pic:spPr>
                </pic:pic>
              </a:graphicData>
            </a:graphic>
          </wp:inline>
        </w:drawing>
      </w:r>
      <w:r>
        <w:rPr>
          <w:rFonts w:ascii="Arial" w:cs="Arial" w:eastAsia="Arial" w:hAnsi="Arial"/>
          <w:sz w:val="15"/>
          <w:szCs w:val="15"/>
          <w:color w:val="auto"/>
        </w:rPr>
        <w:t xml:space="preserve"> Annual director elections with majority voting standard in uncontested elections</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5"/>
          <w:szCs w:val="15"/>
          <w:color w:val="auto"/>
        </w:rPr>
        <w:t>Proxy access</w:t>
      </w:r>
    </w:p>
    <w:p>
      <w:pPr>
        <w:spacing w:after="0" w:line="111" w:lineRule="exact"/>
        <w:rPr>
          <w:sz w:val="20"/>
          <w:szCs w:val="20"/>
          <w:color w:val="auto"/>
        </w:rPr>
      </w:pPr>
    </w:p>
    <w:p>
      <w:pPr>
        <w:ind w:left="120" w:right="780" w:hanging="12"/>
        <w:spacing w:after="0" w:line="301" w:lineRule="auto"/>
        <w:rPr>
          <w:sz w:val="20"/>
          <w:szCs w:val="20"/>
          <w:color w:val="auto"/>
        </w:rPr>
      </w:pPr>
      <w:r>
        <w:rPr>
          <w:rFonts w:ascii="Arial" w:cs="Arial" w:eastAsia="Arial" w:hAnsi="Arial"/>
          <w:sz w:val="15"/>
          <w:szCs w:val="15"/>
          <w:color w:val="auto"/>
        </w:rPr>
        <w:t>Right to call special meeting at 15% threshold</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Right to act by written consent</w:t>
      </w:r>
    </w:p>
    <w:p>
      <w:pPr>
        <w:spacing w:after="0" w:line="125" w:lineRule="exact"/>
        <w:rPr>
          <w:sz w:val="20"/>
          <w:szCs w:val="20"/>
          <w:color w:val="auto"/>
        </w:rPr>
      </w:pPr>
    </w:p>
    <w:p>
      <w:pPr>
        <w:ind w:left="120" w:right="200" w:hanging="12"/>
        <w:spacing w:after="0" w:line="273" w:lineRule="auto"/>
        <w:rPr>
          <w:sz w:val="20"/>
          <w:szCs w:val="20"/>
          <w:color w:val="auto"/>
        </w:rPr>
      </w:pPr>
      <w:r>
        <w:rPr>
          <w:rFonts w:ascii="Arial" w:cs="Arial" w:eastAsia="Arial" w:hAnsi="Arial"/>
          <w:sz w:val="15"/>
          <w:szCs w:val="15"/>
          <w:color w:val="auto"/>
        </w:rPr>
        <w:t>Shareholder engagement program providing for regular shareholder access to management and directors</w:t>
      </w:r>
    </w:p>
    <w:p>
      <w:pPr>
        <w:spacing w:after="0" w:line="3742" w:lineRule="exact"/>
        <w:rPr>
          <w:sz w:val="20"/>
          <w:szCs w:val="20"/>
          <w:color w:val="auto"/>
        </w:rPr>
      </w:pPr>
    </w:p>
    <w:p>
      <w:pPr>
        <w:sectPr>
          <w:pgSz w:w="11900" w:h="16838" w:orient="portrait"/>
          <w:cols w:equalWidth="0" w:num="3">
            <w:col w:w="3560" w:space="460"/>
            <w:col w:w="3200" w:space="700"/>
            <w:col w:w="332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20" w:type="dxa"/>
            <w:vAlign w:val="bottom"/>
          </w:tcPr>
          <w:p>
            <w:pPr>
              <w:spacing w:after="0"/>
              <w:rPr>
                <w:sz w:val="17"/>
                <w:szCs w:val="17"/>
                <w:color w:val="auto"/>
              </w:rPr>
            </w:pPr>
          </w:p>
        </w:tc>
        <w:tc>
          <w:tcPr>
            <w:tcW w:w="4080" w:type="dxa"/>
            <w:vAlign w:val="bottom"/>
          </w:tcPr>
          <w:p>
            <w:pPr>
              <w:ind w:left="240"/>
              <w:spacing w:after="0"/>
              <w:rPr>
                <w:sz w:val="20"/>
                <w:szCs w:val="20"/>
                <w:color w:val="auto"/>
              </w:rPr>
            </w:pPr>
            <w:r>
              <w:rPr>
                <w:rFonts w:ascii="Arial" w:cs="Arial" w:eastAsia="Arial" w:hAnsi="Arial"/>
                <w:sz w:val="14"/>
                <w:szCs w:val="14"/>
                <w:b w:val="1"/>
                <w:bCs w:val="1"/>
                <w:color w:val="29378D"/>
              </w:rPr>
              <w:t>SUSTAINABILITY AND CORPORATE RESPONSIBILITY</w:t>
            </w: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5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3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3520" w:type="dxa"/>
            <w:vAlign w:val="bottom"/>
            <w:shd w:val="clear" w:color="auto" w:fill="E6E7E8"/>
          </w:tcPr>
          <w:p>
            <w:pPr>
              <w:ind w:left="320"/>
              <w:spacing w:after="0"/>
              <w:rPr>
                <w:sz w:val="20"/>
                <w:szCs w:val="20"/>
                <w:color w:val="auto"/>
              </w:rPr>
            </w:pPr>
            <w:r>
              <w:rPr>
                <w:rFonts w:ascii="Arial" w:cs="Arial" w:eastAsia="Arial" w:hAnsi="Arial"/>
                <w:sz w:val="15"/>
                <w:szCs w:val="15"/>
                <w:color w:val="auto"/>
              </w:rPr>
              <w:t>Strong ethics program and corporate culture</w:t>
            </w:r>
          </w:p>
        </w:tc>
        <w:tc>
          <w:tcPr>
            <w:tcW w:w="4080" w:type="dxa"/>
            <w:vAlign w:val="bottom"/>
            <w:shd w:val="clear" w:color="auto" w:fill="E6E7E8"/>
          </w:tcPr>
          <w:p>
            <w:pPr>
              <w:ind w:left="660"/>
              <w:spacing w:after="0"/>
              <w:rPr>
                <w:sz w:val="20"/>
                <w:szCs w:val="20"/>
                <w:color w:val="auto"/>
              </w:rPr>
            </w:pPr>
            <w:r>
              <w:rPr>
                <w:rFonts w:ascii="Arial" w:cs="Arial" w:eastAsia="Arial" w:hAnsi="Arial"/>
                <w:sz w:val="15"/>
                <w:szCs w:val="15"/>
                <w:color w:val="auto"/>
              </w:rPr>
              <w:t>Environmental program integrated into</w:t>
            </w:r>
          </w:p>
        </w:tc>
        <w:tc>
          <w:tcPr>
            <w:tcW w:w="3640" w:type="dxa"/>
            <w:vAlign w:val="bottom"/>
            <w:shd w:val="clear" w:color="auto" w:fill="E6E7E8"/>
          </w:tcPr>
          <w:p>
            <w:pPr>
              <w:ind w:left="440"/>
              <w:spacing w:after="0"/>
              <w:rPr>
                <w:sz w:val="20"/>
                <w:szCs w:val="20"/>
                <w:color w:val="auto"/>
              </w:rPr>
            </w:pPr>
            <w:r>
              <w:rPr>
                <w:rFonts w:ascii="Arial" w:cs="Arial" w:eastAsia="Arial" w:hAnsi="Arial"/>
                <w:sz w:val="15"/>
                <w:szCs w:val="15"/>
                <w:color w:val="auto"/>
              </w:rPr>
              <w:t>Far-reaching engagement with local</w:t>
            </w:r>
          </w:p>
        </w:tc>
        <w:tc>
          <w:tcPr>
            <w:tcW w:w="0" w:type="dxa"/>
            <w:vAlign w:val="bottom"/>
          </w:tcPr>
          <w:p>
            <w:pPr>
              <w:spacing w:after="0"/>
              <w:rPr>
                <w:sz w:val="1"/>
                <w:szCs w:val="1"/>
                <w:color w:val="auto"/>
              </w:rPr>
            </w:pPr>
          </w:p>
        </w:tc>
      </w:tr>
      <w:tr>
        <w:trPr>
          <w:trHeight w:val="189"/>
        </w:trPr>
        <w:tc>
          <w:tcPr>
            <w:tcW w:w="3520" w:type="dxa"/>
            <w:vAlign w:val="bottom"/>
            <w:vMerge w:val="restart"/>
            <w:shd w:val="clear" w:color="auto" w:fill="E6E7E8"/>
          </w:tcPr>
          <w:p>
            <w:pPr>
              <w:ind w:left="320"/>
              <w:spacing w:after="0"/>
              <w:rPr>
                <w:sz w:val="20"/>
                <w:szCs w:val="20"/>
                <w:color w:val="auto"/>
              </w:rPr>
            </w:pPr>
            <w:r>
              <w:rPr>
                <w:rFonts w:ascii="Arial" w:cs="Arial" w:eastAsia="Arial" w:hAnsi="Arial"/>
                <w:sz w:val="15"/>
                <w:szCs w:val="15"/>
                <w:color w:val="auto"/>
              </w:rPr>
              <w:t>Long-standing diversity, equity and inclusion</w:t>
            </w:r>
          </w:p>
        </w:tc>
        <w:tc>
          <w:tcPr>
            <w:tcW w:w="4080" w:type="dxa"/>
            <w:vAlign w:val="bottom"/>
            <w:shd w:val="clear" w:color="auto" w:fill="E6E7E8"/>
          </w:tcPr>
          <w:p>
            <w:pPr>
              <w:ind w:left="660"/>
              <w:spacing w:after="0"/>
              <w:rPr>
                <w:sz w:val="20"/>
                <w:szCs w:val="20"/>
                <w:color w:val="auto"/>
              </w:rPr>
            </w:pPr>
            <w:r>
              <w:rPr>
                <w:rFonts w:ascii="Arial" w:cs="Arial" w:eastAsia="Arial" w:hAnsi="Arial"/>
                <w:sz w:val="15"/>
                <w:szCs w:val="15"/>
                <w:color w:val="auto"/>
              </w:rPr>
              <w:t>organizational culture to reduce our</w:t>
            </w:r>
          </w:p>
        </w:tc>
        <w:tc>
          <w:tcPr>
            <w:tcW w:w="3640" w:type="dxa"/>
            <w:vAlign w:val="bottom"/>
            <w:shd w:val="clear" w:color="auto" w:fill="E6E7E8"/>
          </w:tcPr>
          <w:p>
            <w:pPr>
              <w:ind w:left="460"/>
              <w:spacing w:after="0"/>
              <w:rPr>
                <w:sz w:val="20"/>
                <w:szCs w:val="20"/>
                <w:color w:val="auto"/>
              </w:rPr>
            </w:pPr>
            <w:r>
              <w:rPr>
                <w:rFonts w:ascii="Arial" w:cs="Arial" w:eastAsia="Arial" w:hAnsi="Arial"/>
                <w:sz w:val="15"/>
                <w:szCs w:val="15"/>
                <w:color w:val="auto"/>
              </w:rPr>
              <w:t>communities</w:t>
            </w:r>
          </w:p>
        </w:tc>
        <w:tc>
          <w:tcPr>
            <w:tcW w:w="0" w:type="dxa"/>
            <w:vAlign w:val="bottom"/>
          </w:tcPr>
          <w:p>
            <w:pPr>
              <w:spacing w:after="0"/>
              <w:rPr>
                <w:sz w:val="1"/>
                <w:szCs w:val="1"/>
                <w:color w:val="auto"/>
              </w:rPr>
            </w:pPr>
          </w:p>
        </w:tc>
      </w:tr>
      <w:tr>
        <w:trPr>
          <w:trHeight w:val="108"/>
        </w:trPr>
        <w:tc>
          <w:tcPr>
            <w:tcW w:w="3520" w:type="dxa"/>
            <w:vAlign w:val="bottom"/>
            <w:vMerge w:val="continue"/>
            <w:shd w:val="clear" w:color="auto" w:fill="E6E7E8"/>
          </w:tcPr>
          <w:p>
            <w:pPr>
              <w:spacing w:after="0"/>
              <w:rPr>
                <w:sz w:val="9"/>
                <w:szCs w:val="9"/>
                <w:color w:val="auto"/>
              </w:rPr>
            </w:pPr>
          </w:p>
        </w:tc>
        <w:tc>
          <w:tcPr>
            <w:tcW w:w="4080" w:type="dxa"/>
            <w:vAlign w:val="bottom"/>
            <w:vMerge w:val="restart"/>
            <w:shd w:val="clear" w:color="auto" w:fill="E6E7E8"/>
          </w:tcPr>
          <w:p>
            <w:pPr>
              <w:ind w:left="660"/>
              <w:spacing w:after="0"/>
              <w:rPr>
                <w:sz w:val="20"/>
                <w:szCs w:val="20"/>
                <w:color w:val="auto"/>
              </w:rPr>
            </w:pPr>
            <w:r>
              <w:rPr>
                <w:rFonts w:ascii="Arial" w:cs="Arial" w:eastAsia="Arial" w:hAnsi="Arial"/>
                <w:sz w:val="15"/>
                <w:szCs w:val="15"/>
                <w:color w:val="auto"/>
              </w:rPr>
              <w:t>environmental footprint</w:t>
            </w:r>
          </w:p>
        </w:tc>
        <w:tc>
          <w:tcPr>
            <w:tcW w:w="3640" w:type="dxa"/>
            <w:vAlign w:val="bottom"/>
            <w:shd w:val="clear" w:color="auto" w:fill="E6E7E8"/>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520" w:type="dxa"/>
            <w:vAlign w:val="bottom"/>
            <w:vMerge w:val="restart"/>
            <w:shd w:val="clear" w:color="auto" w:fill="E6E7E8"/>
          </w:tcPr>
          <w:p>
            <w:pPr>
              <w:ind w:left="340"/>
              <w:spacing w:after="0"/>
              <w:rPr>
                <w:sz w:val="20"/>
                <w:szCs w:val="20"/>
                <w:color w:val="auto"/>
              </w:rPr>
            </w:pPr>
            <w:r>
              <w:rPr>
                <w:rFonts w:ascii="Arial" w:cs="Arial" w:eastAsia="Arial" w:hAnsi="Arial"/>
                <w:sz w:val="15"/>
                <w:szCs w:val="15"/>
                <w:color w:val="auto"/>
              </w:rPr>
              <w:t>programs (DEI) helping to ensure</w:t>
            </w:r>
          </w:p>
        </w:tc>
        <w:tc>
          <w:tcPr>
            <w:tcW w:w="4080" w:type="dxa"/>
            <w:vAlign w:val="bottom"/>
            <w:vMerge w:val="continue"/>
            <w:shd w:val="clear" w:color="auto" w:fill="E6E7E8"/>
          </w:tcPr>
          <w:p>
            <w:pPr>
              <w:spacing w:after="0"/>
              <w:rPr>
                <w:sz w:val="8"/>
                <w:szCs w:val="8"/>
                <w:color w:val="auto"/>
              </w:rPr>
            </w:pPr>
          </w:p>
        </w:tc>
        <w:tc>
          <w:tcPr>
            <w:tcW w:w="3640" w:type="dxa"/>
            <w:vAlign w:val="bottom"/>
            <w:vMerge w:val="restart"/>
            <w:shd w:val="clear" w:color="auto" w:fill="E6E7E8"/>
          </w:tcPr>
          <w:p>
            <w:pPr>
              <w:ind w:left="380"/>
              <w:spacing w:after="0"/>
              <w:rPr>
                <w:sz w:val="20"/>
                <w:szCs w:val="20"/>
                <w:color w:val="auto"/>
              </w:rPr>
            </w:pPr>
            <w:r>
              <w:rPr>
                <w:rFonts w:ascii="Arial" w:cs="Arial" w:eastAsia="Arial" w:hAnsi="Arial"/>
                <w:sz w:val="15"/>
                <w:szCs w:val="15"/>
                <w:color w:val="auto"/>
              </w:rPr>
              <w:t>Chief Sustainability Officer focused on</w:t>
            </w:r>
          </w:p>
        </w:tc>
        <w:tc>
          <w:tcPr>
            <w:tcW w:w="0" w:type="dxa"/>
            <w:vAlign w:val="bottom"/>
          </w:tcPr>
          <w:p>
            <w:pPr>
              <w:spacing w:after="0"/>
              <w:rPr>
                <w:sz w:val="1"/>
                <w:szCs w:val="1"/>
                <w:color w:val="auto"/>
              </w:rPr>
            </w:pPr>
          </w:p>
        </w:tc>
      </w:tr>
      <w:tr>
        <w:trPr>
          <w:trHeight w:val="100"/>
        </w:trPr>
        <w:tc>
          <w:tcPr>
            <w:tcW w:w="3520" w:type="dxa"/>
            <w:vAlign w:val="bottom"/>
            <w:vMerge w:val="continue"/>
            <w:shd w:val="clear" w:color="auto" w:fill="E6E7E8"/>
          </w:tcPr>
          <w:p>
            <w:pPr>
              <w:spacing w:after="0"/>
              <w:rPr>
                <w:sz w:val="8"/>
                <w:szCs w:val="8"/>
                <w:color w:val="auto"/>
              </w:rPr>
            </w:pPr>
          </w:p>
        </w:tc>
        <w:tc>
          <w:tcPr>
            <w:tcW w:w="4080" w:type="dxa"/>
            <w:vAlign w:val="bottom"/>
            <w:vMerge w:val="restart"/>
            <w:shd w:val="clear" w:color="auto" w:fill="E6E7E8"/>
          </w:tcPr>
          <w:p>
            <w:pPr>
              <w:ind w:left="640"/>
              <w:spacing w:after="0"/>
              <w:rPr>
                <w:sz w:val="20"/>
                <w:szCs w:val="20"/>
                <w:color w:val="auto"/>
              </w:rPr>
            </w:pPr>
            <w:r>
              <w:rPr>
                <w:rFonts w:ascii="Arial" w:cs="Arial" w:eastAsia="Arial" w:hAnsi="Arial"/>
                <w:sz w:val="15"/>
                <w:szCs w:val="15"/>
                <w:color w:val="auto"/>
              </w:rPr>
              <w:t>Transparent political contributions policy and</w:t>
            </w:r>
          </w:p>
        </w:tc>
        <w:tc>
          <w:tcPr>
            <w:tcW w:w="3640" w:type="dxa"/>
            <w:vAlign w:val="bottom"/>
            <w:vMerge w:val="continue"/>
            <w:shd w:val="clear" w:color="auto" w:fill="E6E7E8"/>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3520" w:type="dxa"/>
            <w:vAlign w:val="bottom"/>
            <w:shd w:val="clear" w:color="auto" w:fill="E6E7E8"/>
          </w:tcPr>
          <w:p>
            <w:pPr>
              <w:ind w:left="340"/>
              <w:spacing w:after="0"/>
              <w:rPr>
                <w:sz w:val="20"/>
                <w:szCs w:val="20"/>
                <w:color w:val="auto"/>
              </w:rPr>
            </w:pPr>
            <w:r>
              <w:rPr>
                <w:rFonts w:ascii="Arial" w:cs="Arial" w:eastAsia="Arial" w:hAnsi="Arial"/>
                <w:sz w:val="15"/>
                <w:szCs w:val="15"/>
                <w:color w:val="auto"/>
              </w:rPr>
              <w:t>meaningful belonging across our employee</w:t>
            </w:r>
          </w:p>
        </w:tc>
        <w:tc>
          <w:tcPr>
            <w:tcW w:w="4080" w:type="dxa"/>
            <w:vAlign w:val="bottom"/>
            <w:vMerge w:val="continue"/>
            <w:shd w:val="clear" w:color="auto" w:fill="E6E7E8"/>
          </w:tcPr>
          <w:p>
            <w:pPr>
              <w:spacing w:after="0"/>
              <w:rPr>
                <w:sz w:val="14"/>
                <w:szCs w:val="14"/>
                <w:color w:val="auto"/>
              </w:rPr>
            </w:pPr>
          </w:p>
        </w:tc>
        <w:tc>
          <w:tcPr>
            <w:tcW w:w="3640" w:type="dxa"/>
            <w:vAlign w:val="bottom"/>
            <w:vMerge w:val="restart"/>
            <w:shd w:val="clear" w:color="auto" w:fill="E6E7E8"/>
          </w:tcPr>
          <w:p>
            <w:pPr>
              <w:ind w:left="460"/>
              <w:spacing w:after="0"/>
              <w:rPr>
                <w:sz w:val="20"/>
                <w:szCs w:val="20"/>
                <w:color w:val="auto"/>
              </w:rPr>
            </w:pPr>
            <w:r>
              <w:rPr>
                <w:rFonts w:ascii="Arial" w:cs="Arial" w:eastAsia="Arial" w:hAnsi="Arial"/>
                <w:sz w:val="15"/>
                <w:szCs w:val="15"/>
                <w:color w:val="auto"/>
              </w:rPr>
              <w:t>sustainability</w:t>
            </w:r>
          </w:p>
        </w:tc>
        <w:tc>
          <w:tcPr>
            <w:tcW w:w="0" w:type="dxa"/>
            <w:vAlign w:val="bottom"/>
          </w:tcPr>
          <w:p>
            <w:pPr>
              <w:spacing w:after="0"/>
              <w:rPr>
                <w:sz w:val="1"/>
                <w:szCs w:val="1"/>
                <w:color w:val="auto"/>
              </w:rPr>
            </w:pPr>
          </w:p>
        </w:tc>
      </w:tr>
      <w:tr>
        <w:trPr>
          <w:trHeight w:val="65"/>
        </w:trPr>
        <w:tc>
          <w:tcPr>
            <w:tcW w:w="3520" w:type="dxa"/>
            <w:vAlign w:val="bottom"/>
            <w:vMerge w:val="restart"/>
            <w:shd w:val="clear" w:color="auto" w:fill="E6E7E8"/>
          </w:tcPr>
          <w:p>
            <w:pPr>
              <w:ind w:left="340"/>
              <w:spacing w:after="0"/>
              <w:rPr>
                <w:sz w:val="20"/>
                <w:szCs w:val="20"/>
                <w:color w:val="auto"/>
              </w:rPr>
            </w:pPr>
            <w:r>
              <w:rPr>
                <w:rFonts w:ascii="Arial" w:cs="Arial" w:eastAsia="Arial" w:hAnsi="Arial"/>
                <w:sz w:val="15"/>
                <w:szCs w:val="15"/>
                <w:color w:val="auto"/>
              </w:rPr>
              <w:t>base</w:t>
            </w:r>
          </w:p>
        </w:tc>
        <w:tc>
          <w:tcPr>
            <w:tcW w:w="4080" w:type="dxa"/>
            <w:vAlign w:val="bottom"/>
            <w:vMerge w:val="restart"/>
            <w:shd w:val="clear" w:color="auto" w:fill="E6E7E8"/>
          </w:tcPr>
          <w:p>
            <w:pPr>
              <w:ind w:left="660"/>
              <w:spacing w:after="0"/>
              <w:rPr>
                <w:sz w:val="20"/>
                <w:szCs w:val="20"/>
                <w:color w:val="auto"/>
              </w:rPr>
            </w:pPr>
            <w:r>
              <w:rPr>
                <w:rFonts w:ascii="Arial" w:cs="Arial" w:eastAsia="Arial" w:hAnsi="Arial"/>
                <w:sz w:val="15"/>
                <w:szCs w:val="15"/>
                <w:color w:val="auto"/>
              </w:rPr>
              <w:t>trade association activity aligned with our</w:t>
            </w:r>
          </w:p>
        </w:tc>
        <w:tc>
          <w:tcPr>
            <w:tcW w:w="3640" w:type="dxa"/>
            <w:vAlign w:val="bottom"/>
            <w:vMerge w:val="continue"/>
            <w:shd w:val="clear" w:color="auto" w:fill="E6E7E8"/>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3520" w:type="dxa"/>
            <w:vAlign w:val="bottom"/>
            <w:vMerge w:val="continue"/>
            <w:shd w:val="clear" w:color="auto" w:fill="E6E7E8"/>
          </w:tcPr>
          <w:p>
            <w:pPr>
              <w:spacing w:after="0"/>
              <w:rPr>
                <w:sz w:val="9"/>
                <w:szCs w:val="9"/>
                <w:color w:val="auto"/>
              </w:rPr>
            </w:pPr>
          </w:p>
        </w:tc>
        <w:tc>
          <w:tcPr>
            <w:tcW w:w="4080" w:type="dxa"/>
            <w:vAlign w:val="bottom"/>
            <w:vMerge w:val="continue"/>
            <w:shd w:val="clear" w:color="auto" w:fill="E6E7E8"/>
          </w:tcPr>
          <w:p>
            <w:pPr>
              <w:spacing w:after="0"/>
              <w:rPr>
                <w:sz w:val="9"/>
                <w:szCs w:val="9"/>
                <w:color w:val="auto"/>
              </w:rPr>
            </w:pPr>
          </w:p>
        </w:tc>
        <w:tc>
          <w:tcPr>
            <w:tcW w:w="3640" w:type="dxa"/>
            <w:vAlign w:val="bottom"/>
            <w:vMerge w:val="restart"/>
            <w:shd w:val="clear" w:color="auto" w:fill="E6E7E8"/>
          </w:tcPr>
          <w:p>
            <w:pPr>
              <w:ind w:left="140"/>
              <w:spacing w:after="0"/>
              <w:rPr>
                <w:sz w:val="20"/>
                <w:szCs w:val="20"/>
                <w:color w:val="auto"/>
              </w:rPr>
            </w:pPr>
            <w:r>
              <w:rPr>
                <w:rFonts w:ascii="Arial" w:cs="Arial" w:eastAsia="Arial" w:hAnsi="Arial"/>
                <w:sz w:val="15"/>
                <w:szCs w:val="15"/>
                <w:color w:val="auto"/>
              </w:rPr>
              <w:t>For more information on our corporate</w:t>
            </w:r>
          </w:p>
        </w:tc>
        <w:tc>
          <w:tcPr>
            <w:tcW w:w="0" w:type="dxa"/>
            <w:vAlign w:val="bottom"/>
          </w:tcPr>
          <w:p>
            <w:pPr>
              <w:spacing w:after="0"/>
              <w:rPr>
                <w:sz w:val="1"/>
                <w:szCs w:val="1"/>
                <w:color w:val="auto"/>
              </w:rPr>
            </w:pPr>
          </w:p>
        </w:tc>
      </w:tr>
      <w:tr>
        <w:trPr>
          <w:trHeight w:val="162"/>
        </w:trPr>
        <w:tc>
          <w:tcPr>
            <w:tcW w:w="3520" w:type="dxa"/>
            <w:vAlign w:val="bottom"/>
            <w:vMerge w:val="restart"/>
            <w:shd w:val="clear" w:color="auto" w:fill="E6E7E8"/>
          </w:tcPr>
          <w:p>
            <w:pPr>
              <w:ind w:left="320"/>
              <w:spacing w:after="0"/>
              <w:rPr>
                <w:sz w:val="20"/>
                <w:szCs w:val="20"/>
                <w:color w:val="auto"/>
              </w:rPr>
            </w:pPr>
            <w:r>
              <w:rPr>
                <w:rFonts w:ascii="Arial" w:cs="Arial" w:eastAsia="Arial" w:hAnsi="Arial"/>
                <w:sz w:val="15"/>
                <w:szCs w:val="15"/>
                <w:color w:val="auto"/>
              </w:rPr>
              <w:t>Human Rights Policy with robust oversight;</w:t>
            </w:r>
          </w:p>
        </w:tc>
        <w:tc>
          <w:tcPr>
            <w:tcW w:w="4080" w:type="dxa"/>
            <w:vAlign w:val="bottom"/>
            <w:shd w:val="clear" w:color="auto" w:fill="E6E7E8"/>
          </w:tcPr>
          <w:p>
            <w:pPr>
              <w:ind w:left="660"/>
              <w:spacing w:after="0" w:line="162" w:lineRule="exact"/>
              <w:rPr>
                <w:sz w:val="20"/>
                <w:szCs w:val="20"/>
                <w:color w:val="auto"/>
              </w:rPr>
            </w:pPr>
            <w:r>
              <w:rPr>
                <w:rFonts w:ascii="Arial" w:cs="Arial" w:eastAsia="Arial" w:hAnsi="Arial"/>
                <w:sz w:val="15"/>
                <w:szCs w:val="15"/>
                <w:color w:val="auto"/>
              </w:rPr>
              <w:t>business objectives and Company values</w:t>
            </w:r>
          </w:p>
        </w:tc>
        <w:tc>
          <w:tcPr>
            <w:tcW w:w="3640" w:type="dxa"/>
            <w:vAlign w:val="bottom"/>
            <w:vMerge w:val="continue"/>
            <w:shd w:val="clear" w:color="auto" w:fill="E6E7E8"/>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20" w:type="dxa"/>
            <w:vAlign w:val="bottom"/>
            <w:vMerge w:val="continue"/>
            <w:shd w:val="clear" w:color="auto" w:fill="E6E7E8"/>
          </w:tcPr>
          <w:p>
            <w:pPr>
              <w:spacing w:after="0"/>
              <w:rPr>
                <w:sz w:val="11"/>
                <w:szCs w:val="11"/>
                <w:color w:val="auto"/>
              </w:rPr>
            </w:pPr>
          </w:p>
        </w:tc>
        <w:tc>
          <w:tcPr>
            <w:tcW w:w="4080" w:type="dxa"/>
            <w:vAlign w:val="bottom"/>
            <w:shd w:val="clear" w:color="auto" w:fill="E6E7E8"/>
          </w:tcPr>
          <w:p>
            <w:pPr>
              <w:spacing w:after="0"/>
              <w:rPr>
                <w:sz w:val="11"/>
                <w:szCs w:val="11"/>
                <w:color w:val="auto"/>
              </w:rPr>
            </w:pPr>
          </w:p>
        </w:tc>
        <w:tc>
          <w:tcPr>
            <w:tcW w:w="3640" w:type="dxa"/>
            <w:vAlign w:val="bottom"/>
            <w:vMerge w:val="restart"/>
            <w:shd w:val="clear" w:color="auto" w:fill="E6E7E8"/>
          </w:tcPr>
          <w:p>
            <w:pPr>
              <w:ind w:left="140"/>
              <w:spacing w:after="0"/>
              <w:rPr>
                <w:sz w:val="20"/>
                <w:szCs w:val="20"/>
                <w:color w:val="auto"/>
              </w:rPr>
            </w:pPr>
            <w:r>
              <w:rPr>
                <w:rFonts w:ascii="Arial" w:cs="Arial" w:eastAsia="Arial" w:hAnsi="Arial"/>
                <w:sz w:val="15"/>
                <w:szCs w:val="15"/>
                <w:color w:val="auto"/>
              </w:rPr>
              <w:t>responsibility and sustainability programs, see</w:t>
            </w:r>
          </w:p>
        </w:tc>
        <w:tc>
          <w:tcPr>
            <w:tcW w:w="0" w:type="dxa"/>
            <w:vAlign w:val="bottom"/>
          </w:tcPr>
          <w:p>
            <w:pPr>
              <w:spacing w:after="0"/>
              <w:rPr>
                <w:sz w:val="1"/>
                <w:szCs w:val="1"/>
                <w:color w:val="auto"/>
              </w:rPr>
            </w:pPr>
          </w:p>
        </w:tc>
      </w:tr>
      <w:tr>
        <w:trPr>
          <w:trHeight w:val="54"/>
        </w:trPr>
        <w:tc>
          <w:tcPr>
            <w:tcW w:w="3520" w:type="dxa"/>
            <w:vAlign w:val="bottom"/>
            <w:vMerge w:val="restart"/>
            <w:shd w:val="clear" w:color="auto" w:fill="E6E7E8"/>
          </w:tcPr>
          <w:p>
            <w:pPr>
              <w:ind w:left="340"/>
              <w:spacing w:after="0"/>
              <w:rPr>
                <w:sz w:val="20"/>
                <w:szCs w:val="20"/>
                <w:color w:val="auto"/>
              </w:rPr>
            </w:pPr>
            <w:r>
              <w:rPr>
                <w:rFonts w:ascii="Arial" w:cs="Arial" w:eastAsia="Arial" w:hAnsi="Arial"/>
                <w:sz w:val="15"/>
                <w:szCs w:val="15"/>
                <w:color w:val="auto"/>
              </w:rPr>
              <w:t>released first Human Rights Report in 2023</w:t>
            </w:r>
          </w:p>
        </w:tc>
        <w:tc>
          <w:tcPr>
            <w:tcW w:w="4080" w:type="dxa"/>
            <w:vAlign w:val="bottom"/>
            <w:vMerge w:val="restart"/>
            <w:shd w:val="clear" w:color="auto" w:fill="E6E7E8"/>
          </w:tcPr>
          <w:p>
            <w:pPr>
              <w:ind w:left="660"/>
              <w:spacing w:after="0"/>
              <w:rPr>
                <w:sz w:val="20"/>
                <w:szCs w:val="20"/>
                <w:color w:val="auto"/>
              </w:rPr>
            </w:pPr>
            <w:r>
              <w:rPr>
                <w:rFonts w:ascii="Arial" w:cs="Arial" w:eastAsia="Arial" w:hAnsi="Arial"/>
                <w:sz w:val="15"/>
                <w:szCs w:val="15"/>
                <w:color w:val="auto"/>
              </w:rPr>
              <w:t>Increased focus on climate change and</w:t>
            </w:r>
          </w:p>
        </w:tc>
        <w:tc>
          <w:tcPr>
            <w:tcW w:w="3640" w:type="dxa"/>
            <w:vAlign w:val="bottom"/>
            <w:vMerge w:val="continue"/>
            <w:shd w:val="clear" w:color="auto" w:fill="E6E7E8"/>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520" w:type="dxa"/>
            <w:vAlign w:val="bottom"/>
            <w:vMerge w:val="continue"/>
            <w:shd w:val="clear" w:color="auto" w:fill="E6E7E8"/>
          </w:tcPr>
          <w:p>
            <w:pPr>
              <w:spacing w:after="0"/>
              <w:rPr>
                <w:sz w:val="11"/>
                <w:szCs w:val="11"/>
                <w:color w:val="auto"/>
              </w:rPr>
            </w:pPr>
          </w:p>
        </w:tc>
        <w:tc>
          <w:tcPr>
            <w:tcW w:w="4080" w:type="dxa"/>
            <w:vAlign w:val="bottom"/>
            <w:vMerge w:val="continue"/>
            <w:shd w:val="clear" w:color="auto" w:fill="E6E7E8"/>
          </w:tcPr>
          <w:p>
            <w:pPr>
              <w:spacing w:after="0"/>
              <w:rPr>
                <w:sz w:val="11"/>
                <w:szCs w:val="11"/>
                <w:color w:val="auto"/>
              </w:rPr>
            </w:pPr>
          </w:p>
        </w:tc>
        <w:tc>
          <w:tcPr>
            <w:tcW w:w="3640" w:type="dxa"/>
            <w:vAlign w:val="bottom"/>
            <w:vMerge w:val="restart"/>
            <w:shd w:val="clear" w:color="auto" w:fill="E6E7E8"/>
          </w:tcPr>
          <w:p>
            <w:pPr>
              <w:ind w:left="140"/>
              <w:spacing w:after="0"/>
              <w:rPr>
                <w:sz w:val="20"/>
                <w:szCs w:val="20"/>
                <w:color w:val="auto"/>
              </w:rPr>
            </w:pPr>
            <w:r>
              <w:rPr>
                <w:rFonts w:ascii="Arial" w:cs="Arial" w:eastAsia="Arial" w:hAnsi="Arial"/>
                <w:sz w:val="15"/>
                <w:szCs w:val="15"/>
                <w:color w:val="auto"/>
              </w:rPr>
              <w:t>page 37 and our latest Sustainability Report and</w:t>
            </w:r>
          </w:p>
        </w:tc>
        <w:tc>
          <w:tcPr>
            <w:tcW w:w="0" w:type="dxa"/>
            <w:vAlign w:val="bottom"/>
          </w:tcPr>
          <w:p>
            <w:pPr>
              <w:spacing w:after="0"/>
              <w:rPr>
                <w:sz w:val="1"/>
                <w:szCs w:val="1"/>
                <w:color w:val="auto"/>
              </w:rPr>
            </w:pPr>
          </w:p>
        </w:tc>
      </w:tr>
      <w:tr>
        <w:trPr>
          <w:trHeight w:val="41"/>
        </w:trPr>
        <w:tc>
          <w:tcPr>
            <w:tcW w:w="3520" w:type="dxa"/>
            <w:vAlign w:val="bottom"/>
            <w:shd w:val="clear" w:color="auto" w:fill="E6E7E8"/>
          </w:tcPr>
          <w:p>
            <w:pPr>
              <w:spacing w:after="0"/>
              <w:rPr>
                <w:sz w:val="3"/>
                <w:szCs w:val="3"/>
                <w:color w:val="auto"/>
              </w:rPr>
            </w:pPr>
          </w:p>
        </w:tc>
        <w:tc>
          <w:tcPr>
            <w:tcW w:w="4080" w:type="dxa"/>
            <w:vAlign w:val="bottom"/>
            <w:vMerge w:val="restart"/>
            <w:shd w:val="clear" w:color="auto" w:fill="E6E7E8"/>
          </w:tcPr>
          <w:p>
            <w:pPr>
              <w:ind w:left="660"/>
              <w:spacing w:after="0"/>
              <w:rPr>
                <w:sz w:val="20"/>
                <w:szCs w:val="20"/>
                <w:color w:val="auto"/>
              </w:rPr>
            </w:pPr>
            <w:r>
              <w:rPr>
                <w:rFonts w:ascii="Arial" w:cs="Arial" w:eastAsia="Arial" w:hAnsi="Arial"/>
                <w:sz w:val="15"/>
                <w:szCs w:val="15"/>
                <w:color w:val="auto"/>
              </w:rPr>
              <w:t>environmental efficiency</w:t>
            </w:r>
          </w:p>
        </w:tc>
        <w:tc>
          <w:tcPr>
            <w:tcW w:w="3640" w:type="dxa"/>
            <w:vAlign w:val="bottom"/>
            <w:vMerge w:val="continue"/>
            <w:shd w:val="clear" w:color="auto" w:fill="E6E7E8"/>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520" w:type="dxa"/>
            <w:vAlign w:val="bottom"/>
            <w:vMerge w:val="restart"/>
            <w:shd w:val="clear" w:color="auto" w:fill="E6E7E8"/>
          </w:tcPr>
          <w:p>
            <w:pPr>
              <w:ind w:left="320"/>
              <w:spacing w:after="0"/>
              <w:rPr>
                <w:sz w:val="20"/>
                <w:szCs w:val="20"/>
                <w:color w:val="auto"/>
              </w:rPr>
            </w:pPr>
            <w:r>
              <w:rPr>
                <w:rFonts w:ascii="Arial" w:cs="Arial" w:eastAsia="Arial" w:hAnsi="Arial"/>
                <w:sz w:val="15"/>
                <w:szCs w:val="15"/>
                <w:color w:val="auto"/>
              </w:rPr>
              <w:t>Long-standing commitment to effective</w:t>
            </w:r>
          </w:p>
        </w:tc>
        <w:tc>
          <w:tcPr>
            <w:tcW w:w="4080" w:type="dxa"/>
            <w:vAlign w:val="bottom"/>
            <w:vMerge w:val="continue"/>
            <w:shd w:val="clear" w:color="auto" w:fill="E6E7E8"/>
          </w:tcPr>
          <w:p>
            <w:pPr>
              <w:spacing w:after="0"/>
              <w:rPr>
                <w:sz w:val="17"/>
                <w:szCs w:val="17"/>
                <w:color w:val="auto"/>
              </w:rPr>
            </w:pPr>
          </w:p>
        </w:tc>
        <w:tc>
          <w:tcPr>
            <w:tcW w:w="3640" w:type="dxa"/>
            <w:vAlign w:val="bottom"/>
            <w:shd w:val="clear" w:color="auto" w:fill="E6E7E8"/>
          </w:tcPr>
          <w:p>
            <w:pPr>
              <w:ind w:left="140"/>
              <w:spacing w:after="0"/>
              <w:rPr>
                <w:sz w:val="20"/>
                <w:szCs w:val="20"/>
                <w:color w:val="auto"/>
              </w:rPr>
            </w:pPr>
            <w:r>
              <w:rPr>
                <w:rFonts w:ascii="Arial" w:cs="Arial" w:eastAsia="Arial" w:hAnsi="Arial"/>
                <w:sz w:val="15"/>
                <w:szCs w:val="15"/>
                <w:color w:val="auto"/>
              </w:rPr>
              <w:t>Human Rights Report</w:t>
            </w:r>
          </w:p>
        </w:tc>
        <w:tc>
          <w:tcPr>
            <w:tcW w:w="0" w:type="dxa"/>
            <w:vAlign w:val="bottom"/>
          </w:tcPr>
          <w:p>
            <w:pPr>
              <w:spacing w:after="0"/>
              <w:rPr>
                <w:sz w:val="1"/>
                <w:szCs w:val="1"/>
                <w:color w:val="auto"/>
              </w:rPr>
            </w:pPr>
          </w:p>
        </w:tc>
      </w:tr>
      <w:tr>
        <w:trPr>
          <w:trHeight w:val="56"/>
        </w:trPr>
        <w:tc>
          <w:tcPr>
            <w:tcW w:w="3520" w:type="dxa"/>
            <w:vAlign w:val="bottom"/>
            <w:vMerge w:val="continue"/>
            <w:shd w:val="clear" w:color="auto" w:fill="E6E7E8"/>
          </w:tcPr>
          <w:p>
            <w:pPr>
              <w:spacing w:after="0"/>
              <w:rPr>
                <w:sz w:val="4"/>
                <w:szCs w:val="4"/>
                <w:color w:val="auto"/>
              </w:rPr>
            </w:pPr>
          </w:p>
        </w:tc>
        <w:tc>
          <w:tcPr>
            <w:tcW w:w="4080" w:type="dxa"/>
            <w:vAlign w:val="bottom"/>
            <w:shd w:val="clear" w:color="auto" w:fill="E6E7E8"/>
          </w:tcPr>
          <w:p>
            <w:pPr>
              <w:spacing w:after="0"/>
              <w:rPr>
                <w:sz w:val="4"/>
                <w:szCs w:val="4"/>
                <w:color w:val="auto"/>
              </w:rPr>
            </w:pPr>
          </w:p>
        </w:tc>
        <w:tc>
          <w:tcPr>
            <w:tcW w:w="3640" w:type="dxa"/>
            <w:vAlign w:val="bottom"/>
            <w:shd w:val="clear" w:color="auto" w:fill="E6E7E8"/>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E6E7E8"/>
          </w:tcPr>
          <w:p>
            <w:pPr>
              <w:ind w:left="340"/>
              <w:spacing w:after="0"/>
              <w:rPr>
                <w:sz w:val="20"/>
                <w:szCs w:val="20"/>
                <w:color w:val="auto"/>
              </w:rPr>
            </w:pPr>
            <w:r>
              <w:rPr>
                <w:rFonts w:ascii="Arial" w:cs="Arial" w:eastAsia="Arial" w:hAnsi="Arial"/>
                <w:sz w:val="15"/>
                <w:szCs w:val="15"/>
                <w:color w:val="auto"/>
              </w:rPr>
              <w:t>corporate governance and shareholder</w:t>
            </w:r>
          </w:p>
        </w:tc>
        <w:tc>
          <w:tcPr>
            <w:tcW w:w="4080" w:type="dxa"/>
            <w:vAlign w:val="bottom"/>
            <w:shd w:val="clear" w:color="auto" w:fill="E6E7E8"/>
          </w:tcPr>
          <w:p>
            <w:pPr>
              <w:spacing w:after="0"/>
              <w:rPr>
                <w:sz w:val="16"/>
                <w:szCs w:val="16"/>
                <w:color w:val="auto"/>
              </w:rPr>
            </w:pPr>
          </w:p>
        </w:tc>
        <w:tc>
          <w:tcPr>
            <w:tcW w:w="3640" w:type="dxa"/>
            <w:vAlign w:val="bottom"/>
            <w:shd w:val="clear" w:color="auto" w:fill="E6E7E8"/>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520" w:type="dxa"/>
            <w:vAlign w:val="bottom"/>
            <w:shd w:val="clear" w:color="auto" w:fill="E6E7E8"/>
          </w:tcPr>
          <w:p>
            <w:pPr>
              <w:ind w:left="340"/>
              <w:spacing w:after="0"/>
              <w:rPr>
                <w:sz w:val="20"/>
                <w:szCs w:val="20"/>
                <w:color w:val="auto"/>
              </w:rPr>
            </w:pPr>
            <w:r>
              <w:rPr>
                <w:rFonts w:ascii="Arial" w:cs="Arial" w:eastAsia="Arial" w:hAnsi="Arial"/>
                <w:sz w:val="15"/>
                <w:szCs w:val="15"/>
                <w:color w:val="auto"/>
              </w:rPr>
              <w:t>rights</w:t>
            </w:r>
          </w:p>
        </w:tc>
        <w:tc>
          <w:tcPr>
            <w:tcW w:w="4080" w:type="dxa"/>
            <w:vAlign w:val="bottom"/>
            <w:shd w:val="clear" w:color="auto" w:fill="E6E7E8"/>
          </w:tcPr>
          <w:p>
            <w:pPr>
              <w:spacing w:after="0"/>
              <w:rPr>
                <w:sz w:val="17"/>
                <w:szCs w:val="17"/>
                <w:color w:val="auto"/>
              </w:rPr>
            </w:pPr>
          </w:p>
        </w:tc>
        <w:tc>
          <w:tcPr>
            <w:tcW w:w="3640" w:type="dxa"/>
            <w:vAlign w:val="bottom"/>
            <w:shd w:val="clear" w:color="auto" w:fill="E6E7E8"/>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3520" w:type="dxa"/>
            <w:vAlign w:val="bottom"/>
            <w:shd w:val="clear" w:color="auto" w:fill="E6E7E8"/>
          </w:tcPr>
          <w:p>
            <w:pPr>
              <w:spacing w:after="0"/>
              <w:rPr>
                <w:sz w:val="7"/>
                <w:szCs w:val="7"/>
                <w:color w:val="auto"/>
              </w:rPr>
            </w:pPr>
          </w:p>
        </w:tc>
        <w:tc>
          <w:tcPr>
            <w:tcW w:w="4080" w:type="dxa"/>
            <w:vAlign w:val="bottom"/>
            <w:shd w:val="clear" w:color="auto" w:fill="E6E7E8"/>
          </w:tcPr>
          <w:p>
            <w:pPr>
              <w:spacing w:after="0"/>
              <w:rPr>
                <w:sz w:val="7"/>
                <w:szCs w:val="7"/>
                <w:color w:val="auto"/>
              </w:rPr>
            </w:pPr>
          </w:p>
        </w:tc>
        <w:tc>
          <w:tcPr>
            <w:tcW w:w="3640" w:type="dxa"/>
            <w:vAlign w:val="bottom"/>
            <w:shd w:val="clear" w:color="auto" w:fill="E6E7E8"/>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-1456690</wp:posOffset>
            </wp:positionV>
            <wp:extent cx="85725" cy="774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7747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-1276985</wp:posOffset>
            </wp:positionV>
            <wp:extent cx="85725" cy="768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7683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-736600</wp:posOffset>
            </wp:positionV>
            <wp:extent cx="85725" cy="774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7747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-436880</wp:posOffset>
            </wp:positionV>
            <wp:extent cx="85725" cy="85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-1456690</wp:posOffset>
            </wp:positionV>
            <wp:extent cx="85725" cy="774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7747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-1036955</wp:posOffset>
            </wp:positionV>
            <wp:extent cx="85725" cy="774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7747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-625475</wp:posOffset>
            </wp:positionV>
            <wp:extent cx="85725" cy="774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7747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-1456690</wp:posOffset>
            </wp:positionV>
            <wp:extent cx="85725" cy="857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-1122680</wp:posOffset>
            </wp:positionV>
            <wp:extent cx="76835" cy="774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0" w:hanging="494"/>
        <w:spacing w:after="0"/>
        <w:tabs>
          <w:tab w:leader="none" w:pos="520" w:val="left"/>
        </w:tabs>
        <w:numPr>
          <w:ilvl w:val="0"/>
          <w:numId w:val="6"/>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43"/>
          <w:szCs w:val="43"/>
          <w:b w:val="1"/>
          <w:bCs w:val="1"/>
          <w:color w:val="29378D"/>
        </w:rPr>
        <w:t>Management and 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5812155" cy="2057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12155" cy="20574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PROPOSAL 1</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9378D"/>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80645</wp:posOffset>
            </wp:positionV>
            <wp:extent cx="93980" cy="857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5725"/>
                    </a:xfrm>
                    <a:prstGeom prst="rect">
                      <a:avLst/>
                    </a:prstGeom>
                    <a:noFill/>
                  </pic:spPr>
                </pic:pic>
              </a:graphicData>
            </a:graphic>
          </wp:anchor>
        </w:drawing>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The Board of Directors unanimously recommends that you vote </w:t>
      </w:r>
      <w:r>
        <w:rPr>
          <w:rFonts w:ascii="Arial" w:cs="Arial" w:eastAsia="Arial" w:hAnsi="Arial"/>
          <w:sz w:val="16"/>
          <w:szCs w:val="16"/>
          <w:b w:val="1"/>
          <w:bCs w:val="1"/>
          <w:color w:val="29378D"/>
        </w:rPr>
        <w:t>“FOR”</w:t>
      </w:r>
      <w:r>
        <w:rPr>
          <w:rFonts w:ascii="Arial" w:cs="Arial" w:eastAsia="Arial" w:hAnsi="Arial"/>
          <w:sz w:val="16"/>
          <w:szCs w:val="16"/>
          <w:color w:val="auto"/>
        </w:rPr>
        <w:t xml:space="preserve"> the 13 nominees for director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312420</wp:posOffset>
            </wp:positionV>
            <wp:extent cx="5812155" cy="2146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12155"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3" w:right="240" w:hanging="203"/>
        <w:spacing w:after="0" w:line="286" w:lineRule="auto"/>
        <w:tabs>
          <w:tab w:leader="none" w:pos="193" w:val="left"/>
        </w:tabs>
        <w:numPr>
          <w:ilvl w:val="0"/>
          <w:numId w:val="7"/>
        </w:numPr>
        <w:rPr>
          <w:rFonts w:ascii="Arial" w:cs="Arial" w:eastAsia="Arial" w:hAnsi="Arial"/>
          <w:sz w:val="16"/>
          <w:szCs w:val="16"/>
          <w:b w:val="1"/>
          <w:bCs w:val="1"/>
          <w:color w:val="223A75"/>
        </w:rPr>
      </w:pPr>
      <w:r>
        <w:rPr>
          <w:rFonts w:ascii="Arial" w:cs="Arial" w:eastAsia="Arial" w:hAnsi="Arial"/>
          <w:sz w:val="16"/>
          <w:szCs w:val="16"/>
          <w:color w:val="auto"/>
        </w:rPr>
        <w:t xml:space="preserve">See </w:t>
      </w:r>
      <w:r>
        <w:rPr>
          <w:rFonts w:ascii="Arial" w:cs="Arial" w:eastAsia="Arial" w:hAnsi="Arial"/>
          <w:sz w:val="16"/>
          <w:szCs w:val="16"/>
          <w:color w:val="0C3471"/>
        </w:rPr>
        <w:t>page 16</w:t>
      </w:r>
      <w:r>
        <w:rPr>
          <w:rFonts w:ascii="Arial" w:cs="Arial" w:eastAsia="Arial" w:hAnsi="Arial"/>
          <w:sz w:val="16"/>
          <w:szCs w:val="16"/>
          <w:color w:val="auto"/>
        </w:rPr>
        <w:t xml:space="preserve">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-723265</wp:posOffset>
            </wp:positionV>
            <wp:extent cx="1320165" cy="7200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20165" cy="72009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184785</wp:posOffset>
            </wp:positionV>
            <wp:extent cx="1320165" cy="2146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20165"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37" w:space="720"/>
            <w:col w:w="1983"/>
          </w:cols>
          <w:pgMar w:left="320" w:top="1298" w:right="339" w:bottom="1440" w:gutter="0" w:footer="0" w:header="0"/>
        </w:sectPr>
      </w:pP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66675</wp:posOffset>
            </wp:positionV>
            <wp:extent cx="8255" cy="5918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591820"/>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type w:val="continuous"/>
        </w:sectPr>
      </w:pPr>
    </w:p>
    <w:p>
      <w:pPr>
        <w:spacing w:after="0" w:line="14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9378D"/>
        </w:rPr>
        <w:t>Advisory Vote on Compensation of</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9378D"/>
        </w:rPr>
        <w:t>Named Executive Officers</w:t>
      </w:r>
    </w:p>
    <w:p>
      <w:pPr>
        <w:spacing w:after="0" w:line="105" w:lineRule="exact"/>
        <w:rPr>
          <w:sz w:val="20"/>
          <w:szCs w:val="20"/>
          <w:color w:val="auto"/>
        </w:rPr>
      </w:pPr>
    </w:p>
    <w:p>
      <w:pPr>
        <w:ind w:left="120"/>
        <w:spacing w:after="0"/>
        <w:rPr>
          <w:sz w:val="20"/>
          <w:szCs w:val="20"/>
          <w:color w:val="auto"/>
        </w:rPr>
      </w:pPr>
      <w:r>
        <w:rPr>
          <w:sz w:val="1"/>
          <w:szCs w:val="1"/>
          <w:color w:val="auto"/>
        </w:rPr>
        <w:drawing>
          <wp:inline distT="0" distB="0" distL="0" distR="0">
            <wp:extent cx="102870" cy="8572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5725"/>
                    </a:xfrm>
                    <a:prstGeom prst="rect">
                      <a:avLst/>
                    </a:prstGeom>
                    <a:noFill/>
                    <a:ln>
                      <a:noFill/>
                    </a:ln>
                  </pic:spPr>
                </pic:pic>
              </a:graphicData>
            </a:graphic>
          </wp:inline>
        </w:drawing>
      </w:r>
      <w:r>
        <w:rPr>
          <w:rFonts w:ascii="Arial" w:cs="Arial" w:eastAsia="Arial" w:hAnsi="Arial"/>
          <w:sz w:val="16"/>
          <w:szCs w:val="16"/>
          <w:color w:val="auto"/>
        </w:rPr>
        <w:t xml:space="preserve"> The Board of Directors unanimously recommends that you vote </w:t>
      </w:r>
      <w:r>
        <w:rPr>
          <w:rFonts w:ascii="Arial" w:cs="Arial" w:eastAsia="Arial" w:hAnsi="Arial"/>
          <w:sz w:val="16"/>
          <w:szCs w:val="16"/>
          <w:b w:val="1"/>
          <w:bCs w:val="1"/>
          <w:color w:val="29378D"/>
        </w:rPr>
        <w:t>“FOR”</w:t>
      </w:r>
      <w:r>
        <w:rPr>
          <w:rFonts w:ascii="Arial" w:cs="Arial" w:eastAsia="Arial" w:hAnsi="Arial"/>
          <w:sz w:val="16"/>
          <w:szCs w:val="16"/>
          <w:color w:val="auto"/>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431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234950</wp:posOffset>
            </wp:positionV>
            <wp:extent cx="5812155"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1215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203" w:right="240" w:hanging="203"/>
        <w:spacing w:after="0" w:line="286" w:lineRule="auto"/>
        <w:tabs>
          <w:tab w:leader="none" w:pos="193" w:val="left"/>
        </w:tabs>
        <w:numPr>
          <w:ilvl w:val="0"/>
          <w:numId w:val="8"/>
        </w:numPr>
        <w:rPr>
          <w:rFonts w:ascii="Arial" w:cs="Arial" w:eastAsia="Arial" w:hAnsi="Arial"/>
          <w:sz w:val="16"/>
          <w:szCs w:val="16"/>
          <w:b w:val="1"/>
          <w:bCs w:val="1"/>
          <w:color w:val="223A75"/>
        </w:rPr>
      </w:pPr>
      <w:r>
        <w:rPr>
          <w:rFonts w:ascii="Arial" w:cs="Arial" w:eastAsia="Arial" w:hAnsi="Arial"/>
          <w:sz w:val="16"/>
          <w:szCs w:val="16"/>
          <w:color w:val="auto"/>
        </w:rPr>
        <w:t xml:space="preserve">See </w:t>
      </w:r>
      <w:r>
        <w:rPr>
          <w:rFonts w:ascii="Arial" w:cs="Arial" w:eastAsia="Arial" w:hAnsi="Arial"/>
          <w:sz w:val="16"/>
          <w:szCs w:val="16"/>
          <w:color w:val="0C3471"/>
        </w:rPr>
        <w:t>page 49</w:t>
      </w:r>
      <w:r>
        <w:rPr>
          <w:rFonts w:ascii="Arial" w:cs="Arial" w:eastAsia="Arial" w:hAnsi="Arial"/>
          <w:sz w:val="16"/>
          <w:szCs w:val="16"/>
          <w:color w:val="auto"/>
        </w:rPr>
        <w:t xml:space="preserve">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184785</wp:posOffset>
            </wp:positionV>
            <wp:extent cx="1320165" cy="2057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2016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37" w:space="720"/>
            <w:col w:w="1983"/>
          </w:cols>
          <w:pgMar w:left="320" w:top="1298" w:right="339" w:bottom="1440" w:gutter="0" w:footer="0" w:header="0"/>
          <w:type w:val="continuous"/>
        </w:sectPr>
      </w:pP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PROPOSAL 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9180" w:type="dxa"/>
            <w:vAlign w:val="bottom"/>
            <w:tcBorders>
              <w:right w:val="single" w:sz="8" w:color="0C3471"/>
            </w:tcBorders>
          </w:tcPr>
          <w:p>
            <w:pPr>
              <w:ind w:left="100"/>
              <w:spacing w:after="0"/>
              <w:rPr>
                <w:sz w:val="20"/>
                <w:szCs w:val="20"/>
                <w:color w:val="auto"/>
              </w:rPr>
            </w:pPr>
            <w:r>
              <w:rPr>
                <w:rFonts w:ascii="Arial" w:cs="Arial" w:eastAsia="Arial" w:hAnsi="Arial"/>
                <w:sz w:val="22"/>
                <w:szCs w:val="22"/>
                <w:b w:val="1"/>
                <w:bCs w:val="1"/>
                <w:color w:val="29378D"/>
              </w:rPr>
              <w:t>Ratification of Appointment of Independent Auditor</w:t>
            </w:r>
          </w:p>
        </w:tc>
        <w:tc>
          <w:tcPr>
            <w:tcW w:w="2060" w:type="dxa"/>
            <w:vAlign w:val="bottom"/>
            <w:vMerge w:val="restart"/>
          </w:tcPr>
          <w:p>
            <w:pPr>
              <w:ind w:left="80"/>
              <w:spacing w:after="0"/>
              <w:rPr>
                <w:sz w:val="20"/>
                <w:szCs w:val="20"/>
                <w:color w:val="auto"/>
              </w:rPr>
            </w:pPr>
            <w:r>
              <w:rPr>
                <w:rFonts w:ascii="Arial" w:cs="Arial" w:eastAsia="Arial" w:hAnsi="Arial"/>
                <w:sz w:val="16"/>
                <w:szCs w:val="16"/>
                <w:b w:val="1"/>
                <w:bCs w:val="1"/>
                <w:color w:val="223A75"/>
              </w:rPr>
              <w:t xml:space="preserve">&gt; </w:t>
            </w:r>
            <w:r>
              <w:rPr>
                <w:rFonts w:ascii="Arial" w:cs="Arial" w:eastAsia="Arial" w:hAnsi="Arial"/>
                <w:sz w:val="16"/>
                <w:szCs w:val="16"/>
                <w:color w:val="000000"/>
              </w:rPr>
              <w:t>See</w:t>
            </w:r>
            <w:r>
              <w:rPr>
                <w:rFonts w:ascii="Arial" w:cs="Arial" w:eastAsia="Arial" w:hAnsi="Arial"/>
                <w:sz w:val="16"/>
                <w:szCs w:val="16"/>
                <w:b w:val="1"/>
                <w:bCs w:val="1"/>
                <w:color w:val="223A75"/>
              </w:rPr>
              <w:t xml:space="preserve"> </w:t>
            </w:r>
            <w:r>
              <w:rPr>
                <w:rFonts w:ascii="Arial" w:cs="Arial" w:eastAsia="Arial" w:hAnsi="Arial"/>
                <w:sz w:val="16"/>
                <w:szCs w:val="16"/>
                <w:color w:val="0C3471"/>
              </w:rPr>
              <w:t>page 90</w:t>
            </w:r>
            <w:r>
              <w:rPr>
                <w:rFonts w:ascii="Arial" w:cs="Arial" w:eastAsia="Arial" w:hAnsi="Arial"/>
                <w:sz w:val="16"/>
                <w:szCs w:val="16"/>
                <w:b w:val="1"/>
                <w:bCs w:val="1"/>
                <w:color w:val="223A75"/>
              </w:rPr>
              <w:t xml:space="preserve"> </w:t>
            </w:r>
            <w:r>
              <w:rPr>
                <w:rFonts w:ascii="Arial" w:cs="Arial" w:eastAsia="Arial" w:hAnsi="Arial"/>
                <w:sz w:val="16"/>
                <w:szCs w:val="16"/>
                <w:color w:val="000000"/>
              </w:rPr>
              <w:t>for more</w:t>
            </w:r>
          </w:p>
        </w:tc>
        <w:tc>
          <w:tcPr>
            <w:tcW w:w="0" w:type="dxa"/>
            <w:vAlign w:val="bottom"/>
          </w:tcPr>
          <w:p>
            <w:pPr>
              <w:spacing w:after="0"/>
              <w:rPr>
                <w:sz w:val="1"/>
                <w:szCs w:val="1"/>
                <w:color w:val="auto"/>
              </w:rPr>
            </w:pPr>
          </w:p>
        </w:tc>
      </w:tr>
      <w:tr>
        <w:trPr>
          <w:trHeight w:val="127"/>
        </w:trPr>
        <w:tc>
          <w:tcPr>
            <w:tcW w:w="9180" w:type="dxa"/>
            <w:vAlign w:val="bottom"/>
            <w:tcBorders>
              <w:right w:val="single" w:sz="8" w:color="0C3471"/>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9180" w:type="dxa"/>
            <w:vAlign w:val="bottom"/>
            <w:tcBorders>
              <w:right w:val="single" w:sz="8" w:color="0C3471"/>
            </w:tcBorders>
          </w:tcPr>
          <w:p>
            <w:pPr>
              <w:ind w:left="420"/>
              <w:spacing w:after="0"/>
              <w:rPr>
                <w:sz w:val="20"/>
                <w:szCs w:val="20"/>
                <w:color w:val="auto"/>
              </w:rPr>
            </w:pPr>
            <w:r>
              <w:rPr>
                <w:rFonts w:ascii="Arial" w:cs="Arial" w:eastAsia="Arial" w:hAnsi="Arial"/>
                <w:sz w:val="16"/>
                <w:szCs w:val="16"/>
                <w:color w:val="auto"/>
              </w:rPr>
              <w:t xml:space="preserve">The Board of Directors unanimously recommends that you vote </w:t>
            </w:r>
            <w:r>
              <w:rPr>
                <w:rFonts w:ascii="Arial" w:cs="Arial" w:eastAsia="Arial" w:hAnsi="Arial"/>
                <w:sz w:val="16"/>
                <w:szCs w:val="16"/>
                <w:b w:val="1"/>
                <w:bCs w:val="1"/>
                <w:color w:val="29378D"/>
              </w:rPr>
              <w:t>“FOR”</w:t>
            </w:r>
            <w:r>
              <w:rPr>
                <w:rFonts w:ascii="Arial" w:cs="Arial" w:eastAsia="Arial" w:hAnsi="Arial"/>
                <w:sz w:val="16"/>
                <w:szCs w:val="16"/>
                <w:color w:val="auto"/>
              </w:rPr>
              <w:t xml:space="preserve"> this proposal.</w:t>
            </w:r>
          </w:p>
        </w:tc>
        <w:tc>
          <w:tcPr>
            <w:tcW w:w="2060" w:type="dxa"/>
            <w:vAlign w:val="bottom"/>
          </w:tcPr>
          <w:p>
            <w:pPr>
              <w:ind w:left="280"/>
              <w:spacing w:after="0"/>
              <w:rPr>
                <w:sz w:val="20"/>
                <w:szCs w:val="20"/>
                <w:color w:val="auto"/>
              </w:rPr>
            </w:pPr>
            <w:r>
              <w:rPr>
                <w:rFonts w:ascii="Arial" w:cs="Arial" w:eastAsia="Arial" w:hAnsi="Arial"/>
                <w:sz w:val="16"/>
                <w:szCs w:val="16"/>
                <w:color w:val="auto"/>
              </w:rPr>
              <w:t>details</w:t>
            </w:r>
          </w:p>
        </w:tc>
        <w:tc>
          <w:tcPr>
            <w:tcW w:w="0" w:type="dxa"/>
            <w:vAlign w:val="bottom"/>
          </w:tcPr>
          <w:p>
            <w:pPr>
              <w:spacing w:after="0"/>
              <w:rPr>
                <w:sz w:val="1"/>
                <w:szCs w:val="1"/>
                <w:color w:val="auto"/>
              </w:rPr>
            </w:pPr>
          </w:p>
        </w:tc>
      </w:tr>
      <w:tr>
        <w:trPr>
          <w:trHeight w:val="20"/>
        </w:trPr>
        <w:tc>
          <w:tcPr>
            <w:tcW w:w="9180" w:type="dxa"/>
            <w:vAlign w:val="bottom"/>
            <w:tcBorders>
              <w:right w:val="single" w:sz="8" w:color="29378D"/>
            </w:tcBorders>
            <w:shd w:val="clear" w:color="auto" w:fill="29378D"/>
          </w:tcPr>
          <w:p>
            <w:pPr>
              <w:spacing w:after="0" w:line="20" w:lineRule="exact"/>
              <w:rPr>
                <w:sz w:val="1"/>
                <w:szCs w:val="1"/>
                <w:color w:val="auto"/>
              </w:rPr>
            </w:pPr>
          </w:p>
        </w:tc>
        <w:tc>
          <w:tcPr>
            <w:tcW w:w="2060" w:type="dxa"/>
            <w:vAlign w:val="bottom"/>
            <w:shd w:val="clear" w:color="auto" w:fill="29378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-213995</wp:posOffset>
            </wp:positionV>
            <wp:extent cx="102870" cy="857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Based on its recent evaluation, the Audit and Risk Committee of the Board of Directors believes that the appointment of Deloitte &amp; Touche LLP (Deloitte) is in the best interests of the Company and its shareholders. Deloitte served as our independent auditor for 2023, and Deloitte or its predecessors have served as the independent auditor for the Company (including certain of its predecessor companies) since 1975.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type w:val="continuous"/>
        </w:sectPr>
      </w:pPr>
    </w:p>
    <w:p>
      <w:pPr>
        <w:spacing w:after="0" w:line="18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PROPOSAL 4</w:t>
      </w:r>
    </w:p>
    <w:p>
      <w:pPr>
        <w:spacing w:after="0" w:line="103" w:lineRule="exact"/>
        <w:rPr>
          <w:sz w:val="20"/>
          <w:szCs w:val="20"/>
          <w:color w:val="auto"/>
        </w:rPr>
      </w:pPr>
    </w:p>
    <w:p>
      <w:pPr>
        <w:ind w:left="20"/>
        <w:spacing w:after="0" w:line="285" w:lineRule="auto"/>
        <w:rPr>
          <w:sz w:val="20"/>
          <w:szCs w:val="20"/>
          <w:color w:val="auto"/>
        </w:rPr>
      </w:pPr>
      <w:r>
        <w:rPr>
          <w:rFonts w:ascii="Arial" w:cs="Arial" w:eastAsia="Arial" w:hAnsi="Arial"/>
          <w:sz w:val="22"/>
          <w:szCs w:val="22"/>
          <w:b w:val="1"/>
          <w:bCs w:val="1"/>
          <w:color w:val="29378D"/>
        </w:rPr>
        <w:t>Elimination of Personal Liability of Officers for Monetary Damages for Breach of Certain Fiduciary Duties as Permitted by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305435</wp:posOffset>
            </wp:positionV>
            <wp:extent cx="102870" cy="857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The Board of Directors unanimously recommends that you vote </w:t>
      </w:r>
      <w:r>
        <w:rPr>
          <w:rFonts w:ascii="Arial" w:cs="Arial" w:eastAsia="Arial" w:hAnsi="Arial"/>
          <w:sz w:val="16"/>
          <w:szCs w:val="16"/>
          <w:b w:val="1"/>
          <w:bCs w:val="1"/>
          <w:color w:val="29378D"/>
        </w:rPr>
        <w:t>“FOR”</w:t>
      </w:r>
      <w:r>
        <w:rPr>
          <w:rFonts w:ascii="Arial" w:cs="Arial" w:eastAsia="Arial" w:hAnsi="Arial"/>
          <w:sz w:val="16"/>
          <w:szCs w:val="16"/>
          <w:color w:val="auto"/>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43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5812155" cy="20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1215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3" w:right="240" w:hanging="203"/>
        <w:spacing w:after="0" w:line="268" w:lineRule="auto"/>
        <w:tabs>
          <w:tab w:leader="none" w:pos="193" w:val="left"/>
        </w:tabs>
        <w:numPr>
          <w:ilvl w:val="0"/>
          <w:numId w:val="9"/>
        </w:numPr>
        <w:rPr>
          <w:rFonts w:ascii="Arial" w:cs="Arial" w:eastAsia="Arial" w:hAnsi="Arial"/>
          <w:sz w:val="16"/>
          <w:szCs w:val="16"/>
          <w:b w:val="1"/>
          <w:bCs w:val="1"/>
          <w:color w:val="223A75"/>
        </w:rPr>
      </w:pPr>
      <w:r>
        <w:rPr>
          <w:rFonts w:ascii="Arial" w:cs="Arial" w:eastAsia="Arial" w:hAnsi="Arial"/>
          <w:sz w:val="16"/>
          <w:szCs w:val="16"/>
          <w:color w:val="auto"/>
        </w:rPr>
        <w:t xml:space="preserve">See </w:t>
      </w:r>
      <w:r>
        <w:rPr>
          <w:rFonts w:ascii="Arial" w:cs="Arial" w:eastAsia="Arial" w:hAnsi="Arial"/>
          <w:sz w:val="16"/>
          <w:szCs w:val="16"/>
          <w:color w:val="223A75"/>
        </w:rPr>
        <w:t>page 93</w:t>
      </w:r>
      <w:r>
        <w:rPr>
          <w:rFonts w:ascii="Arial" w:cs="Arial" w:eastAsia="Arial" w:hAnsi="Arial"/>
          <w:sz w:val="16"/>
          <w:szCs w:val="16"/>
          <w:color w:val="auto"/>
        </w:rPr>
        <w:t xml:space="preserve">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-851535</wp:posOffset>
            </wp:positionV>
            <wp:extent cx="8255" cy="8655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6550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193675</wp:posOffset>
            </wp:positionV>
            <wp:extent cx="1320165" cy="2057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2016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40" w:space="217"/>
            <w:col w:w="1983"/>
          </w:cols>
          <w:pgMar w:left="320" w:top="1298" w:right="339" w:bottom="1440" w:gutter="0" w:footer="0" w:header="0"/>
          <w:type w:val="continuous"/>
        </w:sectPr>
      </w:pP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PROPOSAL 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317"/>
        </w:trPr>
        <w:tc>
          <w:tcPr>
            <w:tcW w:w="9180" w:type="dxa"/>
            <w:vAlign w:val="bottom"/>
            <w:tcBorders>
              <w:right w:val="single" w:sz="8" w:color="0C3471"/>
            </w:tcBorders>
          </w:tcPr>
          <w:p>
            <w:pPr>
              <w:ind w:left="100"/>
              <w:spacing w:after="0"/>
              <w:rPr>
                <w:sz w:val="20"/>
                <w:szCs w:val="20"/>
                <w:color w:val="auto"/>
              </w:rPr>
            </w:pPr>
            <w:r>
              <w:rPr>
                <w:rFonts w:ascii="Arial" w:cs="Arial" w:eastAsia="Arial" w:hAnsi="Arial"/>
                <w:sz w:val="22"/>
                <w:szCs w:val="22"/>
                <w:b w:val="1"/>
                <w:bCs w:val="1"/>
                <w:color w:val="29378D"/>
              </w:rPr>
              <w:t>Approval of 2024 Long-Term Incentive Stock Plan</w:t>
            </w:r>
          </w:p>
        </w:tc>
        <w:tc>
          <w:tcPr>
            <w:tcW w:w="2060" w:type="dxa"/>
            <w:vAlign w:val="bottom"/>
            <w:vMerge w:val="restart"/>
          </w:tcPr>
          <w:p>
            <w:pPr>
              <w:ind w:left="80"/>
              <w:spacing w:after="0"/>
              <w:rPr>
                <w:sz w:val="20"/>
                <w:szCs w:val="20"/>
                <w:color w:val="auto"/>
              </w:rPr>
            </w:pPr>
            <w:r>
              <w:rPr>
                <w:rFonts w:ascii="Arial" w:cs="Arial" w:eastAsia="Arial" w:hAnsi="Arial"/>
                <w:sz w:val="16"/>
                <w:szCs w:val="16"/>
                <w:b w:val="1"/>
                <w:bCs w:val="1"/>
                <w:color w:val="0C3471"/>
              </w:rPr>
              <w:t xml:space="preserve">&gt; </w:t>
            </w:r>
            <w:r>
              <w:rPr>
                <w:rFonts w:ascii="Arial" w:cs="Arial" w:eastAsia="Arial" w:hAnsi="Arial"/>
                <w:sz w:val="16"/>
                <w:szCs w:val="16"/>
                <w:color w:val="000000"/>
              </w:rPr>
              <w:t>See</w:t>
            </w:r>
            <w:r>
              <w:rPr>
                <w:rFonts w:ascii="Arial" w:cs="Arial" w:eastAsia="Arial" w:hAnsi="Arial"/>
                <w:sz w:val="16"/>
                <w:szCs w:val="16"/>
                <w:b w:val="1"/>
                <w:bCs w:val="1"/>
                <w:color w:val="0C3471"/>
              </w:rPr>
              <w:t xml:space="preserve"> </w:t>
            </w:r>
            <w:r>
              <w:rPr>
                <w:rFonts w:ascii="Arial" w:cs="Arial" w:eastAsia="Arial" w:hAnsi="Arial"/>
                <w:sz w:val="16"/>
                <w:szCs w:val="16"/>
                <w:color w:val="0C3471"/>
              </w:rPr>
              <w:t>page 95</w:t>
            </w:r>
            <w:r>
              <w:rPr>
                <w:rFonts w:ascii="Arial" w:cs="Arial" w:eastAsia="Arial" w:hAnsi="Arial"/>
                <w:sz w:val="16"/>
                <w:szCs w:val="16"/>
                <w:b w:val="1"/>
                <w:bCs w:val="1"/>
                <w:color w:val="0C3471"/>
              </w:rPr>
              <w:t xml:space="preserve"> </w:t>
            </w:r>
            <w:r>
              <w:rPr>
                <w:rFonts w:ascii="Arial" w:cs="Arial" w:eastAsia="Arial" w:hAnsi="Arial"/>
                <w:sz w:val="16"/>
                <w:szCs w:val="16"/>
                <w:color w:val="000000"/>
              </w:rPr>
              <w:t>for more</w:t>
            </w:r>
          </w:p>
        </w:tc>
        <w:tc>
          <w:tcPr>
            <w:tcW w:w="0" w:type="dxa"/>
            <w:vAlign w:val="bottom"/>
          </w:tcPr>
          <w:p>
            <w:pPr>
              <w:spacing w:after="0"/>
              <w:rPr>
                <w:sz w:val="1"/>
                <w:szCs w:val="1"/>
                <w:color w:val="auto"/>
              </w:rPr>
            </w:pPr>
          </w:p>
        </w:tc>
      </w:tr>
      <w:tr>
        <w:trPr>
          <w:trHeight w:val="127"/>
        </w:trPr>
        <w:tc>
          <w:tcPr>
            <w:tcW w:w="9180" w:type="dxa"/>
            <w:vAlign w:val="bottom"/>
            <w:tcBorders>
              <w:right w:val="single" w:sz="8" w:color="0C3471"/>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9180" w:type="dxa"/>
            <w:vAlign w:val="bottom"/>
            <w:tcBorders>
              <w:right w:val="single" w:sz="8" w:color="0C3471"/>
            </w:tcBorders>
          </w:tcPr>
          <w:p>
            <w:pPr>
              <w:ind w:left="420"/>
              <w:spacing w:after="0"/>
              <w:rPr>
                <w:sz w:val="20"/>
                <w:szCs w:val="20"/>
                <w:color w:val="auto"/>
              </w:rPr>
            </w:pPr>
            <w:r>
              <w:rPr>
                <w:rFonts w:ascii="Arial" w:cs="Arial" w:eastAsia="Arial" w:hAnsi="Arial"/>
                <w:sz w:val="16"/>
                <w:szCs w:val="16"/>
                <w:color w:val="auto"/>
              </w:rPr>
              <w:t xml:space="preserve">The Board of Directors unanimously recommends that you vote </w:t>
            </w:r>
            <w:r>
              <w:rPr>
                <w:rFonts w:ascii="Arial" w:cs="Arial" w:eastAsia="Arial" w:hAnsi="Arial"/>
                <w:sz w:val="16"/>
                <w:szCs w:val="16"/>
                <w:b w:val="1"/>
                <w:bCs w:val="1"/>
                <w:color w:val="29378D"/>
              </w:rPr>
              <w:t>“FOR”</w:t>
            </w:r>
            <w:r>
              <w:rPr>
                <w:rFonts w:ascii="Arial" w:cs="Arial" w:eastAsia="Arial" w:hAnsi="Arial"/>
                <w:sz w:val="16"/>
                <w:szCs w:val="16"/>
                <w:color w:val="auto"/>
              </w:rPr>
              <w:t xml:space="preserve"> this proposal.</w:t>
            </w:r>
          </w:p>
        </w:tc>
        <w:tc>
          <w:tcPr>
            <w:tcW w:w="2060" w:type="dxa"/>
            <w:vAlign w:val="bottom"/>
          </w:tcPr>
          <w:p>
            <w:pPr>
              <w:ind w:left="280"/>
              <w:spacing w:after="0"/>
              <w:rPr>
                <w:sz w:val="20"/>
                <w:szCs w:val="20"/>
                <w:color w:val="auto"/>
              </w:rPr>
            </w:pPr>
            <w:r>
              <w:rPr>
                <w:rFonts w:ascii="Arial" w:cs="Arial" w:eastAsia="Arial" w:hAnsi="Arial"/>
                <w:sz w:val="16"/>
                <w:szCs w:val="16"/>
                <w:color w:val="auto"/>
              </w:rPr>
              <w:t>details</w:t>
            </w:r>
          </w:p>
        </w:tc>
        <w:tc>
          <w:tcPr>
            <w:tcW w:w="0" w:type="dxa"/>
            <w:vAlign w:val="bottom"/>
          </w:tcPr>
          <w:p>
            <w:pPr>
              <w:spacing w:after="0"/>
              <w:rPr>
                <w:sz w:val="1"/>
                <w:szCs w:val="1"/>
                <w:color w:val="auto"/>
              </w:rPr>
            </w:pPr>
          </w:p>
        </w:tc>
      </w:tr>
      <w:tr>
        <w:trPr>
          <w:trHeight w:val="20"/>
        </w:trPr>
        <w:tc>
          <w:tcPr>
            <w:tcW w:w="9180" w:type="dxa"/>
            <w:vAlign w:val="bottom"/>
            <w:tcBorders>
              <w:right w:val="single" w:sz="8" w:color="29378D"/>
            </w:tcBorders>
            <w:shd w:val="clear" w:color="auto" w:fill="29378D"/>
          </w:tcPr>
          <w:p>
            <w:pPr>
              <w:spacing w:after="0" w:line="20" w:lineRule="exact"/>
              <w:rPr>
                <w:sz w:val="1"/>
                <w:szCs w:val="1"/>
                <w:color w:val="auto"/>
              </w:rPr>
            </w:pPr>
          </w:p>
        </w:tc>
        <w:tc>
          <w:tcPr>
            <w:tcW w:w="2060" w:type="dxa"/>
            <w:vAlign w:val="bottom"/>
            <w:shd w:val="clear" w:color="auto" w:fill="29378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-205105</wp:posOffset>
            </wp:positionV>
            <wp:extent cx="102870" cy="857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Management and Shareholder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Additional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2057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61"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57785</wp:posOffset>
            </wp:positionV>
            <wp:extent cx="8255" cy="7454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745490"/>
                    </a:xfrm>
                    <a:prstGeom prst="rect">
                      <a:avLst/>
                    </a:prstGeom>
                    <a:noFill/>
                  </pic:spPr>
                </pic:pic>
              </a:graphicData>
            </a:graphic>
          </wp:anchor>
        </w:drawing>
      </w:r>
    </w:p>
    <w:p>
      <w:pPr>
        <w:spacing w:after="0" w:line="191" w:lineRule="exact"/>
        <w:rPr>
          <w:sz w:val="20"/>
          <w:szCs w:val="20"/>
          <w:color w:val="auto"/>
        </w:rPr>
      </w:pPr>
    </w:p>
    <w:p>
      <w:pPr>
        <w:ind w:left="20"/>
        <w:spacing w:after="0" w:line="310" w:lineRule="auto"/>
        <w:rPr>
          <w:sz w:val="20"/>
          <w:szCs w:val="20"/>
          <w:color w:val="auto"/>
        </w:rPr>
      </w:pPr>
      <w:r>
        <w:rPr>
          <w:rFonts w:ascii="Arial" w:cs="Arial" w:eastAsia="Arial" w:hAnsi="Arial"/>
          <w:sz w:val="21"/>
          <w:szCs w:val="21"/>
          <w:b w:val="1"/>
          <w:bCs w:val="1"/>
          <w:color w:val="00249C"/>
        </w:rPr>
        <w:t>Shareholder Proposal to Annually Conduct an Evaluation and Issue a Report Describing the Alignment of the Company’s Political Activities With Its Human Rights Policy</w:t>
      </w:r>
    </w:p>
    <w:p>
      <w:pPr>
        <w:spacing w:after="0" w:line="147" w:lineRule="exact"/>
        <w:rPr>
          <w:sz w:val="20"/>
          <w:szCs w:val="20"/>
          <w:color w:val="auto"/>
        </w:rPr>
      </w:pPr>
    </w:p>
    <w:p>
      <w:pPr>
        <w:ind w:left="120"/>
        <w:spacing w:after="0"/>
        <w:rPr>
          <w:sz w:val="20"/>
          <w:szCs w:val="20"/>
          <w:color w:val="auto"/>
        </w:rPr>
      </w:pPr>
      <w:r>
        <w:rPr>
          <w:sz w:val="1"/>
          <w:szCs w:val="1"/>
          <w:color w:val="auto"/>
        </w:rPr>
        <w:drawing>
          <wp:inline distT="0" distB="0" distL="0" distR="0">
            <wp:extent cx="102870" cy="10287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6"/>
          <w:szCs w:val="16"/>
          <w:color w:val="auto"/>
        </w:rPr>
        <w:t xml:space="preserve"> The Board of Directors unanimously recommends that you vote </w:t>
      </w:r>
      <w:r>
        <w:rPr>
          <w:rFonts w:ascii="Arial" w:cs="Arial" w:eastAsia="Arial" w:hAnsi="Arial"/>
          <w:sz w:val="16"/>
          <w:szCs w:val="16"/>
          <w:b w:val="1"/>
          <w:bCs w:val="1"/>
          <w:color w:val="00249C"/>
        </w:rPr>
        <w:t>“AGAINST”</w:t>
      </w:r>
      <w:r>
        <w:rPr>
          <w:rFonts w:ascii="Arial" w:cs="Arial" w:eastAsia="Arial" w:hAnsi="Arial"/>
          <w:sz w:val="16"/>
          <w:szCs w:val="16"/>
          <w:color w:val="auto"/>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43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5812155" cy="2057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1215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7" w:right="200" w:hanging="217"/>
        <w:spacing w:after="0" w:line="286" w:lineRule="auto"/>
        <w:tabs>
          <w:tab w:leader="none" w:pos="194" w:val="left"/>
        </w:tabs>
        <w:numPr>
          <w:ilvl w:val="0"/>
          <w:numId w:val="10"/>
        </w:numPr>
        <w:rPr>
          <w:rFonts w:ascii="Arial" w:cs="Arial" w:eastAsia="Arial" w:hAnsi="Arial"/>
          <w:sz w:val="16"/>
          <w:szCs w:val="16"/>
          <w:b w:val="1"/>
          <w:bCs w:val="1"/>
          <w:color w:val="29378D"/>
        </w:rPr>
      </w:pPr>
      <w:r>
        <w:rPr>
          <w:rFonts w:ascii="Arial" w:cs="Arial" w:eastAsia="Arial" w:hAnsi="Arial"/>
          <w:sz w:val="16"/>
          <w:szCs w:val="16"/>
          <w:color w:val="auto"/>
        </w:rPr>
        <w:t xml:space="preserve">See </w:t>
      </w:r>
      <w:r>
        <w:rPr>
          <w:rFonts w:ascii="Arial" w:cs="Arial" w:eastAsia="Arial" w:hAnsi="Arial"/>
          <w:sz w:val="16"/>
          <w:szCs w:val="16"/>
          <w:color w:val="29378D"/>
        </w:rPr>
        <w:t>page 98</w:t>
      </w:r>
      <w:r>
        <w:rPr>
          <w:rFonts w:ascii="Arial" w:cs="Arial" w:eastAsia="Arial" w:hAnsi="Arial"/>
          <w:sz w:val="16"/>
          <w:szCs w:val="16"/>
          <w:color w:val="auto"/>
        </w:rPr>
        <w:t xml:space="preserve">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176530</wp:posOffset>
            </wp:positionV>
            <wp:extent cx="1320165" cy="205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20165"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80" w:space="203"/>
            <w:col w:w="1957"/>
          </w:cols>
          <w:pgMar w:left="320" w:top="238" w:right="339" w:bottom="1440" w:gutter="0" w:footer="0" w:header="0"/>
          <w:type w:val="continuous"/>
        </w:sectPr>
      </w:pPr>
    </w:p>
    <w:p>
      <w:pPr>
        <w:spacing w:after="0" w:line="14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FFFFFF"/>
        </w:rPr>
        <w:t>PROPOSAL 7</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9180" w:type="dxa"/>
            <w:vAlign w:val="bottom"/>
            <w:tcBorders>
              <w:right w:val="single" w:sz="8" w:color="29378D"/>
            </w:tcBorders>
          </w:tcPr>
          <w:p>
            <w:pPr>
              <w:ind w:left="100"/>
              <w:spacing w:after="0"/>
              <w:rPr>
                <w:sz w:val="20"/>
                <w:szCs w:val="20"/>
                <w:color w:val="auto"/>
              </w:rPr>
            </w:pPr>
            <w:r>
              <w:rPr>
                <w:rFonts w:ascii="Arial" w:cs="Arial" w:eastAsia="Arial" w:hAnsi="Arial"/>
                <w:sz w:val="22"/>
                <w:szCs w:val="22"/>
                <w:b w:val="1"/>
                <w:bCs w:val="1"/>
                <w:color w:val="00249C"/>
              </w:rPr>
              <w:t>Shareholder Proposal to Provide for an Independent</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180" w:type="dxa"/>
            <w:vAlign w:val="bottom"/>
            <w:tcBorders>
              <w:right w:val="single" w:sz="8" w:color="29378D"/>
            </w:tcBorders>
          </w:tcPr>
          <w:p>
            <w:pPr>
              <w:ind w:left="100"/>
              <w:spacing w:after="0"/>
              <w:rPr>
                <w:sz w:val="20"/>
                <w:szCs w:val="20"/>
                <w:color w:val="auto"/>
              </w:rPr>
            </w:pPr>
            <w:r>
              <w:rPr>
                <w:rFonts w:ascii="Arial" w:cs="Arial" w:eastAsia="Arial" w:hAnsi="Arial"/>
                <w:sz w:val="22"/>
                <w:szCs w:val="22"/>
                <w:b w:val="1"/>
                <w:bCs w:val="1"/>
                <w:color w:val="00249C"/>
              </w:rPr>
              <w:t>Board Chair</w:t>
            </w:r>
          </w:p>
        </w:tc>
        <w:tc>
          <w:tcPr>
            <w:tcW w:w="2060" w:type="dxa"/>
            <w:vAlign w:val="bottom"/>
            <w:vMerge w:val="restart"/>
          </w:tcPr>
          <w:p>
            <w:pPr>
              <w:ind w:left="100"/>
              <w:spacing w:after="0"/>
              <w:rPr>
                <w:sz w:val="20"/>
                <w:szCs w:val="20"/>
                <w:color w:val="auto"/>
              </w:rPr>
            </w:pPr>
            <w:r>
              <w:rPr>
                <w:rFonts w:ascii="Arial" w:cs="Arial" w:eastAsia="Arial" w:hAnsi="Arial"/>
                <w:sz w:val="16"/>
                <w:szCs w:val="16"/>
                <w:b w:val="1"/>
                <w:bCs w:val="1"/>
                <w:color w:val="29378D"/>
              </w:rPr>
              <w:t xml:space="preserve">&gt; </w:t>
            </w:r>
            <w:r>
              <w:rPr>
                <w:rFonts w:ascii="Arial" w:cs="Arial" w:eastAsia="Arial" w:hAnsi="Arial"/>
                <w:sz w:val="16"/>
                <w:szCs w:val="16"/>
                <w:color w:val="000000"/>
              </w:rPr>
              <w:t>See</w:t>
            </w:r>
            <w:r>
              <w:rPr>
                <w:rFonts w:ascii="Arial" w:cs="Arial" w:eastAsia="Arial" w:hAnsi="Arial"/>
                <w:sz w:val="16"/>
                <w:szCs w:val="16"/>
                <w:b w:val="1"/>
                <w:bCs w:val="1"/>
                <w:color w:val="29378D"/>
              </w:rPr>
              <w:t xml:space="preserve"> </w:t>
            </w:r>
            <w:r>
              <w:rPr>
                <w:rFonts w:ascii="Arial" w:cs="Arial" w:eastAsia="Arial" w:hAnsi="Arial"/>
                <w:sz w:val="16"/>
                <w:szCs w:val="16"/>
                <w:color w:val="29378D"/>
              </w:rPr>
              <w:t>page 103</w:t>
            </w:r>
            <w:r>
              <w:rPr>
                <w:rFonts w:ascii="Arial" w:cs="Arial" w:eastAsia="Arial" w:hAnsi="Arial"/>
                <w:sz w:val="16"/>
                <w:szCs w:val="16"/>
                <w:b w:val="1"/>
                <w:bCs w:val="1"/>
                <w:color w:val="29378D"/>
              </w:rPr>
              <w:t xml:space="preserve"> </w:t>
            </w:r>
            <w:r>
              <w:rPr>
                <w:rFonts w:ascii="Arial" w:cs="Arial" w:eastAsia="Arial" w:hAnsi="Arial"/>
                <w:sz w:val="16"/>
                <w:szCs w:val="16"/>
                <w:color w:val="000000"/>
              </w:rPr>
              <w:t>for more</w:t>
            </w:r>
          </w:p>
        </w:tc>
        <w:tc>
          <w:tcPr>
            <w:tcW w:w="0" w:type="dxa"/>
            <w:vAlign w:val="bottom"/>
          </w:tcPr>
          <w:p>
            <w:pPr>
              <w:spacing w:after="0"/>
              <w:rPr>
                <w:sz w:val="1"/>
                <w:szCs w:val="1"/>
                <w:color w:val="auto"/>
              </w:rPr>
            </w:pPr>
          </w:p>
        </w:tc>
      </w:tr>
      <w:tr>
        <w:trPr>
          <w:trHeight w:val="122"/>
        </w:trPr>
        <w:tc>
          <w:tcPr>
            <w:tcW w:w="9180" w:type="dxa"/>
            <w:vAlign w:val="bottom"/>
            <w:tcBorders>
              <w:right w:val="single" w:sz="8" w:color="29378D"/>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9180" w:type="dxa"/>
            <w:vAlign w:val="bottom"/>
            <w:tcBorders>
              <w:bottom w:val="single" w:sz="8" w:color="auto"/>
              <w:right w:val="single" w:sz="8" w:color="29378D"/>
            </w:tcBorders>
          </w:tcPr>
          <w:p>
            <w:pPr>
              <w:ind w:left="380"/>
              <w:spacing w:after="0"/>
              <w:rPr>
                <w:sz w:val="20"/>
                <w:szCs w:val="20"/>
                <w:color w:val="auto"/>
              </w:rPr>
            </w:pPr>
            <w:r>
              <w:rPr>
                <w:rFonts w:ascii="Arial" w:cs="Arial" w:eastAsia="Arial" w:hAnsi="Arial"/>
                <w:sz w:val="16"/>
                <w:szCs w:val="16"/>
                <w:color w:val="auto"/>
              </w:rPr>
              <w:t xml:space="preserve">The Board of Directors unanimously recommends that you vote </w:t>
            </w:r>
            <w:r>
              <w:rPr>
                <w:rFonts w:ascii="Arial" w:cs="Arial" w:eastAsia="Arial" w:hAnsi="Arial"/>
                <w:sz w:val="16"/>
                <w:szCs w:val="16"/>
                <w:b w:val="1"/>
                <w:bCs w:val="1"/>
                <w:color w:val="00249C"/>
              </w:rPr>
              <w:t>“AGAINST”</w:t>
            </w:r>
            <w:r>
              <w:rPr>
                <w:rFonts w:ascii="Arial" w:cs="Arial" w:eastAsia="Arial" w:hAnsi="Arial"/>
                <w:sz w:val="16"/>
                <w:szCs w:val="16"/>
                <w:color w:val="auto"/>
              </w:rPr>
              <w:t xml:space="preserve"> this proposal.</w:t>
            </w:r>
          </w:p>
        </w:tc>
        <w:tc>
          <w:tcPr>
            <w:tcW w:w="20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details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-222250</wp:posOffset>
            </wp:positionV>
            <wp:extent cx="102870" cy="1028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0" w:hanging="494"/>
        <w:spacing w:after="0"/>
        <w:tabs>
          <w:tab w:leader="none" w:pos="520" w:val="left"/>
        </w:tabs>
        <w:numPr>
          <w:ilvl w:val="0"/>
          <w:numId w:val="11"/>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43"/>
          <w:szCs w:val="43"/>
          <w:b w:val="1"/>
          <w:bCs w:val="1"/>
          <w:color w:val="29378D"/>
        </w:rPr>
        <w:t>Shareholder Engagement</w:t>
      </w:r>
    </w:p>
    <w:p>
      <w:pPr>
        <w:spacing w:after="0" w:line="200" w:lineRule="exact"/>
        <w:rPr>
          <w:sz w:val="20"/>
          <w:szCs w:val="20"/>
          <w:color w:val="auto"/>
        </w:rPr>
      </w:pPr>
    </w:p>
    <w:p>
      <w:pPr>
        <w:spacing w:after="0" w:line="26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At Northrop Grumman, we believe that regular, ongoing engagement with our shareholders is a critical component of our corporate governance framework. We have an extensive shareholder outreach program that facilitates robust engagement with our shareholders in a variety of formats throughout the year. These discussions include key members of our leadership team and Board to ensure we understand our shareholders’ top priorities. Every spring in advance of our annual meeting, and each fall in the off-season, we offer engagement opportunities to our top shareholders as part of our proxy-related outreach. These discussions are in addition to various other ongoing forms of shareholder engagement that we highlighted below.</w:t>
      </w:r>
    </w:p>
    <w:p>
      <w:pPr>
        <w:spacing w:after="0" w:line="64"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have a proven record of adopting provisions or modifying practices as a result of shareholder engagement and feedback, emerging trends and corporate governance best practices. For example, in 2023, after considering shareholder inputs and discussions, we submitted a management proposal at our 2023 Annual Meeting to reduce the threshold required to call a special meeting from 25% to 15%. This proposal was overwhelmingly supported by our shareholders with approximately 99% support. We also adjusted our executive compensation program over the last several years to include Return on Invested Capital (ROIC) as part of our long-term financial metrics and to include non-financial metrics in our annual incentive plan. We remain committed to strong levels of engagement in the future to ensure continued alignment to shareholder interests and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643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643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9378D"/>
        </w:rPr>
        <w:t>WHO WE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9378D"/>
        </w:rPr>
        <w:t>ENGAGED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940" w:type="dxa"/>
            <w:vAlign w:val="bottom"/>
            <w:shd w:val="clear" w:color="auto" w:fill="E6E7E8"/>
          </w:tcPr>
          <w:p>
            <w:pPr>
              <w:spacing w:after="0"/>
              <w:rPr>
                <w:sz w:val="24"/>
                <w:szCs w:val="24"/>
                <w:color w:val="auto"/>
              </w:rPr>
            </w:pP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Chief Executive Officer</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General Counsel</w:t>
            </w:r>
          </w:p>
        </w:tc>
        <w:tc>
          <w:tcPr>
            <w:tcW w:w="0" w:type="dxa"/>
            <w:vAlign w:val="bottom"/>
          </w:tcPr>
          <w:p>
            <w:pPr>
              <w:spacing w:after="0"/>
              <w:rPr>
                <w:sz w:val="1"/>
                <w:szCs w:val="1"/>
                <w:color w:val="auto"/>
              </w:rPr>
            </w:pPr>
          </w:p>
        </w:tc>
      </w:tr>
      <w:tr>
        <w:trPr>
          <w:trHeight w:val="268"/>
        </w:trPr>
        <w:tc>
          <w:tcPr>
            <w:tcW w:w="1940" w:type="dxa"/>
            <w:vAlign w:val="bottom"/>
            <w:shd w:val="clear" w:color="auto" w:fill="E6E7E8"/>
          </w:tcPr>
          <w:p>
            <w:pPr>
              <w:ind w:left="20"/>
              <w:spacing w:after="0"/>
              <w:rPr>
                <w:sz w:val="20"/>
                <w:szCs w:val="20"/>
                <w:color w:val="auto"/>
              </w:rPr>
            </w:pPr>
            <w:r>
              <w:rPr>
                <w:rFonts w:ascii="Arial" w:cs="Arial" w:eastAsia="Arial" w:hAnsi="Arial"/>
                <w:sz w:val="14"/>
                <w:szCs w:val="14"/>
                <w:b w:val="1"/>
                <w:bCs w:val="1"/>
                <w:color w:val="29378D"/>
              </w:rPr>
              <w:t>COMPANY</w:t>
            </w: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Lead Independent Director</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Corporate Secretary</w:t>
            </w:r>
          </w:p>
        </w:tc>
        <w:tc>
          <w:tcPr>
            <w:tcW w:w="0" w:type="dxa"/>
            <w:vAlign w:val="bottom"/>
          </w:tcPr>
          <w:p>
            <w:pPr>
              <w:spacing w:after="0"/>
              <w:rPr>
                <w:sz w:val="1"/>
                <w:szCs w:val="1"/>
                <w:color w:val="auto"/>
              </w:rPr>
            </w:pPr>
          </w:p>
        </w:tc>
      </w:tr>
      <w:tr>
        <w:trPr>
          <w:trHeight w:val="258"/>
        </w:trPr>
        <w:tc>
          <w:tcPr>
            <w:tcW w:w="1940" w:type="dxa"/>
            <w:vAlign w:val="bottom"/>
            <w:shd w:val="clear" w:color="auto" w:fill="E6E7E8"/>
          </w:tcPr>
          <w:p>
            <w:pPr>
              <w:ind w:left="20"/>
              <w:spacing w:after="0"/>
              <w:rPr>
                <w:sz w:val="20"/>
                <w:szCs w:val="20"/>
                <w:color w:val="auto"/>
              </w:rPr>
            </w:pPr>
            <w:r>
              <w:rPr>
                <w:rFonts w:ascii="Arial" w:cs="Arial" w:eastAsia="Arial" w:hAnsi="Arial"/>
                <w:sz w:val="14"/>
                <w:szCs w:val="14"/>
                <w:b w:val="1"/>
                <w:bCs w:val="1"/>
                <w:color w:val="29378D"/>
              </w:rPr>
              <w:t>REPRESENTATIVES</w:t>
            </w: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Chief Sustainability Officer</w:t>
            </w:r>
          </w:p>
        </w:tc>
        <w:tc>
          <w:tcPr>
            <w:tcW w:w="0" w:type="dxa"/>
            <w:vAlign w:val="bottom"/>
          </w:tcPr>
          <w:p>
            <w:pPr>
              <w:spacing w:after="0"/>
              <w:rPr>
                <w:sz w:val="1"/>
                <w:szCs w:val="1"/>
                <w:color w:val="auto"/>
              </w:rPr>
            </w:pPr>
          </w:p>
        </w:tc>
      </w:tr>
      <w:tr>
        <w:trPr>
          <w:trHeight w:val="270"/>
        </w:trPr>
        <w:tc>
          <w:tcPr>
            <w:tcW w:w="1940" w:type="dxa"/>
            <w:vAlign w:val="bottom"/>
            <w:shd w:val="clear" w:color="auto" w:fill="E6E7E8"/>
          </w:tcPr>
          <w:p>
            <w:pPr>
              <w:spacing w:after="0"/>
              <w:rPr>
                <w:sz w:val="23"/>
                <w:szCs w:val="23"/>
                <w:color w:val="auto"/>
              </w:rPr>
            </w:pP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VP, Investor Relations</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Business Sector Leadership</w:t>
            </w:r>
          </w:p>
        </w:tc>
        <w:tc>
          <w:tcPr>
            <w:tcW w:w="0" w:type="dxa"/>
            <w:vAlign w:val="bottom"/>
          </w:tcPr>
          <w:p>
            <w:pPr>
              <w:spacing w:after="0"/>
              <w:rPr>
                <w:sz w:val="1"/>
                <w:szCs w:val="1"/>
                <w:color w:val="auto"/>
              </w:rPr>
            </w:pPr>
          </w:p>
        </w:tc>
      </w:tr>
      <w:tr>
        <w:trPr>
          <w:trHeight w:val="89"/>
        </w:trPr>
        <w:tc>
          <w:tcPr>
            <w:tcW w:w="1940" w:type="dxa"/>
            <w:vAlign w:val="bottom"/>
            <w:shd w:val="clear" w:color="auto" w:fill="E6E7E8"/>
          </w:tcPr>
          <w:p>
            <w:pPr>
              <w:spacing w:after="0"/>
              <w:rPr>
                <w:sz w:val="7"/>
                <w:szCs w:val="7"/>
                <w:color w:val="auto"/>
              </w:rPr>
            </w:pPr>
          </w:p>
        </w:tc>
        <w:tc>
          <w:tcPr>
            <w:tcW w:w="4600" w:type="dxa"/>
            <w:vAlign w:val="bottom"/>
            <w:gridSpan w:val="2"/>
          </w:tcPr>
          <w:p>
            <w:pPr>
              <w:spacing w:after="0"/>
              <w:rPr>
                <w:sz w:val="7"/>
                <w:szCs w:val="7"/>
                <w:color w:val="auto"/>
              </w:rPr>
            </w:pPr>
          </w:p>
        </w:tc>
        <w:tc>
          <w:tcPr>
            <w:tcW w:w="47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940" w:type="dxa"/>
            <w:vAlign w:val="bottom"/>
            <w:tcBorders>
              <w:bottom w:val="single" w:sz="8" w:color="BCBEC0"/>
            </w:tcBorders>
          </w:tcPr>
          <w:p>
            <w:pPr>
              <w:spacing w:after="0"/>
              <w:rPr>
                <w:sz w:val="8"/>
                <w:szCs w:val="8"/>
                <w:color w:val="auto"/>
              </w:rPr>
            </w:pPr>
          </w:p>
        </w:tc>
        <w:tc>
          <w:tcPr>
            <w:tcW w:w="4600" w:type="dxa"/>
            <w:vAlign w:val="bottom"/>
            <w:tcBorders>
              <w:bottom w:val="single" w:sz="8" w:color="BCBEC0"/>
            </w:tcBorders>
            <w:gridSpan w:val="2"/>
          </w:tcPr>
          <w:p>
            <w:pPr>
              <w:spacing w:after="0"/>
              <w:rPr>
                <w:sz w:val="8"/>
                <w:szCs w:val="8"/>
                <w:color w:val="auto"/>
              </w:rPr>
            </w:pPr>
          </w:p>
        </w:tc>
        <w:tc>
          <w:tcPr>
            <w:tcW w:w="4700" w:type="dxa"/>
            <w:vAlign w:val="bottom"/>
            <w:tcBorders>
              <w:bottom w:val="single" w:sz="8" w:color="BCBEC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940" w:type="dxa"/>
            <w:vAlign w:val="bottom"/>
          </w:tcPr>
          <w:p>
            <w:pPr>
              <w:spacing w:after="0"/>
              <w:rPr>
                <w:sz w:val="6"/>
                <w:szCs w:val="6"/>
                <w:color w:val="auto"/>
              </w:rPr>
            </w:pPr>
          </w:p>
        </w:tc>
        <w:tc>
          <w:tcPr>
            <w:tcW w:w="460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Governance Topics</w:t>
            </w:r>
          </w:p>
        </w:tc>
        <w:tc>
          <w:tcPr>
            <w:tcW w:w="47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Sustainability Topics</w:t>
            </w:r>
          </w:p>
        </w:tc>
        <w:tc>
          <w:tcPr>
            <w:tcW w:w="0" w:type="dxa"/>
            <w:vAlign w:val="bottom"/>
          </w:tcPr>
          <w:p>
            <w:pPr>
              <w:spacing w:after="0"/>
              <w:rPr>
                <w:sz w:val="1"/>
                <w:szCs w:val="1"/>
                <w:color w:val="auto"/>
              </w:rPr>
            </w:pPr>
          </w:p>
        </w:tc>
      </w:tr>
      <w:tr>
        <w:trPr>
          <w:trHeight w:val="235"/>
        </w:trPr>
        <w:tc>
          <w:tcPr>
            <w:tcW w:w="1940" w:type="dxa"/>
            <w:vAlign w:val="bottom"/>
            <w:shd w:val="clear" w:color="auto" w:fill="E6E7E8"/>
          </w:tcPr>
          <w:p>
            <w:pPr>
              <w:spacing w:after="0"/>
              <w:rPr>
                <w:sz w:val="20"/>
                <w:szCs w:val="20"/>
                <w:color w:val="auto"/>
              </w:rPr>
            </w:pPr>
          </w:p>
        </w:tc>
        <w:tc>
          <w:tcPr>
            <w:tcW w:w="4600" w:type="dxa"/>
            <w:vAlign w:val="bottom"/>
            <w:gridSpan w:val="2"/>
            <w:vMerge w:val="continue"/>
          </w:tcPr>
          <w:p>
            <w:pPr>
              <w:spacing w:after="0"/>
              <w:rPr>
                <w:sz w:val="20"/>
                <w:szCs w:val="20"/>
                <w:color w:val="auto"/>
              </w:rPr>
            </w:pPr>
          </w:p>
        </w:tc>
        <w:tc>
          <w:tcPr>
            <w:tcW w:w="47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940" w:type="dxa"/>
            <w:vAlign w:val="bottom"/>
            <w:shd w:val="clear" w:color="auto" w:fill="E6E7E8"/>
          </w:tcPr>
          <w:p>
            <w:pPr>
              <w:spacing w:after="0"/>
              <w:rPr>
                <w:sz w:val="22"/>
                <w:szCs w:val="22"/>
                <w:color w:val="auto"/>
              </w:rPr>
            </w:pP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Shareholder Proposals/Votes</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Environmental Goals</w:t>
            </w:r>
          </w:p>
        </w:tc>
        <w:tc>
          <w:tcPr>
            <w:tcW w:w="0" w:type="dxa"/>
            <w:vAlign w:val="bottom"/>
          </w:tcPr>
          <w:p>
            <w:pPr>
              <w:spacing w:after="0"/>
              <w:rPr>
                <w:sz w:val="1"/>
                <w:szCs w:val="1"/>
                <w:color w:val="auto"/>
              </w:rPr>
            </w:pPr>
          </w:p>
        </w:tc>
      </w:tr>
      <w:tr>
        <w:trPr>
          <w:trHeight w:val="270"/>
        </w:trPr>
        <w:tc>
          <w:tcPr>
            <w:tcW w:w="1940" w:type="dxa"/>
            <w:vAlign w:val="bottom"/>
            <w:shd w:val="clear" w:color="auto" w:fill="E6E7E8"/>
          </w:tcPr>
          <w:p>
            <w:pPr>
              <w:spacing w:after="0"/>
              <w:rPr>
                <w:sz w:val="23"/>
                <w:szCs w:val="23"/>
                <w:color w:val="auto"/>
              </w:rPr>
            </w:pP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Executive Compensation</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Human Rights</w:t>
            </w:r>
          </w:p>
        </w:tc>
        <w:tc>
          <w:tcPr>
            <w:tcW w:w="0" w:type="dxa"/>
            <w:vAlign w:val="bottom"/>
          </w:tcPr>
          <w:p>
            <w:pPr>
              <w:spacing w:after="0"/>
              <w:rPr>
                <w:sz w:val="1"/>
                <w:szCs w:val="1"/>
                <w:color w:val="auto"/>
              </w:rPr>
            </w:pPr>
          </w:p>
        </w:tc>
      </w:tr>
      <w:tr>
        <w:trPr>
          <w:trHeight w:val="270"/>
        </w:trPr>
        <w:tc>
          <w:tcPr>
            <w:tcW w:w="1940" w:type="dxa"/>
            <w:vAlign w:val="bottom"/>
            <w:shd w:val="clear" w:color="auto" w:fill="E6E7E8"/>
          </w:tcPr>
          <w:p>
            <w:pPr>
              <w:spacing w:after="0"/>
              <w:rPr>
                <w:sz w:val="23"/>
                <w:szCs w:val="23"/>
                <w:color w:val="auto"/>
              </w:rPr>
            </w:pP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Board Composition, Leadership Structure and Oversight</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Inclusion</w:t>
            </w:r>
          </w:p>
        </w:tc>
        <w:tc>
          <w:tcPr>
            <w:tcW w:w="0" w:type="dxa"/>
            <w:vAlign w:val="bottom"/>
          </w:tcPr>
          <w:p>
            <w:pPr>
              <w:spacing w:after="0"/>
              <w:rPr>
                <w:sz w:val="1"/>
                <w:szCs w:val="1"/>
                <w:color w:val="auto"/>
              </w:rPr>
            </w:pPr>
          </w:p>
        </w:tc>
      </w:tr>
      <w:tr>
        <w:trPr>
          <w:trHeight w:val="228"/>
        </w:trPr>
        <w:tc>
          <w:tcPr>
            <w:tcW w:w="1940" w:type="dxa"/>
            <w:vAlign w:val="bottom"/>
            <w:shd w:val="clear" w:color="auto" w:fill="E6E7E8"/>
          </w:tcPr>
          <w:p>
            <w:pPr>
              <w:ind w:left="20"/>
              <w:spacing w:after="0"/>
              <w:rPr>
                <w:sz w:val="20"/>
                <w:szCs w:val="20"/>
                <w:color w:val="auto"/>
              </w:rPr>
            </w:pPr>
            <w:r>
              <w:rPr>
                <w:rFonts w:ascii="Arial" w:cs="Arial" w:eastAsia="Arial" w:hAnsi="Arial"/>
                <w:sz w:val="14"/>
                <w:szCs w:val="14"/>
                <w:b w:val="1"/>
                <w:bCs w:val="1"/>
                <w:color w:val="29378D"/>
              </w:rPr>
              <w:t>TOPICS</w:t>
            </w:r>
          </w:p>
        </w:tc>
        <w:tc>
          <w:tcPr>
            <w:tcW w:w="4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940" w:type="dxa"/>
            <w:vAlign w:val="bottom"/>
            <w:shd w:val="clear" w:color="auto" w:fill="E6E7E8"/>
          </w:tcPr>
          <w:p>
            <w:pPr>
              <w:ind w:left="20"/>
              <w:spacing w:after="0"/>
              <w:rPr>
                <w:sz w:val="20"/>
                <w:szCs w:val="20"/>
                <w:color w:val="auto"/>
              </w:rPr>
            </w:pPr>
            <w:r>
              <w:rPr>
                <w:rFonts w:ascii="Arial" w:cs="Arial" w:eastAsia="Arial" w:hAnsi="Arial"/>
                <w:sz w:val="14"/>
                <w:szCs w:val="14"/>
                <w:b w:val="1"/>
                <w:bCs w:val="1"/>
                <w:color w:val="29378D"/>
              </w:rPr>
              <w:t>DISCUSSED</w:t>
            </w:r>
          </w:p>
        </w:tc>
        <w:tc>
          <w:tcPr>
            <w:tcW w:w="460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Financial Topics</w:t>
            </w:r>
          </w:p>
        </w:tc>
        <w:tc>
          <w:tcPr>
            <w:tcW w:w="47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Company Strategy</w:t>
            </w:r>
          </w:p>
        </w:tc>
        <w:tc>
          <w:tcPr>
            <w:tcW w:w="0" w:type="dxa"/>
            <w:vAlign w:val="bottom"/>
          </w:tcPr>
          <w:p>
            <w:pPr>
              <w:spacing w:after="0"/>
              <w:rPr>
                <w:sz w:val="1"/>
                <w:szCs w:val="1"/>
                <w:color w:val="auto"/>
              </w:rPr>
            </w:pPr>
          </w:p>
        </w:tc>
      </w:tr>
      <w:tr>
        <w:trPr>
          <w:trHeight w:val="210"/>
        </w:trPr>
        <w:tc>
          <w:tcPr>
            <w:tcW w:w="1940" w:type="dxa"/>
            <w:vAlign w:val="bottom"/>
            <w:shd w:val="clear" w:color="auto" w:fill="E6E7E8"/>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4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940" w:type="dxa"/>
            <w:vAlign w:val="bottom"/>
            <w:shd w:val="clear" w:color="auto" w:fill="E6E7E8"/>
          </w:tcPr>
          <w:p>
            <w:pPr>
              <w:spacing w:after="0"/>
              <w:rPr>
                <w:sz w:val="22"/>
                <w:szCs w:val="22"/>
                <w:color w:val="auto"/>
              </w:rPr>
            </w:pP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Financial Performance</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Digital Transformation</w:t>
            </w:r>
          </w:p>
        </w:tc>
        <w:tc>
          <w:tcPr>
            <w:tcW w:w="0" w:type="dxa"/>
            <w:vAlign w:val="bottom"/>
          </w:tcPr>
          <w:p>
            <w:pPr>
              <w:spacing w:after="0"/>
              <w:rPr>
                <w:sz w:val="1"/>
                <w:szCs w:val="1"/>
                <w:color w:val="auto"/>
              </w:rPr>
            </w:pPr>
          </w:p>
        </w:tc>
      </w:tr>
      <w:tr>
        <w:trPr>
          <w:trHeight w:val="270"/>
        </w:trPr>
        <w:tc>
          <w:tcPr>
            <w:tcW w:w="1940" w:type="dxa"/>
            <w:vAlign w:val="bottom"/>
            <w:shd w:val="clear" w:color="auto" w:fill="E6E7E8"/>
          </w:tcPr>
          <w:p>
            <w:pPr>
              <w:spacing w:after="0"/>
              <w:rPr>
                <w:sz w:val="23"/>
                <w:szCs w:val="23"/>
                <w:color w:val="auto"/>
              </w:rPr>
            </w:pP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Portfolio Mix</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Customer Priorities</w:t>
            </w:r>
          </w:p>
        </w:tc>
        <w:tc>
          <w:tcPr>
            <w:tcW w:w="0" w:type="dxa"/>
            <w:vAlign w:val="bottom"/>
          </w:tcPr>
          <w:p>
            <w:pPr>
              <w:spacing w:after="0"/>
              <w:rPr>
                <w:sz w:val="1"/>
                <w:szCs w:val="1"/>
                <w:color w:val="auto"/>
              </w:rPr>
            </w:pPr>
          </w:p>
        </w:tc>
      </w:tr>
      <w:tr>
        <w:trPr>
          <w:trHeight w:val="270"/>
        </w:trPr>
        <w:tc>
          <w:tcPr>
            <w:tcW w:w="1940" w:type="dxa"/>
            <w:vAlign w:val="bottom"/>
            <w:shd w:val="clear" w:color="auto" w:fill="E6E7E8"/>
          </w:tcPr>
          <w:p>
            <w:pPr>
              <w:spacing w:after="0"/>
              <w:rPr>
                <w:sz w:val="23"/>
                <w:szCs w:val="23"/>
                <w:color w:val="auto"/>
              </w:rPr>
            </w:pP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Capital Deploymen</w:t>
            </w:r>
            <w:r>
              <w:rPr>
                <w:rFonts w:ascii="Arial" w:cs="Arial" w:eastAsia="Arial" w:hAnsi="Arial"/>
                <w:sz w:val="16"/>
                <w:szCs w:val="16"/>
                <w:color w:val="29378D"/>
              </w:rPr>
              <w:t>t</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Competitive Landscape</w:t>
            </w:r>
          </w:p>
        </w:tc>
        <w:tc>
          <w:tcPr>
            <w:tcW w:w="0" w:type="dxa"/>
            <w:vAlign w:val="bottom"/>
          </w:tcPr>
          <w:p>
            <w:pPr>
              <w:spacing w:after="0"/>
              <w:rPr>
                <w:sz w:val="1"/>
                <w:szCs w:val="1"/>
                <w:color w:val="auto"/>
              </w:rPr>
            </w:pPr>
          </w:p>
        </w:tc>
      </w:tr>
      <w:tr>
        <w:trPr>
          <w:trHeight w:val="88"/>
        </w:trPr>
        <w:tc>
          <w:tcPr>
            <w:tcW w:w="1940" w:type="dxa"/>
            <w:vAlign w:val="bottom"/>
            <w:shd w:val="clear" w:color="auto" w:fill="E6E7E8"/>
          </w:tcPr>
          <w:p>
            <w:pPr>
              <w:spacing w:after="0"/>
              <w:rPr>
                <w:sz w:val="7"/>
                <w:szCs w:val="7"/>
                <w:color w:val="auto"/>
              </w:rPr>
            </w:pPr>
          </w:p>
        </w:tc>
        <w:tc>
          <w:tcPr>
            <w:tcW w:w="440" w:type="dxa"/>
            <w:vAlign w:val="bottom"/>
          </w:tcPr>
          <w:p>
            <w:pPr>
              <w:spacing w:after="0"/>
              <w:rPr>
                <w:sz w:val="7"/>
                <w:szCs w:val="7"/>
                <w:color w:val="auto"/>
              </w:rPr>
            </w:pPr>
          </w:p>
        </w:tc>
        <w:tc>
          <w:tcPr>
            <w:tcW w:w="4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940" w:type="dxa"/>
            <w:vAlign w:val="bottom"/>
            <w:tcBorders>
              <w:bottom w:val="single" w:sz="8" w:color="BCBEC0"/>
            </w:tcBorders>
          </w:tcPr>
          <w:p>
            <w:pPr>
              <w:spacing w:after="0"/>
              <w:rPr>
                <w:sz w:val="8"/>
                <w:szCs w:val="8"/>
                <w:color w:val="auto"/>
              </w:rPr>
            </w:pPr>
          </w:p>
        </w:tc>
        <w:tc>
          <w:tcPr>
            <w:tcW w:w="440" w:type="dxa"/>
            <w:vAlign w:val="bottom"/>
            <w:tcBorders>
              <w:bottom w:val="single" w:sz="8" w:color="BCBEC0"/>
            </w:tcBorders>
          </w:tcPr>
          <w:p>
            <w:pPr>
              <w:spacing w:after="0"/>
              <w:rPr>
                <w:sz w:val="8"/>
                <w:szCs w:val="8"/>
                <w:color w:val="auto"/>
              </w:rPr>
            </w:pPr>
          </w:p>
        </w:tc>
        <w:tc>
          <w:tcPr>
            <w:tcW w:w="4160" w:type="dxa"/>
            <w:vAlign w:val="bottom"/>
            <w:tcBorders>
              <w:bottom w:val="single" w:sz="8" w:color="BCBEC0"/>
            </w:tcBorders>
          </w:tcPr>
          <w:p>
            <w:pPr>
              <w:spacing w:after="0"/>
              <w:rPr>
                <w:sz w:val="8"/>
                <w:szCs w:val="8"/>
                <w:color w:val="auto"/>
              </w:rPr>
            </w:pPr>
          </w:p>
        </w:tc>
        <w:tc>
          <w:tcPr>
            <w:tcW w:w="200" w:type="dxa"/>
            <w:vAlign w:val="bottom"/>
            <w:tcBorders>
              <w:bottom w:val="single" w:sz="8" w:color="BCBEC0"/>
            </w:tcBorders>
          </w:tcPr>
          <w:p>
            <w:pPr>
              <w:spacing w:after="0"/>
              <w:rPr>
                <w:sz w:val="8"/>
                <w:szCs w:val="8"/>
                <w:color w:val="auto"/>
              </w:rPr>
            </w:pPr>
          </w:p>
        </w:tc>
        <w:tc>
          <w:tcPr>
            <w:tcW w:w="4500" w:type="dxa"/>
            <w:vAlign w:val="bottom"/>
            <w:tcBorders>
              <w:bottom w:val="single" w:sz="8" w:color="BCBEC0"/>
            </w:tcBorders>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940" w:type="dxa"/>
            <w:vAlign w:val="bottom"/>
          </w:tcPr>
          <w:p>
            <w:pPr>
              <w:spacing w:after="0"/>
              <w:rPr>
                <w:sz w:val="6"/>
                <w:szCs w:val="6"/>
                <w:color w:val="auto"/>
              </w:rPr>
            </w:pPr>
          </w:p>
        </w:tc>
        <w:tc>
          <w:tcPr>
            <w:tcW w:w="440" w:type="dxa"/>
            <w:vAlign w:val="bottom"/>
            <w:vMerge w:val="restart"/>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vMerge w:val="restart"/>
          </w:tcPr>
          <w:p>
            <w:pPr>
              <w:ind w:left="40"/>
              <w:spacing w:after="0"/>
              <w:rPr>
                <w:sz w:val="20"/>
                <w:szCs w:val="20"/>
                <w:color w:val="auto"/>
              </w:rPr>
            </w:pPr>
            <w:r>
              <w:rPr>
                <w:rFonts w:ascii="Arial" w:cs="Arial" w:eastAsia="Arial" w:hAnsi="Arial"/>
                <w:sz w:val="16"/>
                <w:szCs w:val="16"/>
                <w:color w:val="auto"/>
              </w:rPr>
              <w:t>Proxy Specific Meetings</w:t>
            </w:r>
          </w:p>
        </w:tc>
        <w:tc>
          <w:tcPr>
            <w:tcW w:w="200" w:type="dxa"/>
            <w:vAlign w:val="bottom"/>
            <w:vMerge w:val="restart"/>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vMerge w:val="restart"/>
          </w:tcPr>
          <w:p>
            <w:pPr>
              <w:ind w:left="40"/>
              <w:spacing w:after="0"/>
              <w:rPr>
                <w:sz w:val="20"/>
                <w:szCs w:val="20"/>
                <w:color w:val="auto"/>
              </w:rPr>
            </w:pPr>
            <w:r>
              <w:rPr>
                <w:rFonts w:ascii="Arial" w:cs="Arial" w:eastAsia="Arial" w:hAnsi="Arial"/>
                <w:sz w:val="16"/>
                <w:szCs w:val="16"/>
                <w:color w:val="auto"/>
              </w:rPr>
              <w:t>Annual Meeting</w:t>
            </w:r>
          </w:p>
        </w:tc>
        <w:tc>
          <w:tcPr>
            <w:tcW w:w="0" w:type="dxa"/>
            <w:vAlign w:val="bottom"/>
          </w:tcPr>
          <w:p>
            <w:pPr>
              <w:spacing w:after="0"/>
              <w:rPr>
                <w:sz w:val="1"/>
                <w:szCs w:val="1"/>
                <w:color w:val="auto"/>
              </w:rPr>
            </w:pPr>
          </w:p>
        </w:tc>
      </w:tr>
      <w:tr>
        <w:trPr>
          <w:trHeight w:val="303"/>
        </w:trPr>
        <w:tc>
          <w:tcPr>
            <w:tcW w:w="1940" w:type="dxa"/>
            <w:vAlign w:val="bottom"/>
            <w:shd w:val="clear" w:color="auto" w:fill="E6E7E8"/>
          </w:tcPr>
          <w:p>
            <w:pPr>
              <w:spacing w:after="0"/>
              <w:rPr>
                <w:sz w:val="24"/>
                <w:szCs w:val="24"/>
                <w:color w:val="auto"/>
              </w:rPr>
            </w:pPr>
          </w:p>
        </w:tc>
        <w:tc>
          <w:tcPr>
            <w:tcW w:w="440" w:type="dxa"/>
            <w:vAlign w:val="bottom"/>
            <w:vMerge w:val="continue"/>
          </w:tcPr>
          <w:p>
            <w:pPr>
              <w:spacing w:after="0"/>
              <w:rPr>
                <w:sz w:val="24"/>
                <w:szCs w:val="24"/>
                <w:color w:val="auto"/>
              </w:rPr>
            </w:pPr>
          </w:p>
        </w:tc>
        <w:tc>
          <w:tcPr>
            <w:tcW w:w="416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4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940" w:type="dxa"/>
            <w:vAlign w:val="bottom"/>
            <w:shd w:val="clear" w:color="auto" w:fill="E6E7E8"/>
          </w:tcPr>
          <w:p>
            <w:pPr>
              <w:ind w:left="20"/>
              <w:spacing w:after="0"/>
              <w:rPr>
                <w:sz w:val="20"/>
                <w:szCs w:val="20"/>
                <w:color w:val="auto"/>
              </w:rPr>
            </w:pPr>
            <w:r>
              <w:rPr>
                <w:rFonts w:ascii="Arial" w:cs="Arial" w:eastAsia="Arial" w:hAnsi="Arial"/>
                <w:sz w:val="14"/>
                <w:szCs w:val="14"/>
                <w:b w:val="1"/>
                <w:bCs w:val="1"/>
                <w:color w:val="29378D"/>
              </w:rPr>
              <w:t>HOW WE</w:t>
            </w: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Investor Conferences</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Non-deal Roadshows (NDRs)</w:t>
            </w:r>
          </w:p>
        </w:tc>
        <w:tc>
          <w:tcPr>
            <w:tcW w:w="0" w:type="dxa"/>
            <w:vAlign w:val="bottom"/>
          </w:tcPr>
          <w:p>
            <w:pPr>
              <w:spacing w:after="0"/>
              <w:rPr>
                <w:sz w:val="1"/>
                <w:szCs w:val="1"/>
                <w:color w:val="auto"/>
              </w:rPr>
            </w:pPr>
          </w:p>
        </w:tc>
      </w:tr>
      <w:tr>
        <w:trPr>
          <w:trHeight w:val="231"/>
        </w:trPr>
        <w:tc>
          <w:tcPr>
            <w:tcW w:w="1940" w:type="dxa"/>
            <w:vAlign w:val="bottom"/>
            <w:shd w:val="clear" w:color="auto" w:fill="E6E7E8"/>
          </w:tcPr>
          <w:p>
            <w:pPr>
              <w:ind w:left="20"/>
              <w:spacing w:after="0"/>
              <w:rPr>
                <w:sz w:val="20"/>
                <w:szCs w:val="20"/>
                <w:color w:val="auto"/>
              </w:rPr>
            </w:pPr>
            <w:r>
              <w:rPr>
                <w:rFonts w:ascii="Arial" w:cs="Arial" w:eastAsia="Arial" w:hAnsi="Arial"/>
                <w:sz w:val="14"/>
                <w:szCs w:val="14"/>
                <w:b w:val="1"/>
                <w:bCs w:val="1"/>
                <w:color w:val="29378D"/>
              </w:rPr>
              <w:t>ENGAGED</w:t>
            </w:r>
          </w:p>
        </w:tc>
        <w:tc>
          <w:tcPr>
            <w:tcW w:w="440" w:type="dxa"/>
            <w:vAlign w:val="bottom"/>
          </w:tcPr>
          <w:p>
            <w:pPr>
              <w:ind w:left="340"/>
              <w:spacing w:after="0"/>
              <w:rPr>
                <w:sz w:val="20"/>
                <w:szCs w:val="20"/>
                <w:color w:val="auto"/>
              </w:rPr>
            </w:pPr>
            <w:r>
              <w:rPr>
                <w:rFonts w:ascii="Arial" w:cs="Arial" w:eastAsia="Arial" w:hAnsi="Arial"/>
                <w:sz w:val="16"/>
                <w:szCs w:val="16"/>
                <w:b w:val="1"/>
                <w:bCs w:val="1"/>
                <w:color w:val="29378D"/>
              </w:rPr>
              <w:t>•</w:t>
            </w:r>
          </w:p>
        </w:tc>
        <w:tc>
          <w:tcPr>
            <w:tcW w:w="4160" w:type="dxa"/>
            <w:vAlign w:val="bottom"/>
          </w:tcPr>
          <w:p>
            <w:pPr>
              <w:ind w:left="40"/>
              <w:spacing w:after="0"/>
              <w:rPr>
                <w:sz w:val="20"/>
                <w:szCs w:val="20"/>
                <w:color w:val="auto"/>
              </w:rPr>
            </w:pPr>
            <w:r>
              <w:rPr>
                <w:rFonts w:ascii="Arial" w:cs="Arial" w:eastAsia="Arial" w:hAnsi="Arial"/>
                <w:sz w:val="16"/>
                <w:szCs w:val="16"/>
                <w:color w:val="auto"/>
              </w:rPr>
              <w:t>Site Visits &amp; Facility Tours</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4500" w:type="dxa"/>
            <w:vAlign w:val="bottom"/>
          </w:tcPr>
          <w:p>
            <w:pPr>
              <w:ind w:left="40"/>
              <w:spacing w:after="0"/>
              <w:rPr>
                <w:sz w:val="20"/>
                <w:szCs w:val="20"/>
                <w:color w:val="auto"/>
              </w:rPr>
            </w:pPr>
            <w:r>
              <w:rPr>
                <w:rFonts w:ascii="Arial" w:cs="Arial" w:eastAsia="Arial" w:hAnsi="Arial"/>
                <w:sz w:val="16"/>
                <w:szCs w:val="16"/>
                <w:color w:val="auto"/>
              </w:rPr>
              <w:t>1x1 calls/meetings</w:t>
            </w:r>
          </w:p>
        </w:tc>
        <w:tc>
          <w:tcPr>
            <w:tcW w:w="0" w:type="dxa"/>
            <w:vAlign w:val="bottom"/>
          </w:tcPr>
          <w:p>
            <w:pPr>
              <w:spacing w:after="0"/>
              <w:rPr>
                <w:sz w:val="1"/>
                <w:szCs w:val="1"/>
                <w:color w:val="auto"/>
              </w:rPr>
            </w:pPr>
          </w:p>
        </w:tc>
      </w:tr>
      <w:tr>
        <w:trPr>
          <w:trHeight w:val="413"/>
        </w:trPr>
        <w:tc>
          <w:tcPr>
            <w:tcW w:w="1940" w:type="dxa"/>
            <w:vAlign w:val="bottom"/>
            <w:shd w:val="clear" w:color="auto" w:fill="E6E7E8"/>
          </w:tcPr>
          <w:p>
            <w:pPr>
              <w:spacing w:after="0"/>
              <w:rPr>
                <w:sz w:val="24"/>
                <w:szCs w:val="24"/>
                <w:color w:val="auto"/>
              </w:rPr>
            </w:pPr>
          </w:p>
        </w:tc>
        <w:tc>
          <w:tcPr>
            <w:tcW w:w="4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940" w:type="dxa"/>
            <w:vAlign w:val="bottom"/>
            <w:tcBorders>
              <w:bottom w:val="single" w:sz="8" w:color="BCBEC0"/>
            </w:tcBorders>
          </w:tcPr>
          <w:p>
            <w:pPr>
              <w:spacing w:after="0"/>
              <w:rPr>
                <w:sz w:val="8"/>
                <w:szCs w:val="8"/>
                <w:color w:val="auto"/>
              </w:rPr>
            </w:pPr>
          </w:p>
        </w:tc>
        <w:tc>
          <w:tcPr>
            <w:tcW w:w="440" w:type="dxa"/>
            <w:vAlign w:val="bottom"/>
            <w:tcBorders>
              <w:bottom w:val="single" w:sz="8" w:color="BCBEC0"/>
            </w:tcBorders>
          </w:tcPr>
          <w:p>
            <w:pPr>
              <w:spacing w:after="0"/>
              <w:rPr>
                <w:sz w:val="8"/>
                <w:szCs w:val="8"/>
                <w:color w:val="auto"/>
              </w:rPr>
            </w:pPr>
          </w:p>
        </w:tc>
        <w:tc>
          <w:tcPr>
            <w:tcW w:w="4160" w:type="dxa"/>
            <w:vAlign w:val="bottom"/>
            <w:tcBorders>
              <w:bottom w:val="single" w:sz="8" w:color="BCBEC0"/>
            </w:tcBorders>
          </w:tcPr>
          <w:p>
            <w:pPr>
              <w:spacing w:after="0"/>
              <w:rPr>
                <w:sz w:val="8"/>
                <w:szCs w:val="8"/>
                <w:color w:val="auto"/>
              </w:rPr>
            </w:pPr>
          </w:p>
        </w:tc>
        <w:tc>
          <w:tcPr>
            <w:tcW w:w="200" w:type="dxa"/>
            <w:vAlign w:val="bottom"/>
            <w:tcBorders>
              <w:bottom w:val="single" w:sz="8" w:color="BCBEC0"/>
            </w:tcBorders>
          </w:tcPr>
          <w:p>
            <w:pPr>
              <w:spacing w:after="0"/>
              <w:rPr>
                <w:sz w:val="8"/>
                <w:szCs w:val="8"/>
                <w:color w:val="auto"/>
              </w:rPr>
            </w:pPr>
          </w:p>
        </w:tc>
        <w:tc>
          <w:tcPr>
            <w:tcW w:w="4500" w:type="dxa"/>
            <w:vAlign w:val="bottom"/>
            <w:tcBorders>
              <w:bottom w:val="single" w:sz="8" w:color="BCBEC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r>
        <w:trPr>
          <w:trHeight w:val="30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18" w:name="page19"/>
    <w:bookmarkEnd w:id="18"/>
    <w:p>
      <w:pPr>
        <w:spacing w:after="0"/>
        <w:rPr>
          <w:sz w:val="20"/>
          <w:szCs w:val="20"/>
          <w:color w:val="auto"/>
        </w:rPr>
      </w:pPr>
      <w:r>
        <w:rPr>
          <w:rFonts w:ascii="Arial" w:cs="Arial" w:eastAsia="Arial" w:hAnsi="Arial"/>
          <w:sz w:val="43"/>
          <w:szCs w:val="43"/>
          <w:b w:val="1"/>
          <w:bCs w:val="1"/>
          <w:color w:val="29378D"/>
        </w:rPr>
        <w:t>Proposal 1: Election of Directors</w:t>
      </w:r>
    </w:p>
    <w:p>
      <w:pPr>
        <w:spacing w:after="0" w:line="200" w:lineRule="exact"/>
        <w:rPr>
          <w:sz w:val="20"/>
          <w:szCs w:val="20"/>
          <w:color w:val="auto"/>
        </w:rPr>
      </w:pPr>
    </w:p>
    <w:p>
      <w:pPr>
        <w:spacing w:after="0" w:line="26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Board has nominated 13 directors for election at the Annual Meeting. Each of the director nominees has consented to serve, and we do not know of any reason why any of them would be unable to serve, if elected. If a nominee becomes unavailable or unable to serve before the Annual Meeting (for example, due to serious illness), the Board may determine to leave the position vacant, reduce the number of authorized directors or designate a substitute nominee. In the unanticipated event that a nominee becomes unavailable for election to the Board, the proxyholders will have full discretion and authority to vote, or refrain from voting, for any other nominee in accordance with their judgment.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27"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To be elected, a nominee must receive more votes cast “for” than votes cast “against” his or her election. Abstentions and broker non-votes will have no effect on this proposal. If a nominee is not re-elected, he or she will remain in office until a successor is elected or until his or her earlier resignation or removal. See page 27 for additional information on our Director Election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49465" cy="4203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420370"/>
                    </a:xfrm>
                    <a:prstGeom prst="rect">
                      <a:avLst/>
                    </a:prstGeom>
                    <a:noFill/>
                  </pic:spPr>
                </pic:pic>
              </a:graphicData>
            </a:graphic>
          </wp:anchor>
        </w:drawing>
      </w:r>
    </w:p>
    <w:p>
      <w:pPr>
        <w:spacing w:after="0" w:line="198" w:lineRule="exact"/>
        <w:rPr>
          <w:sz w:val="20"/>
          <w:szCs w:val="20"/>
          <w:color w:val="auto"/>
        </w:rPr>
      </w:pPr>
    </w:p>
    <w:p>
      <w:pPr>
        <w:ind w:left="880" w:right="960"/>
        <w:spacing w:after="0" w:line="296" w:lineRule="auto"/>
        <w:rPr>
          <w:sz w:val="20"/>
          <w:szCs w:val="20"/>
          <w:color w:val="auto"/>
        </w:rPr>
      </w:pPr>
      <w:r>
        <w:rPr>
          <w:rFonts w:ascii="Arial" w:cs="Arial" w:eastAsia="Arial" w:hAnsi="Arial"/>
          <w:sz w:val="16"/>
          <w:szCs w:val="16"/>
          <w:b w:val="1"/>
          <w:bCs w:val="1"/>
          <w:color w:val="auto"/>
        </w:rPr>
        <w:t xml:space="preserve">THE BOARD OF DIRECTORS UNANIMOUSLY RECOMMENDS THAT YOU VOTE </w:t>
      </w:r>
      <w:r>
        <w:rPr>
          <w:rFonts w:ascii="Arial" w:cs="Arial" w:eastAsia="Arial" w:hAnsi="Arial"/>
          <w:sz w:val="16"/>
          <w:szCs w:val="16"/>
          <w:b w:val="1"/>
          <w:bCs w:val="1"/>
          <w:color w:val="29378D"/>
        </w:rPr>
        <w:t>“FOR”</w:t>
      </w:r>
      <w:r>
        <w:rPr>
          <w:rFonts w:ascii="Arial" w:cs="Arial" w:eastAsia="Arial" w:hAnsi="Arial"/>
          <w:sz w:val="16"/>
          <w:szCs w:val="16"/>
          <w:b w:val="1"/>
          <w:bCs w:val="1"/>
          <w:color w:val="auto"/>
        </w:rPr>
        <w:t xml:space="preserve"> THE 13 NOMINEES FOR DIRECTOR LISTED BELOW.</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Qualifications and Experience</w:t>
      </w:r>
    </w:p>
    <w:p>
      <w:pPr>
        <w:spacing w:after="0" w:line="134"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 considering Board nominees, the Nominating and Corporate Governance Committee considers each individual’s background and personal and professional experiences in addition to general qualifications. Nominees are evaluated in the context of the Board as a whole, with a focus on achieving a diverse mix of skills and attributes needed to provide effective governance and oversight, advancing the long-term interests of our shareholders. The Nominating and Corporate Governance Committee is focused on ensuring a diverse, talented, and inclusive board, with members who have the background, skills and experience, and the time and resources necessary to devote to their service for our Company and our shareholders. The Nominating and Corporate Governance Committee regularly assesses and communicates with the Board about the current and future skills and backgrounds to ensure the Board maintains an appropriate mix, taking into account anticipated retirement dates. Select critical skills are reflected in the following table. Each nominee also possesses additional skills, experience and attributes that are not highlighted below. We believe the combination of qualifications, including, as shown below, demonstrates that our Board is well-positioned to provide strategic oversight and guidance to our directors and management and serve the best interests of our Company and shareholders.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0" w:hanging="494"/>
        <w:spacing w:after="0"/>
        <w:tabs>
          <w:tab w:leader="none" w:pos="520" w:val="left"/>
        </w:tabs>
        <w:numPr>
          <w:ilvl w:val="0"/>
          <w:numId w:val="12"/>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8" w:right="359" w:bottom="1440" w:gutter="0" w:footer="0" w:header="0"/>
        </w:sectPr>
      </w:pPr>
    </w:p>
    <w:bookmarkStart w:id="19" w:name="page20"/>
    <w:bookmarkEnd w:id="19"/>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692150</wp:posOffset>
            </wp:positionV>
            <wp:extent cx="76835" cy="6858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68580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726440</wp:posOffset>
            </wp:positionV>
            <wp:extent cx="85725" cy="6254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62547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640715</wp:posOffset>
            </wp:positionV>
            <wp:extent cx="60325" cy="7969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79692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743585</wp:posOffset>
            </wp:positionV>
            <wp:extent cx="85725" cy="5829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58293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606425</wp:posOffset>
            </wp:positionV>
            <wp:extent cx="60325" cy="8655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6550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701040</wp:posOffset>
            </wp:positionV>
            <wp:extent cx="60325" cy="677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6775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606425</wp:posOffset>
            </wp:positionV>
            <wp:extent cx="60325" cy="8655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6550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692150</wp:posOffset>
            </wp:positionV>
            <wp:extent cx="85725" cy="6940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6940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718185</wp:posOffset>
            </wp:positionV>
            <wp:extent cx="76835" cy="643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643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606425</wp:posOffset>
            </wp:positionV>
            <wp:extent cx="68580" cy="8572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572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718185</wp:posOffset>
            </wp:positionV>
            <wp:extent cx="85725" cy="643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643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683895</wp:posOffset>
            </wp:positionV>
            <wp:extent cx="60325" cy="7029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70294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683895</wp:posOffset>
            </wp:positionV>
            <wp:extent cx="85725" cy="7029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70294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606425</wp:posOffset>
            </wp:positionV>
            <wp:extent cx="240030" cy="8572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003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Skills and Significant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57607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5760720"/>
                    </a:xfrm>
                    <a:prstGeom prst="rect">
                      <a:avLst/>
                    </a:prstGeom>
                    <a:noFill/>
                  </pic:spPr>
                </pic:pic>
              </a:graphicData>
            </a:graphic>
          </wp:anchor>
        </w:drawing>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400" w:type="dxa"/>
            <w:vAlign w:val="bottom"/>
          </w:tcPr>
          <w:p>
            <w:pPr>
              <w:ind w:left="600"/>
              <w:spacing w:after="0"/>
              <w:rPr>
                <w:sz w:val="20"/>
                <w:szCs w:val="20"/>
                <w:color w:val="auto"/>
              </w:rPr>
            </w:pPr>
            <w:r>
              <w:rPr>
                <w:rFonts w:ascii="Arial" w:cs="Arial" w:eastAsia="Arial" w:hAnsi="Arial"/>
                <w:sz w:val="14"/>
                <w:szCs w:val="14"/>
                <w:b w:val="1"/>
                <w:bCs w:val="1"/>
                <w:color w:val="29378D"/>
              </w:rPr>
              <w:t>SENIOR LEADERSHIP EXPERIENCE</w:t>
            </w:r>
          </w:p>
        </w:tc>
        <w:tc>
          <w:tcPr>
            <w:tcW w:w="52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67"/>
        </w:trPr>
        <w:tc>
          <w:tcPr>
            <w:tcW w:w="5400" w:type="dxa"/>
            <w:vAlign w:val="bottom"/>
          </w:tcPr>
          <w:p>
            <w:pPr>
              <w:spacing w:after="0"/>
              <w:rPr>
                <w:sz w:val="20"/>
                <w:szCs w:val="20"/>
                <w:color w:val="auto"/>
              </w:rPr>
            </w:pPr>
            <w:r>
              <w:rPr>
                <w:rFonts w:ascii="Arial" w:cs="Arial" w:eastAsia="Arial" w:hAnsi="Arial"/>
                <w:sz w:val="16"/>
                <w:szCs w:val="16"/>
                <w:color w:val="auto"/>
              </w:rPr>
              <w:t>Directors with this experience possess strong leadership qualities that</w:t>
            </w:r>
          </w:p>
        </w:tc>
        <w:tc>
          <w:tcPr>
            <w:tcW w:w="5220" w:type="dxa"/>
            <w:vAlign w:val="bottom"/>
          </w:tcPr>
          <w:p>
            <w:pPr>
              <w:ind w:left="140"/>
              <w:spacing w:after="0"/>
              <w:rPr>
                <w:sz w:val="20"/>
                <w:szCs w:val="20"/>
                <w:color w:val="auto"/>
              </w:rPr>
            </w:pPr>
            <w:r>
              <w:rPr>
                <w:rFonts w:ascii="Wingdings" w:cs="Wingdings" w:eastAsia="Wingdings" w:hAnsi="Wingdings"/>
                <w:sz w:val="25"/>
                <w:szCs w:val="25"/>
                <w:b w:val="1"/>
                <w:bCs w:val="1"/>
                <w:color w:val="29378D"/>
                <w:w w:val="93"/>
              </w:rPr>
              <w:t>n n n n n n n n n n n n n</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162"/>
        </w:trPr>
        <w:tc>
          <w:tcPr>
            <w:tcW w:w="5400" w:type="dxa"/>
            <w:vAlign w:val="bottom"/>
          </w:tcPr>
          <w:p>
            <w:pPr>
              <w:spacing w:after="0" w:line="162" w:lineRule="exact"/>
              <w:rPr>
                <w:sz w:val="20"/>
                <w:szCs w:val="20"/>
                <w:color w:val="auto"/>
              </w:rPr>
            </w:pPr>
            <w:r>
              <w:rPr>
                <w:rFonts w:ascii="Arial" w:cs="Arial" w:eastAsia="Arial" w:hAnsi="Arial"/>
                <w:sz w:val="16"/>
                <w:szCs w:val="16"/>
                <w:color w:val="auto"/>
              </w:rPr>
              <w:t>contribute to their understanding of large complex organizations and their</w:t>
            </w:r>
          </w:p>
        </w:tc>
        <w:tc>
          <w:tcPr>
            <w:tcW w:w="52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215"/>
        </w:trPr>
        <w:tc>
          <w:tcPr>
            <w:tcW w:w="5400" w:type="dxa"/>
            <w:vAlign w:val="bottom"/>
          </w:tcPr>
          <w:p>
            <w:pPr>
              <w:spacing w:after="0"/>
              <w:rPr>
                <w:sz w:val="20"/>
                <w:szCs w:val="20"/>
                <w:color w:val="auto"/>
              </w:rPr>
            </w:pPr>
            <w:r>
              <w:rPr>
                <w:rFonts w:ascii="Arial" w:cs="Arial" w:eastAsia="Arial" w:hAnsi="Arial"/>
                <w:sz w:val="16"/>
                <w:szCs w:val="16"/>
                <w:color w:val="auto"/>
              </w:rPr>
              <w:t>ability to identify and develop the quality in others</w:t>
            </w:r>
          </w:p>
        </w:tc>
        <w:tc>
          <w:tcPr>
            <w:tcW w:w="522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238" w:right="339" w:bottom="1440" w:gutter="0" w:footer="0" w:header="0"/>
        </w:sectPr>
      </w:pPr>
    </w:p>
    <w:p>
      <w:pPr>
        <w:spacing w:after="0" w:line="3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29378D"/>
        </w:rPr>
        <w:t>CORPORATE GOVERNANCE EXPERTISE</w:t>
      </w:r>
    </w:p>
    <w:p>
      <w:pPr>
        <w:spacing w:after="0" w:line="253" w:lineRule="exact"/>
        <w:rPr>
          <w:sz w:val="20"/>
          <w:szCs w:val="20"/>
          <w:color w:val="auto"/>
        </w:rPr>
      </w:pPr>
    </w:p>
    <w:p>
      <w:pPr>
        <w:ind w:left="20"/>
        <w:spacing w:after="0" w:line="251" w:lineRule="auto"/>
        <w:rPr>
          <w:sz w:val="20"/>
          <w:szCs w:val="20"/>
          <w:color w:val="auto"/>
        </w:rPr>
      </w:pPr>
      <w:r>
        <w:rPr>
          <w:rFonts w:ascii="Arial" w:cs="Arial" w:eastAsia="Arial" w:hAnsi="Arial"/>
          <w:sz w:val="16"/>
          <w:szCs w:val="16"/>
          <w:color w:val="auto"/>
        </w:rPr>
        <w:t>Supports our goals of strong Board and management accountability, transparency and protection of shareholder interests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tabs>
          <w:tab w:leader="none" w:pos="5240" w:val="left"/>
        </w:tabs>
        <w:rPr>
          <w:sz w:val="20"/>
          <w:szCs w:val="20"/>
          <w:color w:val="auto"/>
        </w:rPr>
      </w:pPr>
      <w:r>
        <w:rPr>
          <w:rFonts w:ascii="Wingdings" w:cs="Wingdings" w:eastAsia="Wingdings" w:hAnsi="Wingdings"/>
          <w:sz w:val="24"/>
          <w:szCs w:val="24"/>
          <w:b w:val="1"/>
          <w:bCs w:val="1"/>
          <w:color w:val="29378D"/>
        </w:rPr>
        <w:t>n n n n n n n n n n n n n</w:t>
      </w:r>
      <w:r>
        <w:rPr>
          <w:sz w:val="20"/>
          <w:szCs w:val="20"/>
          <w:color w:val="auto"/>
        </w:rPr>
        <w:tab/>
      </w:r>
      <w:r>
        <w:rPr>
          <w:rFonts w:ascii="Arial" w:cs="Arial" w:eastAsia="Arial" w:hAnsi="Arial"/>
          <w:sz w:val="14"/>
          <w:szCs w:val="14"/>
          <w:b w:val="1"/>
          <w:bCs w:val="1"/>
          <w:color w:val="auto"/>
        </w:rPr>
        <w:t>13</w:t>
      </w:r>
    </w:p>
    <w:p>
      <w:pPr>
        <w:spacing w:after="0" w:line="517" w:lineRule="exact"/>
        <w:rPr>
          <w:sz w:val="20"/>
          <w:szCs w:val="20"/>
          <w:color w:val="auto"/>
        </w:rPr>
      </w:pPr>
    </w:p>
    <w:p>
      <w:pPr>
        <w:sectPr>
          <w:pgSz w:w="11900" w:h="16838" w:orient="portrait"/>
          <w:cols w:equalWidth="0" w:num="2">
            <w:col w:w="4900" w:space="660"/>
            <w:col w:w="5680"/>
          </w:cols>
          <w:pgMar w:left="320" w:top="238" w:right="339" w:bottom="1440" w:gutter="0" w:footer="0" w:header="0"/>
          <w:type w:val="continuous"/>
        </w:sectPr>
      </w:pPr>
    </w:p>
    <w:p>
      <w:pPr>
        <w:spacing w:after="0" w:line="27"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29378D"/>
        </w:rPr>
        <w:t>FINANCIAL EXPERTISE/LITERACY</w:t>
      </w:r>
    </w:p>
    <w:tbl>
      <w:tblPr>
        <w:tblLayout w:type="fixed"/>
        <w:tblInd w:w="0" w:type="dxa"/>
        <w:tblCellMar>
          <w:top w:w="0" w:type="dxa"/>
          <w:left w:w="0" w:type="dxa"/>
          <w:bottom w:w="0" w:type="dxa"/>
          <w:right w:w="0" w:type="dxa"/>
        </w:tblCellMar>
      </w:tblPr>
      <w:tr>
        <w:trPr>
          <w:trHeight w:val="278"/>
        </w:trPr>
        <w:tc>
          <w:tcPr>
            <w:tcW w:w="5380" w:type="dxa"/>
            <w:vAlign w:val="bottom"/>
            <w:vMerge w:val="restart"/>
          </w:tcPr>
          <w:p>
            <w:pPr>
              <w:ind w:left="20"/>
              <w:spacing w:after="0"/>
              <w:rPr>
                <w:sz w:val="20"/>
                <w:szCs w:val="20"/>
                <w:color w:val="auto"/>
              </w:rPr>
            </w:pPr>
            <w:r>
              <w:rPr>
                <w:rFonts w:ascii="Arial" w:cs="Arial" w:eastAsia="Arial" w:hAnsi="Arial"/>
                <w:sz w:val="16"/>
                <w:szCs w:val="16"/>
                <w:color w:val="auto"/>
              </w:rPr>
              <w:t>Assists directors in understanding and overseeing our financial reporting</w:t>
            </w:r>
          </w:p>
        </w:tc>
        <w:tc>
          <w:tcPr>
            <w:tcW w:w="5860" w:type="dxa"/>
            <w:vAlign w:val="bottom"/>
            <w:gridSpan w:val="4"/>
          </w:tcPr>
          <w:p>
            <w:pPr>
              <w:ind w:left="180"/>
              <w:spacing w:after="0"/>
              <w:rPr>
                <w:sz w:val="20"/>
                <w:szCs w:val="20"/>
                <w:color w:val="auto"/>
              </w:rPr>
            </w:pPr>
            <w:r>
              <w:rPr>
                <w:rFonts w:ascii="Wingdings" w:cs="Wingdings" w:eastAsia="Wingdings" w:hAnsi="Wingdings"/>
                <w:sz w:val="25"/>
                <w:szCs w:val="25"/>
                <w:b w:val="1"/>
                <w:bCs w:val="1"/>
                <w:color w:val="29378D"/>
                <w:w w:val="93"/>
              </w:rPr>
              <w:t xml:space="preserve">n n n n n n n n n n n n n  </w:t>
            </w:r>
            <w:r>
              <w:rPr>
                <w:rFonts w:ascii="Arial" w:cs="Arial" w:eastAsia="Arial" w:hAnsi="Arial"/>
                <w:sz w:val="14"/>
                <w:szCs w:val="14"/>
                <w:b w:val="1"/>
                <w:bCs w:val="1"/>
                <w:color w:val="000000"/>
                <w:w w:val="93"/>
              </w:rPr>
              <w:t>13</w:t>
            </w:r>
          </w:p>
        </w:tc>
        <w:tc>
          <w:tcPr>
            <w:tcW w:w="0" w:type="dxa"/>
            <w:vAlign w:val="bottom"/>
          </w:tcPr>
          <w:p>
            <w:pPr>
              <w:spacing w:after="0"/>
              <w:rPr>
                <w:sz w:val="1"/>
                <w:szCs w:val="1"/>
                <w:color w:val="auto"/>
              </w:rPr>
            </w:pPr>
          </w:p>
        </w:tc>
      </w:tr>
      <w:tr>
        <w:trPr>
          <w:trHeight w:val="69"/>
        </w:trPr>
        <w:tc>
          <w:tcPr>
            <w:tcW w:w="538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and internal controls</w:t>
            </w:r>
          </w:p>
        </w:tc>
        <w:tc>
          <w:tcPr>
            <w:tcW w:w="1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380" w:type="dxa"/>
            <w:vAlign w:val="bottom"/>
            <w:tcBorders>
              <w:bottom w:val="single" w:sz="8" w:color="939598"/>
            </w:tcBorders>
          </w:tcPr>
          <w:p>
            <w:pPr>
              <w:spacing w:after="0"/>
              <w:rPr>
                <w:sz w:val="2"/>
                <w:szCs w:val="2"/>
                <w:color w:val="auto"/>
              </w:rPr>
            </w:pPr>
          </w:p>
        </w:tc>
        <w:tc>
          <w:tcPr>
            <w:tcW w:w="1260" w:type="dxa"/>
            <w:vAlign w:val="bottom"/>
            <w:tcBorders>
              <w:bottom w:val="single" w:sz="8" w:color="939598"/>
            </w:tcBorders>
          </w:tcPr>
          <w:p>
            <w:pPr>
              <w:spacing w:after="0"/>
              <w:rPr>
                <w:sz w:val="2"/>
                <w:szCs w:val="2"/>
                <w:color w:val="auto"/>
              </w:rPr>
            </w:pPr>
          </w:p>
        </w:tc>
        <w:tc>
          <w:tcPr>
            <w:tcW w:w="2740" w:type="dxa"/>
            <w:vAlign w:val="bottom"/>
            <w:tcBorders>
              <w:bottom w:val="single" w:sz="8" w:color="939598"/>
            </w:tcBorders>
          </w:tcPr>
          <w:p>
            <w:pPr>
              <w:spacing w:after="0"/>
              <w:rPr>
                <w:sz w:val="2"/>
                <w:szCs w:val="2"/>
                <w:color w:val="auto"/>
              </w:rPr>
            </w:pPr>
          </w:p>
        </w:tc>
        <w:tc>
          <w:tcPr>
            <w:tcW w:w="1260" w:type="dxa"/>
            <w:vAlign w:val="bottom"/>
            <w:tcBorders>
              <w:bottom w:val="single" w:sz="8" w:color="939598"/>
            </w:tcBorders>
          </w:tcPr>
          <w:p>
            <w:pPr>
              <w:spacing w:after="0"/>
              <w:rPr>
                <w:sz w:val="2"/>
                <w:szCs w:val="2"/>
                <w:color w:val="auto"/>
              </w:rPr>
            </w:pPr>
          </w:p>
        </w:tc>
        <w:tc>
          <w:tcPr>
            <w:tcW w:w="6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329"/>
        </w:trPr>
        <w:tc>
          <w:tcPr>
            <w:tcW w:w="5380" w:type="dxa"/>
            <w:vAlign w:val="bottom"/>
          </w:tcPr>
          <w:p>
            <w:pPr>
              <w:ind w:left="620"/>
              <w:spacing w:after="0"/>
              <w:rPr>
                <w:sz w:val="20"/>
                <w:szCs w:val="20"/>
                <w:color w:val="auto"/>
              </w:rPr>
            </w:pPr>
            <w:r>
              <w:rPr>
                <w:rFonts w:ascii="Arial" w:cs="Arial" w:eastAsia="Arial" w:hAnsi="Arial"/>
                <w:sz w:val="14"/>
                <w:szCs w:val="14"/>
                <w:b w:val="1"/>
                <w:bCs w:val="1"/>
                <w:color w:val="29378D"/>
              </w:rPr>
              <w:t>RISK OVERSIGHT/MANAGEMENT</w:t>
            </w:r>
          </w:p>
        </w:tc>
        <w:tc>
          <w:tcPr>
            <w:tcW w:w="1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80" w:type="dxa"/>
            <w:vAlign w:val="bottom"/>
            <w:vMerge w:val="restart"/>
          </w:tcPr>
          <w:p>
            <w:pPr>
              <w:ind w:left="20"/>
              <w:spacing w:after="0"/>
              <w:rPr>
                <w:sz w:val="20"/>
                <w:szCs w:val="20"/>
                <w:color w:val="auto"/>
              </w:rPr>
            </w:pPr>
            <w:r>
              <w:rPr>
                <w:rFonts w:ascii="Arial" w:cs="Arial" w:eastAsia="Arial" w:hAnsi="Arial"/>
                <w:sz w:val="16"/>
                <w:szCs w:val="16"/>
                <w:color w:val="auto"/>
              </w:rPr>
              <w:t>Critical to the Board’s role in overseeing the risks facing the Company</w:t>
            </w:r>
          </w:p>
        </w:tc>
        <w:tc>
          <w:tcPr>
            <w:tcW w:w="5860" w:type="dxa"/>
            <w:vAlign w:val="bottom"/>
            <w:gridSpan w:val="4"/>
          </w:tcPr>
          <w:p>
            <w:pPr>
              <w:ind w:left="180"/>
              <w:spacing w:after="0"/>
              <w:rPr>
                <w:sz w:val="20"/>
                <w:szCs w:val="20"/>
                <w:color w:val="auto"/>
              </w:rPr>
            </w:pPr>
            <w:r>
              <w:rPr>
                <w:rFonts w:ascii="Wingdings" w:cs="Wingdings" w:eastAsia="Wingdings" w:hAnsi="Wingdings"/>
                <w:sz w:val="25"/>
                <w:szCs w:val="25"/>
                <w:b w:val="1"/>
                <w:bCs w:val="1"/>
                <w:color w:val="29378D"/>
                <w:w w:val="93"/>
              </w:rPr>
              <w:t xml:space="preserve">n n n n n n n n n n n n n  </w:t>
            </w:r>
            <w:r>
              <w:rPr>
                <w:rFonts w:ascii="Arial" w:cs="Arial" w:eastAsia="Arial" w:hAnsi="Arial"/>
                <w:sz w:val="14"/>
                <w:szCs w:val="14"/>
                <w:b w:val="1"/>
                <w:bCs w:val="1"/>
                <w:color w:val="000000"/>
                <w:w w:val="93"/>
              </w:rPr>
              <w:t>13</w:t>
            </w:r>
          </w:p>
        </w:tc>
        <w:tc>
          <w:tcPr>
            <w:tcW w:w="0" w:type="dxa"/>
            <w:vAlign w:val="bottom"/>
          </w:tcPr>
          <w:p>
            <w:pPr>
              <w:spacing w:after="0"/>
              <w:rPr>
                <w:sz w:val="1"/>
                <w:szCs w:val="1"/>
                <w:color w:val="auto"/>
              </w:rPr>
            </w:pPr>
          </w:p>
        </w:tc>
      </w:tr>
      <w:tr>
        <w:trPr>
          <w:trHeight w:val="189"/>
        </w:trPr>
        <w:tc>
          <w:tcPr>
            <w:tcW w:w="538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380" w:type="dxa"/>
            <w:vAlign w:val="bottom"/>
            <w:tcBorders>
              <w:bottom w:val="single" w:sz="8" w:color="939598"/>
            </w:tcBorders>
          </w:tcPr>
          <w:p>
            <w:pPr>
              <w:spacing w:after="0"/>
              <w:rPr>
                <w:sz w:val="14"/>
                <w:szCs w:val="14"/>
                <w:color w:val="auto"/>
              </w:rPr>
            </w:pPr>
          </w:p>
        </w:tc>
        <w:tc>
          <w:tcPr>
            <w:tcW w:w="1260" w:type="dxa"/>
            <w:vAlign w:val="bottom"/>
            <w:tcBorders>
              <w:bottom w:val="single" w:sz="8" w:color="939598"/>
            </w:tcBorders>
          </w:tcPr>
          <w:p>
            <w:pPr>
              <w:spacing w:after="0"/>
              <w:rPr>
                <w:sz w:val="14"/>
                <w:szCs w:val="14"/>
                <w:color w:val="auto"/>
              </w:rPr>
            </w:pPr>
          </w:p>
        </w:tc>
        <w:tc>
          <w:tcPr>
            <w:tcW w:w="2740" w:type="dxa"/>
            <w:vAlign w:val="bottom"/>
            <w:tcBorders>
              <w:bottom w:val="single" w:sz="8" w:color="939598"/>
            </w:tcBorders>
          </w:tcPr>
          <w:p>
            <w:pPr>
              <w:spacing w:after="0"/>
              <w:rPr>
                <w:sz w:val="14"/>
                <w:szCs w:val="14"/>
                <w:color w:val="auto"/>
              </w:rPr>
            </w:pPr>
          </w:p>
        </w:tc>
        <w:tc>
          <w:tcPr>
            <w:tcW w:w="1260" w:type="dxa"/>
            <w:vAlign w:val="bottom"/>
            <w:tcBorders>
              <w:bottom w:val="single" w:sz="8" w:color="939598"/>
            </w:tcBorders>
          </w:tcPr>
          <w:p>
            <w:pPr>
              <w:spacing w:after="0"/>
              <w:rPr>
                <w:sz w:val="14"/>
                <w:szCs w:val="14"/>
                <w:color w:val="auto"/>
              </w:rPr>
            </w:pPr>
          </w:p>
        </w:tc>
        <w:tc>
          <w:tcPr>
            <w:tcW w:w="60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5380" w:type="dxa"/>
            <w:vAlign w:val="bottom"/>
          </w:tcPr>
          <w:p>
            <w:pPr>
              <w:ind w:left="620"/>
              <w:spacing w:after="0"/>
              <w:rPr>
                <w:sz w:val="20"/>
                <w:szCs w:val="20"/>
                <w:color w:val="auto"/>
              </w:rPr>
            </w:pPr>
            <w:r>
              <w:rPr>
                <w:rFonts w:ascii="Arial" w:cs="Arial" w:eastAsia="Arial" w:hAnsi="Arial"/>
                <w:sz w:val="14"/>
                <w:szCs w:val="14"/>
                <w:b w:val="1"/>
                <w:bCs w:val="1"/>
                <w:color w:val="29378D"/>
              </w:rPr>
              <w:t>DEFENSE AND INDUSTRIAL EXPERIENCE</w:t>
            </w:r>
          </w:p>
        </w:tc>
        <w:tc>
          <w:tcPr>
            <w:tcW w:w="1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5380" w:type="dxa"/>
            <w:vAlign w:val="bottom"/>
          </w:tcPr>
          <w:p>
            <w:pPr>
              <w:ind w:left="20"/>
              <w:spacing w:after="0"/>
              <w:rPr>
                <w:sz w:val="20"/>
                <w:szCs w:val="20"/>
                <w:color w:val="auto"/>
              </w:rPr>
            </w:pPr>
            <w:r>
              <w:rPr>
                <w:rFonts w:ascii="Arial" w:cs="Arial" w:eastAsia="Arial" w:hAnsi="Arial"/>
                <w:sz w:val="16"/>
                <w:szCs w:val="16"/>
                <w:color w:val="auto"/>
              </w:rPr>
              <w:t>Supports oversight of the Company’s strategy, performance and product</w:t>
            </w:r>
          </w:p>
        </w:tc>
        <w:tc>
          <w:tcPr>
            <w:tcW w:w="1260" w:type="dxa"/>
            <w:vAlign w:val="bottom"/>
          </w:tcPr>
          <w:p>
            <w:pPr>
              <w:ind w:left="180"/>
              <w:spacing w:after="0"/>
              <w:rPr>
                <w:sz w:val="20"/>
                <w:szCs w:val="20"/>
                <w:color w:val="auto"/>
              </w:rPr>
            </w:pPr>
            <w:r>
              <w:rPr>
                <w:rFonts w:ascii="Wingdings" w:cs="Wingdings" w:eastAsia="Wingdings" w:hAnsi="Wingdings"/>
                <w:sz w:val="25"/>
                <w:szCs w:val="25"/>
                <w:b w:val="1"/>
                <w:bCs w:val="1"/>
                <w:color w:val="29378D"/>
              </w:rPr>
              <w:t>n</w:t>
            </w:r>
          </w:p>
        </w:tc>
        <w:tc>
          <w:tcPr>
            <w:tcW w:w="2740" w:type="dxa"/>
            <w:vAlign w:val="bottom"/>
          </w:tcPr>
          <w:p>
            <w:pPr>
              <w:ind w:left="880"/>
              <w:spacing w:after="0"/>
              <w:rPr>
                <w:sz w:val="20"/>
                <w:szCs w:val="20"/>
                <w:color w:val="auto"/>
              </w:rPr>
            </w:pPr>
            <w:r>
              <w:rPr>
                <w:rFonts w:ascii="Wingdings" w:cs="Wingdings" w:eastAsia="Wingdings" w:hAnsi="Wingdings"/>
                <w:sz w:val="25"/>
                <w:szCs w:val="25"/>
                <w:b w:val="1"/>
                <w:bCs w:val="1"/>
                <w:color w:val="29378D"/>
              </w:rPr>
              <w:t>n n n n</w:t>
            </w:r>
          </w:p>
        </w:tc>
        <w:tc>
          <w:tcPr>
            <w:tcW w:w="1260" w:type="dxa"/>
            <w:vAlign w:val="bottom"/>
          </w:tcPr>
          <w:p>
            <w:pPr>
              <w:ind w:left="500"/>
              <w:spacing w:after="0"/>
              <w:rPr>
                <w:sz w:val="20"/>
                <w:szCs w:val="20"/>
                <w:color w:val="auto"/>
              </w:rPr>
            </w:pPr>
            <w:r>
              <w:rPr>
                <w:rFonts w:ascii="Wingdings" w:cs="Wingdings" w:eastAsia="Wingdings" w:hAnsi="Wingdings"/>
                <w:sz w:val="25"/>
                <w:szCs w:val="25"/>
                <w:b w:val="1"/>
                <w:bCs w:val="1"/>
                <w:color w:val="29378D"/>
              </w:rPr>
              <w:t>n</w:t>
            </w:r>
          </w:p>
        </w:tc>
        <w:tc>
          <w:tcPr>
            <w:tcW w:w="600" w:type="dxa"/>
            <w:vAlign w:val="bottom"/>
          </w:tcPr>
          <w:p>
            <w:pPr>
              <w:jc w:val="right"/>
              <w:ind w:right="228"/>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62"/>
        </w:trPr>
        <w:tc>
          <w:tcPr>
            <w:tcW w:w="5380" w:type="dxa"/>
            <w:vAlign w:val="bottom"/>
          </w:tcPr>
          <w:p>
            <w:pPr>
              <w:ind w:left="20"/>
              <w:spacing w:after="0" w:line="162" w:lineRule="exact"/>
              <w:rPr>
                <w:sz w:val="20"/>
                <w:szCs w:val="20"/>
                <w:color w:val="auto"/>
              </w:rPr>
            </w:pPr>
            <w:r>
              <w:rPr>
                <w:rFonts w:ascii="Arial" w:cs="Arial" w:eastAsia="Arial" w:hAnsi="Arial"/>
                <w:sz w:val="16"/>
                <w:szCs w:val="16"/>
                <w:color w:val="auto"/>
              </w:rPr>
              <w:t>development, with an understanding of strategic developments in our</w:t>
            </w:r>
          </w:p>
        </w:tc>
        <w:tc>
          <w:tcPr>
            <w:tcW w:w="12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industry</w:t>
            </w:r>
          </w:p>
        </w:tc>
        <w:tc>
          <w:tcPr>
            <w:tcW w:w="1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380" w:type="dxa"/>
            <w:vAlign w:val="bottom"/>
            <w:tcBorders>
              <w:bottom w:val="single" w:sz="8" w:color="939598"/>
            </w:tcBorders>
          </w:tcPr>
          <w:p>
            <w:pPr>
              <w:spacing w:after="0"/>
              <w:rPr>
                <w:sz w:val="2"/>
                <w:szCs w:val="2"/>
                <w:color w:val="auto"/>
              </w:rPr>
            </w:pPr>
          </w:p>
        </w:tc>
        <w:tc>
          <w:tcPr>
            <w:tcW w:w="1260" w:type="dxa"/>
            <w:vAlign w:val="bottom"/>
            <w:tcBorders>
              <w:bottom w:val="single" w:sz="8" w:color="939598"/>
            </w:tcBorders>
          </w:tcPr>
          <w:p>
            <w:pPr>
              <w:spacing w:after="0"/>
              <w:rPr>
                <w:sz w:val="2"/>
                <w:szCs w:val="2"/>
                <w:color w:val="auto"/>
              </w:rPr>
            </w:pPr>
          </w:p>
        </w:tc>
        <w:tc>
          <w:tcPr>
            <w:tcW w:w="2740" w:type="dxa"/>
            <w:vAlign w:val="bottom"/>
            <w:tcBorders>
              <w:bottom w:val="single" w:sz="8" w:color="939598"/>
            </w:tcBorders>
          </w:tcPr>
          <w:p>
            <w:pPr>
              <w:spacing w:after="0"/>
              <w:rPr>
                <w:sz w:val="2"/>
                <w:szCs w:val="2"/>
                <w:color w:val="auto"/>
              </w:rPr>
            </w:pPr>
          </w:p>
        </w:tc>
        <w:tc>
          <w:tcPr>
            <w:tcW w:w="1260" w:type="dxa"/>
            <w:vAlign w:val="bottom"/>
            <w:tcBorders>
              <w:bottom w:val="single" w:sz="8" w:color="939598"/>
            </w:tcBorders>
          </w:tcPr>
          <w:p>
            <w:pPr>
              <w:spacing w:after="0"/>
              <w:rPr>
                <w:sz w:val="2"/>
                <w:szCs w:val="2"/>
                <w:color w:val="auto"/>
              </w:rPr>
            </w:pPr>
          </w:p>
        </w:tc>
        <w:tc>
          <w:tcPr>
            <w:tcW w:w="6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329"/>
        </w:trPr>
        <w:tc>
          <w:tcPr>
            <w:tcW w:w="5380" w:type="dxa"/>
            <w:vAlign w:val="bottom"/>
          </w:tcPr>
          <w:p>
            <w:pPr>
              <w:ind w:left="620"/>
              <w:spacing w:after="0"/>
              <w:rPr>
                <w:sz w:val="20"/>
                <w:szCs w:val="20"/>
                <w:color w:val="auto"/>
              </w:rPr>
            </w:pPr>
            <w:r>
              <w:rPr>
                <w:rFonts w:ascii="Arial" w:cs="Arial" w:eastAsia="Arial" w:hAnsi="Arial"/>
                <w:sz w:val="14"/>
                <w:szCs w:val="14"/>
                <w:b w:val="1"/>
                <w:bCs w:val="1"/>
                <w:color w:val="29378D"/>
              </w:rPr>
              <w:t>INTERNATIONAL EXPERIENCE</w:t>
            </w:r>
          </w:p>
        </w:tc>
        <w:tc>
          <w:tcPr>
            <w:tcW w:w="1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380" w:type="dxa"/>
            <w:vAlign w:val="bottom"/>
          </w:tcPr>
          <w:p>
            <w:pPr>
              <w:ind w:left="20"/>
              <w:spacing w:after="0"/>
              <w:rPr>
                <w:sz w:val="20"/>
                <w:szCs w:val="20"/>
                <w:color w:val="auto"/>
              </w:rPr>
            </w:pPr>
            <w:r>
              <w:rPr>
                <w:rFonts w:ascii="Arial" w:cs="Arial" w:eastAsia="Arial" w:hAnsi="Arial"/>
                <w:sz w:val="16"/>
                <w:szCs w:val="16"/>
                <w:color w:val="auto"/>
              </w:rPr>
              <w:t>Supports an understanding of geographically diverse business</w:t>
            </w:r>
          </w:p>
        </w:tc>
        <w:tc>
          <w:tcPr>
            <w:tcW w:w="5260" w:type="dxa"/>
            <w:vAlign w:val="bottom"/>
            <w:gridSpan w:val="3"/>
          </w:tcPr>
          <w:p>
            <w:pPr>
              <w:ind w:left="180"/>
              <w:spacing w:after="0"/>
              <w:rPr>
                <w:sz w:val="20"/>
                <w:szCs w:val="20"/>
                <w:color w:val="auto"/>
              </w:rPr>
            </w:pPr>
            <w:r>
              <w:rPr>
                <w:rFonts w:ascii="Wingdings" w:cs="Wingdings" w:eastAsia="Wingdings" w:hAnsi="Wingdings"/>
                <w:sz w:val="25"/>
                <w:szCs w:val="25"/>
                <w:b w:val="1"/>
                <w:bCs w:val="1"/>
                <w:color w:val="29378D"/>
                <w:w w:val="93"/>
              </w:rPr>
              <w:t>n n n n n n n n n n n n n</w:t>
            </w:r>
          </w:p>
        </w:tc>
        <w:tc>
          <w:tcPr>
            <w:tcW w:w="600" w:type="dxa"/>
            <w:vAlign w:val="bottom"/>
          </w:tcPr>
          <w:p>
            <w:pPr>
              <w:jc w:val="right"/>
              <w:ind w:right="188"/>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62"/>
        </w:trPr>
        <w:tc>
          <w:tcPr>
            <w:tcW w:w="5380" w:type="dxa"/>
            <w:vAlign w:val="bottom"/>
          </w:tcPr>
          <w:p>
            <w:pPr>
              <w:ind w:left="20"/>
              <w:spacing w:after="0" w:line="162" w:lineRule="exact"/>
              <w:rPr>
                <w:sz w:val="20"/>
                <w:szCs w:val="20"/>
                <w:color w:val="auto"/>
              </w:rPr>
            </w:pPr>
            <w:r>
              <w:rPr>
                <w:rFonts w:ascii="Arial" w:cs="Arial" w:eastAsia="Arial" w:hAnsi="Arial"/>
                <w:sz w:val="16"/>
                <w:szCs w:val="16"/>
                <w:color w:val="auto"/>
              </w:rPr>
              <w:t>environments, regulatory matters, and cultural perspective that informs</w:t>
            </w:r>
          </w:p>
        </w:tc>
        <w:tc>
          <w:tcPr>
            <w:tcW w:w="12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380" w:type="dxa"/>
            <w:vAlign w:val="bottom"/>
          </w:tcPr>
          <w:p>
            <w:pPr>
              <w:ind w:left="20"/>
              <w:spacing w:after="0"/>
              <w:rPr>
                <w:sz w:val="20"/>
                <w:szCs w:val="20"/>
                <w:color w:val="auto"/>
              </w:rPr>
            </w:pPr>
            <w:r>
              <w:rPr>
                <w:rFonts w:ascii="Arial" w:cs="Arial" w:eastAsia="Arial" w:hAnsi="Arial"/>
                <w:sz w:val="16"/>
                <w:szCs w:val="16"/>
                <w:color w:val="auto"/>
              </w:rPr>
              <w:t>global business strategy</w:t>
            </w:r>
          </w:p>
        </w:tc>
        <w:tc>
          <w:tcPr>
            <w:tcW w:w="1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ectPr>
          <w:pgSz w:w="11900" w:h="16838" w:orient="portrait"/>
          <w:cols w:equalWidth="0" w:num="1">
            <w:col w:w="11240"/>
          </w:cols>
          <w:pgMar w:left="320" w:top="238" w:right="339" w:bottom="1440" w:gutter="0" w:footer="0" w:header="0"/>
          <w:type w:val="continuous"/>
        </w:sectPr>
      </w:pPr>
    </w:p>
    <w:p>
      <w:pPr>
        <w:ind w:left="620"/>
        <w:spacing w:after="0"/>
        <w:rPr>
          <w:sz w:val="20"/>
          <w:szCs w:val="20"/>
          <w:color w:val="auto"/>
        </w:rPr>
      </w:pPr>
      <w:r>
        <w:rPr>
          <w:rFonts w:ascii="Arial" w:cs="Arial" w:eastAsia="Arial" w:hAnsi="Arial"/>
          <w:sz w:val="14"/>
          <w:szCs w:val="14"/>
          <w:b w:val="1"/>
          <w:bCs w:val="1"/>
          <w:color w:val="29378D"/>
        </w:rPr>
        <w:t>CYBER/TECHNOLOGY EXPERTISE</w:t>
      </w:r>
    </w:p>
    <w:p>
      <w:pPr>
        <w:spacing w:after="0" w:line="172" w:lineRule="exact"/>
        <w:rPr>
          <w:sz w:val="20"/>
          <w:szCs w:val="20"/>
          <w:color w:val="auto"/>
        </w:rPr>
      </w:pPr>
    </w:p>
    <w:p>
      <w:pPr>
        <w:ind w:left="20" w:right="160"/>
        <w:spacing w:after="0" w:line="251" w:lineRule="auto"/>
        <w:rPr>
          <w:sz w:val="20"/>
          <w:szCs w:val="20"/>
          <w:color w:val="auto"/>
        </w:rPr>
      </w:pPr>
      <w:r>
        <w:rPr>
          <w:rFonts w:ascii="Arial" w:cs="Arial" w:eastAsia="Arial" w:hAnsi="Arial"/>
          <w:sz w:val="16"/>
          <w:szCs w:val="16"/>
          <w:color w:val="auto"/>
        </w:rPr>
        <w:t>Supports our business in providing oversight of cybersecurity risk management and digital transformation</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tabs>
          <w:tab w:leader="none" w:pos="760" w:val="left"/>
          <w:tab w:leader="none" w:pos="1940" w:val="left"/>
          <w:tab w:leader="none" w:pos="3120" w:val="left"/>
          <w:tab w:leader="none" w:pos="4300" w:val="left"/>
          <w:tab w:leader="none" w:pos="5280" w:val="left"/>
        </w:tabs>
        <w:rPr>
          <w:sz w:val="20"/>
          <w:szCs w:val="20"/>
          <w:color w:val="auto"/>
        </w:rPr>
      </w:pPr>
      <w:r>
        <w:rPr>
          <w:rFonts w:ascii="Wingdings" w:cs="Wingdings" w:eastAsia="Wingdings" w:hAnsi="Wingdings"/>
          <w:sz w:val="25"/>
          <w:szCs w:val="25"/>
          <w:b w:val="1"/>
          <w:bCs w:val="1"/>
          <w:color w:val="29378D"/>
        </w:rPr>
        <w:t>n</w:t>
      </w:r>
      <w:r>
        <w:rPr>
          <w:sz w:val="20"/>
          <w:szCs w:val="20"/>
          <w:color w:val="auto"/>
        </w:rPr>
        <w:tab/>
      </w:r>
      <w:r>
        <w:rPr>
          <w:rFonts w:ascii="Wingdings" w:cs="Wingdings" w:eastAsia="Wingdings" w:hAnsi="Wingdings"/>
          <w:sz w:val="25"/>
          <w:szCs w:val="25"/>
          <w:b w:val="1"/>
          <w:bCs w:val="1"/>
          <w:color w:val="29378D"/>
        </w:rPr>
        <w:t>n</w:t>
      </w:r>
      <w:r>
        <w:rPr>
          <w:sz w:val="20"/>
          <w:szCs w:val="20"/>
          <w:color w:val="auto"/>
        </w:rPr>
        <w:tab/>
      </w:r>
      <w:r>
        <w:rPr>
          <w:rFonts w:ascii="Wingdings" w:cs="Wingdings" w:eastAsia="Wingdings" w:hAnsi="Wingdings"/>
          <w:sz w:val="25"/>
          <w:szCs w:val="25"/>
          <w:b w:val="1"/>
          <w:bCs w:val="1"/>
          <w:color w:val="29378D"/>
        </w:rPr>
        <w:t>n</w:t>
      </w:r>
      <w:r>
        <w:rPr>
          <w:sz w:val="20"/>
          <w:szCs w:val="20"/>
          <w:color w:val="auto"/>
        </w:rPr>
        <w:tab/>
      </w:r>
      <w:r>
        <w:rPr>
          <w:rFonts w:ascii="Wingdings" w:cs="Wingdings" w:eastAsia="Wingdings" w:hAnsi="Wingdings"/>
          <w:sz w:val="25"/>
          <w:szCs w:val="25"/>
          <w:b w:val="1"/>
          <w:bCs w:val="1"/>
          <w:color w:val="29378D"/>
        </w:rPr>
        <w:t>n</w:t>
      </w:r>
      <w:r>
        <w:rPr>
          <w:sz w:val="20"/>
          <w:szCs w:val="20"/>
          <w:color w:val="auto"/>
        </w:rPr>
        <w:tab/>
      </w:r>
      <w:r>
        <w:rPr>
          <w:rFonts w:ascii="Wingdings" w:cs="Wingdings" w:eastAsia="Wingdings" w:hAnsi="Wingdings"/>
          <w:sz w:val="25"/>
          <w:szCs w:val="25"/>
          <w:b w:val="1"/>
          <w:bCs w:val="1"/>
          <w:color w:val="29378D"/>
        </w:rPr>
        <w:t>n</w:t>
      </w:r>
      <w:r>
        <w:rPr>
          <w:sz w:val="20"/>
          <w:szCs w:val="20"/>
          <w:color w:val="auto"/>
        </w:rPr>
        <w:tab/>
      </w:r>
      <w:r>
        <w:rPr>
          <w:rFonts w:ascii="Arial" w:cs="Arial" w:eastAsia="Arial" w:hAnsi="Arial"/>
          <w:sz w:val="14"/>
          <w:szCs w:val="14"/>
          <w:b w:val="1"/>
          <w:bCs w:val="1"/>
          <w:color w:val="auto"/>
        </w:rPr>
        <w:t>5</w:t>
      </w:r>
    </w:p>
    <w:p>
      <w:pPr>
        <w:spacing w:after="0" w:line="466" w:lineRule="exact"/>
        <w:rPr>
          <w:sz w:val="20"/>
          <w:szCs w:val="20"/>
          <w:color w:val="auto"/>
        </w:rPr>
      </w:pPr>
    </w:p>
    <w:p>
      <w:pPr>
        <w:sectPr>
          <w:pgSz w:w="11900" w:h="16838" w:orient="portrait"/>
          <w:cols w:equalWidth="0" w:num="2">
            <w:col w:w="4840" w:space="720"/>
            <w:col w:w="5680"/>
          </w:cols>
          <w:pgMar w:left="320" w:top="238"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440" w:type="dxa"/>
            <w:vAlign w:val="bottom"/>
          </w:tcPr>
          <w:p>
            <w:pPr>
              <w:ind w:left="620"/>
              <w:spacing w:after="0"/>
              <w:rPr>
                <w:sz w:val="20"/>
                <w:szCs w:val="20"/>
                <w:color w:val="auto"/>
              </w:rPr>
            </w:pPr>
            <w:r>
              <w:rPr>
                <w:rFonts w:ascii="Arial" w:cs="Arial" w:eastAsia="Arial" w:hAnsi="Arial"/>
                <w:sz w:val="14"/>
                <w:szCs w:val="14"/>
                <w:b w:val="1"/>
                <w:bCs w:val="1"/>
                <w:color w:val="29378D"/>
              </w:rPr>
              <w:t>HUMAN CAPITAL STRATEGY/TALENT MANAGEMENT</w:t>
            </w:r>
          </w:p>
        </w:tc>
        <w:tc>
          <w:tcPr>
            <w:tcW w:w="420" w:type="dxa"/>
            <w:vAlign w:val="bottom"/>
            <w:vMerge w:val="restart"/>
          </w:tcPr>
          <w:p>
            <w:pPr>
              <w:ind w:left="120"/>
              <w:spacing w:after="0"/>
              <w:rPr>
                <w:sz w:val="20"/>
                <w:szCs w:val="20"/>
                <w:color w:val="auto"/>
              </w:rPr>
            </w:pPr>
            <w:r>
              <w:rPr>
                <w:rFonts w:ascii="Wingdings" w:cs="Wingdings" w:eastAsia="Wingdings" w:hAnsi="Wingdings"/>
                <w:sz w:val="25"/>
                <w:szCs w:val="25"/>
                <w:b w:val="1"/>
                <w:bCs w:val="1"/>
                <w:color w:val="29378D"/>
              </w:rPr>
              <w:t>n</w:t>
            </w:r>
          </w:p>
        </w:tc>
        <w:tc>
          <w:tcPr>
            <w:tcW w:w="380" w:type="dxa"/>
            <w:vAlign w:val="bottom"/>
            <w:vMerge w:val="restart"/>
          </w:tcPr>
          <w:p>
            <w:pPr>
              <w:jc w:val="right"/>
              <w:spacing w:after="0"/>
              <w:rPr>
                <w:sz w:val="20"/>
                <w:szCs w:val="20"/>
                <w:color w:val="auto"/>
              </w:rPr>
            </w:pPr>
            <w:r>
              <w:rPr>
                <w:rFonts w:ascii="Wingdings" w:cs="Wingdings" w:eastAsia="Wingdings" w:hAnsi="Wingdings"/>
                <w:sz w:val="25"/>
                <w:szCs w:val="25"/>
                <w:b w:val="1"/>
                <w:bCs w:val="1"/>
                <w:color w:val="29378D"/>
              </w:rPr>
              <w:t>n</w:t>
            </w:r>
          </w:p>
        </w:tc>
        <w:tc>
          <w:tcPr>
            <w:tcW w:w="1960" w:type="dxa"/>
            <w:vAlign w:val="bottom"/>
            <w:vMerge w:val="restart"/>
          </w:tcPr>
          <w:p>
            <w:pPr>
              <w:ind w:left="100"/>
              <w:spacing w:after="0"/>
              <w:rPr>
                <w:sz w:val="20"/>
                <w:szCs w:val="20"/>
                <w:color w:val="auto"/>
              </w:rPr>
            </w:pPr>
            <w:r>
              <w:rPr>
                <w:rFonts w:ascii="Wingdings" w:cs="Wingdings" w:eastAsia="Wingdings" w:hAnsi="Wingdings"/>
                <w:sz w:val="25"/>
                <w:szCs w:val="25"/>
                <w:b w:val="1"/>
                <w:bCs w:val="1"/>
                <w:color w:val="29378D"/>
                <w:w w:val="95"/>
              </w:rPr>
              <w:t>n n n n n</w:t>
            </w:r>
          </w:p>
        </w:tc>
        <w:tc>
          <w:tcPr>
            <w:tcW w:w="1560" w:type="dxa"/>
            <w:vAlign w:val="bottom"/>
            <w:vMerge w:val="restart"/>
          </w:tcPr>
          <w:p>
            <w:pPr>
              <w:ind w:left="100"/>
              <w:spacing w:after="0"/>
              <w:rPr>
                <w:sz w:val="20"/>
                <w:szCs w:val="20"/>
                <w:color w:val="auto"/>
              </w:rPr>
            </w:pPr>
            <w:r>
              <w:rPr>
                <w:rFonts w:ascii="Wingdings" w:cs="Wingdings" w:eastAsia="Wingdings" w:hAnsi="Wingdings"/>
                <w:sz w:val="25"/>
                <w:szCs w:val="25"/>
                <w:b w:val="1"/>
                <w:bCs w:val="1"/>
                <w:color w:val="29378D"/>
                <w:w w:val="96"/>
              </w:rPr>
              <w:t>n n n n</w:t>
            </w:r>
          </w:p>
        </w:tc>
        <w:tc>
          <w:tcPr>
            <w:tcW w:w="1480" w:type="dxa"/>
            <w:vAlign w:val="bottom"/>
            <w:gridSpan w:val="2"/>
            <w:vMerge w:val="restart"/>
          </w:tcPr>
          <w:p>
            <w:pPr>
              <w:ind w:left="120"/>
              <w:spacing w:after="0"/>
              <w:rPr>
                <w:sz w:val="20"/>
                <w:szCs w:val="20"/>
                <w:color w:val="auto"/>
              </w:rPr>
            </w:pPr>
            <w:r>
              <w:rPr>
                <w:rFonts w:ascii="Wingdings" w:cs="Wingdings" w:eastAsia="Wingdings" w:hAnsi="Wingdings"/>
                <w:sz w:val="25"/>
                <w:szCs w:val="25"/>
                <w:b w:val="1"/>
                <w:bCs w:val="1"/>
                <w:color w:val="29378D"/>
              </w:rPr>
              <w:t xml:space="preserve">n n  </w:t>
            </w:r>
            <w:r>
              <w:rPr>
                <w:rFonts w:ascii="Arial" w:cs="Arial" w:eastAsia="Arial" w:hAnsi="Arial"/>
                <w:sz w:val="14"/>
                <w:szCs w:val="14"/>
                <w:b w:val="1"/>
                <w:bCs w:val="1"/>
                <w:color w:val="000000"/>
              </w:rPr>
              <w:t>13</w:t>
            </w:r>
          </w:p>
        </w:tc>
        <w:tc>
          <w:tcPr>
            <w:tcW w:w="0" w:type="dxa"/>
            <w:vAlign w:val="bottom"/>
          </w:tcPr>
          <w:p>
            <w:pPr>
              <w:spacing w:after="0"/>
              <w:rPr>
                <w:sz w:val="1"/>
                <w:szCs w:val="1"/>
                <w:color w:val="auto"/>
              </w:rPr>
            </w:pPr>
          </w:p>
        </w:tc>
      </w:tr>
      <w:tr>
        <w:trPr>
          <w:trHeight w:val="230"/>
        </w:trPr>
        <w:tc>
          <w:tcPr>
            <w:tcW w:w="5440" w:type="dxa"/>
            <w:vAlign w:val="bottom"/>
            <w:vMerge w:val="restart"/>
          </w:tcPr>
          <w:p>
            <w:pPr>
              <w:ind w:left="20"/>
              <w:spacing w:after="0"/>
              <w:rPr>
                <w:sz w:val="20"/>
                <w:szCs w:val="20"/>
                <w:color w:val="auto"/>
              </w:rPr>
            </w:pPr>
            <w:r>
              <w:rPr>
                <w:rFonts w:ascii="Arial" w:cs="Arial" w:eastAsia="Arial" w:hAnsi="Arial"/>
                <w:sz w:val="16"/>
                <w:szCs w:val="16"/>
                <w:color w:val="auto"/>
              </w:rPr>
              <w:t>Helps oversee our strategy to recruit, retain and develop top candidates</w:t>
            </w:r>
          </w:p>
        </w:tc>
        <w:tc>
          <w:tcPr>
            <w:tcW w:w="4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960" w:type="dxa"/>
            <w:vAlign w:val="bottom"/>
            <w:vMerge w:val="continue"/>
          </w:tcPr>
          <w:p>
            <w:pPr>
              <w:spacing w:after="0"/>
              <w:rPr>
                <w:sz w:val="19"/>
                <w:szCs w:val="19"/>
                <w:color w:val="auto"/>
              </w:rPr>
            </w:pPr>
          </w:p>
        </w:tc>
        <w:tc>
          <w:tcPr>
            <w:tcW w:w="1560" w:type="dxa"/>
            <w:vAlign w:val="bottom"/>
            <w:vMerge w:val="continue"/>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54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90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54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with diverse skills and backgrounds</w:t>
            </w:r>
          </w:p>
        </w:tc>
        <w:tc>
          <w:tcPr>
            <w:tcW w:w="420" w:type="dxa"/>
            <w:vAlign w:val="bottom"/>
            <w:tcBorders>
              <w:bottom w:val="single" w:sz="8" w:color="939598"/>
            </w:tcBorders>
          </w:tcPr>
          <w:p>
            <w:pPr>
              <w:spacing w:after="0"/>
              <w:rPr>
                <w:sz w:val="18"/>
                <w:szCs w:val="18"/>
                <w:color w:val="auto"/>
              </w:rPr>
            </w:pPr>
          </w:p>
        </w:tc>
        <w:tc>
          <w:tcPr>
            <w:tcW w:w="380" w:type="dxa"/>
            <w:vAlign w:val="bottom"/>
            <w:tcBorders>
              <w:bottom w:val="single" w:sz="8" w:color="939598"/>
            </w:tcBorders>
          </w:tcPr>
          <w:p>
            <w:pPr>
              <w:spacing w:after="0"/>
              <w:rPr>
                <w:sz w:val="18"/>
                <w:szCs w:val="18"/>
                <w:color w:val="auto"/>
              </w:rPr>
            </w:pPr>
          </w:p>
        </w:tc>
        <w:tc>
          <w:tcPr>
            <w:tcW w:w="1960" w:type="dxa"/>
            <w:vAlign w:val="bottom"/>
            <w:tcBorders>
              <w:bottom w:val="single" w:sz="8" w:color="939598"/>
            </w:tcBorders>
          </w:tcPr>
          <w:p>
            <w:pPr>
              <w:spacing w:after="0"/>
              <w:rPr>
                <w:sz w:val="18"/>
                <w:szCs w:val="18"/>
                <w:color w:val="auto"/>
              </w:rPr>
            </w:pPr>
          </w:p>
        </w:tc>
        <w:tc>
          <w:tcPr>
            <w:tcW w:w="1560" w:type="dxa"/>
            <w:vAlign w:val="bottom"/>
            <w:tcBorders>
              <w:bottom w:val="single" w:sz="8" w:color="939598"/>
            </w:tcBorders>
          </w:tcPr>
          <w:p>
            <w:pPr>
              <w:spacing w:after="0"/>
              <w:rPr>
                <w:sz w:val="18"/>
                <w:szCs w:val="18"/>
                <w:color w:val="auto"/>
              </w:rPr>
            </w:pPr>
          </w:p>
        </w:tc>
        <w:tc>
          <w:tcPr>
            <w:tcW w:w="900" w:type="dxa"/>
            <w:vAlign w:val="bottom"/>
            <w:tcBorders>
              <w:bottom w:val="single" w:sz="8" w:color="939598"/>
            </w:tcBorders>
          </w:tcPr>
          <w:p>
            <w:pPr>
              <w:spacing w:after="0"/>
              <w:rPr>
                <w:sz w:val="18"/>
                <w:szCs w:val="18"/>
                <w:color w:val="auto"/>
              </w:rPr>
            </w:pPr>
          </w:p>
        </w:tc>
        <w:tc>
          <w:tcPr>
            <w:tcW w:w="5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440" w:type="dxa"/>
            <w:vAlign w:val="bottom"/>
          </w:tcPr>
          <w:p>
            <w:pPr>
              <w:ind w:left="620"/>
              <w:spacing w:after="0"/>
              <w:rPr>
                <w:sz w:val="20"/>
                <w:szCs w:val="20"/>
                <w:color w:val="auto"/>
              </w:rPr>
            </w:pPr>
            <w:r>
              <w:rPr>
                <w:rFonts w:ascii="Arial" w:cs="Arial" w:eastAsia="Arial" w:hAnsi="Arial"/>
                <w:sz w:val="14"/>
                <w:szCs w:val="14"/>
                <w:b w:val="1"/>
                <w:bCs w:val="1"/>
                <w:color w:val="29378D"/>
              </w:rPr>
              <w:t>ENVIRONMENTAL SUSTAINABILITY/ CORPORATE RESPONSIBILITY</w:t>
            </w: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40" w:type="dxa"/>
            <w:vAlign w:val="bottom"/>
            <w:vMerge w:val="restart"/>
          </w:tcPr>
          <w:p>
            <w:pPr>
              <w:ind w:left="20"/>
              <w:spacing w:after="0"/>
              <w:rPr>
                <w:sz w:val="20"/>
                <w:szCs w:val="20"/>
                <w:color w:val="auto"/>
              </w:rPr>
            </w:pPr>
            <w:r>
              <w:rPr>
                <w:rFonts w:ascii="Arial" w:cs="Arial" w:eastAsia="Arial" w:hAnsi="Arial"/>
                <w:sz w:val="16"/>
                <w:szCs w:val="16"/>
                <w:color w:val="auto"/>
              </w:rPr>
              <w:t>Supports the Board’s oversight and management of our commitment to</w:t>
            </w:r>
          </w:p>
        </w:tc>
        <w:tc>
          <w:tcPr>
            <w:tcW w:w="800" w:type="dxa"/>
            <w:vAlign w:val="bottom"/>
            <w:gridSpan w:val="2"/>
          </w:tcPr>
          <w:p>
            <w:pPr>
              <w:jc w:val="right"/>
              <w:spacing w:after="0"/>
              <w:rPr>
                <w:sz w:val="20"/>
                <w:szCs w:val="20"/>
                <w:color w:val="auto"/>
              </w:rPr>
            </w:pPr>
            <w:r>
              <w:rPr>
                <w:rFonts w:ascii="Wingdings" w:cs="Wingdings" w:eastAsia="Wingdings" w:hAnsi="Wingdings"/>
                <w:sz w:val="25"/>
                <w:szCs w:val="25"/>
                <w:b w:val="1"/>
                <w:bCs w:val="1"/>
                <w:color w:val="29378D"/>
              </w:rPr>
              <w:t>n n</w:t>
            </w:r>
          </w:p>
        </w:tc>
        <w:tc>
          <w:tcPr>
            <w:tcW w:w="1960" w:type="dxa"/>
            <w:vAlign w:val="bottom"/>
          </w:tcPr>
          <w:p>
            <w:pPr>
              <w:ind w:left="500"/>
              <w:spacing w:after="0"/>
              <w:rPr>
                <w:sz w:val="20"/>
                <w:szCs w:val="20"/>
                <w:color w:val="auto"/>
              </w:rPr>
            </w:pPr>
            <w:r>
              <w:rPr>
                <w:rFonts w:ascii="Wingdings" w:cs="Wingdings" w:eastAsia="Wingdings" w:hAnsi="Wingdings"/>
                <w:sz w:val="25"/>
                <w:szCs w:val="25"/>
                <w:b w:val="1"/>
                <w:bCs w:val="1"/>
                <w:color w:val="29378D"/>
                <w:w w:val="96"/>
              </w:rPr>
              <w:t>n n n n</w:t>
            </w:r>
          </w:p>
        </w:tc>
        <w:tc>
          <w:tcPr>
            <w:tcW w:w="1560" w:type="dxa"/>
            <w:vAlign w:val="bottom"/>
          </w:tcPr>
          <w:p>
            <w:pPr>
              <w:ind w:left="500"/>
              <w:spacing w:after="0"/>
              <w:rPr>
                <w:sz w:val="20"/>
                <w:szCs w:val="20"/>
                <w:color w:val="auto"/>
              </w:rPr>
            </w:pPr>
            <w:r>
              <w:rPr>
                <w:rFonts w:ascii="Wingdings" w:cs="Wingdings" w:eastAsia="Wingdings" w:hAnsi="Wingdings"/>
                <w:sz w:val="25"/>
                <w:szCs w:val="25"/>
                <w:b w:val="1"/>
                <w:bCs w:val="1"/>
                <w:color w:val="29378D"/>
              </w:rPr>
              <w:t>n</w:t>
            </w:r>
          </w:p>
        </w:tc>
        <w:tc>
          <w:tcPr>
            <w:tcW w:w="900" w:type="dxa"/>
            <w:vAlign w:val="bottom"/>
          </w:tcPr>
          <w:p>
            <w:pPr>
              <w:ind w:left="120"/>
              <w:spacing w:after="0"/>
              <w:rPr>
                <w:sz w:val="20"/>
                <w:szCs w:val="20"/>
                <w:color w:val="auto"/>
              </w:rPr>
            </w:pPr>
            <w:r>
              <w:rPr>
                <w:rFonts w:ascii="Wingdings" w:cs="Wingdings" w:eastAsia="Wingdings" w:hAnsi="Wingdings"/>
                <w:sz w:val="25"/>
                <w:szCs w:val="25"/>
                <w:b w:val="1"/>
                <w:bCs w:val="1"/>
                <w:color w:val="29378D"/>
              </w:rPr>
              <w:t>n n</w:t>
            </w:r>
          </w:p>
        </w:tc>
        <w:tc>
          <w:tcPr>
            <w:tcW w:w="580" w:type="dxa"/>
            <w:vAlign w:val="bottom"/>
          </w:tcPr>
          <w:p>
            <w:pPr>
              <w:jc w:val="right"/>
              <w:ind w:right="228"/>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85"/>
        </w:trPr>
        <w:tc>
          <w:tcPr>
            <w:tcW w:w="54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90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6"/>
          <w:szCs w:val="16"/>
          <w:color w:val="auto"/>
        </w:rPr>
        <w:t>sustainability initiatives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b w:val="1"/>
          <w:bCs w:val="1"/>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2024 Nominees for Director</w:t>
      </w:r>
    </w:p>
    <w:p>
      <w:pPr>
        <w:spacing w:after="0" w:line="1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pages contain biographical and other information about each of the nominees. In addition, we have provided information regarding some of the particular experiences and skills that led the Board to conclude that each nominee should serve as a director.</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Unless instructed otherwise, the proxyholders will vote the proxies received by them “FOR” the election of the director nominees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74190" cy="39516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74190" cy="395160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23"/>
          <w:szCs w:val="23"/>
          <w:color w:val="29378D"/>
        </w:rPr>
        <w:t>Kathy J. Warden</w:t>
      </w:r>
    </w:p>
    <w:p>
      <w:pPr>
        <w:spacing w:after="0" w:line="131" w:lineRule="exact"/>
        <w:rPr>
          <w:sz w:val="20"/>
          <w:szCs w:val="20"/>
          <w:color w:val="auto"/>
        </w:rPr>
      </w:pPr>
    </w:p>
    <w:p>
      <w:pPr>
        <w:ind w:left="220" w:right="211"/>
        <w:spacing w:after="0" w:line="263" w:lineRule="auto"/>
        <w:rPr>
          <w:sz w:val="20"/>
          <w:szCs w:val="20"/>
          <w:color w:val="auto"/>
        </w:rPr>
      </w:pPr>
      <w:r>
        <w:rPr>
          <w:rFonts w:ascii="Arial" w:cs="Arial" w:eastAsia="Arial" w:hAnsi="Arial"/>
          <w:sz w:val="16"/>
          <w:szCs w:val="16"/>
          <w:color w:val="auto"/>
        </w:rPr>
        <w:t>Chair, Chief Executive Officer and President, Northrop</w:t>
      </w:r>
    </w:p>
    <w:p>
      <w:pPr>
        <w:ind w:left="220"/>
        <w:spacing w:after="0"/>
        <w:rPr>
          <w:sz w:val="20"/>
          <w:szCs w:val="20"/>
          <w:color w:val="auto"/>
        </w:rPr>
      </w:pPr>
      <w:r>
        <w:rPr>
          <w:rFonts w:ascii="Arial" w:cs="Arial" w:eastAsia="Arial" w:hAnsi="Arial"/>
          <w:sz w:val="16"/>
          <w:szCs w:val="16"/>
          <w:color w:val="auto"/>
        </w:rPr>
        <w:t>Grumman Corporation</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29378D"/>
        </w:rPr>
        <w:t>52</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29378D"/>
        </w:rPr>
        <w:t>July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9" w:right="100"/>
        <w:spacing w:after="0" w:line="258" w:lineRule="auto"/>
        <w:rPr>
          <w:sz w:val="20"/>
          <w:szCs w:val="20"/>
          <w:color w:val="auto"/>
        </w:rPr>
      </w:pPr>
      <w:r>
        <w:rPr>
          <w:rFonts w:ascii="Arial" w:cs="Arial" w:eastAsia="Arial" w:hAnsi="Arial"/>
          <w:sz w:val="16"/>
          <w:szCs w:val="16"/>
          <w:color w:val="auto"/>
        </w:rPr>
        <w:t>Ms. Kathy J. Warden has served as Chair since August 2019 and as Chief Executive Officer and President of the Company since January 2019. She has served on the Board of Directors since July 2018. Prior to becoming CEO and President, Ms. Warden served as President and Chief Operating Officer of the Company from January 2018 through December 2018, as Corporate Vice President and President of the Company’s Mission Systems Sector from 2016 through 2017, as Corporate Vice President and President of the Company’s former Information Systems Sector from 2013 to 2015, and as Vice President of the Company’s Cyber Intelligence Division from 2011 to 2012. Prior to joining the Company in 2008, Ms. Warden held leadership roles at General Dynamics and Veridian Corporation. Earlier, she was a principal in a venture internet firm and also spent nearly a decade with General Electric Company working in commercial industries.</w:t>
      </w:r>
    </w:p>
    <w:p>
      <w:pPr>
        <w:spacing w:after="0" w:line="74"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auto"/>
        </w:rPr>
        <w:t>EXPERIENCE AND SKILLS</w:t>
      </w:r>
    </w:p>
    <w:p>
      <w:pPr>
        <w:spacing w:after="0" w:line="118" w:lineRule="exact"/>
        <w:rPr>
          <w:sz w:val="20"/>
          <w:szCs w:val="20"/>
          <w:color w:val="auto"/>
        </w:rPr>
      </w:pPr>
    </w:p>
    <w:p>
      <w:pPr>
        <w:ind w:left="189" w:right="660" w:hanging="189"/>
        <w:spacing w:after="0" w:line="299" w:lineRule="auto"/>
        <w:tabs>
          <w:tab w:leader="none" w:pos="132" w:val="left"/>
        </w:tabs>
        <w:numPr>
          <w:ilvl w:val="0"/>
          <w:numId w:val="13"/>
        </w:numPr>
        <w:rPr>
          <w:rFonts w:ascii="Arial" w:cs="Arial" w:eastAsia="Arial" w:hAnsi="Arial"/>
          <w:sz w:val="16"/>
          <w:szCs w:val="16"/>
          <w:b w:val="1"/>
          <w:bCs w:val="1"/>
          <w:color w:val="29378D"/>
        </w:rPr>
      </w:pPr>
      <w:r>
        <w:rPr>
          <w:rFonts w:ascii="Arial" w:cs="Arial" w:eastAsia="Arial" w:hAnsi="Arial"/>
          <w:sz w:val="16"/>
          <w:szCs w:val="16"/>
          <w:color w:val="auto"/>
        </w:rPr>
        <w:t>Extensive experience in operational leadership, strategy, performance and business development in government and commercial markets, including cyber expertise</w:t>
      </w:r>
    </w:p>
    <w:p>
      <w:pPr>
        <w:ind w:left="189" w:right="340" w:hanging="189"/>
        <w:spacing w:after="0" w:line="304" w:lineRule="auto"/>
        <w:tabs>
          <w:tab w:leader="none" w:pos="132" w:val="left"/>
        </w:tabs>
        <w:numPr>
          <w:ilvl w:val="0"/>
          <w:numId w:val="13"/>
        </w:numPr>
        <w:rPr>
          <w:rFonts w:ascii="Arial" w:cs="Arial" w:eastAsia="Arial" w:hAnsi="Arial"/>
          <w:sz w:val="16"/>
          <w:szCs w:val="16"/>
          <w:b w:val="1"/>
          <w:bCs w:val="1"/>
          <w:color w:val="29378D"/>
        </w:rPr>
      </w:pPr>
      <w:r>
        <w:rPr>
          <w:rFonts w:ascii="Arial" w:cs="Arial" w:eastAsia="Arial" w:hAnsi="Arial"/>
          <w:sz w:val="16"/>
          <w:szCs w:val="16"/>
          <w:color w:val="auto"/>
        </w:rPr>
        <w:t>Prior leadership positions within Northrop Grumman (including as President, Chief Operating Officer and President of two business sectors)</w:t>
      </w:r>
    </w:p>
    <w:p>
      <w:pPr>
        <w:spacing w:after="0" w:line="6" w:lineRule="exact"/>
        <w:rPr>
          <w:rFonts w:ascii="Arial" w:cs="Arial" w:eastAsia="Arial" w:hAnsi="Arial"/>
          <w:sz w:val="16"/>
          <w:szCs w:val="16"/>
          <w:b w:val="1"/>
          <w:bCs w:val="1"/>
          <w:color w:val="29378D"/>
        </w:rPr>
      </w:pPr>
    </w:p>
    <w:p>
      <w:pPr>
        <w:ind w:left="129" w:hanging="129"/>
        <w:spacing w:after="0"/>
        <w:tabs>
          <w:tab w:leader="none" w:pos="129" w:val="left"/>
        </w:tabs>
        <w:numPr>
          <w:ilvl w:val="0"/>
          <w:numId w:val="13"/>
        </w:numPr>
        <w:rPr>
          <w:rFonts w:ascii="Arial" w:cs="Arial" w:eastAsia="Arial" w:hAnsi="Arial"/>
          <w:sz w:val="16"/>
          <w:szCs w:val="16"/>
          <w:b w:val="1"/>
          <w:bCs w:val="1"/>
          <w:color w:val="29378D"/>
        </w:rPr>
      </w:pPr>
      <w:r>
        <w:rPr>
          <w:rFonts w:ascii="Arial" w:cs="Arial" w:eastAsia="Arial" w:hAnsi="Arial"/>
          <w:sz w:val="16"/>
          <w:szCs w:val="16"/>
          <w:color w:val="auto"/>
        </w:rPr>
        <w:t>Significant aerospace and defense industry experience</w:t>
      </w:r>
    </w:p>
    <w:p>
      <w:pPr>
        <w:spacing w:after="0" w:line="118"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18" w:lineRule="exact"/>
        <w:rPr>
          <w:sz w:val="20"/>
          <w:szCs w:val="20"/>
          <w:color w:val="auto"/>
        </w:rPr>
      </w:pPr>
    </w:p>
    <w:p>
      <w:pPr>
        <w:ind w:left="129" w:hanging="129"/>
        <w:spacing w:after="0"/>
        <w:tabs>
          <w:tab w:leader="none" w:pos="129" w:val="left"/>
        </w:tabs>
        <w:numPr>
          <w:ilvl w:val="0"/>
          <w:numId w:val="14"/>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Merck &amp; Co., Inc.</w:t>
      </w:r>
    </w:p>
    <w:p>
      <w:pPr>
        <w:spacing w:after="0" w:line="118"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auto"/>
        </w:rPr>
        <w:t>SELECTED DIRECTORSHIPS AND MEMBERSHIPS</w:t>
      </w:r>
    </w:p>
    <w:p>
      <w:pPr>
        <w:spacing w:after="0" w:line="118" w:lineRule="exact"/>
        <w:rPr>
          <w:sz w:val="20"/>
          <w:szCs w:val="20"/>
          <w:color w:val="auto"/>
        </w:rPr>
      </w:pPr>
    </w:p>
    <w:p>
      <w:pPr>
        <w:ind w:left="129" w:hanging="129"/>
        <w:spacing w:after="0"/>
        <w:tabs>
          <w:tab w:leader="none" w:pos="129" w:val="left"/>
        </w:tabs>
        <w:numPr>
          <w:ilvl w:val="0"/>
          <w:numId w:val="15"/>
        </w:numPr>
        <w:rPr>
          <w:rFonts w:ascii="Arial" w:cs="Arial" w:eastAsia="Arial" w:hAnsi="Arial"/>
          <w:sz w:val="16"/>
          <w:szCs w:val="16"/>
          <w:b w:val="1"/>
          <w:bCs w:val="1"/>
          <w:color w:val="29378D"/>
        </w:rPr>
      </w:pPr>
      <w:r>
        <w:rPr>
          <w:rFonts w:ascii="Arial" w:cs="Arial" w:eastAsia="Arial" w:hAnsi="Arial"/>
          <w:sz w:val="16"/>
          <w:szCs w:val="16"/>
          <w:color w:val="auto"/>
        </w:rPr>
        <w:t>Member and former Chair of the Aerospace Industries Association</w:t>
      </w:r>
    </w:p>
    <w:p>
      <w:pPr>
        <w:spacing w:after="0" w:line="86" w:lineRule="exact"/>
        <w:rPr>
          <w:rFonts w:ascii="Arial" w:cs="Arial" w:eastAsia="Arial" w:hAnsi="Arial"/>
          <w:sz w:val="16"/>
          <w:szCs w:val="16"/>
          <w:b w:val="1"/>
          <w:bCs w:val="1"/>
          <w:color w:val="29378D"/>
        </w:rPr>
      </w:pPr>
    </w:p>
    <w:p>
      <w:pPr>
        <w:ind w:left="129" w:hanging="129"/>
        <w:spacing w:after="0"/>
        <w:tabs>
          <w:tab w:leader="none" w:pos="129" w:val="left"/>
        </w:tabs>
        <w:numPr>
          <w:ilvl w:val="0"/>
          <w:numId w:val="15"/>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Catalyst</w:t>
      </w:r>
    </w:p>
    <w:p>
      <w:pPr>
        <w:spacing w:after="0" w:line="72" w:lineRule="exact"/>
        <w:rPr>
          <w:rFonts w:ascii="Arial" w:cs="Arial" w:eastAsia="Arial" w:hAnsi="Arial"/>
          <w:sz w:val="16"/>
          <w:szCs w:val="16"/>
          <w:b w:val="1"/>
          <w:bCs w:val="1"/>
          <w:color w:val="29378D"/>
        </w:rPr>
      </w:pPr>
    </w:p>
    <w:p>
      <w:pPr>
        <w:ind w:left="129" w:hanging="129"/>
        <w:spacing w:after="0"/>
        <w:tabs>
          <w:tab w:leader="none" w:pos="129" w:val="left"/>
        </w:tabs>
        <w:numPr>
          <w:ilvl w:val="0"/>
          <w:numId w:val="15"/>
        </w:numPr>
        <w:rPr>
          <w:rFonts w:ascii="Arial" w:cs="Arial" w:eastAsia="Arial" w:hAnsi="Arial"/>
          <w:sz w:val="16"/>
          <w:szCs w:val="16"/>
          <w:b w:val="1"/>
          <w:bCs w:val="1"/>
          <w:color w:val="29378D"/>
        </w:rPr>
      </w:pPr>
      <w:r>
        <w:rPr>
          <w:rFonts w:ascii="Arial" w:cs="Arial" w:eastAsia="Arial" w:hAnsi="Arial"/>
          <w:sz w:val="16"/>
          <w:szCs w:val="16"/>
          <w:color w:val="auto"/>
        </w:rPr>
        <w:t>Former Chair of the Board of Directors of the Federal Reserve Bank of Richmond</w:t>
      </w:r>
    </w:p>
    <w:p>
      <w:pPr>
        <w:spacing w:after="0" w:line="86" w:lineRule="exact"/>
        <w:rPr>
          <w:rFonts w:ascii="Arial" w:cs="Arial" w:eastAsia="Arial" w:hAnsi="Arial"/>
          <w:sz w:val="16"/>
          <w:szCs w:val="16"/>
          <w:b w:val="1"/>
          <w:bCs w:val="1"/>
          <w:color w:val="29378D"/>
        </w:rPr>
      </w:pPr>
    </w:p>
    <w:p>
      <w:pPr>
        <w:ind w:left="129" w:hanging="129"/>
        <w:spacing w:after="0"/>
        <w:tabs>
          <w:tab w:leader="none" w:pos="129" w:val="left"/>
        </w:tabs>
        <w:numPr>
          <w:ilvl w:val="0"/>
          <w:numId w:val="15"/>
        </w:numPr>
        <w:rPr>
          <w:rFonts w:ascii="Arial" w:cs="Arial" w:eastAsia="Arial" w:hAnsi="Arial"/>
          <w:sz w:val="16"/>
          <w:szCs w:val="16"/>
          <w:b w:val="1"/>
          <w:bCs w:val="1"/>
          <w:color w:val="29378D"/>
        </w:rPr>
      </w:pPr>
      <w:r>
        <w:rPr>
          <w:rFonts w:ascii="Arial" w:cs="Arial" w:eastAsia="Arial" w:hAnsi="Arial"/>
          <w:sz w:val="16"/>
          <w:szCs w:val="16"/>
          <w:color w:val="auto"/>
        </w:rPr>
        <w:t>Former member of the Board of Visitors of James Madison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466725</wp:posOffset>
            </wp:positionV>
            <wp:extent cx="51949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51" w:space="720"/>
            <w:col w:w="7949"/>
          </w:cols>
          <w:pgMar w:left="320" w:top="23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0" w:hanging="494"/>
        <w:spacing w:after="0"/>
        <w:tabs>
          <w:tab w:leader="none" w:pos="520" w:val="left"/>
        </w:tabs>
        <w:numPr>
          <w:ilvl w:val="0"/>
          <w:numId w:val="16"/>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1791335" cy="37287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91335"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3"/>
          <w:szCs w:val="23"/>
          <w:color w:val="29378D"/>
        </w:rPr>
        <w:t>David P. Abney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Former Executive Chairman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and Chief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of United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Parcel Service, Inc. (UPS)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29378D"/>
        </w:rPr>
        <w:t>68</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June 2020</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Committee membership:</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Compensation and Human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Capital Committee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Nominating and Corporate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756285</wp:posOffset>
            </wp:positionV>
            <wp:extent cx="1783080" cy="37287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83080" cy="3728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 w:right="240"/>
        <w:spacing w:after="0" w:line="265" w:lineRule="auto"/>
        <w:rPr>
          <w:sz w:val="20"/>
          <w:szCs w:val="20"/>
          <w:color w:val="auto"/>
        </w:rPr>
      </w:pPr>
      <w:r>
        <w:rPr>
          <w:rFonts w:ascii="Arial" w:cs="Arial" w:eastAsia="Arial" w:hAnsi="Arial"/>
          <w:sz w:val="16"/>
          <w:szCs w:val="16"/>
          <w:color w:val="auto"/>
        </w:rPr>
        <w:t>Mr. David P. Abney served as the Executive Chairman of the UPS Board of Directors from March 2016 through September 2020. From September 2014 to June 2020, he was the Chief Executive Officer of UPS. Prior to that, Mr. Abney was UPS’s Chief Operating Officer from 2007 to 2014. From 2003 to 2007, he was Senior Vice President and President of UPS International. Mr. Abney began his UPS career in 1974.</w:t>
      </w:r>
    </w:p>
    <w:p>
      <w:pPr>
        <w:spacing w:after="0" w:line="83"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104" w:lineRule="exact"/>
        <w:rPr>
          <w:sz w:val="20"/>
          <w:szCs w:val="20"/>
          <w:color w:val="auto"/>
        </w:rPr>
      </w:pPr>
    </w:p>
    <w:p>
      <w:pPr>
        <w:ind w:left="201" w:right="20" w:hanging="201"/>
        <w:spacing w:after="0" w:line="299" w:lineRule="auto"/>
        <w:tabs>
          <w:tab w:leader="none" w:pos="144" w:val="left"/>
        </w:tabs>
        <w:numPr>
          <w:ilvl w:val="0"/>
          <w:numId w:val="17"/>
        </w:numPr>
        <w:rPr>
          <w:rFonts w:ascii="Arial" w:cs="Arial" w:eastAsia="Arial" w:hAnsi="Arial"/>
          <w:sz w:val="16"/>
          <w:szCs w:val="16"/>
          <w:b w:val="1"/>
          <w:bCs w:val="1"/>
          <w:color w:val="29378D"/>
        </w:rPr>
      </w:pPr>
      <w:r>
        <w:rPr>
          <w:rFonts w:ascii="Arial" w:cs="Arial" w:eastAsia="Arial" w:hAnsi="Arial"/>
          <w:sz w:val="16"/>
          <w:szCs w:val="16"/>
          <w:color w:val="auto"/>
        </w:rPr>
        <w:t>Extensive leadership and business experience as a former Executive Chairman, Chief Executive Officer and Chief Operating Officer of a large multinational enterprise</w:t>
      </w:r>
    </w:p>
    <w:p>
      <w:pPr>
        <w:ind w:left="141" w:hanging="141"/>
        <w:spacing w:after="0"/>
        <w:tabs>
          <w:tab w:leader="none" w:pos="141" w:val="left"/>
        </w:tabs>
        <w:numPr>
          <w:ilvl w:val="0"/>
          <w:numId w:val="17"/>
        </w:numPr>
        <w:rPr>
          <w:rFonts w:ascii="Arial" w:cs="Arial" w:eastAsia="Arial" w:hAnsi="Arial"/>
          <w:sz w:val="16"/>
          <w:szCs w:val="16"/>
          <w:b w:val="1"/>
          <w:bCs w:val="1"/>
          <w:color w:val="29378D"/>
        </w:rPr>
      </w:pPr>
      <w:r>
        <w:rPr>
          <w:rFonts w:ascii="Arial" w:cs="Arial" w:eastAsia="Arial" w:hAnsi="Arial"/>
          <w:sz w:val="16"/>
          <w:szCs w:val="16"/>
          <w:color w:val="auto"/>
        </w:rPr>
        <w:t>Significant expertise in international operations and global logistics</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17"/>
        </w:numPr>
        <w:rPr>
          <w:rFonts w:ascii="Arial" w:cs="Arial" w:eastAsia="Arial" w:hAnsi="Arial"/>
          <w:sz w:val="16"/>
          <w:szCs w:val="16"/>
          <w:b w:val="1"/>
          <w:bCs w:val="1"/>
          <w:color w:val="29378D"/>
        </w:rPr>
      </w:pPr>
      <w:r>
        <w:rPr>
          <w:rFonts w:ascii="Arial" w:cs="Arial" w:eastAsia="Arial" w:hAnsi="Arial"/>
          <w:sz w:val="16"/>
          <w:szCs w:val="16"/>
          <w:color w:val="auto"/>
        </w:rPr>
        <w:t>Broad experience with talent management and leading global teams</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17"/>
        </w:numPr>
        <w:rPr>
          <w:rFonts w:ascii="Arial" w:cs="Arial" w:eastAsia="Arial" w:hAnsi="Arial"/>
          <w:sz w:val="16"/>
          <w:szCs w:val="16"/>
          <w:b w:val="1"/>
          <w:bCs w:val="1"/>
          <w:color w:val="29378D"/>
        </w:rPr>
      </w:pPr>
      <w:r>
        <w:rPr>
          <w:rFonts w:ascii="Arial" w:cs="Arial" w:eastAsia="Arial" w:hAnsi="Arial"/>
          <w:sz w:val="16"/>
          <w:szCs w:val="16"/>
          <w:color w:val="auto"/>
        </w:rPr>
        <w:t>Significant board experience, including as non-executive chair</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18" w:lineRule="exact"/>
        <w:rPr>
          <w:sz w:val="20"/>
          <w:szCs w:val="20"/>
          <w:color w:val="auto"/>
        </w:rPr>
      </w:pPr>
    </w:p>
    <w:p>
      <w:pPr>
        <w:ind w:left="141" w:hanging="141"/>
        <w:spacing w:after="0"/>
        <w:tabs>
          <w:tab w:leader="none" w:pos="141" w:val="left"/>
        </w:tabs>
        <w:numPr>
          <w:ilvl w:val="0"/>
          <w:numId w:val="18"/>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Freeport-McMoRan Inc.</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18"/>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Target Corporation</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FORMER PUBLIC COMPANY DIRECTORSHIPS WITHIN THE LAST FIVE YEARS</w:t>
      </w:r>
    </w:p>
    <w:p>
      <w:pPr>
        <w:spacing w:after="0" w:line="118" w:lineRule="exact"/>
        <w:rPr>
          <w:sz w:val="20"/>
          <w:szCs w:val="20"/>
          <w:color w:val="auto"/>
        </w:rPr>
      </w:pPr>
    </w:p>
    <w:p>
      <w:pPr>
        <w:ind w:left="141" w:hanging="141"/>
        <w:spacing w:after="0"/>
        <w:tabs>
          <w:tab w:leader="none" w:pos="141" w:val="left"/>
        </w:tabs>
        <w:numPr>
          <w:ilvl w:val="0"/>
          <w:numId w:val="19"/>
        </w:numPr>
        <w:rPr>
          <w:rFonts w:ascii="Arial" w:cs="Arial" w:eastAsia="Arial" w:hAnsi="Arial"/>
          <w:sz w:val="16"/>
          <w:szCs w:val="16"/>
          <w:b w:val="1"/>
          <w:bCs w:val="1"/>
          <w:color w:val="29378D"/>
        </w:rPr>
      </w:pPr>
      <w:r>
        <w:rPr>
          <w:rFonts w:ascii="Arial" w:cs="Arial" w:eastAsia="Arial" w:hAnsi="Arial"/>
          <w:sz w:val="16"/>
          <w:szCs w:val="16"/>
          <w:color w:val="auto"/>
        </w:rPr>
        <w:t>Executive Chairman of the Board of Directors of UPS</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19"/>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Macy’s,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1118235</wp:posOffset>
            </wp:positionV>
            <wp:extent cx="51517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51755" cy="8890"/>
                    </a:xfrm>
                    <a:prstGeom prst="rect">
                      <a:avLst/>
                    </a:prstGeom>
                    <a:noFill/>
                  </pic:spPr>
                </pic:pic>
              </a:graphicData>
            </a:graphic>
          </wp:anchor>
        </w:drawing>
      </w:r>
    </w:p>
    <w:p>
      <w:pPr>
        <w:spacing w:after="0" w:line="1012" w:lineRule="exact"/>
        <w:rPr>
          <w:sz w:val="20"/>
          <w:szCs w:val="20"/>
          <w:color w:val="auto"/>
        </w:rPr>
      </w:pPr>
    </w:p>
    <w:p>
      <w:pPr>
        <w:sectPr>
          <w:pgSz w:w="11900" w:h="16838" w:orient="portrait"/>
          <w:cols w:equalWidth="0" w:num="2">
            <w:col w:w="2399" w:space="720"/>
            <w:col w:w="7901"/>
          </w:cols>
          <w:pgMar w:left="54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3"/>
          <w:szCs w:val="23"/>
          <w:color w:val="29378D"/>
        </w:rPr>
        <w:t>Marianne C. Brown</w:t>
      </w:r>
    </w:p>
    <w:p>
      <w:pPr>
        <w:spacing w:after="0" w:line="117" w:lineRule="exact"/>
        <w:rPr>
          <w:sz w:val="20"/>
          <w:szCs w:val="20"/>
          <w:color w:val="auto"/>
        </w:rPr>
      </w:pPr>
    </w:p>
    <w:p>
      <w:pPr>
        <w:ind w:right="139"/>
        <w:spacing w:after="0" w:line="257" w:lineRule="auto"/>
        <w:rPr>
          <w:sz w:val="20"/>
          <w:szCs w:val="20"/>
          <w:color w:val="auto"/>
        </w:rPr>
      </w:pPr>
      <w:r>
        <w:rPr>
          <w:rFonts w:ascii="Arial" w:cs="Arial" w:eastAsia="Arial" w:hAnsi="Arial"/>
          <w:sz w:val="16"/>
          <w:szCs w:val="16"/>
          <w:color w:val="auto"/>
        </w:rPr>
        <w:t>Former Chief Operating Officer, Global Financial Solutions, Fidelity National Information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Services, Inc.</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29378D"/>
        </w:rPr>
        <w:t>65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March 2015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Committee membership:</w:t>
      </w:r>
    </w:p>
    <w:p>
      <w:pPr>
        <w:spacing w:after="0" w:line="5" w:lineRule="exact"/>
        <w:rPr>
          <w:sz w:val="20"/>
          <w:szCs w:val="20"/>
          <w:color w:val="auto"/>
        </w:rPr>
      </w:pPr>
    </w:p>
    <w:p>
      <w:pPr>
        <w:ind w:right="339"/>
        <w:spacing w:after="0" w:line="262" w:lineRule="auto"/>
        <w:rPr>
          <w:sz w:val="20"/>
          <w:szCs w:val="20"/>
          <w:color w:val="auto"/>
        </w:rPr>
      </w:pPr>
      <w:r>
        <w:rPr>
          <w:rFonts w:ascii="Arial" w:cs="Arial" w:eastAsia="Arial" w:hAnsi="Arial"/>
          <w:sz w:val="16"/>
          <w:szCs w:val="16"/>
          <w:b w:val="1"/>
          <w:bCs w:val="1"/>
          <w:color w:val="29378D"/>
        </w:rPr>
        <w:t>Audit and Risk Committee, Nominating and Corporate Governance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 w:right="80"/>
        <w:spacing w:after="0" w:line="259" w:lineRule="auto"/>
        <w:rPr>
          <w:sz w:val="20"/>
          <w:szCs w:val="20"/>
          <w:color w:val="auto"/>
        </w:rPr>
      </w:pPr>
      <w:r>
        <w:rPr>
          <w:rFonts w:ascii="Arial" w:cs="Arial" w:eastAsia="Arial" w:hAnsi="Arial"/>
          <w:sz w:val="16"/>
          <w:szCs w:val="16"/>
          <w:color w:val="auto"/>
        </w:rPr>
        <w:t>Ms. Marianne C. Brown served as the Chief Operating Officer of Fidelity National Information Services, Inc.’s (FIS) Global Financial Solutions organization from January 2018 until June 2019. Prior to that, Ms. Brown served as Chief Operating Officer, Institutional and Wholesale Business of FIS since December 2015, when it acquired SunGard Financial Systems. Ms. Brown was the Chief Operating Officer of SunGard Financial Systems, a software and IT services provider, from February 2014 to November 2015. Prior to that, Ms. Brown was the CEO and president of Omgeo, a global financial services technology company, from March 2006 to February 2014.</w:t>
      </w:r>
    </w:p>
    <w:p>
      <w:pPr>
        <w:spacing w:after="0" w:line="87"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118" w:lineRule="exact"/>
        <w:rPr>
          <w:sz w:val="20"/>
          <w:szCs w:val="20"/>
          <w:color w:val="auto"/>
        </w:rPr>
      </w:pPr>
    </w:p>
    <w:p>
      <w:pPr>
        <w:ind w:left="141" w:hanging="141"/>
        <w:spacing w:after="0"/>
        <w:tabs>
          <w:tab w:leader="none" w:pos="141" w:val="left"/>
        </w:tabs>
        <w:numPr>
          <w:ilvl w:val="0"/>
          <w:numId w:val="20"/>
        </w:numPr>
        <w:rPr>
          <w:rFonts w:ascii="Arial" w:cs="Arial" w:eastAsia="Arial" w:hAnsi="Arial"/>
          <w:sz w:val="16"/>
          <w:szCs w:val="16"/>
          <w:b w:val="1"/>
          <w:bCs w:val="1"/>
          <w:color w:val="29378D"/>
        </w:rPr>
      </w:pPr>
      <w:r>
        <w:rPr>
          <w:rFonts w:ascii="Arial" w:cs="Arial" w:eastAsia="Arial" w:hAnsi="Arial"/>
          <w:sz w:val="16"/>
          <w:szCs w:val="16"/>
          <w:color w:val="auto"/>
        </w:rPr>
        <w:t>Substantial business experience as a former Chief Operating Officer and Chief Executive Officer</w:t>
      </w:r>
    </w:p>
    <w:p>
      <w:pPr>
        <w:spacing w:after="0" w:line="72" w:lineRule="exact"/>
        <w:rPr>
          <w:rFonts w:ascii="Arial" w:cs="Arial" w:eastAsia="Arial" w:hAnsi="Arial"/>
          <w:sz w:val="16"/>
          <w:szCs w:val="16"/>
          <w:b w:val="1"/>
          <w:bCs w:val="1"/>
          <w:color w:val="29378D"/>
        </w:rPr>
      </w:pPr>
    </w:p>
    <w:p>
      <w:pPr>
        <w:ind w:left="141" w:hanging="141"/>
        <w:spacing w:after="0"/>
        <w:tabs>
          <w:tab w:leader="none" w:pos="141" w:val="left"/>
        </w:tabs>
        <w:numPr>
          <w:ilvl w:val="0"/>
          <w:numId w:val="20"/>
        </w:numPr>
        <w:rPr>
          <w:rFonts w:ascii="Arial" w:cs="Arial" w:eastAsia="Arial" w:hAnsi="Arial"/>
          <w:sz w:val="16"/>
          <w:szCs w:val="16"/>
          <w:b w:val="1"/>
          <w:bCs w:val="1"/>
          <w:color w:val="29378D"/>
        </w:rPr>
      </w:pPr>
      <w:r>
        <w:rPr>
          <w:rFonts w:ascii="Arial" w:cs="Arial" w:eastAsia="Arial" w:hAnsi="Arial"/>
          <w:sz w:val="16"/>
          <w:szCs w:val="16"/>
          <w:color w:val="auto"/>
        </w:rPr>
        <w:t>Significant experience in IT goods and services, cyber protection and business management</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20"/>
        </w:numPr>
        <w:rPr>
          <w:rFonts w:ascii="Arial" w:cs="Arial" w:eastAsia="Arial" w:hAnsi="Arial"/>
          <w:sz w:val="16"/>
          <w:szCs w:val="16"/>
          <w:b w:val="1"/>
          <w:bCs w:val="1"/>
          <w:color w:val="29378D"/>
        </w:rPr>
      </w:pPr>
      <w:r>
        <w:rPr>
          <w:rFonts w:ascii="Arial" w:cs="Arial" w:eastAsia="Arial" w:hAnsi="Arial"/>
          <w:sz w:val="16"/>
          <w:szCs w:val="16"/>
          <w:color w:val="auto"/>
        </w:rPr>
        <w:t>Community and philanthropic leader</w:t>
      </w:r>
    </w:p>
    <w:p>
      <w:pPr>
        <w:spacing w:after="0" w:line="91"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04" w:lineRule="exact"/>
        <w:rPr>
          <w:sz w:val="20"/>
          <w:szCs w:val="20"/>
          <w:color w:val="auto"/>
        </w:rPr>
      </w:pPr>
    </w:p>
    <w:p>
      <w:pPr>
        <w:ind w:left="141" w:hanging="141"/>
        <w:spacing w:after="0"/>
        <w:tabs>
          <w:tab w:leader="none" w:pos="141" w:val="left"/>
        </w:tabs>
        <w:numPr>
          <w:ilvl w:val="0"/>
          <w:numId w:val="21"/>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Akamai Technologies, Inc.</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21"/>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The Charles Schwab Corporation</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21"/>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IBM</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FORMER PUBLIC COMPANY DIRECTORSHIPS WITHIN THE LAST FIVE YEARS</w:t>
      </w:r>
    </w:p>
    <w:p>
      <w:pPr>
        <w:spacing w:after="0" w:line="118" w:lineRule="exact"/>
        <w:rPr>
          <w:sz w:val="20"/>
          <w:szCs w:val="20"/>
          <w:color w:val="auto"/>
        </w:rPr>
      </w:pPr>
    </w:p>
    <w:p>
      <w:pPr>
        <w:ind w:left="141" w:hanging="141"/>
        <w:spacing w:after="0"/>
        <w:tabs>
          <w:tab w:leader="none" w:pos="141" w:val="left"/>
        </w:tabs>
        <w:numPr>
          <w:ilvl w:val="0"/>
          <w:numId w:val="22"/>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VMWare,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1057910</wp:posOffset>
            </wp:positionV>
            <wp:extent cx="51517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51755" cy="8890"/>
                    </a:xfrm>
                    <a:prstGeom prst="rect">
                      <a:avLst/>
                    </a:prstGeom>
                    <a:noFill/>
                  </pic:spPr>
                </pic:pic>
              </a:graphicData>
            </a:graphic>
          </wp:anchor>
        </w:drawing>
      </w:r>
    </w:p>
    <w:p>
      <w:pPr>
        <w:spacing w:after="0" w:line="889" w:lineRule="exact"/>
        <w:rPr>
          <w:sz w:val="20"/>
          <w:szCs w:val="20"/>
          <w:color w:val="auto"/>
        </w:rPr>
      </w:pPr>
    </w:p>
    <w:p>
      <w:pPr>
        <w:sectPr>
          <w:pgSz w:w="11900" w:h="16838" w:orient="portrait"/>
          <w:cols w:equalWidth="0" w:num="2">
            <w:col w:w="2399" w:space="720"/>
            <w:col w:w="7901"/>
          </w:cols>
          <w:pgMar w:left="54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9060"/>
        <w:spacing w:after="0"/>
        <w:tabs>
          <w:tab w:leader="none" w:pos="108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199390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40" w:top="238"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1783080" cy="33261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8308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Arial" w:cs="Arial" w:eastAsia="Arial" w:hAnsi="Arial"/>
          <w:sz w:val="23"/>
          <w:szCs w:val="23"/>
          <w:color w:val="29378D"/>
        </w:rPr>
        <w:t>Ann M. Fudge</w:t>
      </w:r>
    </w:p>
    <w:p>
      <w:pPr>
        <w:spacing w:after="0" w:line="131" w:lineRule="exact"/>
        <w:rPr>
          <w:sz w:val="20"/>
          <w:szCs w:val="20"/>
          <w:color w:val="auto"/>
        </w:rPr>
      </w:pPr>
    </w:p>
    <w:p>
      <w:pPr>
        <w:ind w:left="220" w:right="399"/>
        <w:spacing w:after="0" w:line="263" w:lineRule="auto"/>
        <w:rPr>
          <w:sz w:val="20"/>
          <w:szCs w:val="20"/>
          <w:color w:val="auto"/>
        </w:rPr>
      </w:pPr>
      <w:r>
        <w:rPr>
          <w:rFonts w:ascii="Arial" w:cs="Arial" w:eastAsia="Arial" w:hAnsi="Arial"/>
          <w:sz w:val="16"/>
          <w:szCs w:val="16"/>
          <w:color w:val="auto"/>
        </w:rPr>
        <w:t>Former Chairman and Chief Executive Officer, Young &amp;</w:t>
      </w:r>
    </w:p>
    <w:p>
      <w:pPr>
        <w:ind w:left="220"/>
        <w:spacing w:after="0"/>
        <w:rPr>
          <w:sz w:val="20"/>
          <w:szCs w:val="20"/>
          <w:color w:val="auto"/>
        </w:rPr>
      </w:pPr>
      <w:r>
        <w:rPr>
          <w:rFonts w:ascii="Arial" w:cs="Arial" w:eastAsia="Arial" w:hAnsi="Arial"/>
          <w:sz w:val="16"/>
          <w:szCs w:val="16"/>
          <w:color w:val="auto"/>
        </w:rPr>
        <w:t>Rubicam Brands</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29378D"/>
        </w:rPr>
        <w:t>72</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29378D"/>
        </w:rPr>
        <w:t>March 2016</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Committee membership:</w:t>
      </w:r>
    </w:p>
    <w:p>
      <w:pPr>
        <w:spacing w:after="0" w:line="15" w:lineRule="exact"/>
        <w:rPr>
          <w:sz w:val="20"/>
          <w:szCs w:val="20"/>
          <w:color w:val="auto"/>
        </w:rPr>
      </w:pPr>
    </w:p>
    <w:p>
      <w:pPr>
        <w:ind w:left="220" w:right="339"/>
        <w:spacing w:after="0" w:line="281" w:lineRule="auto"/>
        <w:rPr>
          <w:sz w:val="20"/>
          <w:szCs w:val="20"/>
          <w:color w:val="auto"/>
        </w:rPr>
      </w:pPr>
      <w:r>
        <w:rPr>
          <w:rFonts w:ascii="Arial" w:cs="Arial" w:eastAsia="Arial" w:hAnsi="Arial"/>
          <w:sz w:val="16"/>
          <w:szCs w:val="16"/>
          <w:b w:val="1"/>
          <w:bCs w:val="1"/>
          <w:color w:val="29378D"/>
        </w:rPr>
        <w:t>Audit and Risk Committee,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1783080" cy="38144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83080" cy="3814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
        <w:spacing w:after="0" w:line="271" w:lineRule="auto"/>
        <w:rPr>
          <w:sz w:val="20"/>
          <w:szCs w:val="20"/>
          <w:color w:val="auto"/>
        </w:rPr>
      </w:pPr>
      <w:r>
        <w:rPr>
          <w:rFonts w:ascii="Arial" w:cs="Arial" w:eastAsia="Arial" w:hAnsi="Arial"/>
          <w:sz w:val="16"/>
          <w:szCs w:val="16"/>
          <w:color w:val="auto"/>
        </w:rPr>
        <w:t>Ms. Ann M. Fudge served as Chairman and Chief Executive Officer of Young &amp; Rubicam Brands at WPP Group PLC from May 2003 to December 2006. Prior to that, she served in various leadership positions at Kraft Foods from 1986 to 2001, including President of Beverages, Desserts and Post Divisions, and President of Maxwell House Coffee and Kraft General Foods.</w:t>
      </w:r>
    </w:p>
    <w:p>
      <w:pPr>
        <w:spacing w:after="0" w:line="65"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118" w:lineRule="exact"/>
        <w:rPr>
          <w:sz w:val="20"/>
          <w:szCs w:val="20"/>
          <w:color w:val="auto"/>
        </w:rPr>
      </w:pPr>
    </w:p>
    <w:p>
      <w:pPr>
        <w:ind w:left="201" w:right="40" w:hanging="201"/>
        <w:spacing w:after="0" w:line="286" w:lineRule="auto"/>
        <w:tabs>
          <w:tab w:leader="none" w:pos="144" w:val="left"/>
        </w:tabs>
        <w:numPr>
          <w:ilvl w:val="0"/>
          <w:numId w:val="23"/>
        </w:numPr>
        <w:rPr>
          <w:rFonts w:ascii="Arial" w:cs="Arial" w:eastAsia="Arial" w:hAnsi="Arial"/>
          <w:sz w:val="16"/>
          <w:szCs w:val="16"/>
          <w:b w:val="1"/>
          <w:bCs w:val="1"/>
          <w:color w:val="29378D"/>
        </w:rPr>
      </w:pPr>
      <w:r>
        <w:rPr>
          <w:rFonts w:ascii="Arial" w:cs="Arial" w:eastAsia="Arial" w:hAnsi="Arial"/>
          <w:sz w:val="16"/>
          <w:szCs w:val="16"/>
          <w:color w:val="auto"/>
        </w:rPr>
        <w:t>Extensive business experience as former Chief Executive Officer and former president of leading consumer products business units</w:t>
      </w:r>
    </w:p>
    <w:p>
      <w:pPr>
        <w:spacing w:after="0" w:line="20" w:lineRule="exact"/>
        <w:rPr>
          <w:rFonts w:ascii="Arial" w:cs="Arial" w:eastAsia="Arial" w:hAnsi="Arial"/>
          <w:sz w:val="16"/>
          <w:szCs w:val="16"/>
          <w:b w:val="1"/>
          <w:bCs w:val="1"/>
          <w:color w:val="29378D"/>
        </w:rPr>
      </w:pPr>
    </w:p>
    <w:p>
      <w:pPr>
        <w:ind w:left="201" w:right="260" w:hanging="201"/>
        <w:spacing w:after="0" w:line="286" w:lineRule="auto"/>
        <w:tabs>
          <w:tab w:leader="none" w:pos="144" w:val="left"/>
        </w:tabs>
        <w:numPr>
          <w:ilvl w:val="0"/>
          <w:numId w:val="23"/>
        </w:numPr>
        <w:rPr>
          <w:rFonts w:ascii="Arial" w:cs="Arial" w:eastAsia="Arial" w:hAnsi="Arial"/>
          <w:sz w:val="16"/>
          <w:szCs w:val="16"/>
          <w:b w:val="1"/>
          <w:bCs w:val="1"/>
          <w:color w:val="29378D"/>
        </w:rPr>
      </w:pPr>
      <w:r>
        <w:rPr>
          <w:rFonts w:ascii="Arial" w:cs="Arial" w:eastAsia="Arial" w:hAnsi="Arial"/>
          <w:sz w:val="16"/>
          <w:szCs w:val="16"/>
          <w:color w:val="auto"/>
        </w:rPr>
        <w:t>Substantial international experience through service as an executive and director of a large multinational company and a director of other large multinational companies</w:t>
      </w:r>
    </w:p>
    <w:p>
      <w:pPr>
        <w:spacing w:after="0" w:line="20" w:lineRule="exact"/>
        <w:rPr>
          <w:rFonts w:ascii="Arial" w:cs="Arial" w:eastAsia="Arial" w:hAnsi="Arial"/>
          <w:sz w:val="16"/>
          <w:szCs w:val="16"/>
          <w:b w:val="1"/>
          <w:bCs w:val="1"/>
          <w:color w:val="29378D"/>
        </w:rPr>
      </w:pPr>
    </w:p>
    <w:p>
      <w:pPr>
        <w:ind w:left="141" w:hanging="141"/>
        <w:spacing w:after="0"/>
        <w:tabs>
          <w:tab w:leader="none" w:pos="141" w:val="left"/>
        </w:tabs>
        <w:numPr>
          <w:ilvl w:val="0"/>
          <w:numId w:val="23"/>
        </w:numPr>
        <w:rPr>
          <w:rFonts w:ascii="Arial" w:cs="Arial" w:eastAsia="Arial" w:hAnsi="Arial"/>
          <w:sz w:val="16"/>
          <w:szCs w:val="16"/>
          <w:b w:val="1"/>
          <w:bCs w:val="1"/>
          <w:color w:val="29378D"/>
        </w:rPr>
      </w:pPr>
      <w:r>
        <w:rPr>
          <w:rFonts w:ascii="Arial" w:cs="Arial" w:eastAsia="Arial" w:hAnsi="Arial"/>
          <w:sz w:val="16"/>
          <w:szCs w:val="16"/>
          <w:color w:val="auto"/>
        </w:rPr>
        <w:t>Significant public company board experience</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23"/>
        </w:numPr>
        <w:rPr>
          <w:rFonts w:ascii="Arial" w:cs="Arial" w:eastAsia="Arial" w:hAnsi="Arial"/>
          <w:sz w:val="16"/>
          <w:szCs w:val="16"/>
          <w:b w:val="1"/>
          <w:bCs w:val="1"/>
          <w:color w:val="29378D"/>
        </w:rPr>
      </w:pPr>
      <w:r>
        <w:rPr>
          <w:rFonts w:ascii="Arial" w:cs="Arial" w:eastAsia="Arial" w:hAnsi="Arial"/>
          <w:sz w:val="16"/>
          <w:szCs w:val="16"/>
          <w:color w:val="auto"/>
        </w:rPr>
        <w:t>Experience with talent development and acquisition</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SELECTED DIRECTORSHIPS AND MEMBERSHIPS</w:t>
      </w:r>
    </w:p>
    <w:p>
      <w:pPr>
        <w:spacing w:after="0" w:line="118" w:lineRule="exact"/>
        <w:rPr>
          <w:sz w:val="20"/>
          <w:szCs w:val="20"/>
          <w:color w:val="auto"/>
        </w:rPr>
      </w:pPr>
    </w:p>
    <w:p>
      <w:pPr>
        <w:ind w:left="141" w:hanging="141"/>
        <w:spacing w:after="0"/>
        <w:tabs>
          <w:tab w:leader="none" w:pos="141" w:val="left"/>
        </w:tabs>
        <w:numPr>
          <w:ilvl w:val="0"/>
          <w:numId w:val="24"/>
        </w:numPr>
        <w:rPr>
          <w:rFonts w:ascii="Arial" w:cs="Arial" w:eastAsia="Arial" w:hAnsi="Arial"/>
          <w:sz w:val="16"/>
          <w:szCs w:val="16"/>
          <w:b w:val="1"/>
          <w:bCs w:val="1"/>
          <w:color w:val="29378D"/>
        </w:rPr>
      </w:pPr>
      <w:r>
        <w:rPr>
          <w:rFonts w:ascii="Arial" w:cs="Arial" w:eastAsia="Arial" w:hAnsi="Arial"/>
          <w:sz w:val="16"/>
          <w:szCs w:val="16"/>
          <w:color w:val="auto"/>
        </w:rPr>
        <w:t>Chair of the Board of Trustees of WGBH Public Media</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24"/>
        </w:numPr>
        <w:rPr>
          <w:rFonts w:ascii="Arial" w:cs="Arial" w:eastAsia="Arial" w:hAnsi="Arial"/>
          <w:sz w:val="16"/>
          <w:szCs w:val="16"/>
          <w:b w:val="1"/>
          <w:bCs w:val="1"/>
          <w:color w:val="29378D"/>
        </w:rPr>
      </w:pPr>
      <w:r>
        <w:rPr>
          <w:rFonts w:ascii="Arial" w:cs="Arial" w:eastAsia="Arial" w:hAnsi="Arial"/>
          <w:sz w:val="16"/>
          <w:szCs w:val="16"/>
          <w:color w:val="auto"/>
        </w:rPr>
        <w:t>Senior trustee of the Brookings Institution</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FORMER PUBLIC COMPANY DIRECTORSHIPS WITHIN THE LAST FIVE YEARS</w:t>
      </w:r>
    </w:p>
    <w:p>
      <w:pPr>
        <w:spacing w:after="0" w:line="118" w:lineRule="exact"/>
        <w:rPr>
          <w:sz w:val="20"/>
          <w:szCs w:val="20"/>
          <w:color w:val="auto"/>
        </w:rPr>
      </w:pPr>
    </w:p>
    <w:p>
      <w:pPr>
        <w:ind w:left="141" w:hanging="141"/>
        <w:spacing w:after="0"/>
        <w:tabs>
          <w:tab w:leader="none" w:pos="141" w:val="left"/>
        </w:tabs>
        <w:numPr>
          <w:ilvl w:val="0"/>
          <w:numId w:val="25"/>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Catalyst Partners Acquisition Corp.</w:t>
      </w:r>
    </w:p>
    <w:p>
      <w:pPr>
        <w:spacing w:after="0" w:line="72" w:lineRule="exact"/>
        <w:rPr>
          <w:rFonts w:ascii="Arial" w:cs="Arial" w:eastAsia="Arial" w:hAnsi="Arial"/>
          <w:sz w:val="16"/>
          <w:szCs w:val="16"/>
          <w:b w:val="1"/>
          <w:bCs w:val="1"/>
          <w:color w:val="29378D"/>
        </w:rPr>
      </w:pPr>
    </w:p>
    <w:p>
      <w:pPr>
        <w:ind w:left="141" w:hanging="141"/>
        <w:spacing w:after="0"/>
        <w:tabs>
          <w:tab w:leader="none" w:pos="141" w:val="left"/>
        </w:tabs>
        <w:numPr>
          <w:ilvl w:val="0"/>
          <w:numId w:val="25"/>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518160</wp:posOffset>
            </wp:positionV>
            <wp:extent cx="51517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364" w:lineRule="exact"/>
        <w:rPr>
          <w:sz w:val="20"/>
          <w:szCs w:val="20"/>
          <w:color w:val="auto"/>
        </w:rPr>
      </w:pPr>
    </w:p>
    <w:p>
      <w:pPr>
        <w:sectPr>
          <w:pgSz w:w="11900" w:h="16838" w:orient="portrait"/>
          <w:cols w:equalWidth="0" w:num="2">
            <w:col w:w="2619" w:space="720"/>
            <w:col w:w="7861"/>
          </w:cols>
          <w:pgMar w:left="320" w:top="23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23"/>
          <w:szCs w:val="23"/>
          <w:color w:val="29378D"/>
        </w:rPr>
        <w:t>Madeleine A. Kleiner</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Former Executive Vice President</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and General Counsel, Hilton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Hotels Corporation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29378D"/>
        </w:rPr>
        <w:t>72</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29378D"/>
        </w:rPr>
        <w:t>October 2008</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Committee membership:</w:t>
      </w:r>
    </w:p>
    <w:p>
      <w:pPr>
        <w:spacing w:after="0" w:line="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29378D"/>
        </w:rPr>
        <w:t>Compensation and Human</w:t>
      </w:r>
    </w:p>
    <w:p>
      <w:pPr>
        <w:spacing w:after="0" w:line="19" w:lineRule="exact"/>
        <w:rPr>
          <w:sz w:val="20"/>
          <w:szCs w:val="20"/>
          <w:color w:val="auto"/>
        </w:rPr>
      </w:pPr>
    </w:p>
    <w:p>
      <w:pPr>
        <w:ind w:left="220" w:right="359"/>
        <w:spacing w:after="0" w:line="261" w:lineRule="auto"/>
        <w:rPr>
          <w:sz w:val="20"/>
          <w:szCs w:val="20"/>
          <w:color w:val="auto"/>
        </w:rPr>
      </w:pPr>
      <w:r>
        <w:rPr>
          <w:rFonts w:ascii="Arial" w:cs="Arial" w:eastAsia="Arial" w:hAnsi="Arial"/>
          <w:sz w:val="16"/>
          <w:szCs w:val="16"/>
          <w:b w:val="1"/>
          <w:bCs w:val="1"/>
          <w:color w:val="29378D"/>
        </w:rPr>
        <w:t>Capital Committee, Nominating and Corporate Governance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 w:right="20"/>
        <w:spacing w:after="0" w:line="258" w:lineRule="auto"/>
        <w:rPr>
          <w:sz w:val="20"/>
          <w:szCs w:val="20"/>
          <w:color w:val="auto"/>
        </w:rPr>
      </w:pPr>
      <w:r>
        <w:rPr>
          <w:rFonts w:ascii="Arial" w:cs="Arial" w:eastAsia="Arial" w:hAnsi="Arial"/>
          <w:sz w:val="16"/>
          <w:szCs w:val="16"/>
          <w:color w:val="auto"/>
        </w:rPr>
        <w:t>Ms. Madeleine A. Kleiner has served as the Lead Independent Director of the Board of Directors of Northrop Grumman Corporation since December 2022. She served as Executive Vice President, General Counsel and Corporate Secretary for Hilton Hotels Corporation from January 2001 until February 2008. From 1999 through 2001, she served as a director of a number of Merrill Lynch mutual funds operating under the Hotchkis and Wiley name. From 1995 to 1998, she served as Senior Executive Vice President, Chief Administrative Officer and General Counsel of H. F. Ahmanson &amp; Company and its subsidiary, Home Savings of America. Prior to that, she was a partner at the law firm of Gibson, Dunn &amp; Crutcher, where she advised corporations and their boards primarily in the areas of mergers and acquisitions, corporate governance, and securities transactions and compliance.</w:t>
      </w:r>
    </w:p>
    <w:p>
      <w:pPr>
        <w:spacing w:after="0" w:line="8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104" w:lineRule="exact"/>
        <w:rPr>
          <w:sz w:val="20"/>
          <w:szCs w:val="20"/>
          <w:color w:val="auto"/>
        </w:rPr>
      </w:pPr>
    </w:p>
    <w:p>
      <w:pPr>
        <w:ind w:left="201" w:hanging="201"/>
        <w:spacing w:after="0" w:line="299" w:lineRule="auto"/>
        <w:tabs>
          <w:tab w:leader="none" w:pos="144" w:val="left"/>
        </w:tabs>
        <w:numPr>
          <w:ilvl w:val="0"/>
          <w:numId w:val="26"/>
        </w:numPr>
        <w:rPr>
          <w:rFonts w:ascii="Arial" w:cs="Arial" w:eastAsia="Arial" w:hAnsi="Arial"/>
          <w:sz w:val="16"/>
          <w:szCs w:val="16"/>
          <w:b w:val="1"/>
          <w:bCs w:val="1"/>
          <w:color w:val="29378D"/>
        </w:rPr>
      </w:pPr>
      <w:r>
        <w:rPr>
          <w:rFonts w:ascii="Arial" w:cs="Arial" w:eastAsia="Arial" w:hAnsi="Arial"/>
          <w:sz w:val="16"/>
          <w:szCs w:val="16"/>
          <w:color w:val="auto"/>
        </w:rPr>
        <w:t>Expertise in corporate governance and corporate responsibility, Sarbanes-Oxley controls, risk management, securities transactions and mergers and acquisitions</w:t>
      </w:r>
    </w:p>
    <w:p>
      <w:pPr>
        <w:ind w:left="201" w:right="400" w:hanging="201"/>
        <w:spacing w:after="0" w:line="304" w:lineRule="auto"/>
        <w:tabs>
          <w:tab w:leader="none" w:pos="144" w:val="left"/>
        </w:tabs>
        <w:numPr>
          <w:ilvl w:val="0"/>
          <w:numId w:val="26"/>
        </w:numPr>
        <w:rPr>
          <w:rFonts w:ascii="Arial" w:cs="Arial" w:eastAsia="Arial" w:hAnsi="Arial"/>
          <w:sz w:val="16"/>
          <w:szCs w:val="16"/>
          <w:b w:val="1"/>
          <w:bCs w:val="1"/>
          <w:color w:val="29378D"/>
        </w:rPr>
      </w:pPr>
      <w:r>
        <w:rPr>
          <w:rFonts w:ascii="Arial" w:cs="Arial" w:eastAsia="Arial" w:hAnsi="Arial"/>
          <w:sz w:val="16"/>
          <w:szCs w:val="16"/>
          <w:color w:val="auto"/>
        </w:rPr>
        <w:t>Significant experience from past roles as general counsel for two public companies, outside counsel to numerous public companies and through service on another public company board</w:t>
      </w:r>
    </w:p>
    <w:p>
      <w:pPr>
        <w:spacing w:after="0" w:line="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26"/>
        </w:numPr>
        <w:rPr>
          <w:rFonts w:ascii="Arial" w:cs="Arial" w:eastAsia="Arial" w:hAnsi="Arial"/>
          <w:sz w:val="16"/>
          <w:szCs w:val="16"/>
          <w:b w:val="1"/>
          <w:bCs w:val="1"/>
          <w:color w:val="29378D"/>
        </w:rPr>
      </w:pPr>
      <w:r>
        <w:rPr>
          <w:rFonts w:ascii="Arial" w:cs="Arial" w:eastAsia="Arial" w:hAnsi="Arial"/>
          <w:sz w:val="16"/>
          <w:szCs w:val="16"/>
          <w:color w:val="auto"/>
        </w:rPr>
        <w:t>Substantial international experience as an executive officer of a large company with global operations</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18" w:lineRule="exact"/>
        <w:rPr>
          <w:sz w:val="20"/>
          <w:szCs w:val="20"/>
          <w:color w:val="auto"/>
        </w:rPr>
      </w:pPr>
    </w:p>
    <w:p>
      <w:pPr>
        <w:ind w:left="141" w:hanging="141"/>
        <w:spacing w:after="0"/>
        <w:tabs>
          <w:tab w:leader="none" w:pos="141" w:val="left"/>
        </w:tabs>
        <w:numPr>
          <w:ilvl w:val="0"/>
          <w:numId w:val="27"/>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Jack in the Box Inc.</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SELECTED DIRECTORSHIPS AND MEMBERSHIPS</w:t>
      </w:r>
    </w:p>
    <w:p>
      <w:pPr>
        <w:spacing w:after="0" w:line="118" w:lineRule="exact"/>
        <w:rPr>
          <w:sz w:val="20"/>
          <w:szCs w:val="20"/>
          <w:color w:val="auto"/>
        </w:rPr>
      </w:pPr>
    </w:p>
    <w:p>
      <w:pPr>
        <w:ind w:left="141" w:hanging="141"/>
        <w:spacing w:after="0"/>
        <w:tabs>
          <w:tab w:leader="none" w:pos="141" w:val="left"/>
        </w:tabs>
        <w:numPr>
          <w:ilvl w:val="0"/>
          <w:numId w:val="28"/>
        </w:numPr>
        <w:rPr>
          <w:rFonts w:ascii="Arial" w:cs="Arial" w:eastAsia="Arial" w:hAnsi="Arial"/>
          <w:sz w:val="16"/>
          <w:szCs w:val="16"/>
          <w:b w:val="1"/>
          <w:bCs w:val="1"/>
          <w:color w:val="29378D"/>
        </w:rPr>
      </w:pPr>
      <w:r>
        <w:rPr>
          <w:rFonts w:ascii="Arial" w:cs="Arial" w:eastAsia="Arial" w:hAnsi="Arial"/>
          <w:sz w:val="16"/>
          <w:szCs w:val="16"/>
          <w:color w:val="auto"/>
        </w:rPr>
        <w:t>Member of the Board of the Ladies Professional Golf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895350</wp:posOffset>
            </wp:positionV>
            <wp:extent cx="51517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51755" cy="8890"/>
                    </a:xfrm>
                    <a:prstGeom prst="rect">
                      <a:avLst/>
                    </a:prstGeom>
                    <a:noFill/>
                  </pic:spPr>
                </pic:pic>
              </a:graphicData>
            </a:graphic>
          </wp:anchor>
        </w:drawing>
      </w:r>
    </w:p>
    <w:p>
      <w:pPr>
        <w:spacing w:after="0" w:line="618" w:lineRule="exact"/>
        <w:rPr>
          <w:sz w:val="20"/>
          <w:szCs w:val="20"/>
          <w:color w:val="auto"/>
        </w:rPr>
      </w:pPr>
    </w:p>
    <w:p>
      <w:pPr>
        <w:sectPr>
          <w:pgSz w:w="11900" w:h="16838" w:orient="portrait"/>
          <w:cols w:equalWidth="0" w:num="2">
            <w:col w:w="2619" w:space="720"/>
            <w:col w:w="7861"/>
          </w:cols>
          <w:pgMar w:left="320" w:top="23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0" w:hanging="494"/>
        <w:spacing w:after="0"/>
        <w:tabs>
          <w:tab w:leader="none" w:pos="520" w:val="left"/>
        </w:tabs>
        <w:numPr>
          <w:ilvl w:val="0"/>
          <w:numId w:val="29"/>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1783080" cy="32918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8308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3"/>
          <w:szCs w:val="23"/>
          <w:color w:val="29378D"/>
        </w:rPr>
        <w:t>Arvind Krishna</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Chairman and Chief Executive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Officer, International Business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Machines Corporation (IBM)</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29378D"/>
        </w:rPr>
        <w:t>61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November 2022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Committee membership:</w:t>
      </w:r>
    </w:p>
    <w:p>
      <w:pPr>
        <w:spacing w:after="0" w:line="15" w:lineRule="exact"/>
        <w:rPr>
          <w:sz w:val="20"/>
          <w:szCs w:val="20"/>
          <w:color w:val="auto"/>
        </w:rPr>
      </w:pPr>
    </w:p>
    <w:p>
      <w:pPr>
        <w:ind w:right="339"/>
        <w:spacing w:after="0" w:line="263" w:lineRule="auto"/>
        <w:rPr>
          <w:sz w:val="20"/>
          <w:szCs w:val="20"/>
          <w:color w:val="auto"/>
        </w:rPr>
      </w:pPr>
      <w:r>
        <w:rPr>
          <w:rFonts w:ascii="Arial" w:cs="Arial" w:eastAsia="Arial" w:hAnsi="Arial"/>
          <w:sz w:val="16"/>
          <w:szCs w:val="16"/>
          <w:b w:val="1"/>
          <w:bCs w:val="1"/>
          <w:color w:val="29378D"/>
        </w:rPr>
        <w:t>Compensation and Human Capital Committee,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457200</wp:posOffset>
            </wp:positionV>
            <wp:extent cx="1783080" cy="33515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83080" cy="3351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 w:right="80"/>
        <w:spacing w:after="0" w:line="262" w:lineRule="auto"/>
        <w:rPr>
          <w:sz w:val="20"/>
          <w:szCs w:val="20"/>
          <w:color w:val="auto"/>
        </w:rPr>
      </w:pPr>
      <w:r>
        <w:rPr>
          <w:rFonts w:ascii="Arial" w:cs="Arial" w:eastAsia="Arial" w:hAnsi="Arial"/>
          <w:sz w:val="16"/>
          <w:szCs w:val="16"/>
          <w:color w:val="auto"/>
        </w:rPr>
        <w:t>Mr. Arvind Krishna has served as Chief Executive Officer of IBM and a member of IBM’s Board of Directors since April 2020. He was elected Chairman of IBM’s Board of Directors in December 2020. He joined IBM in 1990. Mr. Krishna led the IBM Cloud and Cognitive Software business unit from 2017 to April 2020 and was a principal architect of the acquisition of Red Hat, the largest acquisition in IBM’s history. Mr. Krishna also served as the director of IBM’s Research division from 2015 to 2020. Previously, he was general manager of IBM’s Systems and Technology Group, IBM’s development and manufacturing organization. Prior to that, he built and led many of IBM’s data-related businesses.</w:t>
      </w:r>
    </w:p>
    <w:p>
      <w:pPr>
        <w:spacing w:after="0" w:line="70"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118" w:lineRule="exact"/>
        <w:rPr>
          <w:sz w:val="20"/>
          <w:szCs w:val="20"/>
          <w:color w:val="auto"/>
        </w:rPr>
      </w:pPr>
    </w:p>
    <w:p>
      <w:pPr>
        <w:ind w:left="201" w:right="180" w:hanging="201"/>
        <w:spacing w:after="0" w:line="286" w:lineRule="auto"/>
        <w:tabs>
          <w:tab w:leader="none" w:pos="144" w:val="left"/>
        </w:tabs>
        <w:numPr>
          <w:ilvl w:val="0"/>
          <w:numId w:val="30"/>
        </w:numPr>
        <w:rPr>
          <w:rFonts w:ascii="Arial" w:cs="Arial" w:eastAsia="Arial" w:hAnsi="Arial"/>
          <w:sz w:val="16"/>
          <w:szCs w:val="16"/>
          <w:b w:val="1"/>
          <w:bCs w:val="1"/>
          <w:color w:val="29378D"/>
        </w:rPr>
      </w:pPr>
      <w:r>
        <w:rPr>
          <w:rFonts w:ascii="Arial" w:cs="Arial" w:eastAsia="Arial" w:hAnsi="Arial"/>
          <w:sz w:val="16"/>
          <w:szCs w:val="16"/>
          <w:color w:val="auto"/>
        </w:rPr>
        <w:t>Extensive global business and organizational leadership experience as the Chairman and Chief Executive Officer of a large multinational corporation</w:t>
      </w:r>
    </w:p>
    <w:p>
      <w:pPr>
        <w:spacing w:after="0" w:line="20"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0"/>
        </w:numPr>
        <w:rPr>
          <w:rFonts w:ascii="Arial" w:cs="Arial" w:eastAsia="Arial" w:hAnsi="Arial"/>
          <w:sz w:val="16"/>
          <w:szCs w:val="16"/>
          <w:b w:val="1"/>
          <w:bCs w:val="1"/>
          <w:color w:val="29378D"/>
        </w:rPr>
      </w:pPr>
      <w:r>
        <w:rPr>
          <w:rFonts w:ascii="Arial" w:cs="Arial" w:eastAsia="Arial" w:hAnsi="Arial"/>
          <w:sz w:val="16"/>
          <w:szCs w:val="16"/>
          <w:color w:val="auto"/>
        </w:rPr>
        <w:t>Deep knowledge of manufacturing and research, including in artificial intelligence and computing</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0"/>
        </w:numPr>
        <w:rPr>
          <w:rFonts w:ascii="Arial" w:cs="Arial" w:eastAsia="Arial" w:hAnsi="Arial"/>
          <w:sz w:val="16"/>
          <w:szCs w:val="16"/>
          <w:b w:val="1"/>
          <w:bCs w:val="1"/>
          <w:color w:val="29378D"/>
        </w:rPr>
      </w:pPr>
      <w:r>
        <w:rPr>
          <w:rFonts w:ascii="Arial" w:cs="Arial" w:eastAsia="Arial" w:hAnsi="Arial"/>
          <w:sz w:val="16"/>
          <w:szCs w:val="16"/>
          <w:color w:val="auto"/>
        </w:rPr>
        <w:t>Significant experience in cyber and digital transformation</w:t>
      </w:r>
    </w:p>
    <w:p>
      <w:pPr>
        <w:spacing w:after="0" w:line="72"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0"/>
        </w:numPr>
        <w:rPr>
          <w:rFonts w:ascii="Arial" w:cs="Arial" w:eastAsia="Arial" w:hAnsi="Arial"/>
          <w:sz w:val="16"/>
          <w:szCs w:val="16"/>
          <w:b w:val="1"/>
          <w:bCs w:val="1"/>
          <w:color w:val="29378D"/>
        </w:rPr>
      </w:pPr>
      <w:r>
        <w:rPr>
          <w:rFonts w:ascii="Arial" w:cs="Arial" w:eastAsia="Arial" w:hAnsi="Arial"/>
          <w:sz w:val="16"/>
          <w:szCs w:val="16"/>
          <w:color w:val="auto"/>
        </w:rPr>
        <w:t>Significant technology experience</w:t>
      </w:r>
    </w:p>
    <w:p>
      <w:pPr>
        <w:spacing w:after="0" w:line="131"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18" w:lineRule="exact"/>
        <w:rPr>
          <w:sz w:val="20"/>
          <w:szCs w:val="20"/>
          <w:color w:val="auto"/>
        </w:rPr>
      </w:pPr>
    </w:p>
    <w:p>
      <w:pPr>
        <w:ind w:left="141" w:hanging="141"/>
        <w:spacing w:after="0"/>
        <w:tabs>
          <w:tab w:leader="none" w:pos="141" w:val="left"/>
        </w:tabs>
        <w:numPr>
          <w:ilvl w:val="0"/>
          <w:numId w:val="31"/>
        </w:numPr>
        <w:rPr>
          <w:rFonts w:ascii="Arial" w:cs="Arial" w:eastAsia="Arial" w:hAnsi="Arial"/>
          <w:sz w:val="16"/>
          <w:szCs w:val="16"/>
          <w:b w:val="1"/>
          <w:bCs w:val="1"/>
          <w:color w:val="29378D"/>
        </w:rPr>
      </w:pPr>
      <w:r>
        <w:rPr>
          <w:rFonts w:ascii="Arial" w:cs="Arial" w:eastAsia="Arial" w:hAnsi="Arial"/>
          <w:sz w:val="16"/>
          <w:szCs w:val="16"/>
          <w:color w:val="auto"/>
        </w:rPr>
        <w:t>Chairman of the Board of Directors of IBM</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SELECTED DIRECTORSHIPS AND MEMBERSHIPS</w:t>
      </w:r>
    </w:p>
    <w:p>
      <w:pPr>
        <w:spacing w:after="0" w:line="118" w:lineRule="exact"/>
        <w:rPr>
          <w:sz w:val="20"/>
          <w:szCs w:val="20"/>
          <w:color w:val="auto"/>
        </w:rPr>
      </w:pPr>
    </w:p>
    <w:p>
      <w:pPr>
        <w:ind w:left="141" w:hanging="141"/>
        <w:spacing w:after="0"/>
        <w:tabs>
          <w:tab w:leader="none" w:pos="141" w:val="left"/>
        </w:tabs>
        <w:numPr>
          <w:ilvl w:val="0"/>
          <w:numId w:val="32"/>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the Federal Reserve Bank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569595</wp:posOffset>
            </wp:positionV>
            <wp:extent cx="51517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619" w:lineRule="exact"/>
        <w:rPr>
          <w:sz w:val="20"/>
          <w:szCs w:val="20"/>
          <w:color w:val="auto"/>
        </w:rPr>
      </w:pPr>
    </w:p>
    <w:p>
      <w:pPr>
        <w:sectPr>
          <w:pgSz w:w="11900" w:h="16838" w:orient="portrait"/>
          <w:cols w:equalWidth="0" w:num="2">
            <w:col w:w="2399" w:space="720"/>
            <w:col w:w="7901"/>
          </w:cols>
          <w:pgMar w:left="54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3"/>
          <w:szCs w:val="23"/>
          <w:color w:val="29378D"/>
        </w:rPr>
        <w:t>Graham N. Robinson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Stanley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Black &amp; Decker, Inc.,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President of STANLEY Industrial</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29378D"/>
        </w:rPr>
        <w:t>55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August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Committee membership: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Compensation and Human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Capital Committee, Policy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 w:right="60"/>
        <w:spacing w:after="0" w:line="262" w:lineRule="auto"/>
        <w:rPr>
          <w:sz w:val="20"/>
          <w:szCs w:val="20"/>
          <w:color w:val="auto"/>
        </w:rPr>
      </w:pPr>
      <w:r>
        <w:rPr>
          <w:rFonts w:ascii="Arial" w:cs="Arial" w:eastAsia="Arial" w:hAnsi="Arial"/>
          <w:sz w:val="16"/>
          <w:szCs w:val="16"/>
          <w:color w:val="auto"/>
        </w:rPr>
        <w:t>Mr. Graham N. Robinson has served as Senior Vice President &amp; President of STANLEY Industrial, a business segment of Stanley Black &amp; Decker, Inc., since April 2020. Prior to joining Stanley Black &amp; Decker, Mr. Robinson served as an executive with Honeywell for seven years, including roles as President of Honeywell Industrial Safety from 2018 to 2020, President of Honeywell Sensing and Internet of Things from 2016 to 2018, and Chief Marketing Officer of Honeywell’s Automation and Controls Solution division from 2014 to 2016.</w:t>
      </w:r>
    </w:p>
    <w:p>
      <w:pPr>
        <w:spacing w:after="0" w:line="270"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118" w:lineRule="exact"/>
        <w:rPr>
          <w:sz w:val="20"/>
          <w:szCs w:val="20"/>
          <w:color w:val="auto"/>
        </w:rPr>
      </w:pPr>
    </w:p>
    <w:p>
      <w:pPr>
        <w:ind w:left="201" w:right="80" w:hanging="201"/>
        <w:spacing w:after="0" w:line="299" w:lineRule="auto"/>
        <w:tabs>
          <w:tab w:leader="none" w:pos="144" w:val="left"/>
        </w:tabs>
        <w:numPr>
          <w:ilvl w:val="0"/>
          <w:numId w:val="33"/>
        </w:numPr>
        <w:rPr>
          <w:rFonts w:ascii="Arial" w:cs="Arial" w:eastAsia="Arial" w:hAnsi="Arial"/>
          <w:sz w:val="16"/>
          <w:szCs w:val="16"/>
          <w:b w:val="1"/>
          <w:bCs w:val="1"/>
          <w:color w:val="29378D"/>
        </w:rPr>
      </w:pPr>
      <w:r>
        <w:rPr>
          <w:rFonts w:ascii="Arial" w:cs="Arial" w:eastAsia="Arial" w:hAnsi="Arial"/>
          <w:sz w:val="16"/>
          <w:szCs w:val="16"/>
          <w:color w:val="auto"/>
        </w:rPr>
        <w:t>Broad industrial and technical experience, including his current and former roles as President of divisions of large public companies</w:t>
      </w:r>
    </w:p>
    <w:p>
      <w:pPr>
        <w:ind w:left="141" w:hanging="141"/>
        <w:spacing w:after="0"/>
        <w:tabs>
          <w:tab w:leader="none" w:pos="141" w:val="left"/>
        </w:tabs>
        <w:numPr>
          <w:ilvl w:val="0"/>
          <w:numId w:val="33"/>
        </w:numPr>
        <w:rPr>
          <w:rFonts w:ascii="Arial" w:cs="Arial" w:eastAsia="Arial" w:hAnsi="Arial"/>
          <w:sz w:val="16"/>
          <w:szCs w:val="16"/>
          <w:b w:val="1"/>
          <w:bCs w:val="1"/>
          <w:color w:val="29378D"/>
        </w:rPr>
      </w:pPr>
      <w:r>
        <w:rPr>
          <w:rFonts w:ascii="Arial" w:cs="Arial" w:eastAsia="Arial" w:hAnsi="Arial"/>
          <w:sz w:val="16"/>
          <w:szCs w:val="16"/>
          <w:color w:val="auto"/>
        </w:rPr>
        <w:t>Significant international experience as an executive of large multinational companies</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3"/>
        </w:numPr>
        <w:rPr>
          <w:rFonts w:ascii="Arial" w:cs="Arial" w:eastAsia="Arial" w:hAnsi="Arial"/>
          <w:sz w:val="16"/>
          <w:szCs w:val="16"/>
          <w:b w:val="1"/>
          <w:bCs w:val="1"/>
          <w:color w:val="29378D"/>
        </w:rPr>
      </w:pPr>
      <w:r>
        <w:rPr>
          <w:rFonts w:ascii="Arial" w:cs="Arial" w:eastAsia="Arial" w:hAnsi="Arial"/>
          <w:sz w:val="16"/>
          <w:szCs w:val="16"/>
          <w:color w:val="auto"/>
        </w:rPr>
        <w:t>Extensive senior leadership skills</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SELECTED DIRECTORSHIPS AND MEMBERSHIPS</w:t>
      </w:r>
    </w:p>
    <w:p>
      <w:pPr>
        <w:spacing w:after="0" w:line="118" w:lineRule="exact"/>
        <w:rPr>
          <w:sz w:val="20"/>
          <w:szCs w:val="20"/>
          <w:color w:val="auto"/>
        </w:rPr>
      </w:pPr>
    </w:p>
    <w:p>
      <w:pPr>
        <w:ind w:left="161" w:hanging="161"/>
        <w:spacing w:after="0"/>
        <w:tabs>
          <w:tab w:leader="none" w:pos="161" w:val="left"/>
        </w:tabs>
        <w:numPr>
          <w:ilvl w:val="0"/>
          <w:numId w:val="34"/>
        </w:numPr>
        <w:rPr>
          <w:rFonts w:ascii="Arial" w:cs="Arial" w:eastAsia="Arial" w:hAnsi="Arial"/>
          <w:sz w:val="16"/>
          <w:szCs w:val="16"/>
          <w:color w:val="29378D"/>
        </w:rPr>
      </w:pPr>
      <w:r>
        <w:rPr>
          <w:rFonts w:ascii="Arial" w:cs="Arial" w:eastAsia="Arial" w:hAnsi="Arial"/>
          <w:sz w:val="16"/>
          <w:szCs w:val="16"/>
          <w:color w:val="auto"/>
        </w:rPr>
        <w:t>Member of the Board of Directors of the Connecticut Business &amp; Industry Association</w:t>
      </w:r>
    </w:p>
    <w:p>
      <w:pPr>
        <w:spacing w:after="0" w:line="86" w:lineRule="exact"/>
        <w:rPr>
          <w:rFonts w:ascii="Arial" w:cs="Arial" w:eastAsia="Arial" w:hAnsi="Arial"/>
          <w:sz w:val="16"/>
          <w:szCs w:val="16"/>
          <w:color w:val="29378D"/>
        </w:rPr>
      </w:pPr>
    </w:p>
    <w:p>
      <w:pPr>
        <w:ind w:left="141" w:hanging="141"/>
        <w:spacing w:after="0"/>
        <w:tabs>
          <w:tab w:leader="none" w:pos="141" w:val="left"/>
        </w:tabs>
        <w:numPr>
          <w:ilvl w:val="0"/>
          <w:numId w:val="34"/>
        </w:numPr>
        <w:rPr>
          <w:rFonts w:ascii="Arial" w:cs="Arial" w:eastAsia="Arial" w:hAnsi="Arial"/>
          <w:sz w:val="16"/>
          <w:szCs w:val="16"/>
          <w:b w:val="1"/>
          <w:bCs w:val="1"/>
          <w:color w:val="29378D"/>
        </w:rPr>
      </w:pPr>
      <w:r>
        <w:rPr>
          <w:rFonts w:ascii="Arial" w:cs="Arial" w:eastAsia="Arial" w:hAnsi="Arial"/>
          <w:sz w:val="16"/>
          <w:szCs w:val="16"/>
          <w:color w:val="auto"/>
        </w:rPr>
        <w:t>Member of the Board of Trustees of the Manufacturers Alliance for Productivity and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1126490</wp:posOffset>
            </wp:positionV>
            <wp:extent cx="51517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51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5941" w:type="dxa"/>
        <w:tblCellMar>
          <w:top w:w="0" w:type="dxa"/>
          <w:left w:w="0" w:type="dxa"/>
          <w:bottom w:w="0" w:type="dxa"/>
          <w:right w:w="0" w:type="dxa"/>
        </w:tblCellMar>
      </w:tblPr>
      <w:tr>
        <w:trPr>
          <w:trHeight w:val="196"/>
        </w:trPr>
        <w:tc>
          <w:tcPr>
            <w:tcW w:w="1600" w:type="dxa"/>
            <w:vAlign w:val="bottom"/>
          </w:tcPr>
          <w:p>
            <w:pPr>
              <w:spacing w:after="0"/>
              <w:rPr>
                <w:sz w:val="20"/>
                <w:szCs w:val="20"/>
                <w:color w:val="auto"/>
              </w:rPr>
            </w:pPr>
            <w:r>
              <w:rPr>
                <w:rFonts w:ascii="Arial" w:cs="Arial" w:eastAsia="Arial" w:hAnsi="Arial"/>
                <w:sz w:val="14"/>
                <w:szCs w:val="14"/>
                <w:color w:val="auto"/>
              </w:rPr>
              <w:t>2024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-2127250</wp:posOffset>
            </wp:positionH>
            <wp:positionV relativeFrom="paragraph">
              <wp:posOffset>177165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99" w:space="720"/>
            <w:col w:w="7901"/>
          </w:cols>
          <w:pgMar w:left="540" w:top="238"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1783080" cy="35490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83080"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23"/>
          <w:szCs w:val="23"/>
          <w:color w:val="29378D"/>
        </w:rPr>
        <w:t>Kimberly A. Ross</w:t>
      </w:r>
    </w:p>
    <w:p>
      <w:pPr>
        <w:spacing w:after="0" w:line="131" w:lineRule="exact"/>
        <w:rPr>
          <w:sz w:val="20"/>
          <w:szCs w:val="20"/>
          <w:color w:val="auto"/>
        </w:rPr>
      </w:pPr>
    </w:p>
    <w:p>
      <w:pPr>
        <w:ind w:left="220" w:right="199"/>
        <w:spacing w:after="0" w:line="263" w:lineRule="auto"/>
        <w:rPr>
          <w:sz w:val="20"/>
          <w:szCs w:val="20"/>
          <w:color w:val="auto"/>
        </w:rPr>
      </w:pPr>
      <w:r>
        <w:rPr>
          <w:rFonts w:ascii="Arial" w:cs="Arial" w:eastAsia="Arial" w:hAnsi="Arial"/>
          <w:sz w:val="16"/>
          <w:szCs w:val="16"/>
          <w:color w:val="auto"/>
        </w:rPr>
        <w:t>Former Chief Financial Officer, WeWork and Baker Hughes</w:t>
      </w:r>
    </w:p>
    <w:p>
      <w:pPr>
        <w:ind w:left="220"/>
        <w:spacing w:after="0"/>
        <w:rPr>
          <w:sz w:val="20"/>
          <w:szCs w:val="20"/>
          <w:color w:val="auto"/>
        </w:rPr>
      </w:pPr>
      <w:r>
        <w:rPr>
          <w:rFonts w:ascii="Arial" w:cs="Arial" w:eastAsia="Arial" w:hAnsi="Arial"/>
          <w:sz w:val="16"/>
          <w:szCs w:val="16"/>
          <w:color w:val="auto"/>
        </w:rPr>
        <w:t>Company</w:t>
      </w:r>
    </w:p>
    <w:p>
      <w:pPr>
        <w:spacing w:after="0" w:line="1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0249C"/>
        </w:rPr>
        <w:t>58</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249C"/>
        </w:rPr>
        <w:t>March 2023</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Committee membership:</w:t>
      </w:r>
    </w:p>
    <w:p>
      <w:pPr>
        <w:spacing w:after="0" w:line="25" w:lineRule="exact"/>
        <w:rPr>
          <w:sz w:val="20"/>
          <w:szCs w:val="20"/>
          <w:color w:val="auto"/>
        </w:rPr>
      </w:pPr>
    </w:p>
    <w:p>
      <w:pPr>
        <w:ind w:left="220" w:right="339"/>
        <w:spacing w:after="0" w:line="296" w:lineRule="auto"/>
        <w:rPr>
          <w:sz w:val="20"/>
          <w:szCs w:val="20"/>
          <w:color w:val="auto"/>
        </w:rPr>
      </w:pPr>
      <w:r>
        <w:rPr>
          <w:rFonts w:ascii="Arial" w:cs="Arial" w:eastAsia="Arial" w:hAnsi="Arial"/>
          <w:sz w:val="16"/>
          <w:szCs w:val="16"/>
          <w:b w:val="1"/>
          <w:bCs w:val="1"/>
          <w:color w:val="29378D"/>
        </w:rPr>
        <w:t>Audit and Risk Committee,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646430</wp:posOffset>
            </wp:positionV>
            <wp:extent cx="1791335" cy="39604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91335" cy="3960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 w:right="20"/>
        <w:spacing w:after="0" w:line="265" w:lineRule="auto"/>
        <w:rPr>
          <w:sz w:val="20"/>
          <w:szCs w:val="20"/>
          <w:color w:val="auto"/>
        </w:rPr>
      </w:pPr>
      <w:r>
        <w:rPr>
          <w:rFonts w:ascii="Arial" w:cs="Arial" w:eastAsia="Arial" w:hAnsi="Arial"/>
          <w:sz w:val="16"/>
          <w:szCs w:val="16"/>
          <w:color w:val="auto"/>
        </w:rPr>
        <w:t>Ms. Kimberly A. Ross served as Chief Financial Officer of WeWork from March through October 2020. She served as Senior Vice President and Chief Financial Officer of Baker Hughes Company from 2014 to 2017. Ms. Ross was Executive Vice President and Chief Financial Officer of Avon Products, Inc. from 2011 to 2014. Prior to that, she served as the Executive Vice President and Chief Financial Officer of Royal Ahold N.V. from 2007 to 2011 and previously held a variety of senior management positions at Royal Ahold.</w:t>
      </w:r>
    </w:p>
    <w:p>
      <w:pPr>
        <w:spacing w:after="0" w:line="69"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118" w:lineRule="exact"/>
        <w:rPr>
          <w:sz w:val="20"/>
          <w:szCs w:val="20"/>
          <w:color w:val="auto"/>
        </w:rPr>
      </w:pPr>
    </w:p>
    <w:p>
      <w:pPr>
        <w:ind w:left="201" w:right="280" w:hanging="201"/>
        <w:spacing w:after="0" w:line="275" w:lineRule="auto"/>
        <w:tabs>
          <w:tab w:leader="none" w:pos="144" w:val="left"/>
        </w:tabs>
        <w:numPr>
          <w:ilvl w:val="0"/>
          <w:numId w:val="35"/>
        </w:numPr>
        <w:rPr>
          <w:rFonts w:ascii="Arial" w:cs="Arial" w:eastAsia="Arial" w:hAnsi="Arial"/>
          <w:sz w:val="16"/>
          <w:szCs w:val="16"/>
          <w:b w:val="1"/>
          <w:bCs w:val="1"/>
          <w:color w:val="29378D"/>
        </w:rPr>
      </w:pPr>
      <w:r>
        <w:rPr>
          <w:rFonts w:ascii="Arial" w:cs="Arial" w:eastAsia="Arial" w:hAnsi="Arial"/>
          <w:sz w:val="16"/>
          <w:szCs w:val="16"/>
          <w:color w:val="auto"/>
        </w:rPr>
        <w:t>Extensive experience through service as the Chief Financial Officer of large public companies, including expertise in financial reporting, internal auditing processes and managing corporate finance for global companies</w:t>
      </w:r>
    </w:p>
    <w:p>
      <w:pPr>
        <w:spacing w:after="0" w:line="29" w:lineRule="exact"/>
        <w:rPr>
          <w:rFonts w:ascii="Arial" w:cs="Arial" w:eastAsia="Arial" w:hAnsi="Arial"/>
          <w:sz w:val="16"/>
          <w:szCs w:val="16"/>
          <w:b w:val="1"/>
          <w:bCs w:val="1"/>
          <w:color w:val="29378D"/>
        </w:rPr>
      </w:pPr>
    </w:p>
    <w:p>
      <w:pPr>
        <w:ind w:left="201" w:right="20" w:hanging="201"/>
        <w:spacing w:after="0" w:line="286" w:lineRule="auto"/>
        <w:tabs>
          <w:tab w:leader="none" w:pos="144" w:val="left"/>
        </w:tabs>
        <w:numPr>
          <w:ilvl w:val="0"/>
          <w:numId w:val="35"/>
        </w:numPr>
        <w:rPr>
          <w:rFonts w:ascii="Arial" w:cs="Arial" w:eastAsia="Arial" w:hAnsi="Arial"/>
          <w:sz w:val="16"/>
          <w:szCs w:val="16"/>
          <w:b w:val="1"/>
          <w:bCs w:val="1"/>
          <w:color w:val="29378D"/>
        </w:rPr>
      </w:pPr>
      <w:r>
        <w:rPr>
          <w:rFonts w:ascii="Arial" w:cs="Arial" w:eastAsia="Arial" w:hAnsi="Arial"/>
          <w:sz w:val="16"/>
          <w:szCs w:val="16"/>
          <w:color w:val="auto"/>
        </w:rPr>
        <w:t>Significant international business experience through her service as an executive of large public companies with extensive international operations</w:t>
      </w:r>
    </w:p>
    <w:p>
      <w:pPr>
        <w:spacing w:after="0" w:line="20"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5"/>
        </w:numPr>
        <w:rPr>
          <w:rFonts w:ascii="Arial" w:cs="Arial" w:eastAsia="Arial" w:hAnsi="Arial"/>
          <w:sz w:val="16"/>
          <w:szCs w:val="16"/>
          <w:b w:val="1"/>
          <w:bCs w:val="1"/>
          <w:color w:val="29378D"/>
        </w:rPr>
      </w:pPr>
      <w:r>
        <w:rPr>
          <w:rFonts w:ascii="Arial" w:cs="Arial" w:eastAsia="Arial" w:hAnsi="Arial"/>
          <w:sz w:val="16"/>
          <w:szCs w:val="16"/>
          <w:color w:val="auto"/>
        </w:rPr>
        <w:t>Substantial senior leadership skills</w:t>
      </w:r>
    </w:p>
    <w:p>
      <w:pPr>
        <w:spacing w:after="0" w:line="72"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5"/>
        </w:numPr>
        <w:rPr>
          <w:rFonts w:ascii="Arial" w:cs="Arial" w:eastAsia="Arial" w:hAnsi="Arial"/>
          <w:sz w:val="16"/>
          <w:szCs w:val="16"/>
          <w:b w:val="1"/>
          <w:bCs w:val="1"/>
          <w:color w:val="29378D"/>
        </w:rPr>
      </w:pPr>
      <w:r>
        <w:rPr>
          <w:rFonts w:ascii="Arial" w:cs="Arial" w:eastAsia="Arial" w:hAnsi="Arial"/>
          <w:sz w:val="16"/>
          <w:szCs w:val="16"/>
          <w:color w:val="auto"/>
        </w:rPr>
        <w:t>Audit committee financial expert</w:t>
      </w:r>
    </w:p>
    <w:p>
      <w:pPr>
        <w:spacing w:after="0" w:line="131"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18" w:lineRule="exact"/>
        <w:rPr>
          <w:sz w:val="20"/>
          <w:szCs w:val="20"/>
          <w:color w:val="auto"/>
        </w:rPr>
      </w:pPr>
    </w:p>
    <w:p>
      <w:pPr>
        <w:ind w:left="141" w:hanging="141"/>
        <w:spacing w:after="0"/>
        <w:tabs>
          <w:tab w:leader="none" w:pos="141" w:val="left"/>
        </w:tabs>
        <w:numPr>
          <w:ilvl w:val="0"/>
          <w:numId w:val="36"/>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The Cigna Group</w:t>
      </w:r>
    </w:p>
    <w:p>
      <w:pPr>
        <w:spacing w:after="0" w:line="72" w:lineRule="exact"/>
        <w:rPr>
          <w:rFonts w:ascii="Arial" w:cs="Arial" w:eastAsia="Arial" w:hAnsi="Arial"/>
          <w:sz w:val="16"/>
          <w:szCs w:val="16"/>
          <w:b w:val="1"/>
          <w:bCs w:val="1"/>
          <w:color w:val="29378D"/>
        </w:rPr>
      </w:pPr>
    </w:p>
    <w:p>
      <w:pPr>
        <w:ind w:left="161" w:hanging="161"/>
        <w:spacing w:after="0"/>
        <w:tabs>
          <w:tab w:leader="none" w:pos="161" w:val="left"/>
        </w:tabs>
        <w:numPr>
          <w:ilvl w:val="0"/>
          <w:numId w:val="36"/>
        </w:numPr>
        <w:rPr>
          <w:rFonts w:ascii="Arial" w:cs="Arial" w:eastAsia="Arial" w:hAnsi="Arial"/>
          <w:sz w:val="16"/>
          <w:szCs w:val="16"/>
          <w:color w:val="29378D"/>
        </w:rPr>
      </w:pPr>
      <w:r>
        <w:rPr>
          <w:rFonts w:ascii="Arial" w:cs="Arial" w:eastAsia="Arial" w:hAnsi="Arial"/>
          <w:sz w:val="16"/>
          <w:szCs w:val="16"/>
          <w:color w:val="auto"/>
        </w:rPr>
        <w:t>Member of the Board of Directors of KKR &amp; Co. Inc.</w:t>
      </w:r>
    </w:p>
    <w:p>
      <w:pPr>
        <w:spacing w:after="0" w:line="86" w:lineRule="exact"/>
        <w:rPr>
          <w:rFonts w:ascii="Arial" w:cs="Arial" w:eastAsia="Arial" w:hAnsi="Arial"/>
          <w:sz w:val="16"/>
          <w:szCs w:val="16"/>
          <w:color w:val="29378D"/>
        </w:rPr>
      </w:pPr>
    </w:p>
    <w:p>
      <w:pPr>
        <w:ind w:left="141" w:hanging="141"/>
        <w:spacing w:after="0"/>
        <w:tabs>
          <w:tab w:leader="none" w:pos="141" w:val="left"/>
        </w:tabs>
        <w:numPr>
          <w:ilvl w:val="0"/>
          <w:numId w:val="36"/>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Nestlé S.A. (to April 2024)</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FORMER PUBLIC COMPANY DIRECTORSHIPS WITHIN THE LAST FIVE YEARS</w:t>
      </w:r>
    </w:p>
    <w:p>
      <w:pPr>
        <w:spacing w:after="0" w:line="118" w:lineRule="exact"/>
        <w:rPr>
          <w:sz w:val="20"/>
          <w:szCs w:val="20"/>
          <w:color w:val="auto"/>
        </w:rPr>
      </w:pPr>
    </w:p>
    <w:p>
      <w:pPr>
        <w:ind w:left="141" w:hanging="141"/>
        <w:spacing w:after="0"/>
        <w:tabs>
          <w:tab w:leader="none" w:pos="141" w:val="left"/>
        </w:tabs>
        <w:numPr>
          <w:ilvl w:val="0"/>
          <w:numId w:val="37"/>
        </w:numPr>
        <w:rPr>
          <w:rFonts w:ascii="Arial" w:cs="Arial" w:eastAsia="Arial" w:hAnsi="Arial"/>
          <w:sz w:val="16"/>
          <w:szCs w:val="16"/>
          <w:b w:val="1"/>
          <w:bCs w:val="1"/>
          <w:color w:val="00249C"/>
        </w:rPr>
      </w:pPr>
      <w:r>
        <w:rPr>
          <w:rFonts w:ascii="Arial" w:cs="Arial" w:eastAsia="Arial" w:hAnsi="Arial"/>
          <w:sz w:val="16"/>
          <w:szCs w:val="16"/>
          <w:color w:val="auto"/>
        </w:rPr>
        <w:t>Member of the Board of Directors of Chubb Limited</w:t>
      </w:r>
    </w:p>
    <w:p>
      <w:pPr>
        <w:spacing w:after="0" w:line="86" w:lineRule="exact"/>
        <w:rPr>
          <w:rFonts w:ascii="Arial" w:cs="Arial" w:eastAsia="Arial" w:hAnsi="Arial"/>
          <w:sz w:val="16"/>
          <w:szCs w:val="16"/>
          <w:b w:val="1"/>
          <w:bCs w:val="1"/>
          <w:color w:val="00249C"/>
        </w:rPr>
      </w:pPr>
    </w:p>
    <w:p>
      <w:pPr>
        <w:ind w:left="141" w:hanging="141"/>
        <w:spacing w:after="0"/>
        <w:tabs>
          <w:tab w:leader="none" w:pos="141" w:val="left"/>
        </w:tabs>
        <w:numPr>
          <w:ilvl w:val="0"/>
          <w:numId w:val="37"/>
        </w:numPr>
        <w:rPr>
          <w:rFonts w:ascii="Arial" w:cs="Arial" w:eastAsia="Arial" w:hAnsi="Arial"/>
          <w:sz w:val="16"/>
          <w:szCs w:val="16"/>
          <w:b w:val="1"/>
          <w:bCs w:val="1"/>
          <w:color w:val="00249C"/>
        </w:rPr>
      </w:pPr>
      <w:r>
        <w:rPr>
          <w:rFonts w:ascii="Arial" w:cs="Arial" w:eastAsia="Arial" w:hAnsi="Arial"/>
          <w:sz w:val="16"/>
          <w:szCs w:val="16"/>
          <w:color w:val="auto"/>
        </w:rPr>
        <w:t>Member of the Board of Directors of KKR Acquisition Holdings I Corp.</w:t>
      </w:r>
    </w:p>
    <w:p>
      <w:pPr>
        <w:spacing w:after="0" w:line="86" w:lineRule="exact"/>
        <w:rPr>
          <w:rFonts w:ascii="Arial" w:cs="Arial" w:eastAsia="Arial" w:hAnsi="Arial"/>
          <w:sz w:val="16"/>
          <w:szCs w:val="16"/>
          <w:b w:val="1"/>
          <w:bCs w:val="1"/>
          <w:color w:val="00249C"/>
        </w:rPr>
      </w:pPr>
    </w:p>
    <w:p>
      <w:pPr>
        <w:ind w:left="141" w:hanging="141"/>
        <w:spacing w:after="0"/>
        <w:tabs>
          <w:tab w:leader="none" w:pos="141" w:val="left"/>
        </w:tabs>
        <w:numPr>
          <w:ilvl w:val="0"/>
          <w:numId w:val="37"/>
        </w:numPr>
        <w:rPr>
          <w:rFonts w:ascii="Arial" w:cs="Arial" w:eastAsia="Arial" w:hAnsi="Arial"/>
          <w:sz w:val="16"/>
          <w:szCs w:val="16"/>
          <w:b w:val="1"/>
          <w:bCs w:val="1"/>
          <w:color w:val="00249C"/>
        </w:rPr>
      </w:pPr>
      <w:r>
        <w:rPr>
          <w:rFonts w:ascii="Arial" w:cs="Arial" w:eastAsia="Arial" w:hAnsi="Arial"/>
          <w:sz w:val="16"/>
          <w:szCs w:val="16"/>
          <w:color w:val="auto"/>
        </w:rPr>
        <w:t>Member of the Board of Directors of PQ Group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149225</wp:posOffset>
            </wp:positionV>
            <wp:extent cx="51517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19" w:space="720"/>
            <w:col w:w="7841"/>
          </w:cols>
          <w:pgMar w:left="320" w:top="23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20"/>
        <w:spacing w:after="0"/>
        <w:rPr>
          <w:sz w:val="20"/>
          <w:szCs w:val="20"/>
          <w:color w:val="auto"/>
        </w:rPr>
      </w:pPr>
      <w:r>
        <w:rPr>
          <w:rFonts w:ascii="Arial" w:cs="Arial" w:eastAsia="Arial" w:hAnsi="Arial"/>
          <w:sz w:val="23"/>
          <w:szCs w:val="23"/>
          <w:color w:val="29378D"/>
        </w:rPr>
        <w:t>Gary Roughead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Admiral, United States Navy</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(Ret.) and Former Chief of Naval</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Operations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0249C"/>
        </w:rPr>
        <w:t>72</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249C"/>
        </w:rPr>
        <w:t>February 2012</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Committee membership:</w:t>
      </w:r>
    </w:p>
    <w:p>
      <w:pPr>
        <w:spacing w:after="0" w:line="25" w:lineRule="exact"/>
        <w:rPr>
          <w:sz w:val="20"/>
          <w:szCs w:val="20"/>
          <w:color w:val="auto"/>
        </w:rPr>
      </w:pPr>
    </w:p>
    <w:p>
      <w:pPr>
        <w:ind w:left="220" w:right="339"/>
        <w:spacing w:after="0" w:line="271" w:lineRule="auto"/>
        <w:rPr>
          <w:sz w:val="20"/>
          <w:szCs w:val="20"/>
          <w:color w:val="auto"/>
        </w:rPr>
      </w:pPr>
      <w:r>
        <w:rPr>
          <w:rFonts w:ascii="Arial" w:cs="Arial" w:eastAsia="Arial" w:hAnsi="Arial"/>
          <w:sz w:val="16"/>
          <w:szCs w:val="16"/>
          <w:b w:val="1"/>
          <w:bCs w:val="1"/>
          <w:color w:val="00249C"/>
        </w:rPr>
        <w:t>Compensation and Human Capital Committee, Policy Committee (Chair)</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left="1" w:right="80"/>
        <w:spacing w:after="0" w:line="247" w:lineRule="auto"/>
        <w:rPr>
          <w:sz w:val="20"/>
          <w:szCs w:val="20"/>
          <w:color w:val="auto"/>
        </w:rPr>
      </w:pPr>
      <w:r>
        <w:rPr>
          <w:rFonts w:ascii="Arial" w:cs="Arial" w:eastAsia="Arial" w:hAnsi="Arial"/>
          <w:sz w:val="16"/>
          <w:szCs w:val="16"/>
          <w:color w:val="auto"/>
        </w:rPr>
        <w:t>Admiral Gary Roughead retired from his position as the 29th Chief of Naval Operations in September 2011, after serving in that position for four years. The Chief of Naval Operations is the senior military position in the United States Navy. As Chief of Naval Operations, Admiral Roughead stabilized and accelerated ship and aircraft procurement plans and the Navy’s capability and capacity in ballistic missile defense and unmanned air and underwater systems. He restructured the Navy to address the challenges and opportunities in cyber operations. Prior to becoming the Chief of Naval Operations, he held six operational commands (including commanding both the Atlantic and Pacific Fleets). Admiral Roughead is a Robert and Marion Oster Distinguished Military Fellow at the Hoover Institution.</w:t>
      </w:r>
    </w:p>
    <w:p>
      <w:pPr>
        <w:spacing w:after="0" w:line="97"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64" w:lineRule="exact"/>
        <w:rPr>
          <w:sz w:val="20"/>
          <w:szCs w:val="20"/>
          <w:color w:val="auto"/>
        </w:rPr>
      </w:pPr>
    </w:p>
    <w:p>
      <w:pPr>
        <w:ind w:left="201" w:right="260" w:hanging="201"/>
        <w:spacing w:after="0" w:line="286" w:lineRule="auto"/>
        <w:tabs>
          <w:tab w:leader="none" w:pos="144" w:val="left"/>
        </w:tabs>
        <w:numPr>
          <w:ilvl w:val="0"/>
          <w:numId w:val="38"/>
        </w:numPr>
        <w:rPr>
          <w:rFonts w:ascii="Arial" w:cs="Arial" w:eastAsia="Arial" w:hAnsi="Arial"/>
          <w:sz w:val="16"/>
          <w:szCs w:val="16"/>
          <w:b w:val="1"/>
          <w:bCs w:val="1"/>
          <w:color w:val="29378D"/>
        </w:rPr>
      </w:pPr>
      <w:r>
        <w:rPr>
          <w:rFonts w:ascii="Arial" w:cs="Arial" w:eastAsia="Arial" w:hAnsi="Arial"/>
          <w:sz w:val="16"/>
          <w:szCs w:val="16"/>
          <w:color w:val="auto"/>
        </w:rPr>
        <w:t>Extensive career as a senior military officer with the United States Navy, including numerous operational commands, as well as leadership positions, most recently as the 29th Chief of Naval Operations</w:t>
      </w:r>
    </w:p>
    <w:p>
      <w:pPr>
        <w:spacing w:after="0" w:line="7"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8"/>
        </w:numPr>
        <w:rPr>
          <w:rFonts w:ascii="Arial" w:cs="Arial" w:eastAsia="Arial" w:hAnsi="Arial"/>
          <w:sz w:val="16"/>
          <w:szCs w:val="16"/>
          <w:b w:val="1"/>
          <w:bCs w:val="1"/>
          <w:color w:val="29378D"/>
        </w:rPr>
      </w:pPr>
      <w:r>
        <w:rPr>
          <w:rFonts w:ascii="Arial" w:cs="Arial" w:eastAsia="Arial" w:hAnsi="Arial"/>
          <w:sz w:val="16"/>
          <w:szCs w:val="16"/>
          <w:color w:val="auto"/>
        </w:rPr>
        <w:t>Significant expertise in national security, information warfare, cyber operations and global security issues</w:t>
      </w:r>
    </w:p>
    <w:p>
      <w:pPr>
        <w:spacing w:after="0" w:line="72" w:lineRule="exact"/>
        <w:rPr>
          <w:rFonts w:ascii="Arial" w:cs="Arial" w:eastAsia="Arial" w:hAnsi="Arial"/>
          <w:sz w:val="16"/>
          <w:szCs w:val="16"/>
          <w:b w:val="1"/>
          <w:bCs w:val="1"/>
          <w:color w:val="29378D"/>
        </w:rPr>
      </w:pPr>
    </w:p>
    <w:p>
      <w:pPr>
        <w:ind w:left="201" w:hanging="201"/>
        <w:spacing w:after="0" w:line="286" w:lineRule="auto"/>
        <w:tabs>
          <w:tab w:leader="none" w:pos="144" w:val="left"/>
        </w:tabs>
        <w:numPr>
          <w:ilvl w:val="0"/>
          <w:numId w:val="38"/>
        </w:numPr>
        <w:rPr>
          <w:rFonts w:ascii="Arial" w:cs="Arial" w:eastAsia="Arial" w:hAnsi="Arial"/>
          <w:sz w:val="16"/>
          <w:szCs w:val="16"/>
          <w:b w:val="1"/>
          <w:bCs w:val="1"/>
          <w:color w:val="29378D"/>
        </w:rPr>
      </w:pPr>
      <w:r>
        <w:rPr>
          <w:rFonts w:ascii="Arial" w:cs="Arial" w:eastAsia="Arial" w:hAnsi="Arial"/>
          <w:sz w:val="16"/>
          <w:szCs w:val="16"/>
          <w:color w:val="auto"/>
        </w:rPr>
        <w:t>Broad experience in leadership and matters of global relations, particularly in the Pacific region, Europe and the Middle East</w:t>
      </w:r>
    </w:p>
    <w:p>
      <w:pPr>
        <w:spacing w:after="0" w:line="7"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8"/>
        </w:numPr>
        <w:rPr>
          <w:rFonts w:ascii="Arial" w:cs="Arial" w:eastAsia="Arial" w:hAnsi="Arial"/>
          <w:sz w:val="16"/>
          <w:szCs w:val="16"/>
          <w:b w:val="1"/>
          <w:bCs w:val="1"/>
          <w:color w:val="29378D"/>
        </w:rPr>
      </w:pPr>
      <w:r>
        <w:rPr>
          <w:rFonts w:ascii="Arial" w:cs="Arial" w:eastAsia="Arial" w:hAnsi="Arial"/>
          <w:sz w:val="16"/>
          <w:szCs w:val="16"/>
          <w:color w:val="auto"/>
        </w:rPr>
        <w:t>Experience with talent development and management</w:t>
      </w:r>
    </w:p>
    <w:p>
      <w:pPr>
        <w:spacing w:after="0" w:line="131"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SELECTED DIRECTORSHIPS AND MEMBERSHIPS</w:t>
      </w:r>
    </w:p>
    <w:p>
      <w:pPr>
        <w:spacing w:after="0" w:line="104" w:lineRule="exact"/>
        <w:rPr>
          <w:sz w:val="20"/>
          <w:szCs w:val="20"/>
          <w:color w:val="auto"/>
        </w:rPr>
      </w:pPr>
    </w:p>
    <w:p>
      <w:pPr>
        <w:ind w:left="141" w:hanging="141"/>
        <w:spacing w:after="0"/>
        <w:tabs>
          <w:tab w:leader="none" w:pos="141" w:val="left"/>
        </w:tabs>
        <w:numPr>
          <w:ilvl w:val="0"/>
          <w:numId w:val="39"/>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Maersk Line, Limited</w:t>
      </w:r>
    </w:p>
    <w:p>
      <w:pPr>
        <w:spacing w:after="0" w:line="72"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9"/>
        </w:numPr>
        <w:rPr>
          <w:rFonts w:ascii="Arial" w:cs="Arial" w:eastAsia="Arial" w:hAnsi="Arial"/>
          <w:sz w:val="16"/>
          <w:szCs w:val="16"/>
          <w:b w:val="1"/>
          <w:bCs w:val="1"/>
          <w:color w:val="29378D"/>
        </w:rPr>
      </w:pPr>
      <w:r>
        <w:rPr>
          <w:rFonts w:ascii="Arial" w:cs="Arial" w:eastAsia="Arial" w:hAnsi="Arial"/>
          <w:sz w:val="16"/>
          <w:szCs w:val="16"/>
          <w:color w:val="auto"/>
        </w:rPr>
        <w:t>Trustee of the Dodge and Cox Funds</w:t>
      </w:r>
    </w:p>
    <w:p>
      <w:pPr>
        <w:spacing w:after="0" w:line="72"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9"/>
        </w:numPr>
        <w:rPr>
          <w:rFonts w:ascii="Arial" w:cs="Arial" w:eastAsia="Arial" w:hAnsi="Arial"/>
          <w:sz w:val="16"/>
          <w:szCs w:val="16"/>
          <w:b w:val="1"/>
          <w:bCs w:val="1"/>
          <w:color w:val="29378D"/>
        </w:rPr>
      </w:pPr>
      <w:r>
        <w:rPr>
          <w:rFonts w:ascii="Arial" w:cs="Arial" w:eastAsia="Arial" w:hAnsi="Arial"/>
          <w:sz w:val="16"/>
          <w:szCs w:val="16"/>
          <w:color w:val="auto"/>
        </w:rPr>
        <w:t>Trustee of Johns Hopkins University</w:t>
      </w:r>
    </w:p>
    <w:p>
      <w:pPr>
        <w:spacing w:after="0" w:line="72"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9"/>
        </w:numPr>
        <w:rPr>
          <w:rFonts w:ascii="Arial" w:cs="Arial" w:eastAsia="Arial" w:hAnsi="Arial"/>
          <w:sz w:val="16"/>
          <w:szCs w:val="16"/>
          <w:b w:val="1"/>
          <w:bCs w:val="1"/>
          <w:color w:val="29378D"/>
        </w:rPr>
      </w:pPr>
      <w:r>
        <w:rPr>
          <w:rFonts w:ascii="Arial" w:cs="Arial" w:eastAsia="Arial" w:hAnsi="Arial"/>
          <w:sz w:val="16"/>
          <w:szCs w:val="16"/>
          <w:color w:val="auto"/>
        </w:rPr>
        <w:t>Member of the Board of Managers of the Johns Hopkins University Applied Physics Laboratory</w:t>
      </w:r>
    </w:p>
    <w:p>
      <w:pPr>
        <w:spacing w:after="0" w:line="72" w:lineRule="exact"/>
        <w:rPr>
          <w:rFonts w:ascii="Arial" w:cs="Arial" w:eastAsia="Arial" w:hAnsi="Arial"/>
          <w:sz w:val="16"/>
          <w:szCs w:val="16"/>
          <w:b w:val="1"/>
          <w:bCs w:val="1"/>
          <w:color w:val="29378D"/>
        </w:rPr>
      </w:pPr>
    </w:p>
    <w:p>
      <w:pPr>
        <w:ind w:left="141" w:hanging="141"/>
        <w:spacing w:after="0"/>
        <w:tabs>
          <w:tab w:leader="none" w:pos="141" w:val="left"/>
        </w:tabs>
        <w:numPr>
          <w:ilvl w:val="0"/>
          <w:numId w:val="39"/>
        </w:numPr>
        <w:rPr>
          <w:rFonts w:ascii="Arial" w:cs="Arial" w:eastAsia="Arial" w:hAnsi="Arial"/>
          <w:sz w:val="16"/>
          <w:szCs w:val="16"/>
          <w:b w:val="1"/>
          <w:bCs w:val="1"/>
          <w:color w:val="29378D"/>
        </w:rPr>
      </w:pPr>
      <w:r>
        <w:rPr>
          <w:rFonts w:ascii="Arial" w:cs="Arial" w:eastAsia="Arial" w:hAnsi="Arial"/>
          <w:sz w:val="16"/>
          <w:szCs w:val="16"/>
          <w:color w:val="auto"/>
        </w:rPr>
        <w:t>Former Chairman of the Board of Directors of Fincantieri Marinette Marine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826770</wp:posOffset>
            </wp:positionV>
            <wp:extent cx="51517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517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19" w:space="720"/>
            <w:col w:w="7841"/>
          </w:cols>
          <w:pgMar w:left="320" w:top="238"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 w:hanging="494"/>
        <w:spacing w:after="0"/>
        <w:tabs>
          <w:tab w:leader="none" w:pos="520" w:val="left"/>
        </w:tabs>
        <w:numPr>
          <w:ilvl w:val="0"/>
          <w:numId w:val="40"/>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8" w:right="39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1791335" cy="37287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91335"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3"/>
          <w:szCs w:val="23"/>
          <w:color w:val="29378D"/>
        </w:rPr>
        <w:t>Thomas M. Schoewe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Former Executive Vice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Financial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Officer, Wal-Mart Stores, Inc.</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29378D"/>
        </w:rPr>
        <w:t>71</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August 2011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Committee membership:</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Audit and Risk Committee</w:t>
      </w:r>
    </w:p>
    <w:p>
      <w:pPr>
        <w:spacing w:after="0" w:line="35" w:lineRule="exact"/>
        <w:rPr>
          <w:sz w:val="20"/>
          <w:szCs w:val="20"/>
          <w:color w:val="auto"/>
        </w:rPr>
      </w:pPr>
    </w:p>
    <w:p>
      <w:pPr>
        <w:ind w:right="559"/>
        <w:spacing w:after="0" w:line="261" w:lineRule="auto"/>
        <w:rPr>
          <w:sz w:val="20"/>
          <w:szCs w:val="20"/>
          <w:color w:val="auto"/>
        </w:rPr>
      </w:pPr>
      <w:r>
        <w:rPr>
          <w:rFonts w:ascii="Arial" w:cs="Arial" w:eastAsia="Arial" w:hAnsi="Arial"/>
          <w:sz w:val="16"/>
          <w:szCs w:val="16"/>
          <w:b w:val="1"/>
          <w:bCs w:val="1"/>
          <w:color w:val="29378D"/>
        </w:rPr>
        <w:t>(Chair),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715010</wp:posOffset>
            </wp:positionV>
            <wp:extent cx="1791335" cy="34290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9133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3"/>
          <w:szCs w:val="23"/>
          <w:color w:val="29378D"/>
        </w:rPr>
        <w:t>James S. Turley</w:t>
      </w:r>
    </w:p>
    <w:p>
      <w:pPr>
        <w:spacing w:after="0" w:line="117" w:lineRule="exact"/>
        <w:rPr>
          <w:sz w:val="20"/>
          <w:szCs w:val="20"/>
          <w:color w:val="auto"/>
        </w:rPr>
      </w:pPr>
    </w:p>
    <w:p>
      <w:pPr>
        <w:ind w:right="59"/>
        <w:spacing w:after="0" w:line="304" w:lineRule="auto"/>
        <w:rPr>
          <w:sz w:val="20"/>
          <w:szCs w:val="20"/>
          <w:color w:val="auto"/>
        </w:rPr>
      </w:pPr>
      <w:r>
        <w:rPr>
          <w:rFonts w:ascii="Arial" w:cs="Arial" w:eastAsia="Arial" w:hAnsi="Arial"/>
          <w:sz w:val="16"/>
          <w:szCs w:val="16"/>
          <w:color w:val="auto"/>
        </w:rPr>
        <w:t>Former Chairman and Chief Executive Officer, Ernst &amp; Young</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0249C"/>
        </w:rPr>
        <w:t>68</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Director since: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249C"/>
        </w:rPr>
        <w:t>February 2015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Committee membership:</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00249C"/>
        </w:rPr>
        <w:t>Audit and Risk Committee,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00249C"/>
        </w:rPr>
        <w:t>Nominating and Corporate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249C"/>
        </w:rPr>
        <w:t>Governance Committee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 w:right="260"/>
        <w:spacing w:after="0" w:line="275" w:lineRule="auto"/>
        <w:rPr>
          <w:sz w:val="20"/>
          <w:szCs w:val="20"/>
          <w:color w:val="auto"/>
        </w:rPr>
      </w:pPr>
      <w:r>
        <w:rPr>
          <w:rFonts w:ascii="Arial" w:cs="Arial" w:eastAsia="Arial" w:hAnsi="Arial"/>
          <w:sz w:val="16"/>
          <w:szCs w:val="16"/>
          <w:color w:val="auto"/>
        </w:rPr>
        <w:t>Mr. Thomas M. Schoewe was Executive Vice President and Chief Financial Officer of Wal-Mart Stores, Inc. from 2000 to 2011. Prior to his employment with Wal-Mart, he held several leadership roles at the Black &amp; Decker Corporation.</w:t>
      </w:r>
    </w:p>
    <w:p>
      <w:pPr>
        <w:spacing w:after="0" w:line="61"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118" w:lineRule="exact"/>
        <w:rPr>
          <w:sz w:val="20"/>
          <w:szCs w:val="20"/>
          <w:color w:val="auto"/>
        </w:rPr>
      </w:pPr>
    </w:p>
    <w:p>
      <w:pPr>
        <w:ind w:left="201" w:right="120" w:hanging="201"/>
        <w:spacing w:after="0" w:line="275" w:lineRule="auto"/>
        <w:tabs>
          <w:tab w:leader="none" w:pos="144" w:val="left"/>
        </w:tabs>
        <w:numPr>
          <w:ilvl w:val="0"/>
          <w:numId w:val="41"/>
        </w:numPr>
        <w:rPr>
          <w:rFonts w:ascii="Arial" w:cs="Arial" w:eastAsia="Arial" w:hAnsi="Arial"/>
          <w:sz w:val="16"/>
          <w:szCs w:val="16"/>
          <w:b w:val="1"/>
          <w:bCs w:val="1"/>
          <w:color w:val="29378D"/>
        </w:rPr>
      </w:pPr>
      <w:r>
        <w:rPr>
          <w:rFonts w:ascii="Arial" w:cs="Arial" w:eastAsia="Arial" w:hAnsi="Arial"/>
          <w:sz w:val="16"/>
          <w:szCs w:val="16"/>
          <w:color w:val="auto"/>
        </w:rPr>
        <w:t>Extensive financial experience acquired through positions held as the Chief Financial Officer of large public companies, as well as expertise in Sarbanes-Oxley controls, risk management and mergers and acquisitions</w:t>
      </w:r>
    </w:p>
    <w:p>
      <w:pPr>
        <w:spacing w:after="0" w:line="15" w:lineRule="exact"/>
        <w:rPr>
          <w:rFonts w:ascii="Arial" w:cs="Arial" w:eastAsia="Arial" w:hAnsi="Arial"/>
          <w:sz w:val="16"/>
          <w:szCs w:val="16"/>
          <w:b w:val="1"/>
          <w:bCs w:val="1"/>
          <w:color w:val="29378D"/>
        </w:rPr>
      </w:pPr>
    </w:p>
    <w:p>
      <w:pPr>
        <w:ind w:left="201" w:right="460" w:hanging="201"/>
        <w:spacing w:after="0" w:line="304" w:lineRule="auto"/>
        <w:tabs>
          <w:tab w:leader="none" w:pos="144" w:val="left"/>
        </w:tabs>
        <w:numPr>
          <w:ilvl w:val="0"/>
          <w:numId w:val="41"/>
        </w:numPr>
        <w:rPr>
          <w:rFonts w:ascii="Arial" w:cs="Arial" w:eastAsia="Arial" w:hAnsi="Arial"/>
          <w:sz w:val="16"/>
          <w:szCs w:val="16"/>
          <w:b w:val="1"/>
          <w:bCs w:val="1"/>
          <w:color w:val="29378D"/>
        </w:rPr>
      </w:pPr>
      <w:r>
        <w:rPr>
          <w:rFonts w:ascii="Arial" w:cs="Arial" w:eastAsia="Arial" w:hAnsi="Arial"/>
          <w:sz w:val="16"/>
          <w:szCs w:val="16"/>
          <w:color w:val="auto"/>
        </w:rPr>
        <w:t>Significant international experience through his service as an executive of large public companies with substantial international operations</w:t>
      </w:r>
    </w:p>
    <w:p>
      <w:pPr>
        <w:spacing w:after="0" w:line="6" w:lineRule="exact"/>
        <w:rPr>
          <w:rFonts w:ascii="Arial" w:cs="Arial" w:eastAsia="Arial" w:hAnsi="Arial"/>
          <w:sz w:val="16"/>
          <w:szCs w:val="16"/>
          <w:b w:val="1"/>
          <w:bCs w:val="1"/>
          <w:color w:val="29378D"/>
        </w:rPr>
      </w:pPr>
    </w:p>
    <w:p>
      <w:pPr>
        <w:ind w:left="201" w:right="720" w:hanging="201"/>
        <w:spacing w:after="0" w:line="286" w:lineRule="auto"/>
        <w:tabs>
          <w:tab w:leader="none" w:pos="144" w:val="left"/>
        </w:tabs>
        <w:numPr>
          <w:ilvl w:val="0"/>
          <w:numId w:val="41"/>
        </w:numPr>
        <w:rPr>
          <w:rFonts w:ascii="Arial" w:cs="Arial" w:eastAsia="Arial" w:hAnsi="Arial"/>
          <w:sz w:val="16"/>
          <w:szCs w:val="16"/>
          <w:b w:val="1"/>
          <w:bCs w:val="1"/>
          <w:color w:val="29378D"/>
        </w:rPr>
      </w:pPr>
      <w:r>
        <w:rPr>
          <w:rFonts w:ascii="Arial" w:cs="Arial" w:eastAsia="Arial" w:hAnsi="Arial"/>
          <w:sz w:val="16"/>
          <w:szCs w:val="16"/>
          <w:color w:val="auto"/>
        </w:rPr>
        <w:t>Experience at Wal-Mart and Black &amp; Decker on large-scale transformational enterprise information technology</w:t>
      </w:r>
    </w:p>
    <w:p>
      <w:pPr>
        <w:spacing w:after="0" w:line="20" w:lineRule="exact"/>
        <w:rPr>
          <w:rFonts w:ascii="Arial" w:cs="Arial" w:eastAsia="Arial" w:hAnsi="Arial"/>
          <w:sz w:val="16"/>
          <w:szCs w:val="16"/>
          <w:b w:val="1"/>
          <w:bCs w:val="1"/>
          <w:color w:val="29378D"/>
        </w:rPr>
      </w:pPr>
    </w:p>
    <w:p>
      <w:pPr>
        <w:ind w:left="201" w:right="240" w:hanging="201"/>
        <w:spacing w:after="0" w:line="286" w:lineRule="auto"/>
        <w:tabs>
          <w:tab w:leader="none" w:pos="144" w:val="left"/>
        </w:tabs>
        <w:numPr>
          <w:ilvl w:val="0"/>
          <w:numId w:val="41"/>
        </w:numPr>
        <w:rPr>
          <w:rFonts w:ascii="Arial" w:cs="Arial" w:eastAsia="Arial" w:hAnsi="Arial"/>
          <w:sz w:val="16"/>
          <w:szCs w:val="16"/>
          <w:b w:val="1"/>
          <w:bCs w:val="1"/>
          <w:color w:val="29378D"/>
        </w:rPr>
      </w:pPr>
      <w:r>
        <w:rPr>
          <w:rFonts w:ascii="Arial" w:cs="Arial" w:eastAsia="Arial" w:hAnsi="Arial"/>
          <w:sz w:val="16"/>
          <w:szCs w:val="16"/>
          <w:color w:val="auto"/>
        </w:rPr>
        <w:t>Extensive experience as a member of the audit, risk, compensation and policy committees of other public companies</w:t>
      </w:r>
    </w:p>
    <w:p>
      <w:pPr>
        <w:spacing w:after="0" w:line="20" w:lineRule="exact"/>
        <w:rPr>
          <w:rFonts w:ascii="Arial" w:cs="Arial" w:eastAsia="Arial" w:hAnsi="Arial"/>
          <w:sz w:val="16"/>
          <w:szCs w:val="16"/>
          <w:b w:val="1"/>
          <w:bCs w:val="1"/>
          <w:color w:val="29378D"/>
        </w:rPr>
      </w:pPr>
    </w:p>
    <w:p>
      <w:pPr>
        <w:ind w:left="141" w:hanging="141"/>
        <w:spacing w:after="0"/>
        <w:tabs>
          <w:tab w:leader="none" w:pos="141" w:val="left"/>
        </w:tabs>
        <w:numPr>
          <w:ilvl w:val="0"/>
          <w:numId w:val="41"/>
        </w:numPr>
        <w:rPr>
          <w:rFonts w:ascii="Arial" w:cs="Arial" w:eastAsia="Arial" w:hAnsi="Arial"/>
          <w:sz w:val="16"/>
          <w:szCs w:val="16"/>
          <w:b w:val="1"/>
          <w:bCs w:val="1"/>
          <w:color w:val="29378D"/>
        </w:rPr>
      </w:pPr>
      <w:r>
        <w:rPr>
          <w:rFonts w:ascii="Arial" w:cs="Arial" w:eastAsia="Arial" w:hAnsi="Arial"/>
          <w:sz w:val="16"/>
          <w:szCs w:val="16"/>
          <w:color w:val="auto"/>
        </w:rPr>
        <w:t>Audit committee financial expert</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18" w:lineRule="exact"/>
        <w:rPr>
          <w:sz w:val="20"/>
          <w:szCs w:val="20"/>
          <w:color w:val="auto"/>
        </w:rPr>
      </w:pPr>
    </w:p>
    <w:p>
      <w:pPr>
        <w:ind w:left="141" w:hanging="141"/>
        <w:spacing w:after="0"/>
        <w:tabs>
          <w:tab w:leader="none" w:pos="141" w:val="left"/>
        </w:tabs>
        <w:numPr>
          <w:ilvl w:val="0"/>
          <w:numId w:val="42"/>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General Motors Corporation</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SELECTED DIRECTORSHIPS AND MEMBERSHIPS</w:t>
      </w:r>
    </w:p>
    <w:p>
      <w:pPr>
        <w:spacing w:after="0" w:line="118" w:lineRule="exact"/>
        <w:rPr>
          <w:sz w:val="20"/>
          <w:szCs w:val="20"/>
          <w:color w:val="auto"/>
        </w:rPr>
      </w:pPr>
    </w:p>
    <w:p>
      <w:pPr>
        <w:ind w:left="141" w:hanging="141"/>
        <w:spacing w:after="0"/>
        <w:tabs>
          <w:tab w:leader="none" w:pos="141" w:val="left"/>
        </w:tabs>
        <w:numPr>
          <w:ilvl w:val="0"/>
          <w:numId w:val="43"/>
        </w:numPr>
        <w:rPr>
          <w:rFonts w:ascii="Arial" w:cs="Arial" w:eastAsia="Arial" w:hAnsi="Arial"/>
          <w:sz w:val="16"/>
          <w:szCs w:val="16"/>
          <w:b w:val="1"/>
          <w:bCs w:val="1"/>
          <w:color w:val="29378D"/>
        </w:rPr>
      </w:pPr>
      <w:r>
        <w:rPr>
          <w:rFonts w:ascii="Arial" w:cs="Arial" w:eastAsia="Arial" w:hAnsi="Arial"/>
          <w:sz w:val="16"/>
          <w:szCs w:val="16"/>
          <w:color w:val="auto"/>
        </w:rPr>
        <w:t>Former Member of the Board of the Ladies Professional Golf Association</w:t>
      </w:r>
    </w:p>
    <w:p>
      <w:pPr>
        <w:spacing w:after="0" w:line="131"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FORMER PUBLIC COMPANY DIRECTORSHIPS WITHIN THE LAST FIVE YEARS</w:t>
      </w:r>
    </w:p>
    <w:p>
      <w:pPr>
        <w:spacing w:after="0" w:line="104" w:lineRule="exact"/>
        <w:rPr>
          <w:sz w:val="20"/>
          <w:szCs w:val="20"/>
          <w:color w:val="auto"/>
        </w:rPr>
      </w:pPr>
    </w:p>
    <w:p>
      <w:pPr>
        <w:ind w:left="141" w:hanging="141"/>
        <w:spacing w:after="0"/>
        <w:tabs>
          <w:tab w:leader="none" w:pos="141" w:val="left"/>
        </w:tabs>
        <w:numPr>
          <w:ilvl w:val="0"/>
          <w:numId w:val="44"/>
        </w:numPr>
        <w:rPr>
          <w:rFonts w:ascii="Arial" w:cs="Arial" w:eastAsia="Arial" w:hAnsi="Arial"/>
          <w:sz w:val="16"/>
          <w:szCs w:val="16"/>
          <w:b w:val="1"/>
          <w:bCs w:val="1"/>
          <w:color w:val="00249C"/>
        </w:rPr>
      </w:pPr>
      <w:r>
        <w:rPr>
          <w:rFonts w:ascii="Arial" w:cs="Arial" w:eastAsia="Arial" w:hAnsi="Arial"/>
          <w:sz w:val="16"/>
          <w:szCs w:val="16"/>
          <w:color w:val="auto"/>
        </w:rPr>
        <w:t>Former Member of the Board of Directors of KKR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483870</wp:posOffset>
            </wp:positionV>
            <wp:extent cx="51517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51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 w:right="160"/>
        <w:spacing w:after="0" w:line="266" w:lineRule="auto"/>
        <w:rPr>
          <w:sz w:val="20"/>
          <w:szCs w:val="20"/>
          <w:color w:val="auto"/>
        </w:rPr>
      </w:pPr>
      <w:r>
        <w:rPr>
          <w:rFonts w:ascii="Arial" w:cs="Arial" w:eastAsia="Arial" w:hAnsi="Arial"/>
          <w:sz w:val="16"/>
          <w:szCs w:val="16"/>
          <w:color w:val="auto"/>
        </w:rPr>
        <w:t>Mr. James S. Turley served as Chairman and Chief Executive Officer of Ernst &amp; Young from 2001 until his retirement in 2013. Mr. Turley joined Ernst &amp; Young in 1977 and held various positions there. He was named Deputy Chairman in 2000.</w:t>
      </w:r>
    </w:p>
    <w:p>
      <w:pPr>
        <w:spacing w:after="0" w:line="82"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118" w:lineRule="exact"/>
        <w:rPr>
          <w:sz w:val="20"/>
          <w:szCs w:val="20"/>
          <w:color w:val="auto"/>
        </w:rPr>
      </w:pPr>
    </w:p>
    <w:p>
      <w:pPr>
        <w:ind w:left="201" w:right="160" w:hanging="201"/>
        <w:spacing w:after="0" w:line="256" w:lineRule="auto"/>
        <w:tabs>
          <w:tab w:leader="none" w:pos="144" w:val="left"/>
        </w:tabs>
        <w:numPr>
          <w:ilvl w:val="0"/>
          <w:numId w:val="45"/>
        </w:numPr>
        <w:rPr>
          <w:rFonts w:ascii="Arial" w:cs="Arial" w:eastAsia="Arial" w:hAnsi="Arial"/>
          <w:sz w:val="16"/>
          <w:szCs w:val="16"/>
          <w:b w:val="1"/>
          <w:bCs w:val="1"/>
          <w:color w:val="29378D"/>
        </w:rPr>
      </w:pPr>
      <w:r>
        <w:rPr>
          <w:rFonts w:ascii="Arial" w:cs="Arial" w:eastAsia="Arial" w:hAnsi="Arial"/>
          <w:sz w:val="16"/>
          <w:szCs w:val="16"/>
          <w:color w:val="auto"/>
        </w:rPr>
        <w:t>Extensive experience and expertise in areas of finance, accounting and business management acquired over 36-year career at Ernst &amp; Young, including serving as Chairman and Chief Executive Officer of Ernst</w:t>
      </w:r>
    </w:p>
    <w:p>
      <w:pPr>
        <w:spacing w:after="0" w:line="1" w:lineRule="exact"/>
        <w:rPr>
          <w:rFonts w:ascii="Arial" w:cs="Arial" w:eastAsia="Arial" w:hAnsi="Arial"/>
          <w:sz w:val="16"/>
          <w:szCs w:val="16"/>
          <w:b w:val="1"/>
          <w:bCs w:val="1"/>
          <w:color w:val="29378D"/>
        </w:rPr>
      </w:pPr>
    </w:p>
    <w:p>
      <w:pPr>
        <w:ind w:left="341" w:hanging="147"/>
        <w:spacing w:after="0"/>
        <w:tabs>
          <w:tab w:leader="none" w:pos="341" w:val="left"/>
        </w:tabs>
        <w:numPr>
          <w:ilvl w:val="1"/>
          <w:numId w:val="45"/>
        </w:numPr>
        <w:rPr>
          <w:rFonts w:ascii="Arial" w:cs="Arial" w:eastAsia="Arial" w:hAnsi="Arial"/>
          <w:sz w:val="16"/>
          <w:szCs w:val="16"/>
          <w:color w:val="auto"/>
        </w:rPr>
      </w:pPr>
      <w:r>
        <w:rPr>
          <w:rFonts w:ascii="Arial" w:cs="Arial" w:eastAsia="Arial" w:hAnsi="Arial"/>
          <w:sz w:val="16"/>
          <w:szCs w:val="16"/>
          <w:color w:val="auto"/>
        </w:rPr>
        <w:t>Young</w:t>
      </w:r>
    </w:p>
    <w:p>
      <w:pPr>
        <w:spacing w:after="0" w:line="70" w:lineRule="exact"/>
        <w:rPr>
          <w:rFonts w:ascii="Arial" w:cs="Arial" w:eastAsia="Arial" w:hAnsi="Arial"/>
          <w:sz w:val="16"/>
          <w:szCs w:val="16"/>
          <w:color w:val="auto"/>
        </w:rPr>
      </w:pPr>
    </w:p>
    <w:p>
      <w:pPr>
        <w:ind w:left="141" w:hanging="141"/>
        <w:spacing w:after="0"/>
        <w:tabs>
          <w:tab w:leader="none" w:pos="141" w:val="left"/>
        </w:tabs>
        <w:numPr>
          <w:ilvl w:val="0"/>
          <w:numId w:val="45"/>
        </w:numPr>
        <w:rPr>
          <w:rFonts w:ascii="Arial" w:cs="Arial" w:eastAsia="Arial" w:hAnsi="Arial"/>
          <w:sz w:val="16"/>
          <w:szCs w:val="16"/>
          <w:b w:val="1"/>
          <w:bCs w:val="1"/>
          <w:color w:val="29378D"/>
        </w:rPr>
      </w:pPr>
      <w:r>
        <w:rPr>
          <w:rFonts w:ascii="Arial" w:cs="Arial" w:eastAsia="Arial" w:hAnsi="Arial"/>
          <w:sz w:val="16"/>
          <w:szCs w:val="16"/>
          <w:color w:val="auto"/>
        </w:rPr>
        <w:t>Significant experience in areas of risk management</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45"/>
        </w:numPr>
        <w:rPr>
          <w:rFonts w:ascii="Arial" w:cs="Arial" w:eastAsia="Arial" w:hAnsi="Arial"/>
          <w:sz w:val="16"/>
          <w:szCs w:val="16"/>
          <w:b w:val="1"/>
          <w:bCs w:val="1"/>
          <w:color w:val="29378D"/>
        </w:rPr>
      </w:pPr>
      <w:r>
        <w:rPr>
          <w:rFonts w:ascii="Arial" w:cs="Arial" w:eastAsia="Arial" w:hAnsi="Arial"/>
          <w:sz w:val="16"/>
          <w:szCs w:val="16"/>
          <w:color w:val="auto"/>
        </w:rPr>
        <w:t>Extensive experience as a member of the audit committee of other public companies</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45"/>
        </w:numPr>
        <w:rPr>
          <w:rFonts w:ascii="Arial" w:cs="Arial" w:eastAsia="Arial" w:hAnsi="Arial"/>
          <w:sz w:val="16"/>
          <w:szCs w:val="16"/>
          <w:b w:val="1"/>
          <w:bCs w:val="1"/>
          <w:color w:val="29378D"/>
        </w:rPr>
      </w:pPr>
      <w:r>
        <w:rPr>
          <w:rFonts w:ascii="Arial" w:cs="Arial" w:eastAsia="Arial" w:hAnsi="Arial"/>
          <w:sz w:val="16"/>
          <w:szCs w:val="16"/>
          <w:color w:val="auto"/>
        </w:rPr>
        <w:t>Audit committee financial expert</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18" w:lineRule="exact"/>
        <w:rPr>
          <w:sz w:val="20"/>
          <w:szCs w:val="20"/>
          <w:color w:val="auto"/>
        </w:rPr>
      </w:pPr>
    </w:p>
    <w:p>
      <w:pPr>
        <w:ind w:left="141" w:hanging="141"/>
        <w:spacing w:after="0"/>
        <w:tabs>
          <w:tab w:leader="none" w:pos="141" w:val="left"/>
        </w:tabs>
        <w:numPr>
          <w:ilvl w:val="0"/>
          <w:numId w:val="46"/>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Citigroup</w:t>
      </w:r>
    </w:p>
    <w:p>
      <w:pPr>
        <w:spacing w:after="0" w:line="72" w:lineRule="exact"/>
        <w:rPr>
          <w:rFonts w:ascii="Arial" w:cs="Arial" w:eastAsia="Arial" w:hAnsi="Arial"/>
          <w:sz w:val="16"/>
          <w:szCs w:val="16"/>
          <w:b w:val="1"/>
          <w:bCs w:val="1"/>
          <w:color w:val="29378D"/>
        </w:rPr>
      </w:pPr>
    </w:p>
    <w:p>
      <w:pPr>
        <w:ind w:left="141" w:hanging="141"/>
        <w:spacing w:after="0"/>
        <w:tabs>
          <w:tab w:leader="none" w:pos="141" w:val="left"/>
        </w:tabs>
        <w:numPr>
          <w:ilvl w:val="0"/>
          <w:numId w:val="46"/>
        </w:numPr>
        <w:rPr>
          <w:rFonts w:ascii="Arial" w:cs="Arial" w:eastAsia="Arial" w:hAnsi="Arial"/>
          <w:sz w:val="16"/>
          <w:szCs w:val="16"/>
          <w:b w:val="1"/>
          <w:bCs w:val="1"/>
          <w:color w:val="29378D"/>
        </w:rPr>
      </w:pPr>
      <w:r>
        <w:rPr>
          <w:rFonts w:ascii="Arial" w:cs="Arial" w:eastAsia="Arial" w:hAnsi="Arial"/>
          <w:sz w:val="16"/>
          <w:szCs w:val="16"/>
          <w:color w:val="auto"/>
        </w:rPr>
        <w:t>Independent Chair of the Board of Directors of Emerson Electric Company</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46"/>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Precigen, Inc.</w:t>
      </w:r>
    </w:p>
    <w:p>
      <w:pPr>
        <w:spacing w:after="0" w:line="131"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SELECTED DIRECTORSHIPS AND MEMBERSHIPS</w:t>
      </w:r>
    </w:p>
    <w:p>
      <w:pPr>
        <w:spacing w:after="0" w:line="104" w:lineRule="exact"/>
        <w:rPr>
          <w:sz w:val="20"/>
          <w:szCs w:val="20"/>
          <w:color w:val="auto"/>
        </w:rPr>
      </w:pPr>
    </w:p>
    <w:p>
      <w:pPr>
        <w:ind w:left="141" w:hanging="141"/>
        <w:spacing w:after="0"/>
        <w:tabs>
          <w:tab w:leader="none" w:pos="141" w:val="left"/>
        </w:tabs>
        <w:numPr>
          <w:ilvl w:val="0"/>
          <w:numId w:val="47"/>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the Boy Scouts of America</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47"/>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Kohler Co.</w:t>
      </w:r>
    </w:p>
    <w:p>
      <w:pPr>
        <w:spacing w:after="0" w:line="86" w:lineRule="exact"/>
        <w:rPr>
          <w:rFonts w:ascii="Arial" w:cs="Arial" w:eastAsia="Arial" w:hAnsi="Arial"/>
          <w:sz w:val="16"/>
          <w:szCs w:val="16"/>
          <w:b w:val="1"/>
          <w:bCs w:val="1"/>
          <w:color w:val="29378D"/>
        </w:rPr>
      </w:pPr>
    </w:p>
    <w:p>
      <w:pPr>
        <w:ind w:left="141" w:hanging="141"/>
        <w:spacing w:after="0"/>
        <w:tabs>
          <w:tab w:leader="none" w:pos="141" w:val="left"/>
        </w:tabs>
        <w:numPr>
          <w:ilvl w:val="0"/>
          <w:numId w:val="47"/>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St. Louis Trust &amp; Family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415290</wp:posOffset>
            </wp:positionV>
            <wp:extent cx="51517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517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99" w:space="720"/>
            <w:col w:w="7901"/>
          </w:cols>
          <w:pgMar w:left="54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060"/>
        <w:spacing w:after="0"/>
        <w:tabs>
          <w:tab w:leader="none" w:pos="1082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4"/>
          <w:szCs w:val="14"/>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199390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40" w:top="238"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1783080" cy="36347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83080"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20"/>
        <w:spacing w:after="0"/>
        <w:rPr>
          <w:sz w:val="20"/>
          <w:szCs w:val="20"/>
          <w:color w:val="auto"/>
        </w:rPr>
      </w:pPr>
      <w:r>
        <w:rPr>
          <w:rFonts w:ascii="Arial" w:cs="Arial" w:eastAsia="Arial" w:hAnsi="Arial"/>
          <w:sz w:val="23"/>
          <w:szCs w:val="23"/>
          <w:color w:val="29378D"/>
        </w:rPr>
        <w:t>Mark A. Welsh III</w:t>
      </w:r>
    </w:p>
    <w:p>
      <w:pPr>
        <w:spacing w:after="0" w:line="90" w:lineRule="exact"/>
        <w:rPr>
          <w:sz w:val="20"/>
          <w:szCs w:val="20"/>
          <w:color w:val="auto"/>
        </w:rPr>
      </w:pPr>
    </w:p>
    <w:p>
      <w:pPr>
        <w:ind w:left="220" w:right="340"/>
        <w:spacing w:after="0" w:line="263" w:lineRule="auto"/>
        <w:rPr>
          <w:sz w:val="20"/>
          <w:szCs w:val="20"/>
          <w:color w:val="auto"/>
        </w:rPr>
      </w:pPr>
      <w:r>
        <w:rPr>
          <w:rFonts w:ascii="Arial" w:cs="Arial" w:eastAsia="Arial" w:hAnsi="Arial"/>
          <w:sz w:val="16"/>
          <w:szCs w:val="16"/>
          <w:color w:val="auto"/>
        </w:rPr>
        <w:t>President, Texas A&amp;M University; General, USAF (Ret.); Former Chief of Staff,</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USAF</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Age: 70</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29378D"/>
        </w:rPr>
        <w:t>December 2016</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Committee membership:</w:t>
      </w:r>
    </w:p>
    <w:p>
      <w:pPr>
        <w:spacing w:after="0" w:line="24" w:lineRule="exact"/>
        <w:rPr>
          <w:sz w:val="20"/>
          <w:szCs w:val="20"/>
          <w:color w:val="auto"/>
        </w:rPr>
      </w:pPr>
    </w:p>
    <w:p>
      <w:pPr>
        <w:ind w:left="220" w:right="320"/>
        <w:spacing w:after="0" w:line="298" w:lineRule="auto"/>
        <w:rPr>
          <w:sz w:val="20"/>
          <w:szCs w:val="20"/>
          <w:color w:val="auto"/>
        </w:rPr>
      </w:pPr>
      <w:r>
        <w:rPr>
          <w:rFonts w:ascii="Arial" w:cs="Arial" w:eastAsia="Arial" w:hAnsi="Arial"/>
          <w:sz w:val="16"/>
          <w:szCs w:val="16"/>
          <w:b w:val="1"/>
          <w:bCs w:val="1"/>
          <w:color w:val="29378D"/>
        </w:rPr>
        <w:t>Audit and Risk Committee, Policy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782955</wp:posOffset>
            </wp:positionV>
            <wp:extent cx="1783080" cy="39090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83080" cy="3909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General Mark A. Welsh III has been the President of Texas A&amp;M University since December 2023 after being named interim President in July 2023. Prior to being named interim President, he had served as Dean of the Bush School of Government and Public Service at Texas A&amp;M University since August 2016. Prior to that, General Welsh served as Chief of Staff of the United States Air Force (USAF), the senior uniformed Air Force officer responsible for the organization, training and equipping of active duty, Guard, Reserve and civilian forces serving in the United States and overseas. During his long career, General Welsh also served as a member of the Joint Chiefs of Staff, Commander of the United States Air Forces in Europe and Commander of NATO’s Air Command, Associate Director for Military Affairs at the Central Intelligence Agency and Commandant of the United States Air Force Academy.</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EXPERIENCE AND SKILLS</w:t>
      </w:r>
    </w:p>
    <w:p>
      <w:pPr>
        <w:spacing w:after="0" w:line="104" w:lineRule="exact"/>
        <w:rPr>
          <w:sz w:val="20"/>
          <w:szCs w:val="20"/>
          <w:color w:val="auto"/>
        </w:rPr>
      </w:pPr>
    </w:p>
    <w:p>
      <w:pPr>
        <w:ind w:left="200" w:right="40" w:hanging="195"/>
        <w:spacing w:after="0" w:line="299" w:lineRule="auto"/>
        <w:tabs>
          <w:tab w:leader="none" w:pos="143" w:val="left"/>
        </w:tabs>
        <w:numPr>
          <w:ilvl w:val="0"/>
          <w:numId w:val="48"/>
        </w:numPr>
        <w:rPr>
          <w:rFonts w:ascii="Arial" w:cs="Arial" w:eastAsia="Arial" w:hAnsi="Arial"/>
          <w:sz w:val="16"/>
          <w:szCs w:val="16"/>
          <w:b w:val="1"/>
          <w:bCs w:val="1"/>
          <w:color w:val="29378D"/>
        </w:rPr>
      </w:pPr>
      <w:r>
        <w:rPr>
          <w:rFonts w:ascii="Arial" w:cs="Arial" w:eastAsia="Arial" w:hAnsi="Arial"/>
          <w:sz w:val="16"/>
          <w:szCs w:val="16"/>
          <w:color w:val="auto"/>
        </w:rPr>
        <w:t>Extensive career as a senior military officer and member of the Joint Chiefs of Staff, having held leadership positions at the highest levels of the United States Air Force</w:t>
      </w:r>
    </w:p>
    <w:p>
      <w:pPr>
        <w:ind w:left="140" w:hanging="135"/>
        <w:spacing w:after="0"/>
        <w:tabs>
          <w:tab w:leader="none" w:pos="140" w:val="left"/>
        </w:tabs>
        <w:numPr>
          <w:ilvl w:val="0"/>
          <w:numId w:val="48"/>
        </w:numPr>
        <w:rPr>
          <w:rFonts w:ascii="Arial" w:cs="Arial" w:eastAsia="Arial" w:hAnsi="Arial"/>
          <w:sz w:val="16"/>
          <w:szCs w:val="16"/>
          <w:b w:val="1"/>
          <w:bCs w:val="1"/>
          <w:color w:val="29378D"/>
        </w:rPr>
      </w:pPr>
      <w:r>
        <w:rPr>
          <w:rFonts w:ascii="Arial" w:cs="Arial" w:eastAsia="Arial" w:hAnsi="Arial"/>
          <w:sz w:val="16"/>
          <w:szCs w:val="16"/>
          <w:color w:val="auto"/>
        </w:rPr>
        <w:t>Experience with administration of large, complex educational institution, including serving as president</w:t>
      </w:r>
    </w:p>
    <w:p>
      <w:pPr>
        <w:spacing w:after="0" w:line="86" w:lineRule="exact"/>
        <w:rPr>
          <w:rFonts w:ascii="Arial" w:cs="Arial" w:eastAsia="Arial" w:hAnsi="Arial"/>
          <w:sz w:val="16"/>
          <w:szCs w:val="16"/>
          <w:b w:val="1"/>
          <w:bCs w:val="1"/>
          <w:color w:val="29378D"/>
        </w:rPr>
      </w:pPr>
    </w:p>
    <w:p>
      <w:pPr>
        <w:ind w:left="200" w:right="460" w:hanging="195"/>
        <w:spacing w:after="0" w:line="299" w:lineRule="auto"/>
        <w:tabs>
          <w:tab w:leader="none" w:pos="157" w:val="left"/>
        </w:tabs>
        <w:numPr>
          <w:ilvl w:val="0"/>
          <w:numId w:val="48"/>
        </w:numPr>
        <w:rPr>
          <w:rFonts w:ascii="Arial" w:cs="Arial" w:eastAsia="Arial" w:hAnsi="Arial"/>
          <w:sz w:val="16"/>
          <w:szCs w:val="16"/>
          <w:color w:val="29378D"/>
        </w:rPr>
      </w:pPr>
      <w:r>
        <w:rPr>
          <w:rFonts w:ascii="Arial" w:cs="Arial" w:eastAsia="Arial" w:hAnsi="Arial"/>
          <w:sz w:val="16"/>
          <w:szCs w:val="16"/>
          <w:color w:val="auto"/>
        </w:rPr>
        <w:t>Extensive experience and in-depth knowledge of issues related to global security and the intelligence community</w:t>
      </w:r>
    </w:p>
    <w:p>
      <w:pPr>
        <w:ind w:left="140" w:hanging="135"/>
        <w:spacing w:after="0"/>
        <w:tabs>
          <w:tab w:leader="none" w:pos="140" w:val="left"/>
        </w:tabs>
        <w:numPr>
          <w:ilvl w:val="0"/>
          <w:numId w:val="48"/>
        </w:numPr>
        <w:rPr>
          <w:rFonts w:ascii="Arial" w:cs="Arial" w:eastAsia="Arial" w:hAnsi="Arial"/>
          <w:sz w:val="16"/>
          <w:szCs w:val="16"/>
          <w:b w:val="1"/>
          <w:bCs w:val="1"/>
          <w:color w:val="29378D"/>
        </w:rPr>
      </w:pPr>
      <w:r>
        <w:rPr>
          <w:rFonts w:ascii="Arial" w:cs="Arial" w:eastAsia="Arial" w:hAnsi="Arial"/>
          <w:sz w:val="16"/>
          <w:szCs w:val="16"/>
          <w:color w:val="auto"/>
        </w:rPr>
        <w:t>Broad leadership experience and international experience, particularly in Europe</w:t>
      </w:r>
    </w:p>
    <w:p>
      <w:pPr>
        <w:spacing w:after="0" w:line="86" w:lineRule="exact"/>
        <w:rPr>
          <w:rFonts w:ascii="Arial" w:cs="Arial" w:eastAsia="Arial" w:hAnsi="Arial"/>
          <w:sz w:val="16"/>
          <w:szCs w:val="16"/>
          <w:b w:val="1"/>
          <w:bCs w:val="1"/>
          <w:color w:val="29378D"/>
        </w:rPr>
      </w:pPr>
    </w:p>
    <w:p>
      <w:pPr>
        <w:ind w:left="140" w:hanging="135"/>
        <w:spacing w:after="0"/>
        <w:tabs>
          <w:tab w:leader="none" w:pos="140" w:val="left"/>
        </w:tabs>
        <w:numPr>
          <w:ilvl w:val="0"/>
          <w:numId w:val="48"/>
        </w:numPr>
        <w:rPr>
          <w:rFonts w:ascii="Arial" w:cs="Arial" w:eastAsia="Arial" w:hAnsi="Arial"/>
          <w:sz w:val="16"/>
          <w:szCs w:val="16"/>
          <w:b w:val="1"/>
          <w:bCs w:val="1"/>
          <w:color w:val="29378D"/>
        </w:rPr>
      </w:pPr>
      <w:r>
        <w:rPr>
          <w:rFonts w:ascii="Arial" w:cs="Arial" w:eastAsia="Arial" w:hAnsi="Arial"/>
          <w:sz w:val="16"/>
          <w:szCs w:val="16"/>
          <w:color w:val="auto"/>
        </w:rPr>
        <w:t>Experience with talent development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1135380</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971" w:lineRule="exact"/>
        <w:rPr>
          <w:sz w:val="20"/>
          <w:szCs w:val="20"/>
          <w:color w:val="auto"/>
        </w:rPr>
      </w:pPr>
    </w:p>
    <w:p>
      <w:pPr>
        <w:sectPr>
          <w:pgSz w:w="11900" w:h="16838" w:orient="portrait"/>
          <w:cols w:equalWidth="0" w:num="2">
            <w:col w:w="2600" w:space="720"/>
            <w:col w:w="7840"/>
          </w:cols>
          <w:pgMar w:left="320" w:top="23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20"/>
        <w:spacing w:after="0"/>
        <w:rPr>
          <w:sz w:val="20"/>
          <w:szCs w:val="20"/>
          <w:color w:val="auto"/>
        </w:rPr>
      </w:pPr>
      <w:r>
        <w:rPr>
          <w:rFonts w:ascii="Arial" w:cs="Arial" w:eastAsia="Arial" w:hAnsi="Arial"/>
          <w:sz w:val="23"/>
          <w:szCs w:val="23"/>
          <w:color w:val="29378D"/>
        </w:rPr>
        <w:t>Mary A. Winston</w:t>
      </w:r>
    </w:p>
    <w:p>
      <w:pPr>
        <w:spacing w:after="0" w:line="131" w:lineRule="exact"/>
        <w:rPr>
          <w:sz w:val="20"/>
          <w:szCs w:val="20"/>
          <w:color w:val="auto"/>
        </w:rPr>
      </w:pPr>
    </w:p>
    <w:p>
      <w:pPr>
        <w:jc w:val="both"/>
        <w:ind w:left="220" w:right="579"/>
        <w:spacing w:after="0" w:line="304" w:lineRule="auto"/>
        <w:rPr>
          <w:sz w:val="20"/>
          <w:szCs w:val="20"/>
          <w:color w:val="auto"/>
        </w:rPr>
      </w:pPr>
      <w:r>
        <w:rPr>
          <w:rFonts w:ascii="Arial" w:cs="Arial" w:eastAsia="Arial" w:hAnsi="Arial"/>
          <w:sz w:val="16"/>
          <w:szCs w:val="16"/>
          <w:color w:val="auto"/>
        </w:rPr>
        <w:t>President and Founder of WinsCo Enterprises, Inc.</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00249C"/>
        </w:rPr>
        <w:t>62</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Director since:</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00249C"/>
        </w:rPr>
        <w:t>March 2023</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Committee membership:</w:t>
      </w:r>
    </w:p>
    <w:p>
      <w:pPr>
        <w:spacing w:after="0" w:line="25" w:lineRule="exact"/>
        <w:rPr>
          <w:sz w:val="20"/>
          <w:szCs w:val="20"/>
          <w:color w:val="auto"/>
        </w:rPr>
      </w:pPr>
    </w:p>
    <w:p>
      <w:pPr>
        <w:ind w:left="220" w:right="339"/>
        <w:spacing w:after="0" w:line="265" w:lineRule="auto"/>
        <w:rPr>
          <w:sz w:val="20"/>
          <w:szCs w:val="20"/>
          <w:color w:val="auto"/>
        </w:rPr>
      </w:pPr>
      <w:r>
        <w:rPr>
          <w:rFonts w:ascii="Arial" w:cs="Arial" w:eastAsia="Arial" w:hAnsi="Arial"/>
          <w:sz w:val="16"/>
          <w:szCs w:val="16"/>
          <w:b w:val="1"/>
          <w:bCs w:val="1"/>
          <w:color w:val="29378D"/>
        </w:rPr>
        <w:t>Compensation and Human Capital Committee, Policy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29378D"/>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
        <w:spacing w:after="0" w:line="261" w:lineRule="auto"/>
        <w:rPr>
          <w:sz w:val="20"/>
          <w:szCs w:val="20"/>
          <w:color w:val="auto"/>
        </w:rPr>
      </w:pPr>
      <w:r>
        <w:rPr>
          <w:rFonts w:ascii="Arial" w:cs="Arial" w:eastAsia="Arial" w:hAnsi="Arial"/>
          <w:sz w:val="16"/>
          <w:szCs w:val="16"/>
          <w:color w:val="auto"/>
        </w:rPr>
        <w:t>Ms. Mary A. Winston is the President and Founder of WinsCo Enterprises, a consulting firm providing financial and board governance advisory services since 2016. She served as interim Chief Executive Officer of Bed Bath &amp; Beyond from May 2019 to November 2019, and as Executive Vice President and Chief Financial Officer of Family Dollar Stores from 2012 to 2015. Prior to that, Ms. Winston served as Senior Vice President and Chief Financial Officer of Giant Eagle, Inc. from 2008 to 2012, and as Executive Vice President and Chief Financial Officer of Scholastic Corporation from 2004 to 2007.</w:t>
      </w:r>
    </w:p>
    <w:p>
      <w:pPr>
        <w:spacing w:after="0" w:line="73"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EXPERIENCE AND SKILLS</w:t>
      </w:r>
    </w:p>
    <w:p>
      <w:pPr>
        <w:spacing w:after="0" w:line="77" w:lineRule="exact"/>
        <w:rPr>
          <w:sz w:val="20"/>
          <w:szCs w:val="20"/>
          <w:color w:val="auto"/>
        </w:rPr>
      </w:pPr>
    </w:p>
    <w:p>
      <w:pPr>
        <w:ind w:left="201" w:right="60" w:hanging="201"/>
        <w:spacing w:after="0" w:line="290" w:lineRule="auto"/>
        <w:tabs>
          <w:tab w:leader="none" w:pos="144" w:val="left"/>
        </w:tabs>
        <w:numPr>
          <w:ilvl w:val="0"/>
          <w:numId w:val="49"/>
        </w:numPr>
        <w:rPr>
          <w:rFonts w:ascii="Arial" w:cs="Arial" w:eastAsia="Arial" w:hAnsi="Arial"/>
          <w:sz w:val="16"/>
          <w:szCs w:val="16"/>
          <w:b w:val="1"/>
          <w:bCs w:val="1"/>
          <w:color w:val="29378D"/>
        </w:rPr>
      </w:pPr>
      <w:r>
        <w:rPr>
          <w:rFonts w:ascii="Arial" w:cs="Arial" w:eastAsia="Arial" w:hAnsi="Arial"/>
          <w:sz w:val="16"/>
          <w:szCs w:val="16"/>
          <w:color w:val="auto"/>
        </w:rPr>
        <w:t>Substantial financial expertise acquired through positions held as the Chief Financial Officer of large public and private companies, as well as expertise in risk management, and mergers and acquisitions</w:t>
      </w:r>
    </w:p>
    <w:p>
      <w:pPr>
        <w:ind w:left="201" w:right="560" w:hanging="201"/>
        <w:spacing w:after="0" w:line="286" w:lineRule="auto"/>
        <w:tabs>
          <w:tab w:leader="none" w:pos="144" w:val="left"/>
        </w:tabs>
        <w:numPr>
          <w:ilvl w:val="0"/>
          <w:numId w:val="49"/>
        </w:numPr>
        <w:rPr>
          <w:rFonts w:ascii="Arial" w:cs="Arial" w:eastAsia="Arial" w:hAnsi="Arial"/>
          <w:sz w:val="16"/>
          <w:szCs w:val="16"/>
          <w:b w:val="1"/>
          <w:bCs w:val="1"/>
          <w:color w:val="29378D"/>
        </w:rPr>
      </w:pPr>
      <w:r>
        <w:rPr>
          <w:rFonts w:ascii="Arial" w:cs="Arial" w:eastAsia="Arial" w:hAnsi="Arial"/>
          <w:sz w:val="16"/>
          <w:szCs w:val="16"/>
          <w:color w:val="auto"/>
        </w:rPr>
        <w:t>Significant senior leadership and international experience as an executive officer or director of large companies with global operations</w:t>
      </w:r>
    </w:p>
    <w:p>
      <w:pPr>
        <w:spacing w:after="0" w:line="7" w:lineRule="exact"/>
        <w:rPr>
          <w:rFonts w:ascii="Arial" w:cs="Arial" w:eastAsia="Arial" w:hAnsi="Arial"/>
          <w:sz w:val="16"/>
          <w:szCs w:val="16"/>
          <w:b w:val="1"/>
          <w:bCs w:val="1"/>
          <w:color w:val="29378D"/>
        </w:rPr>
      </w:pPr>
    </w:p>
    <w:p>
      <w:pPr>
        <w:ind w:left="141" w:hanging="141"/>
        <w:spacing w:after="0"/>
        <w:tabs>
          <w:tab w:leader="none" w:pos="141" w:val="left"/>
        </w:tabs>
        <w:numPr>
          <w:ilvl w:val="0"/>
          <w:numId w:val="49"/>
        </w:numPr>
        <w:rPr>
          <w:rFonts w:ascii="Arial" w:cs="Arial" w:eastAsia="Arial" w:hAnsi="Arial"/>
          <w:sz w:val="16"/>
          <w:szCs w:val="16"/>
          <w:b w:val="1"/>
          <w:bCs w:val="1"/>
          <w:color w:val="29378D"/>
        </w:rPr>
      </w:pPr>
      <w:r>
        <w:rPr>
          <w:rFonts w:ascii="Arial" w:cs="Arial" w:eastAsia="Arial" w:hAnsi="Arial"/>
          <w:sz w:val="16"/>
          <w:szCs w:val="16"/>
          <w:color w:val="auto"/>
        </w:rPr>
        <w:t>Extensive expertise in corporate governance</w:t>
      </w:r>
    </w:p>
    <w:p>
      <w:pPr>
        <w:spacing w:after="0" w:line="59" w:lineRule="exact"/>
        <w:rPr>
          <w:rFonts w:ascii="Arial" w:cs="Arial" w:eastAsia="Arial" w:hAnsi="Arial"/>
          <w:sz w:val="16"/>
          <w:szCs w:val="16"/>
          <w:b w:val="1"/>
          <w:bCs w:val="1"/>
          <w:color w:val="29378D"/>
        </w:rPr>
      </w:pPr>
    </w:p>
    <w:p>
      <w:pPr>
        <w:ind w:left="141" w:hanging="141"/>
        <w:spacing w:after="0"/>
        <w:tabs>
          <w:tab w:leader="none" w:pos="141" w:val="left"/>
        </w:tabs>
        <w:numPr>
          <w:ilvl w:val="0"/>
          <w:numId w:val="49"/>
        </w:numPr>
        <w:rPr>
          <w:rFonts w:ascii="Arial" w:cs="Arial" w:eastAsia="Arial" w:hAnsi="Arial"/>
          <w:sz w:val="16"/>
          <w:szCs w:val="16"/>
          <w:b w:val="1"/>
          <w:bCs w:val="1"/>
          <w:color w:val="29378D"/>
        </w:rPr>
      </w:pPr>
      <w:r>
        <w:rPr>
          <w:rFonts w:ascii="Arial" w:cs="Arial" w:eastAsia="Arial" w:hAnsi="Arial"/>
          <w:sz w:val="16"/>
          <w:szCs w:val="16"/>
          <w:color w:val="auto"/>
        </w:rPr>
        <w:t>Broad operations, manufacturing and supply chain experience</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OTHER CURRENT PUBLIC COMPANY DIRECTORSHIPS</w:t>
      </w:r>
    </w:p>
    <w:p>
      <w:pPr>
        <w:spacing w:after="0" w:line="118" w:lineRule="exact"/>
        <w:rPr>
          <w:sz w:val="20"/>
          <w:szCs w:val="20"/>
          <w:color w:val="auto"/>
        </w:rPr>
      </w:pPr>
    </w:p>
    <w:p>
      <w:pPr>
        <w:ind w:left="141" w:hanging="141"/>
        <w:spacing w:after="0"/>
        <w:tabs>
          <w:tab w:leader="none" w:pos="141" w:val="left"/>
        </w:tabs>
        <w:numPr>
          <w:ilvl w:val="0"/>
          <w:numId w:val="50"/>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Acuity Brands, Inc.</w:t>
      </w:r>
    </w:p>
    <w:p>
      <w:pPr>
        <w:spacing w:after="0" w:line="72" w:lineRule="exact"/>
        <w:rPr>
          <w:rFonts w:ascii="Arial" w:cs="Arial" w:eastAsia="Arial" w:hAnsi="Arial"/>
          <w:sz w:val="16"/>
          <w:szCs w:val="16"/>
          <w:b w:val="1"/>
          <w:bCs w:val="1"/>
          <w:color w:val="29378D"/>
        </w:rPr>
      </w:pPr>
    </w:p>
    <w:p>
      <w:pPr>
        <w:ind w:left="141" w:hanging="141"/>
        <w:spacing w:after="0"/>
        <w:tabs>
          <w:tab w:leader="none" w:pos="141" w:val="left"/>
        </w:tabs>
        <w:numPr>
          <w:ilvl w:val="0"/>
          <w:numId w:val="50"/>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Chipotle Mexican Grill</w:t>
      </w:r>
    </w:p>
    <w:p>
      <w:pPr>
        <w:spacing w:after="0" w:line="59" w:lineRule="exact"/>
        <w:rPr>
          <w:rFonts w:ascii="Arial" w:cs="Arial" w:eastAsia="Arial" w:hAnsi="Arial"/>
          <w:sz w:val="16"/>
          <w:szCs w:val="16"/>
          <w:b w:val="1"/>
          <w:bCs w:val="1"/>
          <w:color w:val="29378D"/>
        </w:rPr>
      </w:pPr>
    </w:p>
    <w:p>
      <w:pPr>
        <w:ind w:left="141" w:hanging="141"/>
        <w:spacing w:after="0"/>
        <w:tabs>
          <w:tab w:leader="none" w:pos="141" w:val="left"/>
        </w:tabs>
        <w:numPr>
          <w:ilvl w:val="0"/>
          <w:numId w:val="50"/>
        </w:numPr>
        <w:rPr>
          <w:rFonts w:ascii="Arial" w:cs="Arial" w:eastAsia="Arial" w:hAnsi="Arial"/>
          <w:sz w:val="16"/>
          <w:szCs w:val="16"/>
          <w:b w:val="1"/>
          <w:bCs w:val="1"/>
          <w:color w:val="29378D"/>
        </w:rPr>
      </w:pPr>
      <w:r>
        <w:rPr>
          <w:rFonts w:ascii="Arial" w:cs="Arial" w:eastAsia="Arial" w:hAnsi="Arial"/>
          <w:sz w:val="16"/>
          <w:szCs w:val="16"/>
          <w:color w:val="auto"/>
        </w:rPr>
        <w:t>Member of the Board of Directors of The Toronto-Dominion Bank</w:t>
      </w:r>
    </w:p>
    <w:p>
      <w:pPr>
        <w:spacing w:after="0" w:line="118"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FORMER PUBLIC COMPANY DIRECTORSHIPS WITHIN THE LAST FIVE YEARS</w:t>
      </w:r>
    </w:p>
    <w:p>
      <w:pPr>
        <w:spacing w:after="0" w:line="91" w:lineRule="exact"/>
        <w:rPr>
          <w:sz w:val="20"/>
          <w:szCs w:val="20"/>
          <w:color w:val="auto"/>
        </w:rPr>
      </w:pPr>
    </w:p>
    <w:p>
      <w:pPr>
        <w:ind w:left="141" w:hanging="141"/>
        <w:spacing w:after="0"/>
        <w:tabs>
          <w:tab w:leader="none" w:pos="141" w:val="left"/>
        </w:tabs>
        <w:numPr>
          <w:ilvl w:val="0"/>
          <w:numId w:val="51"/>
        </w:numPr>
        <w:rPr>
          <w:rFonts w:ascii="Arial" w:cs="Arial" w:eastAsia="Arial" w:hAnsi="Arial"/>
          <w:sz w:val="16"/>
          <w:szCs w:val="16"/>
          <w:b w:val="1"/>
          <w:bCs w:val="1"/>
          <w:color w:val="00249C"/>
        </w:rPr>
      </w:pPr>
      <w:r>
        <w:rPr>
          <w:rFonts w:ascii="Arial" w:cs="Arial" w:eastAsia="Arial" w:hAnsi="Arial"/>
          <w:sz w:val="16"/>
          <w:szCs w:val="16"/>
          <w:color w:val="auto"/>
        </w:rPr>
        <w:t>Member of the Board of Directors of Bed Bath &amp; Beyond, Inc.</w:t>
      </w:r>
    </w:p>
    <w:p>
      <w:pPr>
        <w:spacing w:after="0" w:line="59" w:lineRule="exact"/>
        <w:rPr>
          <w:rFonts w:ascii="Arial" w:cs="Arial" w:eastAsia="Arial" w:hAnsi="Arial"/>
          <w:sz w:val="16"/>
          <w:szCs w:val="16"/>
          <w:b w:val="1"/>
          <w:bCs w:val="1"/>
          <w:color w:val="00249C"/>
        </w:rPr>
      </w:pPr>
    </w:p>
    <w:p>
      <w:pPr>
        <w:ind w:left="141" w:hanging="141"/>
        <w:spacing w:after="0"/>
        <w:tabs>
          <w:tab w:leader="none" w:pos="141" w:val="left"/>
        </w:tabs>
        <w:numPr>
          <w:ilvl w:val="0"/>
          <w:numId w:val="51"/>
        </w:numPr>
        <w:rPr>
          <w:rFonts w:ascii="Arial" w:cs="Arial" w:eastAsia="Arial" w:hAnsi="Arial"/>
          <w:sz w:val="16"/>
          <w:szCs w:val="16"/>
          <w:b w:val="1"/>
          <w:bCs w:val="1"/>
          <w:color w:val="00249C"/>
        </w:rPr>
      </w:pPr>
      <w:r>
        <w:rPr>
          <w:rFonts w:ascii="Arial" w:cs="Arial" w:eastAsia="Arial" w:hAnsi="Arial"/>
          <w:sz w:val="16"/>
          <w:szCs w:val="16"/>
          <w:color w:val="auto"/>
        </w:rPr>
        <w:t>Member of the Board of Directors of Domtar Corporation</w:t>
      </w:r>
    </w:p>
    <w:p>
      <w:pPr>
        <w:spacing w:after="0" w:line="59" w:lineRule="exact"/>
        <w:rPr>
          <w:rFonts w:ascii="Arial" w:cs="Arial" w:eastAsia="Arial" w:hAnsi="Arial"/>
          <w:sz w:val="16"/>
          <w:szCs w:val="16"/>
          <w:b w:val="1"/>
          <w:bCs w:val="1"/>
          <w:color w:val="00249C"/>
        </w:rPr>
      </w:pPr>
    </w:p>
    <w:p>
      <w:pPr>
        <w:ind w:left="141" w:hanging="141"/>
        <w:spacing w:after="0"/>
        <w:tabs>
          <w:tab w:leader="none" w:pos="141" w:val="left"/>
        </w:tabs>
        <w:numPr>
          <w:ilvl w:val="0"/>
          <w:numId w:val="51"/>
        </w:numPr>
        <w:rPr>
          <w:rFonts w:ascii="Arial" w:cs="Arial" w:eastAsia="Arial" w:hAnsi="Arial"/>
          <w:sz w:val="16"/>
          <w:szCs w:val="16"/>
          <w:b w:val="1"/>
          <w:bCs w:val="1"/>
          <w:color w:val="00249C"/>
        </w:rPr>
      </w:pPr>
      <w:r>
        <w:rPr>
          <w:rFonts w:ascii="Arial" w:cs="Arial" w:eastAsia="Arial" w:hAnsi="Arial"/>
          <w:sz w:val="16"/>
          <w:szCs w:val="16"/>
          <w:color w:val="auto"/>
        </w:rPr>
        <w:t>Member of the Board of Directors of Dover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646430</wp:posOffset>
            </wp:positionV>
            <wp:extent cx="51517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19" w:space="720"/>
            <w:col w:w="7821"/>
          </w:cols>
          <w:pgMar w:left="320" w:top="238"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 w:hanging="494"/>
        <w:spacing w:after="0"/>
        <w:tabs>
          <w:tab w:leader="none" w:pos="520" w:val="left"/>
        </w:tabs>
        <w:numPr>
          <w:ilvl w:val="0"/>
          <w:numId w:val="52"/>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8" w:right="419" w:bottom="1440" w:gutter="0" w:footer="0" w:header="0"/>
          <w:type w:val="continuous"/>
        </w:sectPr>
      </w:pPr>
    </w:p>
    <w:bookmarkStart w:id="27" w:name="page28"/>
    <w:bookmarkEnd w:id="27"/>
    <w:p>
      <w:pPr>
        <w:ind w:left="9000"/>
        <w:spacing w:after="0"/>
        <w:rPr>
          <w:sz w:val="20"/>
          <w:szCs w:val="20"/>
          <w:color w:val="auto"/>
        </w:rPr>
      </w:pPr>
      <w:r>
        <w:rPr>
          <w:rFonts w:ascii="Arial" w:cs="Arial" w:eastAsia="Arial" w:hAnsi="Arial"/>
          <w:sz w:val="14"/>
          <w:szCs w:val="14"/>
          <w:b w:val="1"/>
          <w:bCs w:val="1"/>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Nomination Process</w:t>
      </w:r>
    </w:p>
    <w:p>
      <w:pPr>
        <w:spacing w:after="0" w:line="308"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Assessment of Board Composition</w:t>
      </w:r>
    </w:p>
    <w:p>
      <w:pPr>
        <w:spacing w:after="0" w:line="12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Nominating and Corporate Governance Committee actively considers the composition, capabilities and diversity of the Board to ensure it is well positioned to serve the best interests of the Company and its shareholders. The Nominating and Corporate Governance Committee regularly assesses what skills, experiences and other attributes can best contribute to the effective operation of the Board, particularly in light of the changing environment and evolving needs of the Company. The Committee strives to achieve a diverse and effective balance, with strong and varied capabilities, including experience and new perspectives. The Committee also considers other commitments of our directors, including service on other public company boards, and leadership positions. The Nominating and Corporate Governance Committee identifies director candidates from a wide range of sources and often employs a third-party search firm to assist in the process. Information regarding Board changes and the diversity, skills and tenure of our Board nominees is provided below.</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512"/>
        </w:trPr>
        <w:tc>
          <w:tcPr>
            <w:tcW w:w="280" w:type="dxa"/>
            <w:vAlign w:val="bottom"/>
            <w:shd w:val="clear" w:color="auto" w:fill="E6E7E8"/>
          </w:tcPr>
          <w:p>
            <w:pPr>
              <w:spacing w:after="0"/>
              <w:rPr>
                <w:sz w:val="24"/>
                <w:szCs w:val="24"/>
                <w:color w:val="auto"/>
              </w:rPr>
            </w:pPr>
          </w:p>
        </w:tc>
        <w:tc>
          <w:tcPr>
            <w:tcW w:w="2380" w:type="dxa"/>
            <w:vAlign w:val="bottom"/>
            <w:shd w:val="clear" w:color="auto" w:fill="E6E7E8"/>
          </w:tcPr>
          <w:p>
            <w:pPr>
              <w:ind w:left="20"/>
              <w:spacing w:after="0"/>
              <w:rPr>
                <w:sz w:val="20"/>
                <w:szCs w:val="20"/>
                <w:color w:val="auto"/>
              </w:rPr>
            </w:pPr>
            <w:r>
              <w:rPr>
                <w:rFonts w:ascii="Arial" w:cs="Arial" w:eastAsia="Arial" w:hAnsi="Arial"/>
                <w:sz w:val="22"/>
                <w:szCs w:val="22"/>
                <w:b w:val="1"/>
                <w:bCs w:val="1"/>
                <w:color w:val="auto"/>
              </w:rPr>
              <w:t>Board Changes</w:t>
            </w:r>
          </w:p>
        </w:tc>
        <w:tc>
          <w:tcPr>
            <w:tcW w:w="3020" w:type="dxa"/>
            <w:vAlign w:val="bottom"/>
            <w:shd w:val="clear" w:color="auto" w:fill="E6E7E8"/>
          </w:tcPr>
          <w:p>
            <w:pPr>
              <w:ind w:left="160"/>
              <w:spacing w:after="0"/>
              <w:rPr>
                <w:sz w:val="20"/>
                <w:szCs w:val="20"/>
                <w:color w:val="auto"/>
              </w:rPr>
            </w:pPr>
            <w:r>
              <w:rPr>
                <w:rFonts w:ascii="Arial" w:cs="Arial" w:eastAsia="Arial" w:hAnsi="Arial"/>
                <w:sz w:val="22"/>
                <w:szCs w:val="22"/>
                <w:b w:val="1"/>
                <w:bCs w:val="1"/>
                <w:color w:val="auto"/>
              </w:rPr>
              <w:t>Diversity of newly</w:t>
            </w:r>
          </w:p>
        </w:tc>
        <w:tc>
          <w:tcPr>
            <w:tcW w:w="3920" w:type="dxa"/>
            <w:vAlign w:val="bottom"/>
            <w:gridSpan w:val="3"/>
            <w:shd w:val="clear" w:color="auto" w:fill="E6E7E8"/>
          </w:tcPr>
          <w:p>
            <w:pPr>
              <w:ind w:left="160"/>
              <w:spacing w:after="0"/>
              <w:rPr>
                <w:sz w:val="20"/>
                <w:szCs w:val="20"/>
                <w:color w:val="auto"/>
              </w:rPr>
            </w:pPr>
            <w:r>
              <w:rPr>
                <w:rFonts w:ascii="Arial" w:cs="Arial" w:eastAsia="Arial" w:hAnsi="Arial"/>
                <w:sz w:val="22"/>
                <w:szCs w:val="22"/>
                <w:b w:val="1"/>
                <w:bCs w:val="1"/>
                <w:color w:val="auto"/>
              </w:rPr>
              <w:t>Skills of newly added Directors</w:t>
            </w:r>
          </w:p>
        </w:tc>
        <w:tc>
          <w:tcPr>
            <w:tcW w:w="1640" w:type="dxa"/>
            <w:vAlign w:val="bottom"/>
            <w:shd w:val="clear" w:color="auto" w:fill="E6E7E8"/>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 w:type="dxa"/>
            <w:vAlign w:val="bottom"/>
            <w:shd w:val="clear" w:color="auto" w:fill="E6E7E8"/>
          </w:tcPr>
          <w:p>
            <w:pPr>
              <w:spacing w:after="0"/>
              <w:rPr>
                <w:sz w:val="24"/>
                <w:szCs w:val="24"/>
                <w:color w:val="auto"/>
              </w:rPr>
            </w:pPr>
          </w:p>
        </w:tc>
        <w:tc>
          <w:tcPr>
            <w:tcW w:w="2380" w:type="dxa"/>
            <w:vAlign w:val="bottom"/>
            <w:shd w:val="clear" w:color="auto" w:fill="E6E7E8"/>
          </w:tcPr>
          <w:p>
            <w:pPr>
              <w:ind w:left="20"/>
              <w:spacing w:after="0"/>
              <w:rPr>
                <w:sz w:val="20"/>
                <w:szCs w:val="20"/>
                <w:color w:val="auto"/>
              </w:rPr>
            </w:pPr>
            <w:r>
              <w:rPr>
                <w:rFonts w:ascii="Arial" w:cs="Arial" w:eastAsia="Arial" w:hAnsi="Arial"/>
                <w:sz w:val="22"/>
                <w:szCs w:val="22"/>
                <w:b w:val="1"/>
                <w:bCs w:val="1"/>
                <w:color w:val="auto"/>
              </w:rPr>
              <w:t>since 2018</w:t>
            </w:r>
          </w:p>
        </w:tc>
        <w:tc>
          <w:tcPr>
            <w:tcW w:w="3020" w:type="dxa"/>
            <w:vAlign w:val="bottom"/>
            <w:shd w:val="clear" w:color="auto" w:fill="E6E7E8"/>
          </w:tcPr>
          <w:p>
            <w:pPr>
              <w:ind w:left="160"/>
              <w:spacing w:after="0"/>
              <w:rPr>
                <w:sz w:val="20"/>
                <w:szCs w:val="20"/>
                <w:color w:val="auto"/>
              </w:rPr>
            </w:pPr>
            <w:r>
              <w:rPr>
                <w:rFonts w:ascii="Arial" w:cs="Arial" w:eastAsia="Arial" w:hAnsi="Arial"/>
                <w:sz w:val="22"/>
                <w:szCs w:val="22"/>
                <w:b w:val="1"/>
                <w:bCs w:val="1"/>
                <w:color w:val="auto"/>
              </w:rPr>
              <w:t>added Directors</w:t>
            </w:r>
          </w:p>
        </w:tc>
        <w:tc>
          <w:tcPr>
            <w:tcW w:w="1040" w:type="dxa"/>
            <w:vAlign w:val="bottom"/>
            <w:shd w:val="clear" w:color="auto" w:fill="E6E7E8"/>
          </w:tcPr>
          <w:p>
            <w:pPr>
              <w:spacing w:after="0"/>
              <w:rPr>
                <w:sz w:val="24"/>
                <w:szCs w:val="24"/>
                <w:color w:val="auto"/>
              </w:rPr>
            </w:pPr>
          </w:p>
        </w:tc>
        <w:tc>
          <w:tcPr>
            <w:tcW w:w="1840" w:type="dxa"/>
            <w:vAlign w:val="bottom"/>
            <w:shd w:val="clear" w:color="auto" w:fill="E6E7E8"/>
          </w:tcPr>
          <w:p>
            <w:pPr>
              <w:spacing w:after="0"/>
              <w:rPr>
                <w:sz w:val="24"/>
                <w:szCs w:val="24"/>
                <w:color w:val="auto"/>
              </w:rPr>
            </w:pPr>
          </w:p>
        </w:tc>
        <w:tc>
          <w:tcPr>
            <w:tcW w:w="1040" w:type="dxa"/>
            <w:vAlign w:val="bottom"/>
            <w:shd w:val="clear" w:color="auto" w:fill="E6E7E8"/>
          </w:tcPr>
          <w:p>
            <w:pPr>
              <w:spacing w:after="0"/>
              <w:rPr>
                <w:sz w:val="24"/>
                <w:szCs w:val="24"/>
                <w:color w:val="auto"/>
              </w:rPr>
            </w:pPr>
          </w:p>
        </w:tc>
        <w:tc>
          <w:tcPr>
            <w:tcW w:w="1640" w:type="dxa"/>
            <w:vAlign w:val="bottom"/>
            <w:shd w:val="clear" w:color="auto" w:fill="E6E7E8"/>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280" w:type="dxa"/>
            <w:vAlign w:val="bottom"/>
            <w:shd w:val="clear" w:color="auto" w:fill="E6E7E8"/>
          </w:tcPr>
          <w:p>
            <w:pPr>
              <w:spacing w:after="0"/>
              <w:rPr>
                <w:sz w:val="24"/>
                <w:szCs w:val="24"/>
                <w:color w:val="auto"/>
              </w:rPr>
            </w:pPr>
          </w:p>
        </w:tc>
        <w:tc>
          <w:tcPr>
            <w:tcW w:w="2380" w:type="dxa"/>
            <w:vAlign w:val="bottom"/>
            <w:shd w:val="clear" w:color="auto" w:fill="E6E7E8"/>
          </w:tcPr>
          <w:p>
            <w:pPr>
              <w:ind w:left="20"/>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color w:val="auto"/>
              </w:rPr>
              <w:t>new directors have been</w:t>
            </w:r>
          </w:p>
        </w:tc>
        <w:tc>
          <w:tcPr>
            <w:tcW w:w="3020" w:type="dxa"/>
            <w:vAlign w:val="bottom"/>
            <w:shd w:val="clear" w:color="auto" w:fill="E6E7E8"/>
          </w:tcPr>
          <w:p>
            <w:pPr>
              <w:ind w:left="160"/>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new directors are racially/</w:t>
            </w:r>
          </w:p>
        </w:tc>
        <w:tc>
          <w:tcPr>
            <w:tcW w:w="1040" w:type="dxa"/>
            <w:vAlign w:val="bottom"/>
            <w:shd w:val="clear" w:color="auto" w:fill="E6E7E8"/>
          </w:tcPr>
          <w:p>
            <w:pPr>
              <w:spacing w:after="0"/>
              <w:rPr>
                <w:sz w:val="24"/>
                <w:szCs w:val="24"/>
                <w:color w:val="auto"/>
              </w:rPr>
            </w:pPr>
          </w:p>
        </w:tc>
        <w:tc>
          <w:tcPr>
            <w:tcW w:w="2880" w:type="dxa"/>
            <w:vAlign w:val="bottom"/>
            <w:gridSpan w:val="2"/>
            <w:shd w:val="clear" w:color="auto" w:fill="E6E7E8"/>
          </w:tcPr>
          <w:p>
            <w:pPr>
              <w:ind w:left="20"/>
              <w:spacing w:after="0"/>
              <w:rPr>
                <w:sz w:val="20"/>
                <w:szCs w:val="20"/>
                <w:color w:val="auto"/>
              </w:rPr>
            </w:pPr>
            <w:r>
              <w:rPr>
                <w:rFonts w:ascii="Arial" w:cs="Arial" w:eastAsia="Arial" w:hAnsi="Arial"/>
                <w:sz w:val="18"/>
                <w:szCs w:val="18"/>
                <w:color w:val="auto"/>
              </w:rPr>
              <w:t>defense and industrial</w:t>
            </w:r>
          </w:p>
        </w:tc>
        <w:tc>
          <w:tcPr>
            <w:tcW w:w="1640" w:type="dxa"/>
            <w:vAlign w:val="bottom"/>
            <w:shd w:val="clear" w:color="auto" w:fill="E6E7E8"/>
          </w:tcPr>
          <w:p>
            <w:pPr>
              <w:ind w:left="20"/>
              <w:spacing w:after="0"/>
              <w:rPr>
                <w:sz w:val="20"/>
                <w:szCs w:val="20"/>
                <w:color w:val="auto"/>
              </w:rPr>
            </w:pPr>
            <w:r>
              <w:rPr>
                <w:rFonts w:ascii="Arial" w:cs="Arial" w:eastAsia="Arial" w:hAnsi="Arial"/>
                <w:sz w:val="18"/>
                <w:szCs w:val="18"/>
                <w:color w:val="auto"/>
              </w:rPr>
              <w:t>financial</w:t>
            </w:r>
          </w:p>
        </w:tc>
        <w:tc>
          <w:tcPr>
            <w:tcW w:w="0" w:type="dxa"/>
            <w:vAlign w:val="bottom"/>
          </w:tcPr>
          <w:p>
            <w:pPr>
              <w:spacing w:after="0"/>
              <w:rPr>
                <w:sz w:val="1"/>
                <w:szCs w:val="1"/>
                <w:color w:val="auto"/>
              </w:rPr>
            </w:pPr>
          </w:p>
        </w:tc>
      </w:tr>
      <w:tr>
        <w:trPr>
          <w:trHeight w:val="252"/>
        </w:trPr>
        <w:tc>
          <w:tcPr>
            <w:tcW w:w="280" w:type="dxa"/>
            <w:vAlign w:val="bottom"/>
            <w:shd w:val="clear" w:color="auto" w:fill="E6E7E8"/>
          </w:tcPr>
          <w:p>
            <w:pPr>
              <w:spacing w:after="0"/>
              <w:rPr>
                <w:sz w:val="21"/>
                <w:szCs w:val="21"/>
                <w:color w:val="auto"/>
              </w:rPr>
            </w:pPr>
          </w:p>
        </w:tc>
        <w:tc>
          <w:tcPr>
            <w:tcW w:w="2380" w:type="dxa"/>
            <w:vAlign w:val="bottom"/>
            <w:shd w:val="clear" w:color="auto" w:fill="E6E7E8"/>
          </w:tcPr>
          <w:p>
            <w:pPr>
              <w:ind w:left="20"/>
              <w:spacing w:after="0"/>
              <w:rPr>
                <w:sz w:val="20"/>
                <w:szCs w:val="20"/>
                <w:color w:val="auto"/>
              </w:rPr>
            </w:pPr>
            <w:r>
              <w:rPr>
                <w:rFonts w:ascii="Arial" w:cs="Arial" w:eastAsia="Arial" w:hAnsi="Arial"/>
                <w:sz w:val="18"/>
                <w:szCs w:val="18"/>
                <w:color w:val="auto"/>
              </w:rPr>
              <w:t>added to the Board</w:t>
            </w:r>
          </w:p>
        </w:tc>
        <w:tc>
          <w:tcPr>
            <w:tcW w:w="3020" w:type="dxa"/>
            <w:vAlign w:val="bottom"/>
            <w:shd w:val="clear" w:color="auto" w:fill="E6E7E8"/>
          </w:tcPr>
          <w:p>
            <w:pPr>
              <w:ind w:left="160"/>
              <w:spacing w:after="0"/>
              <w:rPr>
                <w:sz w:val="20"/>
                <w:szCs w:val="20"/>
                <w:color w:val="auto"/>
              </w:rPr>
            </w:pPr>
            <w:r>
              <w:rPr>
                <w:rFonts w:ascii="Arial" w:cs="Arial" w:eastAsia="Arial" w:hAnsi="Arial"/>
                <w:sz w:val="18"/>
                <w:szCs w:val="18"/>
                <w:color w:val="auto"/>
              </w:rPr>
              <w:t>ethnically diverse</w:t>
            </w:r>
          </w:p>
        </w:tc>
        <w:tc>
          <w:tcPr>
            <w:tcW w:w="1040" w:type="dxa"/>
            <w:vAlign w:val="bottom"/>
            <w:shd w:val="clear" w:color="auto" w:fill="E6E7E8"/>
          </w:tcPr>
          <w:p>
            <w:pPr>
              <w:spacing w:after="0"/>
              <w:rPr>
                <w:sz w:val="21"/>
                <w:szCs w:val="21"/>
                <w:color w:val="auto"/>
              </w:rPr>
            </w:pPr>
          </w:p>
        </w:tc>
        <w:tc>
          <w:tcPr>
            <w:tcW w:w="2880" w:type="dxa"/>
            <w:vAlign w:val="bottom"/>
            <w:gridSpan w:val="2"/>
            <w:shd w:val="clear" w:color="auto" w:fill="E6E7E8"/>
          </w:tcPr>
          <w:p>
            <w:pPr>
              <w:ind w:left="20"/>
              <w:spacing w:after="0"/>
              <w:rPr>
                <w:sz w:val="20"/>
                <w:szCs w:val="20"/>
                <w:color w:val="auto"/>
              </w:rPr>
            </w:pPr>
            <w:r>
              <w:rPr>
                <w:rFonts w:ascii="Arial" w:cs="Arial" w:eastAsia="Arial" w:hAnsi="Arial"/>
                <w:sz w:val="18"/>
                <w:szCs w:val="18"/>
                <w:color w:val="auto"/>
              </w:rPr>
              <w:t>experience</w:t>
            </w:r>
          </w:p>
        </w:tc>
        <w:tc>
          <w:tcPr>
            <w:tcW w:w="1640" w:type="dxa"/>
            <w:vAlign w:val="bottom"/>
            <w:shd w:val="clear" w:color="auto" w:fill="E6E7E8"/>
          </w:tcPr>
          <w:p>
            <w:pPr>
              <w:ind w:left="20"/>
              <w:spacing w:after="0"/>
              <w:rPr>
                <w:sz w:val="20"/>
                <w:szCs w:val="20"/>
                <w:color w:val="auto"/>
              </w:rPr>
            </w:pPr>
            <w:r>
              <w:rPr>
                <w:rFonts w:ascii="Arial" w:cs="Arial" w:eastAsia="Arial" w:hAnsi="Arial"/>
                <w:sz w:val="18"/>
                <w:szCs w:val="18"/>
                <w:color w:val="auto"/>
              </w:rPr>
              <w:t>expertise/literacy</w:t>
            </w:r>
          </w:p>
        </w:tc>
        <w:tc>
          <w:tcPr>
            <w:tcW w:w="0" w:type="dxa"/>
            <w:vAlign w:val="bottom"/>
          </w:tcPr>
          <w:p>
            <w:pPr>
              <w:spacing w:after="0"/>
              <w:rPr>
                <w:sz w:val="1"/>
                <w:szCs w:val="1"/>
                <w:color w:val="auto"/>
              </w:rPr>
            </w:pPr>
          </w:p>
        </w:tc>
      </w:tr>
      <w:tr>
        <w:trPr>
          <w:trHeight w:val="774"/>
        </w:trPr>
        <w:tc>
          <w:tcPr>
            <w:tcW w:w="280" w:type="dxa"/>
            <w:vAlign w:val="bottom"/>
            <w:shd w:val="clear" w:color="auto" w:fill="E6E7E8"/>
          </w:tcPr>
          <w:p>
            <w:pPr>
              <w:spacing w:after="0"/>
              <w:rPr>
                <w:sz w:val="24"/>
                <w:szCs w:val="24"/>
                <w:color w:val="auto"/>
              </w:rPr>
            </w:pPr>
          </w:p>
        </w:tc>
        <w:tc>
          <w:tcPr>
            <w:tcW w:w="2380" w:type="dxa"/>
            <w:vAlign w:val="bottom"/>
            <w:shd w:val="clear" w:color="auto" w:fill="E6E7E8"/>
          </w:tcPr>
          <w:p>
            <w:pPr>
              <w:ind w:left="20"/>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directors have left</w:t>
            </w:r>
          </w:p>
        </w:tc>
        <w:tc>
          <w:tcPr>
            <w:tcW w:w="3020" w:type="dxa"/>
            <w:vAlign w:val="bottom"/>
            <w:shd w:val="clear" w:color="auto" w:fill="E6E7E8"/>
          </w:tcPr>
          <w:p>
            <w:pPr>
              <w:ind w:left="160"/>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new directors are female</w:t>
            </w:r>
          </w:p>
        </w:tc>
        <w:tc>
          <w:tcPr>
            <w:tcW w:w="1040" w:type="dxa"/>
            <w:vAlign w:val="bottom"/>
            <w:shd w:val="clear" w:color="auto" w:fill="E6E7E8"/>
          </w:tcPr>
          <w:p>
            <w:pPr>
              <w:spacing w:after="0"/>
              <w:rPr>
                <w:sz w:val="24"/>
                <w:szCs w:val="24"/>
                <w:color w:val="auto"/>
              </w:rPr>
            </w:pPr>
          </w:p>
        </w:tc>
        <w:tc>
          <w:tcPr>
            <w:tcW w:w="1840" w:type="dxa"/>
            <w:vAlign w:val="bottom"/>
            <w:shd w:val="clear" w:color="auto" w:fill="E6E7E8"/>
          </w:tcPr>
          <w:p>
            <w:pPr>
              <w:ind w:left="20"/>
              <w:spacing w:after="0"/>
              <w:rPr>
                <w:sz w:val="20"/>
                <w:szCs w:val="20"/>
                <w:color w:val="auto"/>
              </w:rPr>
            </w:pPr>
            <w:r>
              <w:rPr>
                <w:rFonts w:ascii="Arial" w:cs="Arial" w:eastAsia="Arial" w:hAnsi="Arial"/>
                <w:sz w:val="18"/>
                <w:szCs w:val="18"/>
                <w:color w:val="auto"/>
              </w:rPr>
              <w:t>operations and</w:t>
            </w:r>
          </w:p>
        </w:tc>
        <w:tc>
          <w:tcPr>
            <w:tcW w:w="1040" w:type="dxa"/>
            <w:vAlign w:val="bottom"/>
            <w:shd w:val="clear" w:color="auto" w:fill="E6E7E8"/>
          </w:tcPr>
          <w:p>
            <w:pPr>
              <w:spacing w:after="0"/>
              <w:rPr>
                <w:sz w:val="24"/>
                <w:szCs w:val="24"/>
                <w:color w:val="auto"/>
              </w:rPr>
            </w:pPr>
          </w:p>
        </w:tc>
        <w:tc>
          <w:tcPr>
            <w:tcW w:w="1640" w:type="dxa"/>
            <w:vAlign w:val="bottom"/>
            <w:vMerge w:val="restart"/>
            <w:shd w:val="clear" w:color="auto" w:fill="E6E7E8"/>
          </w:tcPr>
          <w:p>
            <w:pPr>
              <w:ind w:left="20"/>
              <w:spacing w:after="0"/>
              <w:rPr>
                <w:sz w:val="20"/>
                <w:szCs w:val="20"/>
                <w:color w:val="auto"/>
              </w:rPr>
            </w:pPr>
            <w:r>
              <w:rPr>
                <w:rFonts w:ascii="Arial" w:cs="Arial" w:eastAsia="Arial" w:hAnsi="Arial"/>
                <w:sz w:val="18"/>
                <w:szCs w:val="18"/>
                <w:color w:val="auto"/>
              </w:rPr>
              <w:t>cyber expertise</w:t>
            </w:r>
          </w:p>
        </w:tc>
        <w:tc>
          <w:tcPr>
            <w:tcW w:w="0" w:type="dxa"/>
            <w:vAlign w:val="bottom"/>
          </w:tcPr>
          <w:p>
            <w:pPr>
              <w:spacing w:after="0"/>
              <w:rPr>
                <w:sz w:val="1"/>
                <w:szCs w:val="1"/>
                <w:color w:val="auto"/>
              </w:rPr>
            </w:pPr>
          </w:p>
        </w:tc>
      </w:tr>
      <w:tr>
        <w:trPr>
          <w:trHeight w:val="144"/>
        </w:trPr>
        <w:tc>
          <w:tcPr>
            <w:tcW w:w="280" w:type="dxa"/>
            <w:vAlign w:val="bottom"/>
            <w:shd w:val="clear" w:color="auto" w:fill="E6E7E8"/>
          </w:tcPr>
          <w:p>
            <w:pPr>
              <w:spacing w:after="0"/>
              <w:rPr>
                <w:sz w:val="12"/>
                <w:szCs w:val="12"/>
                <w:color w:val="auto"/>
              </w:rPr>
            </w:pPr>
          </w:p>
        </w:tc>
        <w:tc>
          <w:tcPr>
            <w:tcW w:w="2380" w:type="dxa"/>
            <w:vAlign w:val="bottom"/>
            <w:vMerge w:val="restart"/>
            <w:shd w:val="clear" w:color="auto" w:fill="E6E7E8"/>
          </w:tcPr>
          <w:p>
            <w:pPr>
              <w:ind w:left="20"/>
              <w:spacing w:after="0"/>
              <w:rPr>
                <w:sz w:val="20"/>
                <w:szCs w:val="20"/>
                <w:color w:val="auto"/>
              </w:rPr>
            </w:pPr>
            <w:r>
              <w:rPr>
                <w:rFonts w:ascii="Arial" w:cs="Arial" w:eastAsia="Arial" w:hAnsi="Arial"/>
                <w:sz w:val="18"/>
                <w:szCs w:val="18"/>
                <w:color w:val="auto"/>
              </w:rPr>
              <w:t>the Board</w:t>
            </w:r>
          </w:p>
        </w:tc>
        <w:tc>
          <w:tcPr>
            <w:tcW w:w="3020" w:type="dxa"/>
            <w:vAlign w:val="bottom"/>
            <w:shd w:val="clear" w:color="auto" w:fill="E6E7E8"/>
          </w:tcPr>
          <w:p>
            <w:pPr>
              <w:spacing w:after="0"/>
              <w:rPr>
                <w:sz w:val="12"/>
                <w:szCs w:val="12"/>
                <w:color w:val="auto"/>
              </w:rPr>
            </w:pPr>
          </w:p>
        </w:tc>
        <w:tc>
          <w:tcPr>
            <w:tcW w:w="1040" w:type="dxa"/>
            <w:vAlign w:val="bottom"/>
            <w:shd w:val="clear" w:color="auto" w:fill="E6E7E8"/>
          </w:tcPr>
          <w:p>
            <w:pPr>
              <w:spacing w:after="0"/>
              <w:rPr>
                <w:sz w:val="12"/>
                <w:szCs w:val="12"/>
                <w:color w:val="auto"/>
              </w:rPr>
            </w:pPr>
          </w:p>
        </w:tc>
        <w:tc>
          <w:tcPr>
            <w:tcW w:w="1840" w:type="dxa"/>
            <w:vAlign w:val="bottom"/>
            <w:vMerge w:val="restart"/>
            <w:shd w:val="clear" w:color="auto" w:fill="E6E7E8"/>
          </w:tcPr>
          <w:p>
            <w:pPr>
              <w:ind w:left="20"/>
              <w:spacing w:after="0"/>
              <w:rPr>
                <w:sz w:val="20"/>
                <w:szCs w:val="20"/>
                <w:color w:val="auto"/>
              </w:rPr>
            </w:pPr>
            <w:r>
              <w:rPr>
                <w:rFonts w:ascii="Arial" w:cs="Arial" w:eastAsia="Arial" w:hAnsi="Arial"/>
                <w:sz w:val="18"/>
                <w:szCs w:val="18"/>
                <w:color w:val="auto"/>
              </w:rPr>
              <w:t>logistics</w:t>
            </w:r>
          </w:p>
        </w:tc>
        <w:tc>
          <w:tcPr>
            <w:tcW w:w="1040" w:type="dxa"/>
            <w:vAlign w:val="bottom"/>
            <w:shd w:val="clear" w:color="auto" w:fill="E6E7E8"/>
          </w:tcPr>
          <w:p>
            <w:pPr>
              <w:spacing w:after="0"/>
              <w:rPr>
                <w:sz w:val="12"/>
                <w:szCs w:val="12"/>
                <w:color w:val="auto"/>
              </w:rPr>
            </w:pPr>
          </w:p>
        </w:tc>
        <w:tc>
          <w:tcPr>
            <w:tcW w:w="1640" w:type="dxa"/>
            <w:vAlign w:val="bottom"/>
            <w:vMerge w:val="continue"/>
            <w:shd w:val="clear" w:color="auto" w:fill="E6E7E8"/>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80" w:type="dxa"/>
            <w:vAlign w:val="bottom"/>
            <w:shd w:val="clear" w:color="auto" w:fill="E6E7E8"/>
          </w:tcPr>
          <w:p>
            <w:pPr>
              <w:spacing w:after="0"/>
              <w:rPr>
                <w:sz w:val="9"/>
                <w:szCs w:val="9"/>
                <w:color w:val="auto"/>
              </w:rPr>
            </w:pPr>
          </w:p>
        </w:tc>
        <w:tc>
          <w:tcPr>
            <w:tcW w:w="2380" w:type="dxa"/>
            <w:vAlign w:val="bottom"/>
            <w:vMerge w:val="continue"/>
            <w:shd w:val="clear" w:color="auto" w:fill="E6E7E8"/>
          </w:tcPr>
          <w:p>
            <w:pPr>
              <w:spacing w:after="0"/>
              <w:rPr>
                <w:sz w:val="9"/>
                <w:szCs w:val="9"/>
                <w:color w:val="auto"/>
              </w:rPr>
            </w:pPr>
          </w:p>
        </w:tc>
        <w:tc>
          <w:tcPr>
            <w:tcW w:w="3020" w:type="dxa"/>
            <w:vAlign w:val="bottom"/>
            <w:shd w:val="clear" w:color="auto" w:fill="E6E7E8"/>
          </w:tcPr>
          <w:p>
            <w:pPr>
              <w:spacing w:after="0"/>
              <w:rPr>
                <w:sz w:val="9"/>
                <w:szCs w:val="9"/>
                <w:color w:val="auto"/>
              </w:rPr>
            </w:pPr>
          </w:p>
        </w:tc>
        <w:tc>
          <w:tcPr>
            <w:tcW w:w="1040" w:type="dxa"/>
            <w:vAlign w:val="bottom"/>
            <w:shd w:val="clear" w:color="auto" w:fill="E6E7E8"/>
          </w:tcPr>
          <w:p>
            <w:pPr>
              <w:spacing w:after="0"/>
              <w:rPr>
                <w:sz w:val="9"/>
                <w:szCs w:val="9"/>
                <w:color w:val="auto"/>
              </w:rPr>
            </w:pPr>
          </w:p>
        </w:tc>
        <w:tc>
          <w:tcPr>
            <w:tcW w:w="1840" w:type="dxa"/>
            <w:vAlign w:val="bottom"/>
            <w:vMerge w:val="continue"/>
            <w:shd w:val="clear" w:color="auto" w:fill="E6E7E8"/>
          </w:tcPr>
          <w:p>
            <w:pPr>
              <w:spacing w:after="0"/>
              <w:rPr>
                <w:sz w:val="9"/>
                <w:szCs w:val="9"/>
                <w:color w:val="auto"/>
              </w:rPr>
            </w:pPr>
          </w:p>
        </w:tc>
        <w:tc>
          <w:tcPr>
            <w:tcW w:w="1040" w:type="dxa"/>
            <w:vAlign w:val="bottom"/>
            <w:shd w:val="clear" w:color="auto" w:fill="E6E7E8"/>
          </w:tcPr>
          <w:p>
            <w:pPr>
              <w:spacing w:after="0"/>
              <w:rPr>
                <w:sz w:val="9"/>
                <w:szCs w:val="9"/>
                <w:color w:val="auto"/>
              </w:rPr>
            </w:pPr>
          </w:p>
        </w:tc>
        <w:tc>
          <w:tcPr>
            <w:tcW w:w="1640" w:type="dxa"/>
            <w:vAlign w:val="bottom"/>
            <w:shd w:val="clear" w:color="auto" w:fill="E6E7E8"/>
          </w:tcPr>
          <w:p>
            <w:pPr>
              <w:spacing w:after="0"/>
              <w:rPr>
                <w:sz w:val="9"/>
                <w:szCs w:val="9"/>
                <w:color w:val="auto"/>
              </w:rPr>
            </w:pPr>
          </w:p>
        </w:tc>
        <w:tc>
          <w:tcPr>
            <w:tcW w:w="0" w:type="dxa"/>
            <w:vAlign w:val="bottom"/>
          </w:tcPr>
          <w:p>
            <w:pPr>
              <w:spacing w:after="0"/>
              <w:rPr>
                <w:sz w:val="1"/>
                <w:szCs w:val="1"/>
                <w:color w:val="auto"/>
              </w:rPr>
            </w:pPr>
          </w:p>
        </w:tc>
      </w:tr>
      <w:tr>
        <w:trPr>
          <w:trHeight w:val="428"/>
        </w:trPr>
        <w:tc>
          <w:tcPr>
            <w:tcW w:w="280" w:type="dxa"/>
            <w:vAlign w:val="bottom"/>
            <w:shd w:val="clear" w:color="auto" w:fill="E6E7E8"/>
          </w:tcPr>
          <w:p>
            <w:pPr>
              <w:spacing w:after="0"/>
              <w:rPr>
                <w:sz w:val="24"/>
                <w:szCs w:val="24"/>
                <w:color w:val="auto"/>
              </w:rPr>
            </w:pPr>
          </w:p>
        </w:tc>
        <w:tc>
          <w:tcPr>
            <w:tcW w:w="2380" w:type="dxa"/>
            <w:vAlign w:val="bottom"/>
            <w:shd w:val="clear" w:color="auto" w:fill="E6E7E8"/>
          </w:tcPr>
          <w:p>
            <w:pPr>
              <w:spacing w:after="0"/>
              <w:rPr>
                <w:sz w:val="24"/>
                <w:szCs w:val="24"/>
                <w:color w:val="auto"/>
              </w:rPr>
            </w:pPr>
          </w:p>
        </w:tc>
        <w:tc>
          <w:tcPr>
            <w:tcW w:w="3020" w:type="dxa"/>
            <w:vAlign w:val="bottom"/>
            <w:shd w:val="clear" w:color="auto" w:fill="E6E7E8"/>
          </w:tcPr>
          <w:p>
            <w:pPr>
              <w:spacing w:after="0"/>
              <w:rPr>
                <w:sz w:val="24"/>
                <w:szCs w:val="24"/>
                <w:color w:val="auto"/>
              </w:rPr>
            </w:pPr>
          </w:p>
        </w:tc>
        <w:tc>
          <w:tcPr>
            <w:tcW w:w="1040" w:type="dxa"/>
            <w:vAlign w:val="bottom"/>
            <w:shd w:val="clear" w:color="auto" w:fill="E6E7E8"/>
          </w:tcPr>
          <w:p>
            <w:pPr>
              <w:spacing w:after="0"/>
              <w:rPr>
                <w:sz w:val="24"/>
                <w:szCs w:val="24"/>
                <w:color w:val="auto"/>
              </w:rPr>
            </w:pPr>
          </w:p>
        </w:tc>
        <w:tc>
          <w:tcPr>
            <w:tcW w:w="1840" w:type="dxa"/>
            <w:vAlign w:val="bottom"/>
            <w:shd w:val="clear" w:color="auto" w:fill="E6E7E8"/>
          </w:tcPr>
          <w:p>
            <w:pPr>
              <w:spacing w:after="0"/>
              <w:rPr>
                <w:sz w:val="24"/>
                <w:szCs w:val="24"/>
                <w:color w:val="auto"/>
              </w:rPr>
            </w:pPr>
          </w:p>
        </w:tc>
        <w:tc>
          <w:tcPr>
            <w:tcW w:w="1040" w:type="dxa"/>
            <w:vAlign w:val="bottom"/>
            <w:shd w:val="clear" w:color="auto" w:fill="E6E7E8"/>
          </w:tcPr>
          <w:p>
            <w:pPr>
              <w:spacing w:after="0"/>
              <w:rPr>
                <w:sz w:val="24"/>
                <w:szCs w:val="24"/>
                <w:color w:val="auto"/>
              </w:rPr>
            </w:pPr>
          </w:p>
        </w:tc>
        <w:tc>
          <w:tcPr>
            <w:tcW w:w="1640" w:type="dxa"/>
            <w:vAlign w:val="bottom"/>
            <w:shd w:val="clear" w:color="auto" w:fill="E6E7E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-1756410</wp:posOffset>
            </wp:positionV>
            <wp:extent cx="8890" cy="15855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158559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-1756410</wp:posOffset>
            </wp:positionV>
            <wp:extent cx="8890" cy="15855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158559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-1225550</wp:posOffset>
            </wp:positionV>
            <wp:extent cx="257175" cy="2571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-1225550</wp:posOffset>
            </wp:positionV>
            <wp:extent cx="179705" cy="2571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9705" cy="25717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-556895</wp:posOffset>
            </wp:positionV>
            <wp:extent cx="214630" cy="2146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-556895</wp:posOffset>
            </wp:positionV>
            <wp:extent cx="265430" cy="2228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5430" cy="22288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right="680"/>
        <w:spacing w:after="0" w:line="312" w:lineRule="auto"/>
        <w:rPr>
          <w:sz w:val="20"/>
          <w:szCs w:val="20"/>
          <w:color w:val="auto"/>
        </w:rPr>
      </w:pPr>
      <w:r>
        <w:rPr>
          <w:rFonts w:ascii="Arial" w:cs="Arial" w:eastAsia="Arial" w:hAnsi="Arial"/>
          <w:sz w:val="16"/>
          <w:szCs w:val="16"/>
          <w:b w:val="1"/>
          <w:bCs w:val="1"/>
          <w:color w:val="29378D"/>
        </w:rPr>
        <w:t xml:space="preserve">AVERAGE AGE </w:t>
      </w:r>
      <w:r>
        <w:rPr>
          <w:rFonts w:ascii="Arial" w:cs="Arial" w:eastAsia="Arial" w:hAnsi="Arial"/>
          <w:sz w:val="40"/>
          <w:szCs w:val="40"/>
          <w:b w:val="1"/>
          <w:bCs w:val="1"/>
          <w:color w:val="29378D"/>
        </w:rPr>
        <w:t xml:space="preserve">65.1 </w:t>
      </w:r>
      <w:r>
        <w:rPr>
          <w:rFonts w:ascii="Arial" w:cs="Arial" w:eastAsia="Arial" w:hAnsi="Arial"/>
          <w:sz w:val="15"/>
          <w:szCs w:val="15"/>
          <w:b w:val="1"/>
          <w:bCs w:val="1"/>
          <w:color w:val="29378D"/>
        </w:rPr>
        <w:t>YEARS</w:t>
      </w:r>
    </w:p>
    <w:p>
      <w:pPr>
        <w:spacing w:after="0" w:line="148" w:lineRule="exact"/>
        <w:rPr>
          <w:sz w:val="20"/>
          <w:szCs w:val="20"/>
          <w:color w:val="auto"/>
        </w:rPr>
      </w:pPr>
    </w:p>
    <w:p>
      <w:pPr>
        <w:ind w:left="260" w:hanging="252"/>
        <w:spacing w:after="0"/>
        <w:tabs>
          <w:tab w:leader="none" w:pos="260" w:val="left"/>
        </w:tabs>
        <w:numPr>
          <w:ilvl w:val="0"/>
          <w:numId w:val="53"/>
        </w:numPr>
        <w:rPr>
          <w:rFonts w:ascii="Wingdings" w:cs="Wingdings" w:eastAsia="Wingdings" w:hAnsi="Wingdings"/>
          <w:sz w:val="25"/>
          <w:szCs w:val="25"/>
          <w:b w:val="1"/>
          <w:bCs w:val="1"/>
          <w:color w:val="29378D"/>
        </w:rPr>
      </w:pPr>
      <w:r>
        <w:rPr>
          <w:rFonts w:ascii="Arial" w:cs="Arial" w:eastAsia="Arial" w:hAnsi="Arial"/>
          <w:sz w:val="16"/>
          <w:szCs w:val="16"/>
          <w:b w:val="1"/>
          <w:bCs w:val="1"/>
          <w:color w:val="auto"/>
        </w:rPr>
        <w:t xml:space="preserve">3 </w:t>
      </w:r>
      <w:r>
        <w:rPr>
          <w:rFonts w:ascii="Arial" w:cs="Arial" w:eastAsia="Arial" w:hAnsi="Arial"/>
          <w:sz w:val="16"/>
          <w:szCs w:val="16"/>
          <w:color w:val="auto"/>
        </w:rPr>
        <w:t>50’s</w:t>
      </w:r>
    </w:p>
    <w:p>
      <w:pPr>
        <w:ind w:left="260" w:hanging="252"/>
        <w:spacing w:after="0" w:line="186" w:lineRule="auto"/>
        <w:tabs>
          <w:tab w:leader="none" w:pos="260" w:val="left"/>
        </w:tabs>
        <w:numPr>
          <w:ilvl w:val="0"/>
          <w:numId w:val="53"/>
        </w:numPr>
        <w:rPr>
          <w:rFonts w:ascii="Wingdings" w:cs="Wingdings" w:eastAsia="Wingdings" w:hAnsi="Wingdings"/>
          <w:sz w:val="25"/>
          <w:szCs w:val="25"/>
          <w:b w:val="1"/>
          <w:bCs w:val="1"/>
          <w:color w:val="C6C5DF"/>
        </w:rPr>
      </w:pPr>
      <w:r>
        <w:rPr>
          <w:rFonts w:ascii="Arial" w:cs="Arial" w:eastAsia="Arial" w:hAnsi="Arial"/>
          <w:sz w:val="16"/>
          <w:szCs w:val="16"/>
          <w:b w:val="1"/>
          <w:bCs w:val="1"/>
          <w:color w:val="auto"/>
        </w:rPr>
        <w:t xml:space="preserve">5 </w:t>
      </w:r>
      <w:r>
        <w:rPr>
          <w:rFonts w:ascii="Arial" w:cs="Arial" w:eastAsia="Arial" w:hAnsi="Arial"/>
          <w:sz w:val="16"/>
          <w:szCs w:val="16"/>
          <w:color w:val="auto"/>
        </w:rPr>
        <w:t>60’s</w:t>
      </w:r>
    </w:p>
    <w:p>
      <w:pPr>
        <w:ind w:left="260" w:hanging="252"/>
        <w:spacing w:after="0" w:line="198" w:lineRule="auto"/>
        <w:tabs>
          <w:tab w:leader="none" w:pos="260" w:val="left"/>
        </w:tabs>
        <w:numPr>
          <w:ilvl w:val="0"/>
          <w:numId w:val="53"/>
        </w:numPr>
        <w:rPr>
          <w:rFonts w:ascii="Wingdings" w:cs="Wingdings" w:eastAsia="Wingdings" w:hAnsi="Wingdings"/>
          <w:sz w:val="25"/>
          <w:szCs w:val="25"/>
          <w:b w:val="1"/>
          <w:bCs w:val="1"/>
          <w:color w:val="939598"/>
        </w:rPr>
      </w:pPr>
      <w:r>
        <w:rPr>
          <w:rFonts w:ascii="Arial" w:cs="Arial" w:eastAsia="Arial" w:hAnsi="Arial"/>
          <w:sz w:val="16"/>
          <w:szCs w:val="16"/>
          <w:b w:val="1"/>
          <w:bCs w:val="1"/>
          <w:color w:val="auto"/>
        </w:rPr>
        <w:t xml:space="preserve">5 </w:t>
      </w:r>
      <w:r>
        <w:rPr>
          <w:rFonts w:ascii="Arial" w:cs="Arial" w:eastAsia="Arial" w:hAnsi="Arial"/>
          <w:sz w:val="16"/>
          <w:szCs w:val="16"/>
          <w:color w:val="auto"/>
        </w:rPr>
        <w:t>70’s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AVERAGE TENURE</w:t>
      </w:r>
    </w:p>
    <w:p>
      <w:pPr>
        <w:spacing w:after="0" w:line="20" w:lineRule="exact"/>
        <w:rPr>
          <w:sz w:val="20"/>
          <w:szCs w:val="20"/>
          <w:color w:val="auto"/>
        </w:rPr>
      </w:pPr>
    </w:p>
    <w:p>
      <w:pPr>
        <w:spacing w:after="0"/>
        <w:rPr>
          <w:sz w:val="20"/>
          <w:szCs w:val="20"/>
          <w:color w:val="auto"/>
        </w:rPr>
      </w:pPr>
      <w:r>
        <w:rPr>
          <w:rFonts w:ascii="Arial" w:cs="Arial" w:eastAsia="Arial" w:hAnsi="Arial"/>
          <w:sz w:val="43"/>
          <w:szCs w:val="43"/>
          <w:b w:val="1"/>
          <w:bCs w:val="1"/>
          <w:color w:val="29378D"/>
        </w:rPr>
        <w:t xml:space="preserve">6.9 </w:t>
      </w:r>
      <w:r>
        <w:rPr>
          <w:rFonts w:ascii="Arial" w:cs="Arial" w:eastAsia="Arial" w:hAnsi="Arial"/>
          <w:sz w:val="16"/>
          <w:szCs w:val="16"/>
          <w:b w:val="1"/>
          <w:bCs w:val="1"/>
          <w:color w:val="29378D"/>
        </w:rPr>
        <w:t>YEARS</w:t>
      </w:r>
    </w:p>
    <w:p>
      <w:pPr>
        <w:spacing w:after="0" w:line="246" w:lineRule="exact"/>
        <w:rPr>
          <w:sz w:val="20"/>
          <w:szCs w:val="20"/>
          <w:color w:val="auto"/>
        </w:rPr>
      </w:pPr>
    </w:p>
    <w:p>
      <w:pPr>
        <w:ind w:left="260" w:hanging="259"/>
        <w:spacing w:after="0"/>
        <w:tabs>
          <w:tab w:leader="none" w:pos="260" w:val="left"/>
        </w:tabs>
        <w:numPr>
          <w:ilvl w:val="0"/>
          <w:numId w:val="54"/>
        </w:numPr>
        <w:rPr>
          <w:rFonts w:ascii="Wingdings" w:cs="Wingdings" w:eastAsia="Wingdings" w:hAnsi="Wingdings"/>
          <w:sz w:val="25"/>
          <w:szCs w:val="25"/>
          <w:b w:val="1"/>
          <w:bCs w:val="1"/>
          <w:color w:val="29378D"/>
        </w:rPr>
      </w:pPr>
      <w:r>
        <w:rPr>
          <w:rFonts w:ascii="Arial" w:cs="Arial" w:eastAsia="Arial" w:hAnsi="Arial"/>
          <w:sz w:val="16"/>
          <w:szCs w:val="16"/>
          <w:b w:val="1"/>
          <w:bCs w:val="1"/>
          <w:color w:val="auto"/>
        </w:rPr>
        <w:t xml:space="preserve">6 </w:t>
      </w:r>
      <w:r>
        <w:rPr>
          <w:rFonts w:ascii="Arial" w:cs="Arial" w:eastAsia="Arial" w:hAnsi="Arial"/>
          <w:sz w:val="16"/>
          <w:szCs w:val="16"/>
          <w:color w:val="auto"/>
        </w:rPr>
        <w:t>≤5 years</w:t>
      </w:r>
    </w:p>
    <w:p>
      <w:pPr>
        <w:ind w:left="260" w:hanging="259"/>
        <w:spacing w:after="0" w:line="198" w:lineRule="auto"/>
        <w:tabs>
          <w:tab w:leader="none" w:pos="260" w:val="left"/>
        </w:tabs>
        <w:numPr>
          <w:ilvl w:val="0"/>
          <w:numId w:val="54"/>
        </w:numPr>
        <w:rPr>
          <w:rFonts w:ascii="Wingdings" w:cs="Wingdings" w:eastAsia="Wingdings" w:hAnsi="Wingdings"/>
          <w:sz w:val="25"/>
          <w:szCs w:val="25"/>
          <w:b w:val="1"/>
          <w:bCs w:val="1"/>
          <w:color w:val="C6C5DF"/>
        </w:rPr>
      </w:pPr>
      <w:r>
        <w:rPr>
          <w:rFonts w:ascii="Arial" w:cs="Arial" w:eastAsia="Arial" w:hAnsi="Arial"/>
          <w:sz w:val="16"/>
          <w:szCs w:val="16"/>
          <w:b w:val="1"/>
          <w:bCs w:val="1"/>
          <w:color w:val="auto"/>
        </w:rPr>
        <w:t xml:space="preserve">4 </w:t>
      </w:r>
      <w:r>
        <w:rPr>
          <w:rFonts w:ascii="Arial" w:cs="Arial" w:eastAsia="Arial" w:hAnsi="Arial"/>
          <w:sz w:val="16"/>
          <w:szCs w:val="16"/>
          <w:color w:val="auto"/>
        </w:rPr>
        <w:t>6-10 years</w:t>
      </w:r>
    </w:p>
    <w:p>
      <w:pPr>
        <w:ind w:left="260" w:hanging="259"/>
        <w:spacing w:after="0" w:line="186" w:lineRule="auto"/>
        <w:tabs>
          <w:tab w:leader="none" w:pos="260" w:val="left"/>
        </w:tabs>
        <w:numPr>
          <w:ilvl w:val="0"/>
          <w:numId w:val="54"/>
        </w:numPr>
        <w:rPr>
          <w:rFonts w:ascii="Wingdings" w:cs="Wingdings" w:eastAsia="Wingdings" w:hAnsi="Wingdings"/>
          <w:sz w:val="25"/>
          <w:szCs w:val="25"/>
          <w:b w:val="1"/>
          <w:bCs w:val="1"/>
          <w:color w:val="939598"/>
        </w:rPr>
      </w:pPr>
      <w:r>
        <w:rPr>
          <w:rFonts w:ascii="Arial" w:cs="Arial" w:eastAsia="Arial" w:hAnsi="Arial"/>
          <w:sz w:val="16"/>
          <w:szCs w:val="16"/>
          <w:b w:val="1"/>
          <w:bCs w:val="1"/>
          <w:color w:val="auto"/>
        </w:rPr>
        <w:t xml:space="preserve">3 </w:t>
      </w:r>
      <w:r>
        <w:rPr>
          <w:rFonts w:ascii="Arial" w:cs="Arial" w:eastAsia="Arial" w:hAnsi="Arial"/>
          <w:sz w:val="16"/>
          <w:szCs w:val="16"/>
          <w:color w:val="auto"/>
        </w:rPr>
        <w:t>&gt;10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740" w:type="dxa"/>
            <w:vAlign w:val="bottom"/>
            <w:gridSpan w:val="2"/>
          </w:tcPr>
          <w:p>
            <w:pPr>
              <w:spacing w:after="0"/>
              <w:rPr>
                <w:sz w:val="20"/>
                <w:szCs w:val="20"/>
                <w:color w:val="auto"/>
              </w:rPr>
            </w:pPr>
            <w:r>
              <w:rPr>
                <w:rFonts w:ascii="Arial" w:cs="Arial" w:eastAsia="Arial" w:hAnsi="Arial"/>
                <w:sz w:val="16"/>
                <w:szCs w:val="16"/>
                <w:b w:val="1"/>
                <w:bCs w:val="1"/>
                <w:color w:val="29378D"/>
              </w:rPr>
              <w:t>GENDER</w:t>
            </w:r>
          </w:p>
        </w:tc>
        <w:tc>
          <w:tcPr>
            <w:tcW w:w="3120" w:type="dxa"/>
            <w:vAlign w:val="bottom"/>
            <w:gridSpan w:val="2"/>
          </w:tcPr>
          <w:p>
            <w:pPr>
              <w:ind w:left="820"/>
              <w:spacing w:after="0"/>
              <w:rPr>
                <w:sz w:val="20"/>
                <w:szCs w:val="20"/>
                <w:color w:val="auto"/>
              </w:rPr>
            </w:pPr>
            <w:r>
              <w:rPr>
                <w:rFonts w:ascii="Arial" w:cs="Arial" w:eastAsia="Arial" w:hAnsi="Arial"/>
                <w:sz w:val="16"/>
                <w:szCs w:val="16"/>
                <w:b w:val="1"/>
                <w:bCs w:val="1"/>
                <w:color w:val="29378D"/>
              </w:rPr>
              <w:t>RACIAL/ ETHNIC DIVERSITY</w:t>
            </w:r>
          </w:p>
        </w:tc>
      </w:tr>
      <w:tr>
        <w:trPr>
          <w:trHeight w:val="597"/>
        </w:trPr>
        <w:tc>
          <w:tcPr>
            <w:tcW w:w="1740" w:type="dxa"/>
            <w:vAlign w:val="bottom"/>
            <w:gridSpan w:val="2"/>
          </w:tcPr>
          <w:p>
            <w:pPr>
              <w:spacing w:after="0"/>
              <w:rPr>
                <w:sz w:val="20"/>
                <w:szCs w:val="20"/>
                <w:color w:val="auto"/>
              </w:rPr>
            </w:pPr>
            <w:r>
              <w:rPr>
                <w:rFonts w:ascii="Arial" w:cs="Arial" w:eastAsia="Arial" w:hAnsi="Arial"/>
                <w:sz w:val="43"/>
                <w:szCs w:val="43"/>
                <w:b w:val="1"/>
                <w:bCs w:val="1"/>
                <w:color w:val="29378D"/>
              </w:rPr>
              <w:t>6/13</w:t>
            </w:r>
          </w:p>
        </w:tc>
        <w:tc>
          <w:tcPr>
            <w:tcW w:w="3120" w:type="dxa"/>
            <w:vAlign w:val="bottom"/>
            <w:gridSpan w:val="2"/>
          </w:tcPr>
          <w:p>
            <w:pPr>
              <w:ind w:left="820"/>
              <w:spacing w:after="0"/>
              <w:rPr>
                <w:sz w:val="20"/>
                <w:szCs w:val="20"/>
                <w:color w:val="auto"/>
              </w:rPr>
            </w:pPr>
            <w:r>
              <w:rPr>
                <w:rFonts w:ascii="Arial" w:cs="Arial" w:eastAsia="Arial" w:hAnsi="Arial"/>
                <w:sz w:val="43"/>
                <w:szCs w:val="43"/>
                <w:b w:val="1"/>
                <w:bCs w:val="1"/>
                <w:color w:val="29378D"/>
              </w:rPr>
              <w:t>4/13</w:t>
            </w:r>
          </w:p>
        </w:tc>
      </w:tr>
      <w:tr>
        <w:trPr>
          <w:trHeight w:val="418"/>
        </w:trPr>
        <w:tc>
          <w:tcPr>
            <w:tcW w:w="360" w:type="dxa"/>
            <w:vAlign w:val="bottom"/>
          </w:tcPr>
          <w:p>
            <w:pPr>
              <w:spacing w:after="0"/>
              <w:rPr>
                <w:sz w:val="20"/>
                <w:szCs w:val="20"/>
                <w:color w:val="auto"/>
              </w:rPr>
            </w:pPr>
            <w:r>
              <w:rPr>
                <w:rFonts w:ascii="Wingdings" w:cs="Wingdings" w:eastAsia="Wingdings" w:hAnsi="Wingdings"/>
                <w:sz w:val="22"/>
                <w:szCs w:val="22"/>
                <w:b w:val="1"/>
                <w:bCs w:val="1"/>
                <w:color w:val="29378D"/>
                <w:w w:val="73"/>
              </w:rPr>
              <w:t xml:space="preserve">n </w:t>
            </w:r>
            <w:r>
              <w:rPr>
                <w:rFonts w:ascii="Arial" w:cs="Arial" w:eastAsia="Arial" w:hAnsi="Arial"/>
                <w:sz w:val="14"/>
                <w:szCs w:val="14"/>
                <w:b w:val="1"/>
                <w:bCs w:val="1"/>
                <w:color w:val="000000"/>
                <w:w w:val="73"/>
              </w:rPr>
              <w:t>6</w:t>
            </w:r>
          </w:p>
        </w:tc>
        <w:tc>
          <w:tcPr>
            <w:tcW w:w="1380" w:type="dxa"/>
            <w:vAlign w:val="bottom"/>
          </w:tcPr>
          <w:p>
            <w:pPr>
              <w:ind w:left="20"/>
              <w:spacing w:after="0"/>
              <w:rPr>
                <w:sz w:val="20"/>
                <w:szCs w:val="20"/>
                <w:color w:val="auto"/>
              </w:rPr>
            </w:pPr>
            <w:r>
              <w:rPr>
                <w:rFonts w:ascii="Arial" w:cs="Arial" w:eastAsia="Arial" w:hAnsi="Arial"/>
                <w:sz w:val="16"/>
                <w:szCs w:val="16"/>
                <w:color w:val="auto"/>
              </w:rPr>
              <w:t>Female</w:t>
            </w:r>
          </w:p>
        </w:tc>
        <w:tc>
          <w:tcPr>
            <w:tcW w:w="1200" w:type="dxa"/>
            <w:vAlign w:val="bottom"/>
          </w:tcPr>
          <w:p>
            <w:pPr>
              <w:ind w:left="820"/>
              <w:spacing w:after="0"/>
              <w:rPr>
                <w:sz w:val="20"/>
                <w:szCs w:val="20"/>
                <w:color w:val="auto"/>
              </w:rPr>
            </w:pPr>
            <w:r>
              <w:rPr>
                <w:rFonts w:ascii="Wingdings" w:cs="Wingdings" w:eastAsia="Wingdings" w:hAnsi="Wingdings"/>
                <w:sz w:val="24"/>
                <w:szCs w:val="24"/>
                <w:b w:val="1"/>
                <w:bCs w:val="1"/>
                <w:color w:val="29378D"/>
                <w:w w:val="71"/>
              </w:rPr>
              <w:t xml:space="preserve">n </w:t>
            </w:r>
            <w:r>
              <w:rPr>
                <w:rFonts w:ascii="Arial" w:cs="Arial" w:eastAsia="Arial" w:hAnsi="Arial"/>
                <w:sz w:val="15"/>
                <w:szCs w:val="15"/>
                <w:b w:val="1"/>
                <w:bCs w:val="1"/>
                <w:color w:val="000000"/>
                <w:w w:val="71"/>
              </w:rPr>
              <w:t>4</w:t>
            </w:r>
          </w:p>
        </w:tc>
        <w:tc>
          <w:tcPr>
            <w:tcW w:w="1920" w:type="dxa"/>
            <w:vAlign w:val="bottom"/>
          </w:tcPr>
          <w:p>
            <w:pPr>
              <w:ind w:left="20"/>
              <w:spacing w:after="0"/>
              <w:rPr>
                <w:sz w:val="20"/>
                <w:szCs w:val="20"/>
                <w:color w:val="auto"/>
              </w:rPr>
            </w:pPr>
            <w:r>
              <w:rPr>
                <w:rFonts w:ascii="Arial" w:cs="Arial" w:eastAsia="Arial" w:hAnsi="Arial"/>
                <w:sz w:val="16"/>
                <w:szCs w:val="16"/>
                <w:color w:val="auto"/>
              </w:rPr>
              <w:t>Racially/Ethnically Diverse</w:t>
            </w:r>
          </w:p>
        </w:tc>
      </w:tr>
      <w:tr>
        <w:trPr>
          <w:trHeight w:val="278"/>
        </w:trPr>
        <w:tc>
          <w:tcPr>
            <w:tcW w:w="360" w:type="dxa"/>
            <w:vAlign w:val="bottom"/>
          </w:tcPr>
          <w:p>
            <w:pPr>
              <w:spacing w:after="0"/>
              <w:rPr>
                <w:sz w:val="20"/>
                <w:szCs w:val="20"/>
                <w:color w:val="auto"/>
              </w:rPr>
            </w:pPr>
            <w:r>
              <w:rPr>
                <w:rFonts w:ascii="Wingdings" w:cs="Wingdings" w:eastAsia="Wingdings" w:hAnsi="Wingdings"/>
                <w:sz w:val="22"/>
                <w:szCs w:val="22"/>
                <w:b w:val="1"/>
                <w:bCs w:val="1"/>
                <w:color w:val="C6C5DF"/>
                <w:w w:val="73"/>
              </w:rPr>
              <w:t xml:space="preserve">n </w:t>
            </w:r>
            <w:r>
              <w:rPr>
                <w:rFonts w:ascii="Arial" w:cs="Arial" w:eastAsia="Arial" w:hAnsi="Arial"/>
                <w:sz w:val="14"/>
                <w:szCs w:val="14"/>
                <w:b w:val="1"/>
                <w:bCs w:val="1"/>
                <w:color w:val="000000"/>
                <w:w w:val="73"/>
              </w:rPr>
              <w:t>7</w:t>
            </w:r>
          </w:p>
        </w:tc>
        <w:tc>
          <w:tcPr>
            <w:tcW w:w="1380" w:type="dxa"/>
            <w:vAlign w:val="bottom"/>
          </w:tcPr>
          <w:p>
            <w:pPr>
              <w:ind w:left="20"/>
              <w:spacing w:after="0"/>
              <w:rPr>
                <w:sz w:val="20"/>
                <w:szCs w:val="20"/>
                <w:color w:val="auto"/>
              </w:rPr>
            </w:pPr>
            <w:r>
              <w:rPr>
                <w:rFonts w:ascii="Arial" w:cs="Arial" w:eastAsia="Arial" w:hAnsi="Arial"/>
                <w:sz w:val="16"/>
                <w:szCs w:val="16"/>
                <w:color w:val="auto"/>
              </w:rPr>
              <w:t>Male</w:t>
            </w:r>
          </w:p>
        </w:tc>
        <w:tc>
          <w:tcPr>
            <w:tcW w:w="1200" w:type="dxa"/>
            <w:vAlign w:val="bottom"/>
          </w:tcPr>
          <w:p>
            <w:pPr>
              <w:ind w:left="820"/>
              <w:spacing w:after="0"/>
              <w:rPr>
                <w:sz w:val="20"/>
                <w:szCs w:val="20"/>
                <w:color w:val="auto"/>
              </w:rPr>
            </w:pPr>
            <w:r>
              <w:rPr>
                <w:rFonts w:ascii="Wingdings" w:cs="Wingdings" w:eastAsia="Wingdings" w:hAnsi="Wingdings"/>
                <w:sz w:val="24"/>
                <w:szCs w:val="24"/>
                <w:b w:val="1"/>
                <w:bCs w:val="1"/>
                <w:color w:val="C6C5DF"/>
                <w:w w:val="71"/>
              </w:rPr>
              <w:t xml:space="preserve">n </w:t>
            </w:r>
            <w:r>
              <w:rPr>
                <w:rFonts w:ascii="Arial" w:cs="Arial" w:eastAsia="Arial" w:hAnsi="Arial"/>
                <w:sz w:val="15"/>
                <w:szCs w:val="15"/>
                <w:b w:val="1"/>
                <w:bCs w:val="1"/>
                <w:color w:val="000000"/>
                <w:w w:val="71"/>
              </w:rPr>
              <w:t>9</w:t>
            </w:r>
          </w:p>
        </w:tc>
        <w:tc>
          <w:tcPr>
            <w:tcW w:w="1920" w:type="dxa"/>
            <w:vAlign w:val="bottom"/>
          </w:tcPr>
          <w:p>
            <w:pPr>
              <w:ind w:left="20"/>
              <w:spacing w:after="0"/>
              <w:rPr>
                <w:sz w:val="20"/>
                <w:szCs w:val="20"/>
                <w:color w:val="auto"/>
              </w:rPr>
            </w:pPr>
            <w:r>
              <w:rPr>
                <w:rFonts w:ascii="Arial" w:cs="Arial" w:eastAsia="Arial" w:hAnsi="Arial"/>
                <w:sz w:val="16"/>
                <w:szCs w:val="16"/>
                <w:color w:val="auto"/>
              </w:rPr>
              <w:t>White/Caucasian</w:t>
            </w:r>
          </w:p>
        </w:tc>
      </w:tr>
    </w:tbl>
    <w:p>
      <w:pPr>
        <w:spacing w:after="0" w:line="426" w:lineRule="exact"/>
        <w:rPr>
          <w:sz w:val="20"/>
          <w:szCs w:val="20"/>
          <w:color w:val="auto"/>
        </w:rPr>
      </w:pPr>
    </w:p>
    <w:p>
      <w:pPr>
        <w:sectPr>
          <w:pgSz w:w="11900" w:h="16838" w:orient="portrait"/>
          <w:cols w:equalWidth="0" w:num="3">
            <w:col w:w="2140" w:space="720"/>
            <w:col w:w="2140" w:space="720"/>
            <w:col w:w="5520"/>
          </w:cols>
          <w:pgMar w:left="320" w:top="238" w:right="339" w:bottom="1440" w:gutter="0" w:footer="0" w:header="0"/>
          <w:type w:val="continuous"/>
        </w:sectPr>
      </w:pPr>
    </w:p>
    <w:p>
      <w:pPr>
        <w:spacing w:after="0" w:line="357" w:lineRule="exact"/>
        <w:rPr>
          <w:sz w:val="20"/>
          <w:szCs w:val="20"/>
          <w:color w:val="auto"/>
        </w:rPr>
      </w:pPr>
    </w:p>
    <w:p>
      <w:pPr>
        <w:spacing w:after="0"/>
        <w:rPr>
          <w:sz w:val="20"/>
          <w:szCs w:val="20"/>
          <w:color w:val="auto"/>
        </w:rPr>
      </w:pPr>
      <w:r>
        <w:rPr>
          <w:rFonts w:ascii="Arial" w:cs="Arial" w:eastAsia="Arial" w:hAnsi="Arial"/>
          <w:sz w:val="23"/>
          <w:szCs w:val="23"/>
          <w:color w:val="auto"/>
        </w:rPr>
        <w:t>Retirement Policy</w:t>
      </w:r>
    </w:p>
    <w:p>
      <w:pPr>
        <w:spacing w:after="0" w:line="117"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We have a retirement policy that provides for a director to retire at the annual meeting following his or her 75th birthday, unless the Board determines, based on special circumstances, that it is in the Company’s best interest to request that the director serve beyond such date.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b w:val="1"/>
          <w:bCs w:val="1"/>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Identification and Consideration of New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637030" cy="4800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637030" cy="480060"/>
                    </a:xfrm>
                    <a:prstGeom prst="rect">
                      <a:avLst/>
                    </a:prstGeom>
                    <a:noFill/>
                  </pic:spPr>
                </pic:pic>
              </a:graphicData>
            </a:graphic>
          </wp:anchor>
        </w:drawing>
      </w:r>
    </w:p>
    <w:p>
      <w:pPr>
        <w:sectPr>
          <w:pgSz w:w="11900" w:h="16838" w:orient="portrait"/>
          <w:cols w:equalWidth="0" w:num="1">
            <w:col w:w="11100"/>
          </w:cols>
          <w:pgMar w:left="320" w:top="238" w:right="479" w:bottom="1440" w:gutter="0" w:footer="0" w:header="0"/>
        </w:sectPr>
      </w:pPr>
    </w:p>
    <w:p>
      <w:pPr>
        <w:spacing w:after="0" w:line="25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9378D"/>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325755" cy="4972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57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9378D"/>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325755" cy="22199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2575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9378D"/>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2252345</wp:posOffset>
            </wp:positionV>
            <wp:extent cx="325755" cy="4972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257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9378D"/>
        </w:rPr>
        <w:t>4</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right="300"/>
        <w:spacing w:after="0" w:line="314" w:lineRule="auto"/>
        <w:rPr>
          <w:sz w:val="20"/>
          <w:szCs w:val="20"/>
          <w:color w:val="auto"/>
        </w:rPr>
      </w:pPr>
      <w:r>
        <w:rPr>
          <w:rFonts w:ascii="Arial" w:cs="Arial" w:eastAsia="Arial" w:hAnsi="Arial"/>
          <w:sz w:val="14"/>
          <w:szCs w:val="14"/>
          <w:b w:val="1"/>
          <w:bCs w:val="1"/>
          <w:color w:val="29378D"/>
        </w:rPr>
        <w:t>ESTABLISH NOMINEE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-346710</wp:posOffset>
            </wp:positionV>
            <wp:extent cx="1311275" cy="12426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11275" cy="124269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-346710</wp:posOffset>
            </wp:positionV>
            <wp:extent cx="1311275" cy="12426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11275" cy="124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314" w:lineRule="auto"/>
        <w:rPr>
          <w:sz w:val="20"/>
          <w:szCs w:val="20"/>
          <w:color w:val="auto"/>
        </w:rPr>
      </w:pPr>
      <w:r>
        <w:rPr>
          <w:rFonts w:ascii="Arial" w:cs="Arial" w:eastAsia="Arial" w:hAnsi="Arial"/>
          <w:sz w:val="14"/>
          <w:szCs w:val="14"/>
          <w:b w:val="1"/>
          <w:bCs w:val="1"/>
          <w:color w:val="29378D"/>
        </w:rPr>
        <w:t>REVIEW OF CANDIDATE’S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295275</wp:posOffset>
            </wp:positionV>
            <wp:extent cx="1311275" cy="23399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1127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CANDIDATE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2183765</wp:posOffset>
            </wp:positionV>
            <wp:extent cx="1311275" cy="4972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112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0"/>
        <w:spacing w:after="0" w:line="314" w:lineRule="auto"/>
        <w:rPr>
          <w:sz w:val="20"/>
          <w:szCs w:val="20"/>
          <w:color w:val="auto"/>
        </w:rPr>
      </w:pPr>
      <w:r>
        <w:rPr>
          <w:rFonts w:ascii="Arial" w:cs="Arial" w:eastAsia="Arial" w:hAnsi="Arial"/>
          <w:sz w:val="14"/>
          <w:szCs w:val="14"/>
          <w:b w:val="1"/>
          <w:bCs w:val="1"/>
          <w:color w:val="29378D"/>
        </w:rPr>
        <w:t>RECOMMENDATION FOR ELECTION</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both"/>
        <w:ind w:left="6" w:right="600"/>
        <w:spacing w:after="0" w:line="266" w:lineRule="auto"/>
        <w:rPr>
          <w:sz w:val="20"/>
          <w:szCs w:val="20"/>
          <w:color w:val="auto"/>
        </w:rPr>
      </w:pPr>
      <w:r>
        <w:rPr>
          <w:rFonts w:ascii="Arial" w:cs="Arial" w:eastAsia="Arial" w:hAnsi="Arial"/>
          <w:sz w:val="16"/>
          <w:szCs w:val="16"/>
          <w:color w:val="auto"/>
        </w:rPr>
        <w:t>The Nominating and Corporate Governance Committee is responsible for establishing the criteria for Board membership, recognizing that it is the responsibility of a director to represent the long-term interests of our shareholders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109220</wp:posOffset>
            </wp:positionV>
            <wp:extent cx="53492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 w:right="20"/>
        <w:spacing w:after="0" w:line="286" w:lineRule="auto"/>
        <w:rPr>
          <w:sz w:val="20"/>
          <w:szCs w:val="20"/>
          <w:color w:val="auto"/>
        </w:rPr>
      </w:pPr>
      <w:r>
        <w:rPr>
          <w:rFonts w:ascii="Arial" w:cs="Arial" w:eastAsia="Arial" w:hAnsi="Arial"/>
          <w:sz w:val="16"/>
          <w:szCs w:val="16"/>
          <w:color w:val="auto"/>
        </w:rPr>
        <w:t>The employment and other activities and associations of candidates are reviewed for any legal impediment, conflict of interest or other consideration or concerns that might prevent or interfere with service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236220</wp:posOffset>
            </wp:positionV>
            <wp:extent cx="53492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evaluating candidates, the Nominating and Corporate Governance Committee considers:</w:t>
      </w:r>
    </w:p>
    <w:p>
      <w:pPr>
        <w:spacing w:after="0" w:line="248" w:lineRule="exact"/>
        <w:rPr>
          <w:sz w:val="20"/>
          <w:szCs w:val="20"/>
          <w:color w:val="auto"/>
        </w:rPr>
      </w:pPr>
    </w:p>
    <w:p>
      <w:pPr>
        <w:ind w:left="146" w:hanging="146"/>
        <w:spacing w:after="0"/>
        <w:tabs>
          <w:tab w:leader="none" w:pos="146" w:val="left"/>
        </w:tabs>
        <w:numPr>
          <w:ilvl w:val="0"/>
          <w:numId w:val="55"/>
        </w:numPr>
        <w:rPr>
          <w:rFonts w:ascii="Arial" w:cs="Arial" w:eastAsia="Arial" w:hAnsi="Arial"/>
          <w:sz w:val="16"/>
          <w:szCs w:val="16"/>
          <w:color w:val="29378D"/>
        </w:rPr>
      </w:pPr>
      <w:r>
        <w:rPr>
          <w:rFonts w:ascii="Arial" w:cs="Arial" w:eastAsia="Arial" w:hAnsi="Arial"/>
          <w:sz w:val="16"/>
          <w:szCs w:val="16"/>
          <w:color w:val="auto"/>
        </w:rPr>
        <w:t>the personal integrity and the professional reputation of the individual;</w:t>
      </w:r>
    </w:p>
    <w:p>
      <w:pPr>
        <w:spacing w:after="0" w:line="21" w:lineRule="exact"/>
        <w:rPr>
          <w:rFonts w:ascii="Arial" w:cs="Arial" w:eastAsia="Arial" w:hAnsi="Arial"/>
          <w:sz w:val="16"/>
          <w:szCs w:val="16"/>
          <w:color w:val="29378D"/>
        </w:rPr>
      </w:pPr>
    </w:p>
    <w:p>
      <w:pPr>
        <w:ind w:left="186" w:right="340" w:hanging="186"/>
        <w:spacing w:after="0" w:line="237" w:lineRule="auto"/>
        <w:tabs>
          <w:tab w:leader="none" w:pos="143" w:val="left"/>
        </w:tabs>
        <w:numPr>
          <w:ilvl w:val="0"/>
          <w:numId w:val="55"/>
        </w:numPr>
        <w:rPr>
          <w:rFonts w:ascii="Arial" w:cs="Arial" w:eastAsia="Arial" w:hAnsi="Arial"/>
          <w:sz w:val="16"/>
          <w:szCs w:val="16"/>
          <w:color w:val="29378D"/>
        </w:rPr>
      </w:pPr>
      <w:r>
        <w:rPr>
          <w:rFonts w:ascii="Arial" w:cs="Arial" w:eastAsia="Arial" w:hAnsi="Arial"/>
          <w:sz w:val="16"/>
          <w:szCs w:val="16"/>
          <w:color w:val="auto"/>
        </w:rPr>
        <w:t>the education, professional background and particular skills and experience most beneficial to service on our Board;</w:t>
      </w:r>
    </w:p>
    <w:p>
      <w:pPr>
        <w:spacing w:after="0" w:line="1" w:lineRule="exact"/>
        <w:rPr>
          <w:rFonts w:ascii="Arial" w:cs="Arial" w:eastAsia="Arial" w:hAnsi="Arial"/>
          <w:sz w:val="16"/>
          <w:szCs w:val="16"/>
          <w:color w:val="29378D"/>
        </w:rPr>
      </w:pPr>
    </w:p>
    <w:p>
      <w:pPr>
        <w:ind w:left="146" w:hanging="146"/>
        <w:spacing w:after="0"/>
        <w:tabs>
          <w:tab w:leader="none" w:pos="146" w:val="left"/>
        </w:tabs>
        <w:numPr>
          <w:ilvl w:val="0"/>
          <w:numId w:val="55"/>
        </w:numPr>
        <w:rPr>
          <w:rFonts w:ascii="Arial" w:cs="Arial" w:eastAsia="Arial" w:hAnsi="Arial"/>
          <w:sz w:val="16"/>
          <w:szCs w:val="16"/>
          <w:color w:val="29378D"/>
        </w:rPr>
      </w:pPr>
      <w:r>
        <w:rPr>
          <w:rFonts w:ascii="Arial" w:cs="Arial" w:eastAsia="Arial" w:hAnsi="Arial"/>
          <w:sz w:val="16"/>
          <w:szCs w:val="16"/>
          <w:color w:val="auto"/>
        </w:rPr>
        <w:t>how the nominee brings diversity, experience and skills valuable to the Company and Board at the time;</w:t>
      </w:r>
    </w:p>
    <w:p>
      <w:pPr>
        <w:spacing w:after="0" w:line="5" w:lineRule="exact"/>
        <w:rPr>
          <w:rFonts w:ascii="Arial" w:cs="Arial" w:eastAsia="Arial" w:hAnsi="Arial"/>
          <w:sz w:val="16"/>
          <w:szCs w:val="16"/>
          <w:color w:val="29378D"/>
        </w:rPr>
      </w:pPr>
    </w:p>
    <w:p>
      <w:pPr>
        <w:ind w:left="186" w:hanging="186"/>
        <w:spacing w:after="0"/>
        <w:tabs>
          <w:tab w:leader="none" w:pos="143" w:val="left"/>
        </w:tabs>
        <w:numPr>
          <w:ilvl w:val="0"/>
          <w:numId w:val="55"/>
        </w:numPr>
        <w:rPr>
          <w:rFonts w:ascii="Arial" w:cs="Arial" w:eastAsia="Arial" w:hAnsi="Arial"/>
          <w:sz w:val="16"/>
          <w:szCs w:val="16"/>
          <w:color w:val="29378D"/>
        </w:rPr>
      </w:pPr>
      <w:r>
        <w:rPr>
          <w:rFonts w:ascii="Arial" w:cs="Arial" w:eastAsia="Arial" w:hAnsi="Arial"/>
          <w:sz w:val="16"/>
          <w:szCs w:val="16"/>
          <w:color w:val="auto"/>
        </w:rPr>
        <w:t>a director candidate's ability and willingness to devote appropriate time and resources to Board service, taking account of a director candidate's outside time commitments, including service on other public company boards of directors and leadership positions held on such boards; and</w:t>
      </w:r>
    </w:p>
    <w:p>
      <w:pPr>
        <w:spacing w:after="0" w:line="1" w:lineRule="exact"/>
        <w:rPr>
          <w:rFonts w:ascii="Arial" w:cs="Arial" w:eastAsia="Arial" w:hAnsi="Arial"/>
          <w:sz w:val="16"/>
          <w:szCs w:val="16"/>
          <w:color w:val="29378D"/>
        </w:rPr>
      </w:pPr>
    </w:p>
    <w:p>
      <w:pPr>
        <w:ind w:left="146" w:hanging="146"/>
        <w:spacing w:after="0"/>
        <w:tabs>
          <w:tab w:leader="none" w:pos="146" w:val="left"/>
        </w:tabs>
        <w:numPr>
          <w:ilvl w:val="0"/>
          <w:numId w:val="55"/>
        </w:numPr>
        <w:rPr>
          <w:rFonts w:ascii="Arial" w:cs="Arial" w:eastAsia="Arial" w:hAnsi="Arial"/>
          <w:sz w:val="16"/>
          <w:szCs w:val="16"/>
          <w:color w:val="29378D"/>
        </w:rPr>
      </w:pPr>
      <w:r>
        <w:rPr>
          <w:rFonts w:ascii="Arial" w:cs="Arial" w:eastAsia="Arial" w:hAnsi="Arial"/>
          <w:sz w:val="16"/>
          <w:szCs w:val="16"/>
          <w:color w:val="auto"/>
        </w:rPr>
        <w:t>a director candidate's willingness to obtain and retain a top secret security clearance.</w:t>
      </w:r>
    </w:p>
    <w:p>
      <w:pPr>
        <w:spacing w:after="0" w:line="232" w:lineRule="exact"/>
        <w:rPr>
          <w:sz w:val="20"/>
          <w:szCs w:val="20"/>
          <w:color w:val="auto"/>
        </w:rPr>
      </w:pPr>
    </w:p>
    <w:p>
      <w:pPr>
        <w:ind w:left="6"/>
        <w:spacing w:after="0" w:line="251" w:lineRule="auto"/>
        <w:rPr>
          <w:sz w:val="20"/>
          <w:szCs w:val="20"/>
          <w:color w:val="auto"/>
        </w:rPr>
      </w:pPr>
      <w:r>
        <w:rPr>
          <w:rFonts w:ascii="Arial" w:cs="Arial" w:eastAsia="Arial" w:hAnsi="Arial"/>
          <w:sz w:val="16"/>
          <w:szCs w:val="16"/>
          <w:color w:val="auto"/>
        </w:rPr>
        <w:t>The Nominating and Corporate Governance Committee evaluates potential director candidates on the basis of the candidate’s background, qualifications and experience. The Committee is committed to enhancing diversity on the Board, including diversity of experience. The Committee carefully considers whether a potential candidate would be able to fulfill his or her duties to the Company consistent with Delaware law and the Company’s governing documents, including the Principles of Corporate Governance and security requirements. The Committee seeks to ensure each candidate will enhance the effectiveness of the Board overall.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133350</wp:posOffset>
            </wp:positionV>
            <wp:extent cx="534924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right="494"/>
        <w:spacing w:after="0"/>
        <w:rPr>
          <w:sz w:val="20"/>
          <w:szCs w:val="20"/>
          <w:color w:val="auto"/>
        </w:rPr>
      </w:pPr>
      <w:r>
        <w:rPr>
          <w:rFonts w:ascii="Arial" w:cs="Arial" w:eastAsia="Arial" w:hAnsi="Arial"/>
          <w:sz w:val="16"/>
          <w:szCs w:val="16"/>
          <w:color w:val="auto"/>
        </w:rPr>
        <w:t>The Nominating and Corporate Governance Committee recommends to the full Board nominees for election.</w:t>
      </w:r>
    </w:p>
    <w:p>
      <w:pPr>
        <w:spacing w:after="0" w:line="563" w:lineRule="exact"/>
        <w:rPr>
          <w:sz w:val="20"/>
          <w:szCs w:val="20"/>
          <w:color w:val="auto"/>
        </w:rPr>
      </w:pPr>
    </w:p>
    <w:p>
      <w:pPr>
        <w:sectPr>
          <w:pgSz w:w="11900" w:h="16838" w:orient="portrait"/>
          <w:cols w:equalWidth="0" w:num="3">
            <w:col w:w="180" w:space="360"/>
            <w:col w:w="1820" w:space="474"/>
            <w:col w:w="8266"/>
          </w:cols>
          <w:pgMar w:left="320" w:top="238" w:right="47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23"/>
          <w:szCs w:val="23"/>
          <w:color w:val="auto"/>
        </w:rPr>
        <w:t>Commitment to Diversity</w:t>
      </w:r>
    </w:p>
    <w:p>
      <w:pPr>
        <w:spacing w:after="0" w:line="13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evaluating director candidates, the Nominating and Corporate Governance Committee aims to ensure a diverse, inclusive and effective board, benefiting from diversity of thought, perspective and experience. The Nominating and Corporate Governance Committee seeks to ensure broad diversity, including in race and gender, as well as in professional experience, education, skill and other qualities that contribute to our Board and the long-term interests of our Company and our shareholders.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 w:hanging="494"/>
        <w:spacing w:after="0"/>
        <w:tabs>
          <w:tab w:leader="none" w:pos="520" w:val="left"/>
        </w:tabs>
        <w:numPr>
          <w:ilvl w:val="0"/>
          <w:numId w:val="56"/>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38" w:right="479"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14"/>
          <w:szCs w:val="14"/>
          <w:b w:val="1"/>
          <w:bCs w:val="1"/>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Shareholder Nominations</w:t>
      </w:r>
    </w:p>
    <w:p>
      <w:pPr>
        <w:spacing w:after="0" w:line="12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Shareholders may recommend director candidates for consideration by the Nominating and Corporate Governance Committee pursuant to our Principles of Corporate Governance. The Nominating and Corporate Governance Committee considers such director candidates recommended by shareholders similarly to other potential director candidates brought to the attention of the Nominating and Corporate Governance Committee. Shareholder recommendations for director candidates under our Principles of Corporate Governance must be addressed to the Nominating and Corporate Governance Committee in care of the Corporate Secretary. In addition, and as discussed immediately below, shareholders may also directly nominate director candidates in accordance with our Bylaws.</w:t>
      </w:r>
    </w:p>
    <w:p>
      <w:pPr>
        <w:spacing w:after="0" w:line="200" w:lineRule="exact"/>
        <w:rPr>
          <w:sz w:val="20"/>
          <w:szCs w:val="20"/>
          <w:color w:val="auto"/>
        </w:rPr>
      </w:pPr>
    </w:p>
    <w:p>
      <w:pPr>
        <w:spacing w:after="0"/>
        <w:rPr>
          <w:sz w:val="20"/>
          <w:szCs w:val="20"/>
          <w:color w:val="auto"/>
        </w:rPr>
      </w:pPr>
      <w:r>
        <w:rPr>
          <w:rFonts w:ascii="Arial" w:cs="Arial" w:eastAsia="Arial" w:hAnsi="Arial"/>
          <w:sz w:val="23"/>
          <w:szCs w:val="23"/>
          <w:color w:val="auto"/>
        </w:rPr>
        <w:t>Proxy Access</w:t>
      </w:r>
    </w:p>
    <w:p>
      <w:pPr>
        <w:spacing w:after="0" w:line="11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Under the Company’s proxy access bylaws, a shareholder, or a group of up to 20 shareholders, that has maintained continuous ownership of 3% or more of the Company’s outstanding common stock for at least three years may include in the Company’s proxy materials director nominees constituting up to the greater of two nominees or nominees constituting 20% of the number of directors in office. Director nominees may receive compensation from third parties for their candidacy, up to the total annual compensation paid to directors of the Company, as well as reimbursement for reasonable expenses, provided there is full disclosure of such compensation. Under the Company’s bylaw provisions, directors are treated similarly, whether nominated through proxy access or otherwise, and held to the same high fiduciary standards to serve all shareholders.</w:t>
      </w:r>
    </w:p>
    <w:p>
      <w:pPr>
        <w:spacing w:after="0" w:line="82"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The Company’s Bylaws provide our shareholders with broad and meaningful access to the Company’s proxy materials while enhancing transparency, protecting the interests of all shareholders and ensuring good governance. The terms of the Company’s proxy access bylaw provisions are also broadly consistent with the terms of proxy access bylaws adopted by other Fortune 500 companies, reflecting best practices.</w:t>
      </w:r>
    </w:p>
    <w:p>
      <w:pPr>
        <w:spacing w:after="0" w:line="216"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Director Election Process</w:t>
      </w:r>
    </w:p>
    <w:p>
      <w:pPr>
        <w:spacing w:after="0" w:line="123"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Our Bylaws and Certificate of Incorporation provide for the annual election of directors. Each director will hold office until the next annual meeting of shareholders or until his or her earlier resignation or removal. Generally, in order to be elected, a director must receive more votes cast “for” than “against” his or her election, unless one or more shareholders provide notice of an intention to nominate one or more candidates to compete with the Board’s nominees for election in accordance with the procedures set forth in the Company’s corporate governance documents.</w:t>
      </w:r>
    </w:p>
    <w:p>
      <w:pPr>
        <w:spacing w:after="0" w:line="196" w:lineRule="exact"/>
        <w:rPr>
          <w:sz w:val="20"/>
          <w:szCs w:val="20"/>
          <w:color w:val="auto"/>
        </w:rPr>
      </w:pPr>
    </w:p>
    <w:p>
      <w:pPr>
        <w:spacing w:after="0"/>
        <w:rPr>
          <w:sz w:val="20"/>
          <w:szCs w:val="20"/>
          <w:color w:val="auto"/>
        </w:rPr>
      </w:pPr>
      <w:r>
        <w:rPr>
          <w:rFonts w:ascii="Arial" w:cs="Arial" w:eastAsia="Arial" w:hAnsi="Arial"/>
          <w:sz w:val="23"/>
          <w:szCs w:val="23"/>
          <w:color w:val="auto"/>
        </w:rPr>
        <w:t>Effect of Failure to Obtain and Retain Security Clearance or Receive the Required Vote</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Each director is required to tender a resignation in the event of and effective upon the failure to obtain top secret security clearance within 12 months of election or appointment to the Board, or the failure to retain a top secret security clearance once obtained. If an incumbent director fails to obtain and retain a top secret security clearance, the Nominating and Corporate Governance Committee will consider whether the Board should accept the director’s resignation and will submit a recommendation for prompt consideration by the Board. In addition, each director is required to tender a resignation in the event of and effective upon the failure to receive the required vote at any future meeting at which such director faces re-election. The Nominating and Corporate Governance Committee and the Board will consider relevant facts in deciding whether to accept a resignation, including, without limitation, any harm to our Company that may result from accepting the resignation.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30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0" w:name="page31"/>
    <w:bookmarkEnd w:id="30"/>
    <w:p>
      <w:pPr>
        <w:spacing w:after="0"/>
        <w:rPr>
          <w:sz w:val="20"/>
          <w:szCs w:val="20"/>
          <w:color w:val="auto"/>
        </w:rPr>
      </w:pPr>
      <w:r>
        <w:rPr>
          <w:rFonts w:ascii="Arial" w:cs="Arial" w:eastAsia="Arial" w:hAnsi="Arial"/>
          <w:sz w:val="43"/>
          <w:szCs w:val="43"/>
          <w:b w:val="1"/>
          <w:bCs w:val="1"/>
          <w:color w:val="29378D"/>
        </w:rPr>
        <w:t>Corporate Governance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Overview</w:t>
      </w:r>
    </w:p>
    <w:p>
      <w:pPr>
        <w:spacing w:after="0" w:line="8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are committed to maintaining high standards of corporate governance, reflecting on our values, protecting the interests of our shareholders, and promoting long-term, profitable growth. With strong oversight from the Board, our corporate governance regime is intended to promote the long-term success of our Company to benefit our shareholders, employees, customers, partners and communities.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Our strong corporate governance and responsible business practices reflect and are built on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55245</wp:posOffset>
            </wp:positionV>
            <wp:extent cx="8255" cy="31972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319722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55245</wp:posOffset>
            </wp:positionV>
            <wp:extent cx="8890" cy="31972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319722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158115</wp:posOffset>
            </wp:positionV>
            <wp:extent cx="377190" cy="3771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77190" cy="3771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158115</wp:posOffset>
            </wp:positionV>
            <wp:extent cx="377190" cy="3771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77190" cy="3771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158115</wp:posOffset>
            </wp:positionV>
            <wp:extent cx="368300" cy="3689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68300" cy="36893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29378D"/>
        </w:rPr>
        <w:t>Values</w:t>
      </w:r>
    </w:p>
    <w:p>
      <w:pPr>
        <w:spacing w:after="0" w:line="181" w:lineRule="exact"/>
        <w:rPr>
          <w:sz w:val="20"/>
          <w:szCs w:val="20"/>
          <w:color w:val="auto"/>
        </w:rPr>
      </w:pPr>
    </w:p>
    <w:p>
      <w:pPr>
        <w:ind w:left="20" w:right="220"/>
        <w:spacing w:after="0" w:line="286" w:lineRule="auto"/>
        <w:rPr>
          <w:sz w:val="20"/>
          <w:szCs w:val="20"/>
          <w:color w:val="auto"/>
        </w:rPr>
      </w:pPr>
      <w:r>
        <w:rPr>
          <w:rFonts w:ascii="Arial" w:cs="Arial" w:eastAsia="Arial" w:hAnsi="Arial"/>
          <w:sz w:val="16"/>
          <w:szCs w:val="16"/>
          <w:color w:val="auto"/>
        </w:rPr>
        <w:t>Our values provide the foundation for our culture and success:</w:t>
      </w:r>
    </w:p>
    <w:p>
      <w:pPr>
        <w:spacing w:after="0" w:line="7" w:lineRule="exact"/>
        <w:rPr>
          <w:sz w:val="20"/>
          <w:szCs w:val="20"/>
          <w:color w:val="auto"/>
        </w:rPr>
      </w:pPr>
    </w:p>
    <w:p>
      <w:pPr>
        <w:ind w:left="220" w:right="220" w:hanging="194"/>
        <w:spacing w:after="0" w:line="252" w:lineRule="auto"/>
        <w:tabs>
          <w:tab w:leader="none" w:pos="163" w:val="left"/>
        </w:tabs>
        <w:numPr>
          <w:ilvl w:val="0"/>
          <w:numId w:val="57"/>
        </w:numPr>
        <w:rPr>
          <w:rFonts w:ascii="Arial" w:cs="Arial" w:eastAsia="Arial" w:hAnsi="Arial"/>
          <w:sz w:val="16"/>
          <w:szCs w:val="16"/>
          <w:b w:val="1"/>
          <w:bCs w:val="1"/>
          <w:color w:val="29378D"/>
        </w:rPr>
      </w:pPr>
      <w:r>
        <w:rPr>
          <w:rFonts w:ascii="Arial" w:cs="Arial" w:eastAsia="Arial" w:hAnsi="Arial"/>
          <w:sz w:val="16"/>
          <w:szCs w:val="16"/>
          <w:color w:val="auto"/>
        </w:rPr>
        <w:t>We Do The Right Thing - we earn trust, act with ethics, integrity and transparency, treat everyone with respect, value diversity and foster safe and inclusive environments;</w:t>
      </w:r>
    </w:p>
    <w:p>
      <w:pPr>
        <w:spacing w:after="0" w:line="46" w:lineRule="exact"/>
        <w:rPr>
          <w:rFonts w:ascii="Arial" w:cs="Arial" w:eastAsia="Arial" w:hAnsi="Arial"/>
          <w:sz w:val="16"/>
          <w:szCs w:val="16"/>
          <w:b w:val="1"/>
          <w:bCs w:val="1"/>
          <w:color w:val="29378D"/>
        </w:rPr>
      </w:pPr>
    </w:p>
    <w:p>
      <w:pPr>
        <w:ind w:left="220" w:right="240" w:hanging="194"/>
        <w:spacing w:after="0" w:line="257" w:lineRule="auto"/>
        <w:tabs>
          <w:tab w:leader="none" w:pos="163" w:val="left"/>
        </w:tabs>
        <w:numPr>
          <w:ilvl w:val="0"/>
          <w:numId w:val="57"/>
        </w:numPr>
        <w:rPr>
          <w:rFonts w:ascii="Arial" w:cs="Arial" w:eastAsia="Arial" w:hAnsi="Arial"/>
          <w:sz w:val="16"/>
          <w:szCs w:val="16"/>
          <w:b w:val="1"/>
          <w:bCs w:val="1"/>
          <w:color w:val="29378D"/>
        </w:rPr>
      </w:pPr>
      <w:r>
        <w:rPr>
          <w:rFonts w:ascii="Arial" w:cs="Arial" w:eastAsia="Arial" w:hAnsi="Arial"/>
          <w:sz w:val="16"/>
          <w:szCs w:val="16"/>
          <w:color w:val="auto"/>
        </w:rPr>
        <w:t>We Do What We Promise - we own the delivery of results, focused on quality outcomes;</w:t>
      </w:r>
    </w:p>
    <w:p>
      <w:pPr>
        <w:spacing w:after="0" w:line="29" w:lineRule="exact"/>
        <w:rPr>
          <w:rFonts w:ascii="Arial" w:cs="Arial" w:eastAsia="Arial" w:hAnsi="Arial"/>
          <w:sz w:val="16"/>
          <w:szCs w:val="16"/>
          <w:b w:val="1"/>
          <w:bCs w:val="1"/>
          <w:color w:val="29378D"/>
        </w:rPr>
      </w:pPr>
    </w:p>
    <w:p>
      <w:pPr>
        <w:ind w:left="220" w:hanging="194"/>
        <w:spacing w:after="0" w:line="256" w:lineRule="auto"/>
        <w:tabs>
          <w:tab w:leader="none" w:pos="163" w:val="left"/>
        </w:tabs>
        <w:numPr>
          <w:ilvl w:val="0"/>
          <w:numId w:val="57"/>
        </w:numPr>
        <w:rPr>
          <w:rFonts w:ascii="Arial" w:cs="Arial" w:eastAsia="Arial" w:hAnsi="Arial"/>
          <w:sz w:val="16"/>
          <w:szCs w:val="16"/>
          <w:b w:val="1"/>
          <w:bCs w:val="1"/>
          <w:color w:val="29378D"/>
        </w:rPr>
      </w:pPr>
      <w:r>
        <w:rPr>
          <w:rFonts w:ascii="Arial" w:cs="Arial" w:eastAsia="Arial" w:hAnsi="Arial"/>
          <w:sz w:val="16"/>
          <w:szCs w:val="16"/>
          <w:color w:val="auto"/>
        </w:rPr>
        <w:t>We Commit To Shared Success -we work together to focus on the mission and take accountability for the sustainable success of our people, customers, shareholders, suppliers and communities; and</w:t>
      </w:r>
    </w:p>
    <w:p>
      <w:pPr>
        <w:spacing w:after="0" w:line="31" w:lineRule="exact"/>
        <w:rPr>
          <w:rFonts w:ascii="Arial" w:cs="Arial" w:eastAsia="Arial" w:hAnsi="Arial"/>
          <w:sz w:val="16"/>
          <w:szCs w:val="16"/>
          <w:b w:val="1"/>
          <w:bCs w:val="1"/>
          <w:color w:val="29378D"/>
        </w:rPr>
      </w:pPr>
    </w:p>
    <w:p>
      <w:pPr>
        <w:ind w:left="220" w:right="280" w:hanging="194"/>
        <w:spacing w:after="0" w:line="253" w:lineRule="auto"/>
        <w:tabs>
          <w:tab w:leader="none" w:pos="163" w:val="left"/>
        </w:tabs>
        <w:numPr>
          <w:ilvl w:val="0"/>
          <w:numId w:val="57"/>
        </w:numPr>
        <w:rPr>
          <w:rFonts w:ascii="Arial" w:cs="Arial" w:eastAsia="Arial" w:hAnsi="Arial"/>
          <w:sz w:val="16"/>
          <w:szCs w:val="16"/>
          <w:b w:val="1"/>
          <w:bCs w:val="1"/>
          <w:color w:val="29378D"/>
        </w:rPr>
      </w:pPr>
      <w:r>
        <w:rPr>
          <w:rFonts w:ascii="Arial" w:cs="Arial" w:eastAsia="Arial" w:hAnsi="Arial"/>
          <w:sz w:val="16"/>
          <w:szCs w:val="16"/>
          <w:color w:val="auto"/>
        </w:rPr>
        <w:t>We Pioneer - with fierce curiosity, dedication and innovation, we seek to solve the world’s most challenging problems.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29378D"/>
        </w:rPr>
        <w:t>Principles of</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29378D"/>
        </w:rPr>
        <w:t>Corporate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29378D"/>
        </w:rPr>
        <w:t>Governance</w:t>
      </w:r>
    </w:p>
    <w:p>
      <w:pPr>
        <w:spacing w:after="0" w:line="84"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 xml:space="preserve">Our Principles of Corporate Governance outline the role and responsibilities of our Board and the high standards our directors maintain. They set forth additional independence requirements for our directors and provide guidelines for Board leadership and Board and Committee membership, among other items. The Board reviews these principles at least annually and considers opportunities for improvement and modification. Our Principles of Corporate Governance are available at </w:t>
      </w:r>
      <w:r>
        <w:rPr>
          <w:rFonts w:ascii="Arial" w:cs="Arial" w:eastAsia="Arial" w:hAnsi="Arial"/>
          <w:sz w:val="16"/>
          <w:szCs w:val="16"/>
          <w:i w:val="1"/>
          <w:iCs w:val="1"/>
          <w:color w:val="auto"/>
        </w:rPr>
        <w:t>investor.northropgrumman.com/principles-corporate-governance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29378D"/>
        </w:rPr>
        <w:t>Standards</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29378D"/>
        </w:rPr>
        <w:t>of Business</w:t>
      </w:r>
    </w:p>
    <w:p>
      <w:pPr>
        <w:spacing w:after="0" w:line="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29378D"/>
        </w:rPr>
        <w:t>Conduct</w:t>
      </w:r>
    </w:p>
    <w:p>
      <w:pPr>
        <w:spacing w:after="0" w:line="84"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 xml:space="preserve">Our Standards of Business Conduct outline our commitment to ethics and integrity, consistent with our values and how we do business. They reflect and reinforce our commitment to our core values. They apply to our directors, officers and employees. We also require our suppliers to meet similar standards through our Standards of Business Conduct for Suppliers and Other Trading Partners. In 2023, we updated our Standards of Business Conduct as part of our efforts to review and continuously update key governance documents. Our Standards of Business Conduct and our Standards of Business Conduct for Suppliers and Other Trading Partners are available at </w:t>
      </w:r>
      <w:r>
        <w:rPr>
          <w:rFonts w:ascii="Arial" w:cs="Arial" w:eastAsia="Arial" w:hAnsi="Arial"/>
          <w:sz w:val="16"/>
          <w:szCs w:val="16"/>
          <w:i w:val="1"/>
          <w:iCs w:val="1"/>
          <w:color w:val="auto"/>
        </w:rPr>
        <w:t>www.northropgrumman.com/corporate-responsibility/ethics-and-business-conduct/standards-of-business-conduct/</w:t>
      </w:r>
      <w:r>
        <w:rPr>
          <w:rFonts w:ascii="Arial" w:cs="Arial" w:eastAsia="Arial" w:hAnsi="Arial"/>
          <w:sz w:val="16"/>
          <w:szCs w:val="16"/>
          <w:color w:val="auto"/>
        </w:rPr>
        <w:t>.</w:t>
      </w:r>
    </w:p>
    <w:p>
      <w:pPr>
        <w:spacing w:after="0" w:line="536" w:lineRule="exact"/>
        <w:rPr>
          <w:sz w:val="20"/>
          <w:szCs w:val="20"/>
          <w:color w:val="auto"/>
        </w:rPr>
      </w:pPr>
    </w:p>
    <w:p>
      <w:pPr>
        <w:sectPr>
          <w:pgSz w:w="11900" w:h="16838" w:orient="portrait"/>
          <w:cols w:equalWidth="0" w:num="3">
            <w:col w:w="3200" w:space="700"/>
            <w:col w:w="3260" w:space="720"/>
            <w:col w:w="3360"/>
          </w:cols>
          <w:pgMar w:left="320" w:top="1298" w:right="339" w:bottom="1440" w:gutter="0" w:footer="0" w:header="0"/>
          <w:type w:val="continuous"/>
        </w:sectPr>
      </w:pPr>
    </w:p>
    <w:p>
      <w:pPr>
        <w:spacing w:after="0"/>
        <w:rPr>
          <w:sz w:val="20"/>
          <w:szCs w:val="20"/>
          <w:color w:val="auto"/>
        </w:rPr>
      </w:pPr>
      <w:r>
        <w:rPr>
          <w:rFonts w:ascii="Arial" w:cs="Arial" w:eastAsia="Arial" w:hAnsi="Arial"/>
          <w:sz w:val="16"/>
          <w:szCs w:val="16"/>
          <w:color w:val="auto"/>
        </w:rPr>
        <w:t>Among other things, our Standards of Business Conduct:</w:t>
      </w:r>
    </w:p>
    <w:p>
      <w:pPr>
        <w:spacing w:after="0" w:line="100" w:lineRule="exact"/>
        <w:rPr>
          <w:sz w:val="20"/>
          <w:szCs w:val="20"/>
          <w:color w:val="auto"/>
        </w:rPr>
      </w:pPr>
    </w:p>
    <w:p>
      <w:pPr>
        <w:ind w:left="140" w:hanging="132"/>
        <w:spacing w:after="0"/>
        <w:tabs>
          <w:tab w:leader="none" w:pos="140" w:val="left"/>
        </w:tabs>
        <w:numPr>
          <w:ilvl w:val="0"/>
          <w:numId w:val="58"/>
        </w:numPr>
        <w:rPr>
          <w:rFonts w:ascii="Arial" w:cs="Arial" w:eastAsia="Arial" w:hAnsi="Arial"/>
          <w:sz w:val="16"/>
          <w:szCs w:val="16"/>
          <w:b w:val="1"/>
          <w:bCs w:val="1"/>
          <w:color w:val="29378D"/>
        </w:rPr>
      </w:pPr>
      <w:r>
        <w:rPr>
          <w:rFonts w:ascii="Arial" w:cs="Arial" w:eastAsia="Arial" w:hAnsi="Arial"/>
          <w:sz w:val="16"/>
          <w:szCs w:val="16"/>
          <w:color w:val="auto"/>
        </w:rPr>
        <w:t>require our employees to live our values in all aspects of our business;</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58"/>
        </w:numPr>
        <w:rPr>
          <w:rFonts w:ascii="Arial" w:cs="Arial" w:eastAsia="Arial" w:hAnsi="Arial"/>
          <w:sz w:val="16"/>
          <w:szCs w:val="16"/>
          <w:b w:val="1"/>
          <w:bCs w:val="1"/>
          <w:color w:val="29378D"/>
        </w:rPr>
      </w:pPr>
      <w:r>
        <w:rPr>
          <w:rFonts w:ascii="Arial" w:cs="Arial" w:eastAsia="Arial" w:hAnsi="Arial"/>
          <w:sz w:val="16"/>
          <w:szCs w:val="16"/>
          <w:color w:val="auto"/>
        </w:rPr>
        <w:t>require strict adherence to all applicable laws and regulations;</w:t>
      </w:r>
    </w:p>
    <w:p>
      <w:pPr>
        <w:spacing w:after="0" w:line="72" w:lineRule="exact"/>
        <w:rPr>
          <w:rFonts w:ascii="Arial" w:cs="Arial" w:eastAsia="Arial" w:hAnsi="Arial"/>
          <w:sz w:val="16"/>
          <w:szCs w:val="16"/>
          <w:b w:val="1"/>
          <w:bCs w:val="1"/>
          <w:color w:val="29378D"/>
        </w:rPr>
      </w:pPr>
    </w:p>
    <w:p>
      <w:pPr>
        <w:ind w:left="200" w:right="160" w:hanging="192"/>
        <w:spacing w:after="0" w:line="286" w:lineRule="auto"/>
        <w:tabs>
          <w:tab w:leader="none" w:pos="143" w:val="left"/>
        </w:tabs>
        <w:numPr>
          <w:ilvl w:val="0"/>
          <w:numId w:val="58"/>
        </w:numPr>
        <w:rPr>
          <w:rFonts w:ascii="Arial" w:cs="Arial" w:eastAsia="Arial" w:hAnsi="Arial"/>
          <w:sz w:val="16"/>
          <w:szCs w:val="16"/>
          <w:b w:val="1"/>
          <w:bCs w:val="1"/>
          <w:color w:val="29378D"/>
        </w:rPr>
      </w:pPr>
      <w:r>
        <w:rPr>
          <w:rFonts w:ascii="Arial" w:cs="Arial" w:eastAsia="Arial" w:hAnsi="Arial"/>
          <w:sz w:val="16"/>
          <w:szCs w:val="16"/>
          <w:color w:val="auto"/>
        </w:rPr>
        <w:t>reflect our commitment to maintaining a speak-up culture that values diversity, equity, and inclusion, and provides our employees a sense of belonging to enable success;</w:t>
      </w:r>
    </w:p>
    <w:p>
      <w:pPr>
        <w:spacing w:after="0" w:line="7" w:lineRule="exact"/>
        <w:rPr>
          <w:rFonts w:ascii="Arial" w:cs="Arial" w:eastAsia="Arial" w:hAnsi="Arial"/>
          <w:sz w:val="16"/>
          <w:szCs w:val="16"/>
          <w:b w:val="1"/>
          <w:bCs w:val="1"/>
          <w:color w:val="29378D"/>
        </w:rPr>
      </w:pPr>
    </w:p>
    <w:p>
      <w:pPr>
        <w:ind w:left="140" w:hanging="132"/>
        <w:spacing w:after="0"/>
        <w:tabs>
          <w:tab w:leader="none" w:pos="140" w:val="left"/>
        </w:tabs>
        <w:numPr>
          <w:ilvl w:val="0"/>
          <w:numId w:val="58"/>
        </w:numPr>
        <w:rPr>
          <w:rFonts w:ascii="Arial" w:cs="Arial" w:eastAsia="Arial" w:hAnsi="Arial"/>
          <w:sz w:val="16"/>
          <w:szCs w:val="16"/>
          <w:b w:val="1"/>
          <w:bCs w:val="1"/>
          <w:color w:val="29378D"/>
        </w:rPr>
      </w:pPr>
      <w:r>
        <w:rPr>
          <w:rFonts w:ascii="Arial" w:cs="Arial" w:eastAsia="Arial" w:hAnsi="Arial"/>
          <w:sz w:val="16"/>
          <w:szCs w:val="16"/>
          <w:color w:val="auto"/>
        </w:rPr>
        <w:t>reinforce our commitment to being a good corporate citizen;</w:t>
      </w:r>
    </w:p>
    <w:p>
      <w:pPr>
        <w:spacing w:after="0" w:line="72" w:lineRule="exact"/>
        <w:rPr>
          <w:rFonts w:ascii="Arial" w:cs="Arial" w:eastAsia="Arial" w:hAnsi="Arial"/>
          <w:sz w:val="16"/>
          <w:szCs w:val="16"/>
          <w:b w:val="1"/>
          <w:bCs w:val="1"/>
          <w:color w:val="29378D"/>
        </w:rPr>
      </w:pPr>
    </w:p>
    <w:p>
      <w:pPr>
        <w:ind w:left="140" w:hanging="132"/>
        <w:spacing w:after="0"/>
        <w:tabs>
          <w:tab w:leader="none" w:pos="140" w:val="left"/>
        </w:tabs>
        <w:numPr>
          <w:ilvl w:val="0"/>
          <w:numId w:val="58"/>
        </w:numPr>
        <w:rPr>
          <w:rFonts w:ascii="Arial" w:cs="Arial" w:eastAsia="Arial" w:hAnsi="Arial"/>
          <w:sz w:val="16"/>
          <w:szCs w:val="16"/>
          <w:b w:val="1"/>
          <w:bCs w:val="1"/>
          <w:color w:val="29378D"/>
        </w:rPr>
      </w:pPr>
      <w:r>
        <w:rPr>
          <w:rFonts w:ascii="Arial" w:cs="Arial" w:eastAsia="Arial" w:hAnsi="Arial"/>
          <w:sz w:val="16"/>
          <w:szCs w:val="16"/>
          <w:color w:val="auto"/>
        </w:rPr>
        <w:t>reflect our commitment to our work environment and the global communities where we live, work and serve;</w:t>
      </w:r>
    </w:p>
    <w:p>
      <w:pPr>
        <w:spacing w:after="0" w:line="72" w:lineRule="exact"/>
        <w:rPr>
          <w:rFonts w:ascii="Arial" w:cs="Arial" w:eastAsia="Arial" w:hAnsi="Arial"/>
          <w:sz w:val="16"/>
          <w:szCs w:val="16"/>
          <w:b w:val="1"/>
          <w:bCs w:val="1"/>
          <w:color w:val="29378D"/>
        </w:rPr>
      </w:pPr>
    </w:p>
    <w:p>
      <w:pPr>
        <w:ind w:left="200" w:right="180" w:hanging="192"/>
        <w:spacing w:after="0" w:line="286" w:lineRule="auto"/>
        <w:tabs>
          <w:tab w:leader="none" w:pos="143" w:val="left"/>
        </w:tabs>
        <w:numPr>
          <w:ilvl w:val="0"/>
          <w:numId w:val="58"/>
        </w:numPr>
        <w:rPr>
          <w:rFonts w:ascii="Arial" w:cs="Arial" w:eastAsia="Arial" w:hAnsi="Arial"/>
          <w:sz w:val="16"/>
          <w:szCs w:val="16"/>
          <w:b w:val="1"/>
          <w:bCs w:val="1"/>
          <w:color w:val="29378D"/>
        </w:rPr>
      </w:pPr>
      <w:r>
        <w:rPr>
          <w:rFonts w:ascii="Arial" w:cs="Arial" w:eastAsia="Arial" w:hAnsi="Arial"/>
          <w:sz w:val="16"/>
          <w:szCs w:val="16"/>
          <w:color w:val="auto"/>
        </w:rPr>
        <w:t>reflect our broad and deep commitment to sustainability, including reducing our environmental impacts, conserving natural and energy resources, as well as innovating practices that maintain the quality of the environment;</w:t>
      </w:r>
    </w:p>
    <w:p>
      <w:pPr>
        <w:spacing w:after="0" w:line="7" w:lineRule="exact"/>
        <w:rPr>
          <w:rFonts w:ascii="Arial" w:cs="Arial" w:eastAsia="Arial" w:hAnsi="Arial"/>
          <w:sz w:val="16"/>
          <w:szCs w:val="16"/>
          <w:b w:val="1"/>
          <w:bCs w:val="1"/>
          <w:color w:val="29378D"/>
        </w:rPr>
      </w:pPr>
    </w:p>
    <w:p>
      <w:pPr>
        <w:ind w:left="140" w:hanging="132"/>
        <w:spacing w:after="0"/>
        <w:tabs>
          <w:tab w:leader="none" w:pos="140" w:val="left"/>
        </w:tabs>
        <w:numPr>
          <w:ilvl w:val="0"/>
          <w:numId w:val="58"/>
        </w:numPr>
        <w:rPr>
          <w:rFonts w:ascii="Arial" w:cs="Arial" w:eastAsia="Arial" w:hAnsi="Arial"/>
          <w:sz w:val="16"/>
          <w:szCs w:val="16"/>
          <w:b w:val="1"/>
          <w:bCs w:val="1"/>
          <w:color w:val="29378D"/>
        </w:rPr>
      </w:pPr>
      <w:r>
        <w:rPr>
          <w:rFonts w:ascii="Arial" w:cs="Arial" w:eastAsia="Arial" w:hAnsi="Arial"/>
          <w:sz w:val="16"/>
          <w:szCs w:val="16"/>
          <w:color w:val="auto"/>
        </w:rPr>
        <w:t>require a focus on performance and the consistent production of quality results;</w:t>
      </w:r>
    </w:p>
    <w:p>
      <w:pPr>
        <w:spacing w:after="0" w:line="72" w:lineRule="exact"/>
        <w:rPr>
          <w:rFonts w:ascii="Arial" w:cs="Arial" w:eastAsia="Arial" w:hAnsi="Arial"/>
          <w:sz w:val="16"/>
          <w:szCs w:val="16"/>
          <w:b w:val="1"/>
          <w:bCs w:val="1"/>
          <w:color w:val="29378D"/>
        </w:rPr>
      </w:pPr>
    </w:p>
    <w:p>
      <w:pPr>
        <w:ind w:left="140" w:hanging="132"/>
        <w:spacing w:after="0"/>
        <w:tabs>
          <w:tab w:leader="none" w:pos="140" w:val="left"/>
        </w:tabs>
        <w:numPr>
          <w:ilvl w:val="0"/>
          <w:numId w:val="58"/>
        </w:numPr>
        <w:rPr>
          <w:rFonts w:ascii="Arial" w:cs="Arial" w:eastAsia="Arial" w:hAnsi="Arial"/>
          <w:sz w:val="16"/>
          <w:szCs w:val="16"/>
          <w:b w:val="1"/>
          <w:bCs w:val="1"/>
          <w:color w:val="29378D"/>
        </w:rPr>
      </w:pPr>
      <w:r>
        <w:rPr>
          <w:rFonts w:ascii="Arial" w:cs="Arial" w:eastAsia="Arial" w:hAnsi="Arial"/>
          <w:sz w:val="16"/>
          <w:szCs w:val="16"/>
          <w:color w:val="auto"/>
        </w:rPr>
        <w:t>reflect our commitment to the safety of our people and products; and</w:t>
      </w:r>
    </w:p>
    <w:p>
      <w:pPr>
        <w:spacing w:after="0" w:line="72" w:lineRule="exact"/>
        <w:rPr>
          <w:rFonts w:ascii="Arial" w:cs="Arial" w:eastAsia="Arial" w:hAnsi="Arial"/>
          <w:sz w:val="16"/>
          <w:szCs w:val="16"/>
          <w:b w:val="1"/>
          <w:bCs w:val="1"/>
          <w:color w:val="29378D"/>
        </w:rPr>
      </w:pPr>
    </w:p>
    <w:p>
      <w:pPr>
        <w:ind w:left="140" w:hanging="132"/>
        <w:spacing w:after="0"/>
        <w:tabs>
          <w:tab w:leader="none" w:pos="140" w:val="left"/>
        </w:tabs>
        <w:numPr>
          <w:ilvl w:val="0"/>
          <w:numId w:val="58"/>
        </w:numPr>
        <w:rPr>
          <w:rFonts w:ascii="Arial" w:cs="Arial" w:eastAsia="Arial" w:hAnsi="Arial"/>
          <w:sz w:val="16"/>
          <w:szCs w:val="16"/>
          <w:b w:val="1"/>
          <w:bCs w:val="1"/>
          <w:color w:val="29378D"/>
        </w:rPr>
      </w:pPr>
      <w:r>
        <w:rPr>
          <w:rFonts w:ascii="Arial" w:cs="Arial" w:eastAsia="Arial" w:hAnsi="Arial"/>
          <w:sz w:val="16"/>
          <w:szCs w:val="16"/>
          <w:color w:val="auto"/>
        </w:rPr>
        <w:t>call upon all employees and other stakeholders to raise any questions or issues of concern (including on an anonymous basis).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We report amendments to provisions of our Standards of Business Conduct on our website.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 w:hanging="494"/>
        <w:spacing w:after="0"/>
        <w:tabs>
          <w:tab w:leader="none" w:pos="520" w:val="left"/>
        </w:tabs>
        <w:numPr>
          <w:ilvl w:val="0"/>
          <w:numId w:val="59"/>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Role of the Board and Key Areas of</w:t>
      </w:r>
    </w:p>
    <w:p>
      <w:pPr>
        <w:spacing w:after="0" w:line="5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Oversight</w:t>
      </w:r>
    </w:p>
    <w:p>
      <w:pPr>
        <w:spacing w:after="0" w:line="114"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The primary responsibility of our Board is to foster the long-term success of the Company, promoting the interests of our shareholders. Our directors are well informed and exercise their business judgment in a manner they reasonably believe to be in the best interests of the Company and our shareholders and in a manner consistent with their fiduciary responsibilities. The role of the Board includes, but is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02870" cy="12515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02870" cy="1251585"/>
                    </a:xfrm>
                    <a:prstGeom prst="rect">
                      <a:avLst/>
                    </a:prstGeom>
                    <a:noFill/>
                  </pic:spPr>
                </pic:pic>
              </a:graphicData>
            </a:graphic>
          </wp:anchor>
        </w:drawing>
      </w:r>
    </w:p>
    <w:p>
      <w:pPr>
        <w:spacing w:after="0" w:line="253" w:lineRule="exact"/>
        <w:rPr>
          <w:sz w:val="20"/>
          <w:szCs w:val="20"/>
          <w:color w:val="auto"/>
        </w:rPr>
      </w:pPr>
    </w:p>
    <w:p>
      <w:pPr>
        <w:ind w:left="1860"/>
        <w:spacing w:after="0"/>
        <w:rPr>
          <w:sz w:val="20"/>
          <w:szCs w:val="20"/>
          <w:color w:val="auto"/>
        </w:rPr>
      </w:pPr>
      <w:r>
        <w:rPr>
          <w:rFonts w:ascii="Arial" w:cs="Arial" w:eastAsia="Arial" w:hAnsi="Arial"/>
          <w:sz w:val="29"/>
          <w:szCs w:val="29"/>
          <w:b w:val="1"/>
          <w:bCs w:val="1"/>
          <w:color w:val="29378D"/>
        </w:rPr>
        <w:t>Strategy and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33020</wp:posOffset>
            </wp:positionV>
            <wp:extent cx="505460" cy="5060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05460" cy="506095"/>
                    </a:xfrm>
                    <a:prstGeom prst="rect">
                      <a:avLst/>
                    </a:prstGeom>
                    <a:noFill/>
                  </pic:spPr>
                </pic:pic>
              </a:graphicData>
            </a:graphic>
          </wp:anchor>
        </w:drawing>
      </w:r>
    </w:p>
    <w:p>
      <w:pPr>
        <w:spacing w:after="0" w:line="261" w:lineRule="exact"/>
        <w:rPr>
          <w:sz w:val="20"/>
          <w:szCs w:val="20"/>
          <w:color w:val="auto"/>
        </w:rPr>
      </w:pPr>
    </w:p>
    <w:p>
      <w:pPr>
        <w:ind w:left="2020" w:hanging="158"/>
        <w:spacing w:after="0"/>
        <w:tabs>
          <w:tab w:leader="none" w:pos="2020" w:val="left"/>
        </w:tabs>
        <w:numPr>
          <w:ilvl w:val="0"/>
          <w:numId w:val="60"/>
        </w:numPr>
        <w:rPr>
          <w:rFonts w:ascii="Arial" w:cs="Arial" w:eastAsia="Arial" w:hAnsi="Arial"/>
          <w:sz w:val="16"/>
          <w:szCs w:val="16"/>
          <w:color w:val="29378D"/>
        </w:rPr>
      </w:pPr>
      <w:r>
        <w:rPr>
          <w:rFonts w:ascii="Arial" w:cs="Arial" w:eastAsia="Arial" w:hAnsi="Arial"/>
          <w:sz w:val="16"/>
          <w:szCs w:val="16"/>
          <w:color w:val="auto"/>
        </w:rPr>
        <w:t>Oversee our long-term business strategies, operations and performance (including restricted programs)</w:t>
      </w:r>
    </w:p>
    <w:p>
      <w:pPr>
        <w:spacing w:after="0" w:line="86" w:lineRule="exact"/>
        <w:rPr>
          <w:rFonts w:ascii="Arial" w:cs="Arial" w:eastAsia="Arial" w:hAnsi="Arial"/>
          <w:sz w:val="16"/>
          <w:szCs w:val="16"/>
          <w:color w:val="29378D"/>
        </w:rPr>
      </w:pPr>
    </w:p>
    <w:p>
      <w:pPr>
        <w:ind w:left="2060" w:right="100" w:hanging="198"/>
        <w:spacing w:after="0" w:line="286" w:lineRule="auto"/>
        <w:tabs>
          <w:tab w:leader="none" w:pos="2017" w:val="left"/>
        </w:tabs>
        <w:numPr>
          <w:ilvl w:val="0"/>
          <w:numId w:val="60"/>
        </w:numPr>
        <w:rPr>
          <w:rFonts w:ascii="Arial" w:cs="Arial" w:eastAsia="Arial" w:hAnsi="Arial"/>
          <w:sz w:val="16"/>
          <w:szCs w:val="16"/>
          <w:color w:val="29378D"/>
        </w:rPr>
      </w:pPr>
      <w:r>
        <w:rPr>
          <w:rFonts w:ascii="Arial" w:cs="Arial" w:eastAsia="Arial" w:hAnsi="Arial"/>
          <w:sz w:val="16"/>
          <w:szCs w:val="16"/>
          <w:color w:val="auto"/>
        </w:rPr>
        <w:t>Oversee management of each of our major risks and the enterprise risk management processes overall, including management of cyber and other security risks</w:t>
      </w:r>
    </w:p>
    <w:p>
      <w:pPr>
        <w:spacing w:after="0" w:line="20" w:lineRule="exact"/>
        <w:rPr>
          <w:rFonts w:ascii="Arial" w:cs="Arial" w:eastAsia="Arial" w:hAnsi="Arial"/>
          <w:sz w:val="16"/>
          <w:szCs w:val="16"/>
          <w:color w:val="29378D"/>
        </w:rPr>
      </w:pPr>
    </w:p>
    <w:p>
      <w:pPr>
        <w:ind w:left="2020" w:hanging="158"/>
        <w:spacing w:after="0"/>
        <w:tabs>
          <w:tab w:leader="none" w:pos="2020" w:val="left"/>
        </w:tabs>
        <w:numPr>
          <w:ilvl w:val="0"/>
          <w:numId w:val="60"/>
        </w:numPr>
        <w:rPr>
          <w:rFonts w:ascii="Arial" w:cs="Arial" w:eastAsia="Arial" w:hAnsi="Arial"/>
          <w:sz w:val="16"/>
          <w:szCs w:val="16"/>
          <w:color w:val="29378D"/>
        </w:rPr>
      </w:pPr>
      <w:r>
        <w:rPr>
          <w:rFonts w:ascii="Arial" w:cs="Arial" w:eastAsia="Arial" w:hAnsi="Arial"/>
          <w:sz w:val="16"/>
          <w:szCs w:val="16"/>
          <w:color w:val="auto"/>
        </w:rPr>
        <w:t>Review and approve significant corporate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6116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60"/>
        <w:spacing w:after="0"/>
        <w:rPr>
          <w:sz w:val="20"/>
          <w:szCs w:val="20"/>
          <w:color w:val="auto"/>
        </w:rPr>
      </w:pPr>
      <w:r>
        <w:rPr>
          <w:rFonts w:ascii="Arial" w:cs="Arial" w:eastAsia="Arial" w:hAnsi="Arial"/>
          <w:sz w:val="29"/>
          <w:szCs w:val="29"/>
          <w:b w:val="1"/>
          <w:bCs w:val="1"/>
          <w:color w:val="29378D"/>
        </w:rPr>
        <w:t>Culture and Human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109855</wp:posOffset>
            </wp:positionV>
            <wp:extent cx="505460" cy="5054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000000"/>
                        </a:clrFrom>
                        <a:clrTo>
                          <a:srgbClr val="000000">
                            <a:alpha val="0"/>
                          </a:srgbClr>
                        </a:clrTo>
                      </a:clrChange>
                      <a:extLst>
                        <a:ext uri="{28A0092B-C50C-407E-A947-70E740481C1C}"/>
                      </a:extLst>
                    </a:blip>
                    <a:srcRect/>
                    <a:stretch>
                      <a:fillRect/>
                    </a:stretch>
                  </pic:blipFill>
                  <pic:spPr bwMode="auto">
                    <a:xfrm>
                      <a:off x="0" y="0"/>
                      <a:ext cx="505460" cy="50546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109855</wp:posOffset>
            </wp:positionV>
            <wp:extent cx="505460" cy="5054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505460" cy="505460"/>
                    </a:xfrm>
                    <a:prstGeom prst="rect">
                      <a:avLst/>
                    </a:prstGeom>
                    <a:noFill/>
                  </pic:spPr>
                </pic:pic>
              </a:graphicData>
            </a:graphic>
          </wp:anchor>
        </w:drawing>
      </w:r>
    </w:p>
    <w:p>
      <w:pPr>
        <w:spacing w:after="0" w:line="274" w:lineRule="exact"/>
        <w:rPr>
          <w:sz w:val="20"/>
          <w:szCs w:val="20"/>
          <w:color w:val="auto"/>
        </w:rPr>
      </w:pPr>
    </w:p>
    <w:p>
      <w:pPr>
        <w:ind w:left="2020" w:hanging="158"/>
        <w:spacing w:after="0"/>
        <w:tabs>
          <w:tab w:leader="none" w:pos="2020" w:val="left"/>
        </w:tabs>
        <w:numPr>
          <w:ilvl w:val="0"/>
          <w:numId w:val="61"/>
        </w:numPr>
        <w:rPr>
          <w:rFonts w:ascii="Arial" w:cs="Arial" w:eastAsia="Arial" w:hAnsi="Arial"/>
          <w:sz w:val="16"/>
          <w:szCs w:val="16"/>
          <w:color w:val="29378D"/>
        </w:rPr>
      </w:pPr>
      <w:r>
        <w:rPr>
          <w:rFonts w:ascii="Arial" w:cs="Arial" w:eastAsia="Arial" w:hAnsi="Arial"/>
          <w:sz w:val="16"/>
          <w:szCs w:val="16"/>
          <w:color w:val="auto"/>
        </w:rPr>
        <w:t>Ensure a strong culture</w:t>
      </w:r>
    </w:p>
    <w:p>
      <w:pPr>
        <w:spacing w:after="0" w:line="86" w:lineRule="exact"/>
        <w:rPr>
          <w:rFonts w:ascii="Arial" w:cs="Arial" w:eastAsia="Arial" w:hAnsi="Arial"/>
          <w:sz w:val="16"/>
          <w:szCs w:val="16"/>
          <w:color w:val="29378D"/>
        </w:rPr>
      </w:pPr>
    </w:p>
    <w:p>
      <w:pPr>
        <w:ind w:left="2020" w:hanging="158"/>
        <w:spacing w:after="0"/>
        <w:tabs>
          <w:tab w:leader="none" w:pos="2020" w:val="left"/>
        </w:tabs>
        <w:numPr>
          <w:ilvl w:val="0"/>
          <w:numId w:val="61"/>
        </w:numPr>
        <w:rPr>
          <w:rFonts w:ascii="Arial" w:cs="Arial" w:eastAsia="Arial" w:hAnsi="Arial"/>
          <w:sz w:val="16"/>
          <w:szCs w:val="16"/>
          <w:color w:val="29378D"/>
        </w:rPr>
      </w:pPr>
      <w:r>
        <w:rPr>
          <w:rFonts w:ascii="Arial" w:cs="Arial" w:eastAsia="Arial" w:hAnsi="Arial"/>
          <w:sz w:val="16"/>
          <w:szCs w:val="16"/>
          <w:color w:val="auto"/>
        </w:rPr>
        <w:t>Oversee human capital strategy</w:t>
      </w:r>
    </w:p>
    <w:p>
      <w:pPr>
        <w:spacing w:after="0" w:line="86" w:lineRule="exact"/>
        <w:rPr>
          <w:rFonts w:ascii="Arial" w:cs="Arial" w:eastAsia="Arial" w:hAnsi="Arial"/>
          <w:sz w:val="16"/>
          <w:szCs w:val="16"/>
          <w:color w:val="29378D"/>
        </w:rPr>
      </w:pPr>
    </w:p>
    <w:p>
      <w:pPr>
        <w:ind w:left="2020" w:hanging="158"/>
        <w:spacing w:after="0"/>
        <w:tabs>
          <w:tab w:leader="none" w:pos="2020" w:val="left"/>
        </w:tabs>
        <w:numPr>
          <w:ilvl w:val="0"/>
          <w:numId w:val="61"/>
        </w:numPr>
        <w:rPr>
          <w:rFonts w:ascii="Arial" w:cs="Arial" w:eastAsia="Arial" w:hAnsi="Arial"/>
          <w:sz w:val="16"/>
          <w:szCs w:val="16"/>
          <w:color w:val="29378D"/>
        </w:rPr>
      </w:pPr>
      <w:r>
        <w:rPr>
          <w:rFonts w:ascii="Arial" w:cs="Arial" w:eastAsia="Arial" w:hAnsi="Arial"/>
          <w:sz w:val="16"/>
          <w:szCs w:val="16"/>
          <w:color w:val="auto"/>
        </w:rPr>
        <w:t>Execute robust succession planning, including selecting the Chief Executive Officer, and electing officers of the Company</w:t>
      </w:r>
    </w:p>
    <w:p>
      <w:pPr>
        <w:spacing w:after="0" w:line="86" w:lineRule="exact"/>
        <w:rPr>
          <w:rFonts w:ascii="Arial" w:cs="Arial" w:eastAsia="Arial" w:hAnsi="Arial"/>
          <w:sz w:val="16"/>
          <w:szCs w:val="16"/>
          <w:color w:val="29378D"/>
        </w:rPr>
      </w:pPr>
    </w:p>
    <w:p>
      <w:pPr>
        <w:ind w:left="2020" w:hanging="158"/>
        <w:spacing w:after="0"/>
        <w:tabs>
          <w:tab w:leader="none" w:pos="2020" w:val="left"/>
        </w:tabs>
        <w:numPr>
          <w:ilvl w:val="0"/>
          <w:numId w:val="61"/>
        </w:numPr>
        <w:rPr>
          <w:rFonts w:ascii="Arial" w:cs="Arial" w:eastAsia="Arial" w:hAnsi="Arial"/>
          <w:sz w:val="16"/>
          <w:szCs w:val="16"/>
          <w:color w:val="29378D"/>
        </w:rPr>
      </w:pPr>
      <w:r>
        <w:rPr>
          <w:rFonts w:ascii="Arial" w:cs="Arial" w:eastAsia="Arial" w:hAnsi="Arial"/>
          <w:sz w:val="16"/>
          <w:szCs w:val="16"/>
          <w:color w:val="auto"/>
        </w:rPr>
        <w:t>Oversee our diversity, equity and inclusion programs</w:t>
      </w:r>
    </w:p>
    <w:p>
      <w:pPr>
        <w:spacing w:after="0" w:line="72" w:lineRule="exact"/>
        <w:rPr>
          <w:rFonts w:ascii="Arial" w:cs="Arial" w:eastAsia="Arial" w:hAnsi="Arial"/>
          <w:sz w:val="16"/>
          <w:szCs w:val="16"/>
          <w:color w:val="29378D"/>
        </w:rPr>
      </w:pPr>
    </w:p>
    <w:p>
      <w:pPr>
        <w:ind w:left="2020" w:hanging="158"/>
        <w:spacing w:after="0"/>
        <w:tabs>
          <w:tab w:leader="none" w:pos="2020" w:val="left"/>
        </w:tabs>
        <w:numPr>
          <w:ilvl w:val="0"/>
          <w:numId w:val="61"/>
        </w:numPr>
        <w:rPr>
          <w:rFonts w:ascii="Arial" w:cs="Arial" w:eastAsia="Arial" w:hAnsi="Arial"/>
          <w:sz w:val="16"/>
          <w:szCs w:val="16"/>
          <w:color w:val="29378D"/>
        </w:rPr>
      </w:pPr>
      <w:r>
        <w:rPr>
          <w:rFonts w:ascii="Arial" w:cs="Arial" w:eastAsia="Arial" w:hAnsi="Arial"/>
          <w:sz w:val="16"/>
          <w:szCs w:val="16"/>
          <w:color w:val="auto"/>
        </w:rPr>
        <w:t>Review and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748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60"/>
        <w:spacing w:after="0"/>
        <w:rPr>
          <w:sz w:val="20"/>
          <w:szCs w:val="20"/>
          <w:color w:val="auto"/>
        </w:rPr>
      </w:pPr>
      <w:r>
        <w:rPr>
          <w:rFonts w:ascii="Arial" w:cs="Arial" w:eastAsia="Arial" w:hAnsi="Arial"/>
          <w:sz w:val="29"/>
          <w:szCs w:val="29"/>
          <w:b w:val="1"/>
          <w:bCs w:val="1"/>
          <w:color w:val="29378D"/>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-189230</wp:posOffset>
            </wp:positionV>
            <wp:extent cx="505460" cy="5060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000000"/>
                        </a:clrFrom>
                        <a:clrTo>
                          <a:srgbClr val="000000">
                            <a:alpha val="0"/>
                          </a:srgbClr>
                        </a:clrTo>
                      </a:clrChange>
                      <a:extLst>
                        <a:ext uri="{28A0092B-C50C-407E-A947-70E740481C1C}"/>
                      </a:extLst>
                    </a:blip>
                    <a:srcRect/>
                    <a:stretch>
                      <a:fillRect/>
                    </a:stretch>
                  </pic:blipFill>
                  <pic:spPr bwMode="auto">
                    <a:xfrm>
                      <a:off x="0" y="0"/>
                      <a:ext cx="505460" cy="50609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-189230</wp:posOffset>
            </wp:positionV>
            <wp:extent cx="505460" cy="5060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505460" cy="506095"/>
                    </a:xfrm>
                    <a:prstGeom prst="rect">
                      <a:avLst/>
                    </a:prstGeom>
                    <a:noFill/>
                  </pic:spPr>
                </pic:pic>
              </a:graphicData>
            </a:graphic>
          </wp:anchor>
        </w:drawing>
      </w:r>
    </w:p>
    <w:p>
      <w:pPr>
        <w:spacing w:after="0" w:line="261" w:lineRule="exact"/>
        <w:rPr>
          <w:sz w:val="20"/>
          <w:szCs w:val="20"/>
          <w:color w:val="auto"/>
        </w:rPr>
      </w:pPr>
    </w:p>
    <w:p>
      <w:pPr>
        <w:ind w:left="2020" w:hanging="158"/>
        <w:spacing w:after="0"/>
        <w:tabs>
          <w:tab w:leader="none" w:pos="2020" w:val="left"/>
        </w:tabs>
        <w:numPr>
          <w:ilvl w:val="0"/>
          <w:numId w:val="62"/>
        </w:numPr>
        <w:rPr>
          <w:rFonts w:ascii="Arial" w:cs="Arial" w:eastAsia="Arial" w:hAnsi="Arial"/>
          <w:sz w:val="16"/>
          <w:szCs w:val="16"/>
          <w:color w:val="29378D"/>
        </w:rPr>
      </w:pPr>
      <w:r>
        <w:rPr>
          <w:rFonts w:ascii="Arial" w:cs="Arial" w:eastAsia="Arial" w:hAnsi="Arial"/>
          <w:sz w:val="16"/>
          <w:szCs w:val="16"/>
          <w:color w:val="auto"/>
        </w:rPr>
        <w:t>Ensure an effective corporate governance practice</w:t>
      </w:r>
    </w:p>
    <w:p>
      <w:pPr>
        <w:spacing w:after="0" w:line="86" w:lineRule="exact"/>
        <w:rPr>
          <w:rFonts w:ascii="Arial" w:cs="Arial" w:eastAsia="Arial" w:hAnsi="Arial"/>
          <w:sz w:val="16"/>
          <w:szCs w:val="16"/>
          <w:color w:val="29378D"/>
        </w:rPr>
      </w:pPr>
    </w:p>
    <w:p>
      <w:pPr>
        <w:ind w:left="2020" w:hanging="158"/>
        <w:spacing w:after="0"/>
        <w:tabs>
          <w:tab w:leader="none" w:pos="2020" w:val="left"/>
        </w:tabs>
        <w:numPr>
          <w:ilvl w:val="0"/>
          <w:numId w:val="62"/>
        </w:numPr>
        <w:rPr>
          <w:rFonts w:ascii="Arial" w:cs="Arial" w:eastAsia="Arial" w:hAnsi="Arial"/>
          <w:sz w:val="16"/>
          <w:szCs w:val="16"/>
          <w:color w:val="29378D"/>
        </w:rPr>
      </w:pPr>
      <w:r>
        <w:rPr>
          <w:rFonts w:ascii="Arial" w:cs="Arial" w:eastAsia="Arial" w:hAnsi="Arial"/>
          <w:sz w:val="16"/>
          <w:szCs w:val="16"/>
          <w:color w:val="auto"/>
        </w:rPr>
        <w:t>Oversee our ethics and compliance programs</w:t>
      </w:r>
    </w:p>
    <w:p>
      <w:pPr>
        <w:spacing w:after="0" w:line="86" w:lineRule="exact"/>
        <w:rPr>
          <w:rFonts w:ascii="Arial" w:cs="Arial" w:eastAsia="Arial" w:hAnsi="Arial"/>
          <w:sz w:val="16"/>
          <w:szCs w:val="16"/>
          <w:color w:val="29378D"/>
        </w:rPr>
      </w:pPr>
    </w:p>
    <w:p>
      <w:pPr>
        <w:ind w:left="2020" w:hanging="158"/>
        <w:spacing w:after="0"/>
        <w:tabs>
          <w:tab w:leader="none" w:pos="2020" w:val="left"/>
        </w:tabs>
        <w:numPr>
          <w:ilvl w:val="0"/>
          <w:numId w:val="62"/>
        </w:numPr>
        <w:rPr>
          <w:rFonts w:ascii="Arial" w:cs="Arial" w:eastAsia="Arial" w:hAnsi="Arial"/>
          <w:sz w:val="16"/>
          <w:szCs w:val="16"/>
          <w:color w:val="29378D"/>
        </w:rPr>
      </w:pPr>
      <w:r>
        <w:rPr>
          <w:rFonts w:ascii="Arial" w:cs="Arial" w:eastAsia="Arial" w:hAnsi="Arial"/>
          <w:sz w:val="16"/>
          <w:szCs w:val="16"/>
          <w:color w:val="auto"/>
        </w:rPr>
        <w:t>Review and enhance Board performance</w:t>
      </w:r>
    </w:p>
    <w:p>
      <w:pPr>
        <w:spacing w:after="0" w:line="72" w:lineRule="exact"/>
        <w:rPr>
          <w:rFonts w:ascii="Arial" w:cs="Arial" w:eastAsia="Arial" w:hAnsi="Arial"/>
          <w:sz w:val="16"/>
          <w:szCs w:val="16"/>
          <w:color w:val="29378D"/>
        </w:rPr>
      </w:pPr>
    </w:p>
    <w:p>
      <w:pPr>
        <w:ind w:left="2020" w:hanging="158"/>
        <w:spacing w:after="0"/>
        <w:tabs>
          <w:tab w:leader="none" w:pos="2020" w:val="left"/>
        </w:tabs>
        <w:numPr>
          <w:ilvl w:val="0"/>
          <w:numId w:val="62"/>
        </w:numPr>
        <w:rPr>
          <w:rFonts w:ascii="Arial" w:cs="Arial" w:eastAsia="Arial" w:hAnsi="Arial"/>
          <w:sz w:val="16"/>
          <w:szCs w:val="16"/>
          <w:color w:val="29378D"/>
        </w:rPr>
      </w:pPr>
      <w:r>
        <w:rPr>
          <w:rFonts w:ascii="Arial" w:cs="Arial" w:eastAsia="Arial" w:hAnsi="Arial"/>
          <w:sz w:val="16"/>
          <w:szCs w:val="16"/>
          <w:color w:val="auto"/>
        </w:rPr>
        <w:t>Elect directors to fill vacant positions between Annual Meetings</w:t>
      </w:r>
    </w:p>
    <w:p>
      <w:pPr>
        <w:spacing w:after="0" w:line="86" w:lineRule="exact"/>
        <w:rPr>
          <w:rFonts w:ascii="Arial" w:cs="Arial" w:eastAsia="Arial" w:hAnsi="Arial"/>
          <w:sz w:val="16"/>
          <w:szCs w:val="16"/>
          <w:color w:val="29378D"/>
        </w:rPr>
      </w:pPr>
    </w:p>
    <w:p>
      <w:pPr>
        <w:ind w:left="2020" w:hanging="158"/>
        <w:spacing w:after="0"/>
        <w:tabs>
          <w:tab w:leader="none" w:pos="2020" w:val="left"/>
        </w:tabs>
        <w:numPr>
          <w:ilvl w:val="0"/>
          <w:numId w:val="62"/>
        </w:numPr>
        <w:rPr>
          <w:rFonts w:ascii="Arial" w:cs="Arial" w:eastAsia="Arial" w:hAnsi="Arial"/>
          <w:sz w:val="16"/>
          <w:szCs w:val="16"/>
          <w:color w:val="29378D"/>
        </w:rPr>
      </w:pPr>
      <w:r>
        <w:rPr>
          <w:rFonts w:ascii="Arial" w:cs="Arial" w:eastAsia="Arial" w:hAnsi="Arial"/>
          <w:sz w:val="16"/>
          <w:szCs w:val="16"/>
          <w:color w:val="auto"/>
        </w:rPr>
        <w:t>Oversee our commitment to sustainability</w:t>
      </w:r>
    </w:p>
    <w:p>
      <w:pPr>
        <w:spacing w:after="0" w:line="86" w:lineRule="exact"/>
        <w:rPr>
          <w:rFonts w:ascii="Arial" w:cs="Arial" w:eastAsia="Arial" w:hAnsi="Arial"/>
          <w:sz w:val="16"/>
          <w:szCs w:val="16"/>
          <w:color w:val="29378D"/>
        </w:rPr>
      </w:pPr>
    </w:p>
    <w:p>
      <w:pPr>
        <w:ind w:left="2020" w:hanging="158"/>
        <w:spacing w:after="0"/>
        <w:tabs>
          <w:tab w:leader="none" w:pos="2020" w:val="left"/>
        </w:tabs>
        <w:numPr>
          <w:ilvl w:val="0"/>
          <w:numId w:val="62"/>
        </w:numPr>
        <w:rPr>
          <w:rFonts w:ascii="Arial" w:cs="Arial" w:eastAsia="Arial" w:hAnsi="Arial"/>
          <w:sz w:val="16"/>
          <w:szCs w:val="16"/>
          <w:color w:val="29378D"/>
        </w:rPr>
      </w:pPr>
      <w:r>
        <w:rPr>
          <w:rFonts w:ascii="Arial" w:cs="Arial" w:eastAsia="Arial" w:hAnsi="Arial"/>
          <w:sz w:val="16"/>
          <w:szCs w:val="16"/>
          <w:color w:val="auto"/>
        </w:rPr>
        <w:t>Provide advice to management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Risk Oversight</w:t>
      </w:r>
    </w:p>
    <w:p>
      <w:pPr>
        <w:spacing w:after="0" w:line="148"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As noted above, the Board is responsible for overseeing our enterprise risk management activities, with a particular focus on the Company’s significant risks. For each such risk, the Company has identified a senior executive responsible for managing the risk and a Board committee (or the full Board), responsible for providing oversight. The Enterprise Risk Management Council (ERMC) reviews the significant risks to the enterprise; ensures each significant risk is being effectively considered, mitigated and managed through the senior executive identified to manage that risk; and helps to ensure that each risk is appropriately disclosed, including in the Company's Annual Report on Form 10-K and other public filings. The senior executive and other members of management regularly update the responsible committee or the full Board on the nature of the risk and mitigation measures, including their effectiveness. Management and the Board also regularly consider emerging or potentially emerging risk, and steps necessary to address them.</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As discussed on the next page, each of our Board committees assists the Board in the role of risk oversight.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30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685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7454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7454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162" w:lineRule="exact"/>
        <w:rPr>
          <w:sz w:val="20"/>
          <w:szCs w:val="20"/>
          <w:color w:val="auto"/>
        </w:rPr>
      </w:pPr>
    </w:p>
    <w:p>
      <w:pPr>
        <w:ind w:left="300" w:hanging="193"/>
        <w:spacing w:after="0" w:line="223" w:lineRule="auto"/>
        <w:tabs>
          <w:tab w:leader="none" w:pos="257" w:val="left"/>
        </w:tabs>
        <w:numPr>
          <w:ilvl w:val="0"/>
          <w:numId w:val="63"/>
        </w:numPr>
        <w:rPr>
          <w:rFonts w:ascii="Arial" w:cs="Arial" w:eastAsia="Arial" w:hAnsi="Arial"/>
          <w:sz w:val="16"/>
          <w:szCs w:val="16"/>
          <w:color w:val="29378D"/>
        </w:rPr>
      </w:pPr>
      <w:r>
        <w:rPr>
          <w:rFonts w:ascii="Arial" w:cs="Arial" w:eastAsia="Arial" w:hAnsi="Arial"/>
          <w:sz w:val="14"/>
          <w:szCs w:val="14"/>
          <w:color w:val="auto"/>
        </w:rPr>
        <w:t>Has ultimate responsibility for the oversight of risk, and receives updates from each of the committees, as well as directly from management addressing the range of risks, including those related to financial and other performance, cybersecurity, climate, human capital and culture.</w:t>
      </w:r>
    </w:p>
    <w:p>
      <w:pPr>
        <w:spacing w:after="0" w:line="2" w:lineRule="exact"/>
        <w:rPr>
          <w:rFonts w:ascii="Arial" w:cs="Arial" w:eastAsia="Arial" w:hAnsi="Arial"/>
          <w:sz w:val="16"/>
          <w:szCs w:val="16"/>
          <w:color w:val="29378D"/>
        </w:rPr>
      </w:pPr>
    </w:p>
    <w:p>
      <w:pPr>
        <w:ind w:left="300" w:right="420" w:hanging="193"/>
        <w:spacing w:after="0" w:line="234" w:lineRule="auto"/>
        <w:tabs>
          <w:tab w:leader="none" w:pos="257" w:val="left"/>
        </w:tabs>
        <w:numPr>
          <w:ilvl w:val="0"/>
          <w:numId w:val="63"/>
        </w:numPr>
        <w:rPr>
          <w:rFonts w:ascii="Arial" w:cs="Arial" w:eastAsia="Arial" w:hAnsi="Arial"/>
          <w:sz w:val="16"/>
          <w:szCs w:val="16"/>
          <w:color w:val="29378D"/>
        </w:rPr>
      </w:pPr>
      <w:r>
        <w:rPr>
          <w:rFonts w:ascii="Arial" w:cs="Arial" w:eastAsia="Arial" w:hAnsi="Arial"/>
          <w:sz w:val="14"/>
          <w:szCs w:val="14"/>
          <w:color w:val="auto"/>
        </w:rPr>
        <w:t>Reviews and approves all committee charters and the agenda of topics to be covered by the Board each year to help ensure effective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071995" cy="685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71995" cy="6858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125730</wp:posOffset>
            </wp:positionV>
            <wp:extent cx="180340" cy="1282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80340"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57" w:hanging="157"/>
        <w:spacing w:after="0"/>
        <w:tabs>
          <w:tab w:leader="none" w:pos="157" w:val="left"/>
        </w:tabs>
        <w:numPr>
          <w:ilvl w:val="0"/>
          <w:numId w:val="64"/>
        </w:numPr>
        <w:rPr>
          <w:rFonts w:ascii="Arial" w:cs="Arial" w:eastAsia="Arial" w:hAnsi="Arial"/>
          <w:sz w:val="16"/>
          <w:szCs w:val="16"/>
          <w:color w:val="29378D"/>
        </w:rPr>
      </w:pPr>
      <w:r>
        <w:rPr>
          <w:rFonts w:ascii="Arial" w:cs="Arial" w:eastAsia="Arial" w:hAnsi="Arial"/>
          <w:sz w:val="14"/>
          <w:szCs w:val="14"/>
          <w:color w:val="auto"/>
        </w:rPr>
        <w:t>Meets regularly with employees across the enterprise at various sites.</w:t>
      </w:r>
    </w:p>
    <w:p>
      <w:pPr>
        <w:spacing w:after="0" w:line="12" w:lineRule="exact"/>
        <w:rPr>
          <w:rFonts w:ascii="Arial" w:cs="Arial" w:eastAsia="Arial" w:hAnsi="Arial"/>
          <w:sz w:val="16"/>
          <w:szCs w:val="16"/>
          <w:color w:val="29378D"/>
        </w:rPr>
      </w:pPr>
    </w:p>
    <w:p>
      <w:pPr>
        <w:ind w:left="197" w:right="180" w:hanging="197"/>
        <w:spacing w:after="0" w:line="230" w:lineRule="auto"/>
        <w:tabs>
          <w:tab w:leader="none" w:pos="153" w:val="left"/>
        </w:tabs>
        <w:numPr>
          <w:ilvl w:val="0"/>
          <w:numId w:val="64"/>
        </w:numPr>
        <w:rPr>
          <w:rFonts w:ascii="Arial" w:cs="Arial" w:eastAsia="Arial" w:hAnsi="Arial"/>
          <w:sz w:val="16"/>
          <w:szCs w:val="16"/>
          <w:color w:val="29378D"/>
        </w:rPr>
      </w:pPr>
      <w:r>
        <w:rPr>
          <w:rFonts w:ascii="Arial" w:cs="Arial" w:eastAsia="Arial" w:hAnsi="Arial"/>
          <w:sz w:val="14"/>
          <w:szCs w:val="14"/>
          <w:color w:val="auto"/>
        </w:rPr>
        <w:t>Reviews and/or approves annual and quarterly SEC filings, including risk factors, and receives quarterly reports and certifications from senior management.</w:t>
      </w:r>
    </w:p>
    <w:p>
      <w:pPr>
        <w:spacing w:after="0" w:line="13" w:lineRule="exact"/>
        <w:rPr>
          <w:rFonts w:ascii="Arial" w:cs="Arial" w:eastAsia="Arial" w:hAnsi="Arial"/>
          <w:sz w:val="16"/>
          <w:szCs w:val="16"/>
          <w:color w:val="29378D"/>
        </w:rPr>
      </w:pPr>
    </w:p>
    <w:p>
      <w:pPr>
        <w:ind w:left="197" w:right="260" w:hanging="197"/>
        <w:spacing w:after="0" w:line="235" w:lineRule="auto"/>
        <w:tabs>
          <w:tab w:leader="none" w:pos="153" w:val="left"/>
        </w:tabs>
        <w:numPr>
          <w:ilvl w:val="0"/>
          <w:numId w:val="64"/>
        </w:numPr>
        <w:rPr>
          <w:rFonts w:ascii="Arial" w:cs="Arial" w:eastAsia="Arial" w:hAnsi="Arial"/>
          <w:sz w:val="16"/>
          <w:szCs w:val="16"/>
          <w:color w:val="29378D"/>
        </w:rPr>
      </w:pPr>
      <w:r>
        <w:rPr>
          <w:rFonts w:ascii="Arial" w:cs="Arial" w:eastAsia="Arial" w:hAnsi="Arial"/>
          <w:sz w:val="14"/>
          <w:szCs w:val="14"/>
          <w:color w:val="auto"/>
        </w:rPr>
        <w:t>Provides oversight of the Company’s risk management processes, including the Enterprise Risk Management Council (ERMC).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425450</wp:posOffset>
            </wp:positionV>
            <wp:extent cx="59690" cy="685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68580"/>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2">
            <w:col w:w="5560" w:space="203"/>
            <w:col w:w="5477"/>
          </w:cols>
          <w:pgMar w:left="320" w:top="238" w:right="33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AUDIT AND RISK COMMITTEE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0" w:type="dxa"/>
            <w:vAlign w:val="bottom"/>
            <w:shd w:val="clear" w:color="auto" w:fill="E6E7E8"/>
          </w:tcPr>
          <w:p>
            <w:pPr>
              <w:spacing w:after="0"/>
              <w:rPr>
                <w:sz w:val="21"/>
                <w:szCs w:val="21"/>
                <w:color w:val="auto"/>
              </w:rPr>
            </w:pPr>
          </w:p>
        </w:tc>
        <w:tc>
          <w:tcPr>
            <w:tcW w:w="5540" w:type="dxa"/>
            <w:vAlign w:val="bottom"/>
            <w:gridSpan w:val="3"/>
            <w:shd w:val="clear" w:color="auto" w:fill="E6E7E8"/>
          </w:tcPr>
          <w:p>
            <w:pPr>
              <w:ind w:left="20"/>
              <w:spacing w:after="0"/>
              <w:rPr>
                <w:sz w:val="20"/>
                <w:szCs w:val="20"/>
                <w:color w:val="auto"/>
              </w:rPr>
            </w:pPr>
            <w:r>
              <w:rPr>
                <w:rFonts w:ascii="Arial" w:cs="Arial" w:eastAsia="Arial" w:hAnsi="Arial"/>
                <w:sz w:val="16"/>
                <w:szCs w:val="16"/>
                <w:color w:val="29378D"/>
              </w:rPr>
              <w:t xml:space="preserve">• </w:t>
            </w:r>
            <w:r>
              <w:rPr>
                <w:rFonts w:ascii="Arial" w:cs="Arial" w:eastAsia="Arial" w:hAnsi="Arial"/>
                <w:sz w:val="14"/>
                <w:szCs w:val="14"/>
                <w:color w:val="000000"/>
              </w:rPr>
              <w:t>Responsible for assisting the Board in its oversight of enterprise risk management</w:t>
            </w:r>
          </w:p>
        </w:tc>
        <w:tc>
          <w:tcPr>
            <w:tcW w:w="5620" w:type="dxa"/>
            <w:vAlign w:val="bottom"/>
            <w:gridSpan w:val="2"/>
            <w:shd w:val="clear" w:color="auto" w:fill="E6E7E8"/>
          </w:tcPr>
          <w:p>
            <w:pPr>
              <w:ind w:left="280"/>
              <w:spacing w:after="0"/>
              <w:rPr>
                <w:sz w:val="20"/>
                <w:szCs w:val="20"/>
                <w:color w:val="auto"/>
              </w:rPr>
            </w:pPr>
            <w:r>
              <w:rPr>
                <w:rFonts w:ascii="Arial" w:cs="Arial" w:eastAsia="Arial" w:hAnsi="Arial"/>
                <w:sz w:val="14"/>
                <w:szCs w:val="14"/>
                <w:color w:val="auto"/>
              </w:rPr>
              <w:t>7.  from the Company's Chief Ethics and Compliance Officer on matters</w:t>
            </w:r>
          </w:p>
        </w:tc>
        <w:tc>
          <w:tcPr>
            <w:tcW w:w="0" w:type="dxa"/>
            <w:vAlign w:val="bottom"/>
          </w:tcPr>
          <w:p>
            <w:pPr>
              <w:spacing w:after="0"/>
              <w:rPr>
                <w:sz w:val="1"/>
                <w:szCs w:val="1"/>
                <w:color w:val="auto"/>
              </w:rPr>
            </w:pPr>
          </w:p>
        </w:tc>
      </w:tr>
      <w:tr>
        <w:trPr>
          <w:trHeight w:val="148"/>
        </w:trPr>
        <w:tc>
          <w:tcPr>
            <w:tcW w:w="80" w:type="dxa"/>
            <w:vAlign w:val="bottom"/>
            <w:shd w:val="clear" w:color="auto" w:fill="E6E7E8"/>
          </w:tcPr>
          <w:p>
            <w:pPr>
              <w:spacing w:after="0"/>
              <w:rPr>
                <w:sz w:val="12"/>
                <w:szCs w:val="12"/>
                <w:color w:val="auto"/>
              </w:rPr>
            </w:pPr>
          </w:p>
        </w:tc>
        <w:tc>
          <w:tcPr>
            <w:tcW w:w="5540" w:type="dxa"/>
            <w:vAlign w:val="bottom"/>
            <w:gridSpan w:val="3"/>
            <w:shd w:val="clear" w:color="auto" w:fill="E6E7E8"/>
          </w:tcPr>
          <w:p>
            <w:pPr>
              <w:ind w:left="220"/>
              <w:spacing w:after="0" w:line="149" w:lineRule="exact"/>
              <w:rPr>
                <w:sz w:val="20"/>
                <w:szCs w:val="20"/>
                <w:color w:val="auto"/>
              </w:rPr>
            </w:pPr>
            <w:r>
              <w:rPr>
                <w:rFonts w:ascii="Arial" w:cs="Arial" w:eastAsia="Arial" w:hAnsi="Arial"/>
                <w:sz w:val="14"/>
                <w:szCs w:val="14"/>
                <w:color w:val="auto"/>
              </w:rPr>
              <w:t>overall; reviews Company process for effective management of enterprise risks</w:t>
            </w:r>
          </w:p>
        </w:tc>
        <w:tc>
          <w:tcPr>
            <w:tcW w:w="5620" w:type="dxa"/>
            <w:vAlign w:val="bottom"/>
            <w:gridSpan w:val="2"/>
            <w:shd w:val="clear" w:color="auto" w:fill="E6E7E8"/>
          </w:tcPr>
          <w:p>
            <w:pPr>
              <w:ind w:left="540"/>
              <w:spacing w:after="0" w:line="149" w:lineRule="exact"/>
              <w:rPr>
                <w:sz w:val="20"/>
                <w:szCs w:val="20"/>
                <w:color w:val="auto"/>
              </w:rPr>
            </w:pPr>
            <w:r>
              <w:rPr>
                <w:rFonts w:ascii="Arial" w:cs="Arial" w:eastAsia="Arial" w:hAnsi="Arial"/>
                <w:sz w:val="14"/>
                <w:szCs w:val="14"/>
                <w:color w:val="auto"/>
              </w:rPr>
              <w:t>communicated through the Company’s OpenLine;</w:t>
            </w:r>
          </w:p>
        </w:tc>
        <w:tc>
          <w:tcPr>
            <w:tcW w:w="0" w:type="dxa"/>
            <w:vAlign w:val="bottom"/>
          </w:tcPr>
          <w:p>
            <w:pPr>
              <w:spacing w:after="0"/>
              <w:rPr>
                <w:sz w:val="1"/>
                <w:szCs w:val="1"/>
                <w:color w:val="auto"/>
              </w:rPr>
            </w:pPr>
          </w:p>
        </w:tc>
      </w:tr>
      <w:tr>
        <w:trPr>
          <w:trHeight w:val="162"/>
        </w:trPr>
        <w:tc>
          <w:tcPr>
            <w:tcW w:w="80" w:type="dxa"/>
            <w:vAlign w:val="bottom"/>
            <w:shd w:val="clear" w:color="auto" w:fill="E6E7E8"/>
          </w:tcPr>
          <w:p>
            <w:pPr>
              <w:spacing w:after="0"/>
              <w:rPr>
                <w:sz w:val="14"/>
                <w:szCs w:val="14"/>
                <w:color w:val="auto"/>
              </w:rPr>
            </w:pPr>
          </w:p>
        </w:tc>
        <w:tc>
          <w:tcPr>
            <w:tcW w:w="4360" w:type="dxa"/>
            <w:vAlign w:val="bottom"/>
            <w:gridSpan w:val="2"/>
            <w:shd w:val="clear" w:color="auto" w:fill="E6E7E8"/>
          </w:tcPr>
          <w:p>
            <w:pPr>
              <w:ind w:left="220"/>
              <w:spacing w:after="0"/>
              <w:rPr>
                <w:sz w:val="20"/>
                <w:szCs w:val="20"/>
                <w:color w:val="auto"/>
              </w:rPr>
            </w:pPr>
            <w:r>
              <w:rPr>
                <w:rFonts w:ascii="Arial" w:cs="Arial" w:eastAsia="Arial" w:hAnsi="Arial"/>
                <w:sz w:val="14"/>
                <w:szCs w:val="14"/>
                <w:color w:val="auto"/>
              </w:rPr>
              <w:t>and disclosures, including briefings by senior management.</w:t>
            </w:r>
          </w:p>
        </w:tc>
        <w:tc>
          <w:tcPr>
            <w:tcW w:w="1180" w:type="dxa"/>
            <w:vAlign w:val="bottom"/>
            <w:shd w:val="clear" w:color="auto" w:fill="E6E7E8"/>
          </w:tcPr>
          <w:p>
            <w:pPr>
              <w:spacing w:after="0"/>
              <w:rPr>
                <w:sz w:val="14"/>
                <w:szCs w:val="14"/>
                <w:color w:val="auto"/>
              </w:rPr>
            </w:pPr>
          </w:p>
        </w:tc>
        <w:tc>
          <w:tcPr>
            <w:tcW w:w="5620" w:type="dxa"/>
            <w:vAlign w:val="bottom"/>
            <w:gridSpan w:val="2"/>
            <w:shd w:val="clear" w:color="auto" w:fill="E6E7E8"/>
          </w:tcPr>
          <w:p>
            <w:pPr>
              <w:ind w:left="280"/>
              <w:spacing w:after="0"/>
              <w:rPr>
                <w:sz w:val="20"/>
                <w:szCs w:val="20"/>
                <w:color w:val="auto"/>
              </w:rPr>
            </w:pPr>
            <w:r>
              <w:rPr>
                <w:rFonts w:ascii="Arial" w:cs="Arial" w:eastAsia="Arial" w:hAnsi="Arial"/>
                <w:sz w:val="14"/>
                <w:szCs w:val="14"/>
                <w:color w:val="auto"/>
              </w:rPr>
              <w:t>8.  from the Company’s Vice President and Chief Information Security Officer</w:t>
            </w:r>
          </w:p>
        </w:tc>
        <w:tc>
          <w:tcPr>
            <w:tcW w:w="0" w:type="dxa"/>
            <w:vAlign w:val="bottom"/>
          </w:tcPr>
          <w:p>
            <w:pPr>
              <w:spacing w:after="0"/>
              <w:rPr>
                <w:sz w:val="1"/>
                <w:szCs w:val="1"/>
                <w:color w:val="auto"/>
              </w:rPr>
            </w:pPr>
          </w:p>
        </w:tc>
      </w:tr>
      <w:tr>
        <w:trPr>
          <w:trHeight w:val="175"/>
        </w:trPr>
        <w:tc>
          <w:tcPr>
            <w:tcW w:w="80" w:type="dxa"/>
            <w:vAlign w:val="bottom"/>
            <w:shd w:val="clear" w:color="auto" w:fill="E6E7E8"/>
          </w:tcPr>
          <w:p>
            <w:pPr>
              <w:spacing w:after="0"/>
              <w:rPr>
                <w:sz w:val="15"/>
                <w:szCs w:val="15"/>
                <w:color w:val="auto"/>
              </w:rPr>
            </w:pPr>
          </w:p>
        </w:tc>
        <w:tc>
          <w:tcPr>
            <w:tcW w:w="4360" w:type="dxa"/>
            <w:vAlign w:val="bottom"/>
            <w:gridSpan w:val="2"/>
            <w:shd w:val="clear" w:color="auto" w:fill="E6E7E8"/>
          </w:tcPr>
          <w:p>
            <w:pPr>
              <w:ind w:left="20"/>
              <w:spacing w:after="0" w:line="175" w:lineRule="exact"/>
              <w:rPr>
                <w:sz w:val="20"/>
                <w:szCs w:val="20"/>
                <w:color w:val="auto"/>
              </w:rPr>
            </w:pPr>
            <w:r>
              <w:rPr>
                <w:rFonts w:ascii="Arial" w:cs="Arial" w:eastAsia="Arial" w:hAnsi="Arial"/>
                <w:sz w:val="16"/>
                <w:szCs w:val="16"/>
                <w:color w:val="29378D"/>
              </w:rPr>
              <w:t xml:space="preserve">• </w:t>
            </w:r>
            <w:r>
              <w:rPr>
                <w:rFonts w:ascii="Arial" w:cs="Arial" w:eastAsia="Arial" w:hAnsi="Arial"/>
                <w:sz w:val="14"/>
                <w:szCs w:val="14"/>
                <w:color w:val="000000"/>
              </w:rPr>
              <w:t>Receives multiple regular reports, including, among others,</w:t>
            </w:r>
          </w:p>
        </w:tc>
        <w:tc>
          <w:tcPr>
            <w:tcW w:w="1180" w:type="dxa"/>
            <w:vAlign w:val="bottom"/>
            <w:shd w:val="clear" w:color="auto" w:fill="E6E7E8"/>
          </w:tcPr>
          <w:p>
            <w:pPr>
              <w:spacing w:after="0"/>
              <w:rPr>
                <w:sz w:val="15"/>
                <w:szCs w:val="15"/>
                <w:color w:val="auto"/>
              </w:rPr>
            </w:pPr>
          </w:p>
        </w:tc>
        <w:tc>
          <w:tcPr>
            <w:tcW w:w="5620" w:type="dxa"/>
            <w:vAlign w:val="bottom"/>
            <w:gridSpan w:val="2"/>
            <w:shd w:val="clear" w:color="auto" w:fill="E6E7E8"/>
          </w:tcPr>
          <w:p>
            <w:pPr>
              <w:ind w:left="540"/>
              <w:spacing w:after="0"/>
              <w:rPr>
                <w:sz w:val="20"/>
                <w:szCs w:val="20"/>
                <w:color w:val="auto"/>
              </w:rPr>
            </w:pPr>
            <w:r>
              <w:rPr>
                <w:rFonts w:ascii="Arial" w:cs="Arial" w:eastAsia="Arial" w:hAnsi="Arial"/>
                <w:sz w:val="14"/>
                <w:szCs w:val="14"/>
                <w:color w:val="auto"/>
              </w:rPr>
              <w:t>addressing information security and cybersecurity matters, at least four</w:t>
            </w:r>
          </w:p>
        </w:tc>
        <w:tc>
          <w:tcPr>
            <w:tcW w:w="0" w:type="dxa"/>
            <w:vAlign w:val="bottom"/>
          </w:tcPr>
          <w:p>
            <w:pPr>
              <w:spacing w:after="0"/>
              <w:rPr>
                <w:sz w:val="1"/>
                <w:szCs w:val="1"/>
                <w:color w:val="auto"/>
              </w:rPr>
            </w:pPr>
          </w:p>
        </w:tc>
      </w:tr>
      <w:tr>
        <w:trPr>
          <w:trHeight w:val="139"/>
        </w:trPr>
        <w:tc>
          <w:tcPr>
            <w:tcW w:w="80" w:type="dxa"/>
            <w:vAlign w:val="bottom"/>
            <w:shd w:val="clear" w:color="auto" w:fill="E6E7E8"/>
          </w:tcPr>
          <w:p>
            <w:pPr>
              <w:spacing w:after="0"/>
              <w:rPr>
                <w:sz w:val="12"/>
                <w:szCs w:val="12"/>
                <w:color w:val="auto"/>
              </w:rPr>
            </w:pPr>
          </w:p>
        </w:tc>
        <w:tc>
          <w:tcPr>
            <w:tcW w:w="400" w:type="dxa"/>
            <w:vAlign w:val="bottom"/>
            <w:vMerge w:val="restart"/>
            <w:shd w:val="clear" w:color="auto" w:fill="E6E7E8"/>
          </w:tcPr>
          <w:p>
            <w:pPr>
              <w:ind w:left="220"/>
              <w:spacing w:after="0"/>
              <w:rPr>
                <w:sz w:val="20"/>
                <w:szCs w:val="20"/>
                <w:color w:val="auto"/>
              </w:rPr>
            </w:pPr>
            <w:r>
              <w:rPr>
                <w:rFonts w:ascii="Arial" w:cs="Arial" w:eastAsia="Arial" w:hAnsi="Arial"/>
                <w:sz w:val="14"/>
                <w:szCs w:val="14"/>
                <w:color w:val="auto"/>
              </w:rPr>
              <w:t>1.</w:t>
            </w:r>
          </w:p>
        </w:tc>
        <w:tc>
          <w:tcPr>
            <w:tcW w:w="5140" w:type="dxa"/>
            <w:vAlign w:val="bottom"/>
            <w:gridSpan w:val="2"/>
            <w:vMerge w:val="restart"/>
            <w:shd w:val="clear" w:color="auto" w:fill="E6E7E8"/>
          </w:tcPr>
          <w:p>
            <w:pPr>
              <w:ind w:left="60"/>
              <w:spacing w:after="0"/>
              <w:rPr>
                <w:sz w:val="20"/>
                <w:szCs w:val="20"/>
                <w:color w:val="auto"/>
              </w:rPr>
            </w:pPr>
            <w:r>
              <w:rPr>
                <w:rFonts w:ascii="Arial" w:cs="Arial" w:eastAsia="Arial" w:hAnsi="Arial"/>
                <w:sz w:val="14"/>
                <w:szCs w:val="14"/>
                <w:color w:val="auto"/>
              </w:rPr>
              <w:t>from the Chief Financial Officer and members of the corporate and sector</w:t>
            </w:r>
          </w:p>
        </w:tc>
        <w:tc>
          <w:tcPr>
            <w:tcW w:w="2000" w:type="dxa"/>
            <w:vAlign w:val="bottom"/>
            <w:shd w:val="clear" w:color="auto" w:fill="E6E7E8"/>
          </w:tcPr>
          <w:p>
            <w:pPr>
              <w:ind w:left="540"/>
              <w:spacing w:after="0" w:line="139" w:lineRule="exact"/>
              <w:rPr>
                <w:sz w:val="20"/>
                <w:szCs w:val="20"/>
                <w:color w:val="auto"/>
              </w:rPr>
            </w:pPr>
            <w:r>
              <w:rPr>
                <w:rFonts w:ascii="Arial" w:cs="Arial" w:eastAsia="Arial" w:hAnsi="Arial"/>
                <w:sz w:val="14"/>
                <w:szCs w:val="14"/>
                <w:color w:val="auto"/>
              </w:rPr>
              <w:t>times a year;</w:t>
            </w:r>
          </w:p>
        </w:tc>
        <w:tc>
          <w:tcPr>
            <w:tcW w:w="3620" w:type="dxa"/>
            <w:vAlign w:val="bottom"/>
            <w:shd w:val="clear" w:color="auto" w:fill="E6E7E8"/>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80" w:type="dxa"/>
            <w:vAlign w:val="bottom"/>
            <w:shd w:val="clear" w:color="auto" w:fill="E6E7E8"/>
          </w:tcPr>
          <w:p>
            <w:pPr>
              <w:spacing w:after="0"/>
              <w:rPr>
                <w:sz w:val="3"/>
                <w:szCs w:val="3"/>
                <w:color w:val="auto"/>
              </w:rPr>
            </w:pPr>
          </w:p>
        </w:tc>
        <w:tc>
          <w:tcPr>
            <w:tcW w:w="400" w:type="dxa"/>
            <w:vAlign w:val="bottom"/>
            <w:vMerge w:val="continue"/>
            <w:shd w:val="clear" w:color="auto" w:fill="E6E7E8"/>
          </w:tcPr>
          <w:p>
            <w:pPr>
              <w:spacing w:after="0"/>
              <w:rPr>
                <w:sz w:val="3"/>
                <w:szCs w:val="3"/>
                <w:color w:val="auto"/>
              </w:rPr>
            </w:pPr>
          </w:p>
        </w:tc>
        <w:tc>
          <w:tcPr>
            <w:tcW w:w="5140" w:type="dxa"/>
            <w:vAlign w:val="bottom"/>
            <w:gridSpan w:val="2"/>
            <w:vMerge w:val="continue"/>
            <w:shd w:val="clear" w:color="auto" w:fill="E6E7E8"/>
          </w:tcPr>
          <w:p>
            <w:pPr>
              <w:spacing w:after="0"/>
              <w:rPr>
                <w:sz w:val="3"/>
                <w:szCs w:val="3"/>
                <w:color w:val="auto"/>
              </w:rPr>
            </w:pPr>
          </w:p>
        </w:tc>
        <w:tc>
          <w:tcPr>
            <w:tcW w:w="5620" w:type="dxa"/>
            <w:vAlign w:val="bottom"/>
            <w:gridSpan w:val="2"/>
            <w:vMerge w:val="restart"/>
            <w:shd w:val="clear" w:color="auto" w:fill="E6E7E8"/>
          </w:tcPr>
          <w:p>
            <w:pPr>
              <w:ind w:left="280"/>
              <w:spacing w:after="0"/>
              <w:rPr>
                <w:sz w:val="20"/>
                <w:szCs w:val="20"/>
                <w:color w:val="auto"/>
              </w:rPr>
            </w:pPr>
            <w:r>
              <w:rPr>
                <w:rFonts w:ascii="Arial" w:cs="Arial" w:eastAsia="Arial" w:hAnsi="Arial"/>
                <w:sz w:val="14"/>
                <w:szCs w:val="14"/>
                <w:color w:val="auto"/>
              </w:rPr>
              <w:t>9.  from the Company’s Treasurer addressing the Company’s insurance</w:t>
            </w:r>
          </w:p>
        </w:tc>
        <w:tc>
          <w:tcPr>
            <w:tcW w:w="0" w:type="dxa"/>
            <w:vAlign w:val="bottom"/>
          </w:tcPr>
          <w:p>
            <w:pPr>
              <w:spacing w:after="0"/>
              <w:rPr>
                <w:sz w:val="1"/>
                <w:szCs w:val="1"/>
                <w:color w:val="auto"/>
              </w:rPr>
            </w:pPr>
          </w:p>
        </w:tc>
      </w:tr>
      <w:tr>
        <w:trPr>
          <w:trHeight w:val="144"/>
        </w:trPr>
        <w:tc>
          <w:tcPr>
            <w:tcW w:w="80" w:type="dxa"/>
            <w:vAlign w:val="bottom"/>
            <w:shd w:val="clear" w:color="auto" w:fill="E6E7E8"/>
          </w:tcPr>
          <w:p>
            <w:pPr>
              <w:spacing w:after="0"/>
              <w:rPr>
                <w:sz w:val="12"/>
                <w:szCs w:val="12"/>
                <w:color w:val="auto"/>
              </w:rPr>
            </w:pPr>
          </w:p>
        </w:tc>
        <w:tc>
          <w:tcPr>
            <w:tcW w:w="400" w:type="dxa"/>
            <w:vAlign w:val="bottom"/>
            <w:shd w:val="clear" w:color="auto" w:fill="E6E7E8"/>
          </w:tcPr>
          <w:p>
            <w:pPr>
              <w:spacing w:after="0"/>
              <w:rPr>
                <w:sz w:val="12"/>
                <w:szCs w:val="12"/>
                <w:color w:val="auto"/>
              </w:rPr>
            </w:pPr>
          </w:p>
        </w:tc>
        <w:tc>
          <w:tcPr>
            <w:tcW w:w="5140" w:type="dxa"/>
            <w:vAlign w:val="bottom"/>
            <w:gridSpan w:val="2"/>
            <w:shd w:val="clear" w:color="auto" w:fill="E6E7E8"/>
          </w:tcPr>
          <w:p>
            <w:pPr>
              <w:ind w:left="80"/>
              <w:spacing w:after="0" w:line="145" w:lineRule="exact"/>
              <w:rPr>
                <w:sz w:val="20"/>
                <w:szCs w:val="20"/>
                <w:color w:val="auto"/>
              </w:rPr>
            </w:pPr>
            <w:r>
              <w:rPr>
                <w:rFonts w:ascii="Arial" w:cs="Arial" w:eastAsia="Arial" w:hAnsi="Arial"/>
                <w:sz w:val="14"/>
                <w:szCs w:val="14"/>
                <w:color w:val="auto"/>
              </w:rPr>
              <w:t>business management and legal teams addressing the nature of the material</w:t>
            </w:r>
          </w:p>
        </w:tc>
        <w:tc>
          <w:tcPr>
            <w:tcW w:w="5620" w:type="dxa"/>
            <w:vAlign w:val="bottom"/>
            <w:gridSpan w:val="2"/>
            <w:vMerge w:val="continue"/>
            <w:shd w:val="clear" w:color="auto" w:fill="E6E7E8"/>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 w:type="dxa"/>
            <w:vAlign w:val="bottom"/>
            <w:shd w:val="clear" w:color="auto" w:fill="E6E7E8"/>
          </w:tcPr>
          <w:p>
            <w:pPr>
              <w:spacing w:after="0"/>
              <w:rPr>
                <w:sz w:val="12"/>
                <w:szCs w:val="12"/>
                <w:color w:val="auto"/>
              </w:rPr>
            </w:pPr>
          </w:p>
        </w:tc>
        <w:tc>
          <w:tcPr>
            <w:tcW w:w="400" w:type="dxa"/>
            <w:vAlign w:val="bottom"/>
            <w:shd w:val="clear" w:color="auto" w:fill="E6E7E8"/>
          </w:tcPr>
          <w:p>
            <w:pPr>
              <w:spacing w:after="0"/>
              <w:rPr>
                <w:sz w:val="12"/>
                <w:szCs w:val="12"/>
                <w:color w:val="auto"/>
              </w:rPr>
            </w:pPr>
          </w:p>
        </w:tc>
        <w:tc>
          <w:tcPr>
            <w:tcW w:w="5140" w:type="dxa"/>
            <w:vAlign w:val="bottom"/>
            <w:gridSpan w:val="2"/>
            <w:shd w:val="clear" w:color="auto" w:fill="E6E7E8"/>
          </w:tcPr>
          <w:p>
            <w:pPr>
              <w:ind w:left="80"/>
              <w:spacing w:after="0" w:line="149" w:lineRule="exact"/>
              <w:rPr>
                <w:sz w:val="20"/>
                <w:szCs w:val="20"/>
                <w:color w:val="auto"/>
              </w:rPr>
            </w:pPr>
            <w:r>
              <w:rPr>
                <w:rFonts w:ascii="Arial" w:cs="Arial" w:eastAsia="Arial" w:hAnsi="Arial"/>
                <w:sz w:val="14"/>
                <w:szCs w:val="14"/>
                <w:color w:val="auto"/>
              </w:rPr>
              <w:t>financial risks the Company faces and how the Company responds to and</w:t>
            </w:r>
          </w:p>
        </w:tc>
        <w:tc>
          <w:tcPr>
            <w:tcW w:w="5620" w:type="dxa"/>
            <w:vAlign w:val="bottom"/>
            <w:gridSpan w:val="2"/>
            <w:shd w:val="clear" w:color="auto" w:fill="E6E7E8"/>
          </w:tcPr>
          <w:p>
            <w:pPr>
              <w:ind w:left="540"/>
              <w:spacing w:after="0" w:line="149" w:lineRule="exact"/>
              <w:rPr>
                <w:sz w:val="20"/>
                <w:szCs w:val="20"/>
                <w:color w:val="auto"/>
              </w:rPr>
            </w:pPr>
            <w:r>
              <w:rPr>
                <w:rFonts w:ascii="Arial" w:cs="Arial" w:eastAsia="Arial" w:hAnsi="Arial"/>
                <w:sz w:val="14"/>
                <w:szCs w:val="14"/>
                <w:color w:val="auto"/>
              </w:rPr>
              <w:t>program, including coverage with respect to property and casualty,</w:t>
            </w:r>
          </w:p>
        </w:tc>
        <w:tc>
          <w:tcPr>
            <w:tcW w:w="0" w:type="dxa"/>
            <w:vAlign w:val="bottom"/>
          </w:tcPr>
          <w:p>
            <w:pPr>
              <w:spacing w:after="0"/>
              <w:rPr>
                <w:sz w:val="1"/>
                <w:szCs w:val="1"/>
                <w:color w:val="auto"/>
              </w:rPr>
            </w:pPr>
          </w:p>
        </w:tc>
      </w:tr>
      <w:tr>
        <w:trPr>
          <w:trHeight w:val="139"/>
        </w:trPr>
        <w:tc>
          <w:tcPr>
            <w:tcW w:w="80" w:type="dxa"/>
            <w:vAlign w:val="bottom"/>
            <w:shd w:val="clear" w:color="auto" w:fill="E6E7E8"/>
          </w:tcPr>
          <w:p>
            <w:pPr>
              <w:spacing w:after="0"/>
              <w:rPr>
                <w:sz w:val="12"/>
                <w:szCs w:val="12"/>
                <w:color w:val="auto"/>
              </w:rPr>
            </w:pPr>
          </w:p>
        </w:tc>
        <w:tc>
          <w:tcPr>
            <w:tcW w:w="400" w:type="dxa"/>
            <w:vAlign w:val="bottom"/>
            <w:shd w:val="clear" w:color="auto" w:fill="E6E7E8"/>
          </w:tcPr>
          <w:p>
            <w:pPr>
              <w:spacing w:after="0"/>
              <w:rPr>
                <w:sz w:val="12"/>
                <w:szCs w:val="12"/>
                <w:color w:val="auto"/>
              </w:rPr>
            </w:pPr>
          </w:p>
        </w:tc>
        <w:tc>
          <w:tcPr>
            <w:tcW w:w="3960" w:type="dxa"/>
            <w:vAlign w:val="bottom"/>
            <w:shd w:val="clear" w:color="auto" w:fill="E6E7E8"/>
          </w:tcPr>
          <w:p>
            <w:pPr>
              <w:ind w:left="80"/>
              <w:spacing w:after="0" w:line="139" w:lineRule="exact"/>
              <w:rPr>
                <w:sz w:val="20"/>
                <w:szCs w:val="20"/>
                <w:color w:val="auto"/>
              </w:rPr>
            </w:pPr>
            <w:r>
              <w:rPr>
                <w:rFonts w:ascii="Arial" w:cs="Arial" w:eastAsia="Arial" w:hAnsi="Arial"/>
                <w:sz w:val="14"/>
                <w:szCs w:val="14"/>
                <w:color w:val="auto"/>
              </w:rPr>
              <w:t>mitigates these risks;</w:t>
            </w:r>
          </w:p>
        </w:tc>
        <w:tc>
          <w:tcPr>
            <w:tcW w:w="1180" w:type="dxa"/>
            <w:vAlign w:val="bottom"/>
            <w:shd w:val="clear" w:color="auto" w:fill="E6E7E8"/>
          </w:tcPr>
          <w:p>
            <w:pPr>
              <w:spacing w:after="0"/>
              <w:rPr>
                <w:sz w:val="12"/>
                <w:szCs w:val="12"/>
                <w:color w:val="auto"/>
              </w:rPr>
            </w:pPr>
          </w:p>
        </w:tc>
        <w:tc>
          <w:tcPr>
            <w:tcW w:w="5620" w:type="dxa"/>
            <w:vAlign w:val="bottom"/>
            <w:gridSpan w:val="2"/>
            <w:shd w:val="clear" w:color="auto" w:fill="E6E7E8"/>
          </w:tcPr>
          <w:p>
            <w:pPr>
              <w:ind w:left="540"/>
              <w:spacing w:after="0" w:line="139" w:lineRule="exact"/>
              <w:rPr>
                <w:sz w:val="20"/>
                <w:szCs w:val="20"/>
                <w:color w:val="auto"/>
              </w:rPr>
            </w:pPr>
            <w:r>
              <w:rPr>
                <w:rFonts w:ascii="Arial" w:cs="Arial" w:eastAsia="Arial" w:hAnsi="Arial"/>
                <w:sz w:val="14"/>
                <w:szCs w:val="14"/>
                <w:color w:val="auto"/>
              </w:rPr>
              <w:t>information security and cybersecurity;</w:t>
            </w:r>
          </w:p>
        </w:tc>
        <w:tc>
          <w:tcPr>
            <w:tcW w:w="0" w:type="dxa"/>
            <w:vAlign w:val="bottom"/>
          </w:tcPr>
          <w:p>
            <w:pPr>
              <w:spacing w:after="0"/>
              <w:rPr>
                <w:sz w:val="1"/>
                <w:szCs w:val="1"/>
                <w:color w:val="auto"/>
              </w:rPr>
            </w:pPr>
          </w:p>
        </w:tc>
      </w:tr>
      <w:tr>
        <w:trPr>
          <w:trHeight w:val="185"/>
        </w:trPr>
        <w:tc>
          <w:tcPr>
            <w:tcW w:w="80" w:type="dxa"/>
            <w:vAlign w:val="bottom"/>
            <w:shd w:val="clear" w:color="auto" w:fill="E6E7E8"/>
          </w:tcPr>
          <w:p>
            <w:pPr>
              <w:spacing w:after="0"/>
              <w:rPr>
                <w:sz w:val="16"/>
                <w:szCs w:val="16"/>
                <w:color w:val="auto"/>
              </w:rPr>
            </w:pPr>
          </w:p>
        </w:tc>
        <w:tc>
          <w:tcPr>
            <w:tcW w:w="400" w:type="dxa"/>
            <w:vAlign w:val="bottom"/>
            <w:shd w:val="clear" w:color="auto" w:fill="E6E7E8"/>
          </w:tcPr>
          <w:p>
            <w:pPr>
              <w:ind w:left="220"/>
              <w:spacing w:after="0"/>
              <w:rPr>
                <w:sz w:val="20"/>
                <w:szCs w:val="20"/>
                <w:color w:val="auto"/>
              </w:rPr>
            </w:pPr>
            <w:r>
              <w:rPr>
                <w:rFonts w:ascii="Arial" w:cs="Arial" w:eastAsia="Arial" w:hAnsi="Arial"/>
                <w:sz w:val="14"/>
                <w:szCs w:val="14"/>
                <w:color w:val="auto"/>
              </w:rPr>
              <w:t>2.</w:t>
            </w:r>
          </w:p>
        </w:tc>
        <w:tc>
          <w:tcPr>
            <w:tcW w:w="5140" w:type="dxa"/>
            <w:vAlign w:val="bottom"/>
            <w:gridSpan w:val="2"/>
            <w:shd w:val="clear" w:color="auto" w:fill="E6E7E8"/>
          </w:tcPr>
          <w:p>
            <w:pPr>
              <w:ind w:left="60"/>
              <w:spacing w:after="0"/>
              <w:rPr>
                <w:sz w:val="20"/>
                <w:szCs w:val="20"/>
                <w:color w:val="auto"/>
              </w:rPr>
            </w:pPr>
            <w:r>
              <w:rPr>
                <w:rFonts w:ascii="Arial" w:cs="Arial" w:eastAsia="Arial" w:hAnsi="Arial"/>
                <w:sz w:val="14"/>
                <w:szCs w:val="14"/>
                <w:color w:val="auto"/>
              </w:rPr>
              <w:t>from our Controller and Chief Accounting Officer on our internal controls and</w:t>
            </w:r>
          </w:p>
        </w:tc>
        <w:tc>
          <w:tcPr>
            <w:tcW w:w="5620" w:type="dxa"/>
            <w:vAlign w:val="bottom"/>
            <w:gridSpan w:val="2"/>
            <w:shd w:val="clear" w:color="auto" w:fill="E6E7E8"/>
          </w:tcPr>
          <w:p>
            <w:pPr>
              <w:ind w:left="280"/>
              <w:spacing w:after="0"/>
              <w:rPr>
                <w:sz w:val="20"/>
                <w:szCs w:val="20"/>
                <w:color w:val="auto"/>
              </w:rPr>
            </w:pPr>
            <w:r>
              <w:rPr>
                <w:rFonts w:ascii="Arial" w:cs="Arial" w:eastAsia="Arial" w:hAnsi="Arial"/>
                <w:sz w:val="14"/>
                <w:szCs w:val="14"/>
                <w:color w:val="auto"/>
              </w:rPr>
              <w:t>10. from the Chief Sustainability Officer on climate-related risks; and</w:t>
            </w:r>
          </w:p>
        </w:tc>
        <w:tc>
          <w:tcPr>
            <w:tcW w:w="0" w:type="dxa"/>
            <w:vAlign w:val="bottom"/>
          </w:tcPr>
          <w:p>
            <w:pPr>
              <w:spacing w:after="0"/>
              <w:rPr>
                <w:sz w:val="1"/>
                <w:szCs w:val="1"/>
                <w:color w:val="auto"/>
              </w:rPr>
            </w:pPr>
          </w:p>
        </w:tc>
      </w:tr>
      <w:tr>
        <w:trPr>
          <w:trHeight w:val="139"/>
        </w:trPr>
        <w:tc>
          <w:tcPr>
            <w:tcW w:w="80" w:type="dxa"/>
            <w:vAlign w:val="bottom"/>
            <w:shd w:val="clear" w:color="auto" w:fill="E6E7E8"/>
          </w:tcPr>
          <w:p>
            <w:pPr>
              <w:spacing w:after="0"/>
              <w:rPr>
                <w:sz w:val="12"/>
                <w:szCs w:val="12"/>
                <w:color w:val="auto"/>
              </w:rPr>
            </w:pPr>
          </w:p>
        </w:tc>
        <w:tc>
          <w:tcPr>
            <w:tcW w:w="400" w:type="dxa"/>
            <w:vAlign w:val="bottom"/>
            <w:shd w:val="clear" w:color="auto" w:fill="E6E7E8"/>
          </w:tcPr>
          <w:p>
            <w:pPr>
              <w:spacing w:after="0"/>
              <w:rPr>
                <w:sz w:val="12"/>
                <w:szCs w:val="12"/>
                <w:color w:val="auto"/>
              </w:rPr>
            </w:pPr>
          </w:p>
        </w:tc>
        <w:tc>
          <w:tcPr>
            <w:tcW w:w="3960" w:type="dxa"/>
            <w:vAlign w:val="bottom"/>
            <w:shd w:val="clear" w:color="auto" w:fill="E6E7E8"/>
          </w:tcPr>
          <w:p>
            <w:pPr>
              <w:ind w:left="80"/>
              <w:spacing w:after="0" w:line="139" w:lineRule="exact"/>
              <w:rPr>
                <w:sz w:val="20"/>
                <w:szCs w:val="20"/>
                <w:color w:val="auto"/>
              </w:rPr>
            </w:pPr>
            <w:r>
              <w:rPr>
                <w:rFonts w:ascii="Arial" w:cs="Arial" w:eastAsia="Arial" w:hAnsi="Arial"/>
                <w:sz w:val="14"/>
                <w:szCs w:val="14"/>
                <w:color w:val="auto"/>
              </w:rPr>
              <w:t>SEC filings;</w:t>
            </w:r>
          </w:p>
        </w:tc>
        <w:tc>
          <w:tcPr>
            <w:tcW w:w="1180" w:type="dxa"/>
            <w:vAlign w:val="bottom"/>
            <w:shd w:val="clear" w:color="auto" w:fill="E6E7E8"/>
          </w:tcPr>
          <w:p>
            <w:pPr>
              <w:spacing w:after="0"/>
              <w:rPr>
                <w:sz w:val="12"/>
                <w:szCs w:val="12"/>
                <w:color w:val="auto"/>
              </w:rPr>
            </w:pPr>
          </w:p>
        </w:tc>
        <w:tc>
          <w:tcPr>
            <w:tcW w:w="5620" w:type="dxa"/>
            <w:vAlign w:val="bottom"/>
            <w:gridSpan w:val="2"/>
            <w:shd w:val="clear" w:color="auto" w:fill="E6E7E8"/>
          </w:tcPr>
          <w:p>
            <w:pPr>
              <w:ind w:left="280"/>
              <w:spacing w:after="0" w:line="139" w:lineRule="exact"/>
              <w:rPr>
                <w:sz w:val="20"/>
                <w:szCs w:val="20"/>
                <w:color w:val="auto"/>
              </w:rPr>
            </w:pPr>
            <w:r>
              <w:rPr>
                <w:rFonts w:ascii="Arial" w:cs="Arial" w:eastAsia="Arial" w:hAnsi="Arial"/>
                <w:sz w:val="14"/>
                <w:szCs w:val="14"/>
                <w:color w:val="auto"/>
              </w:rPr>
              <w:t>11. from the Chief Financial Officer, General Counsel and Corporate Vice</w:t>
            </w:r>
          </w:p>
        </w:tc>
        <w:tc>
          <w:tcPr>
            <w:tcW w:w="0" w:type="dxa"/>
            <w:vAlign w:val="bottom"/>
          </w:tcPr>
          <w:p>
            <w:pPr>
              <w:spacing w:after="0"/>
              <w:rPr>
                <w:sz w:val="1"/>
                <w:szCs w:val="1"/>
                <w:color w:val="auto"/>
              </w:rPr>
            </w:pPr>
          </w:p>
        </w:tc>
      </w:tr>
      <w:tr>
        <w:trPr>
          <w:trHeight w:val="185"/>
        </w:trPr>
        <w:tc>
          <w:tcPr>
            <w:tcW w:w="80" w:type="dxa"/>
            <w:vAlign w:val="bottom"/>
            <w:shd w:val="clear" w:color="auto" w:fill="E6E7E8"/>
          </w:tcPr>
          <w:p>
            <w:pPr>
              <w:spacing w:after="0"/>
              <w:rPr>
                <w:sz w:val="16"/>
                <w:szCs w:val="16"/>
                <w:color w:val="auto"/>
              </w:rPr>
            </w:pPr>
          </w:p>
        </w:tc>
        <w:tc>
          <w:tcPr>
            <w:tcW w:w="400" w:type="dxa"/>
            <w:vAlign w:val="bottom"/>
            <w:shd w:val="clear" w:color="auto" w:fill="E6E7E8"/>
          </w:tcPr>
          <w:p>
            <w:pPr>
              <w:ind w:left="220"/>
              <w:spacing w:after="0"/>
              <w:rPr>
                <w:sz w:val="20"/>
                <w:szCs w:val="20"/>
                <w:color w:val="auto"/>
              </w:rPr>
            </w:pPr>
            <w:r>
              <w:rPr>
                <w:rFonts w:ascii="Arial" w:cs="Arial" w:eastAsia="Arial" w:hAnsi="Arial"/>
                <w:sz w:val="14"/>
                <w:szCs w:val="14"/>
                <w:color w:val="auto"/>
              </w:rPr>
              <w:t>3.</w:t>
            </w:r>
          </w:p>
        </w:tc>
        <w:tc>
          <w:tcPr>
            <w:tcW w:w="5140" w:type="dxa"/>
            <w:vAlign w:val="bottom"/>
            <w:gridSpan w:val="2"/>
            <w:shd w:val="clear" w:color="auto" w:fill="E6E7E8"/>
          </w:tcPr>
          <w:p>
            <w:pPr>
              <w:ind w:left="60"/>
              <w:spacing w:after="0"/>
              <w:rPr>
                <w:sz w:val="20"/>
                <w:szCs w:val="20"/>
                <w:color w:val="auto"/>
              </w:rPr>
            </w:pPr>
            <w:r>
              <w:rPr>
                <w:rFonts w:ascii="Arial" w:cs="Arial" w:eastAsia="Arial" w:hAnsi="Arial"/>
                <w:sz w:val="14"/>
                <w:szCs w:val="14"/>
                <w:color w:val="auto"/>
              </w:rPr>
              <w:t>from our Vice President, Internal Audit addressing the internal audits;</w:t>
            </w:r>
          </w:p>
        </w:tc>
        <w:tc>
          <w:tcPr>
            <w:tcW w:w="5620" w:type="dxa"/>
            <w:vAlign w:val="bottom"/>
            <w:gridSpan w:val="2"/>
            <w:shd w:val="clear" w:color="auto" w:fill="E6E7E8"/>
          </w:tcPr>
          <w:p>
            <w:pPr>
              <w:ind w:left="540"/>
              <w:spacing w:after="0"/>
              <w:rPr>
                <w:sz w:val="20"/>
                <w:szCs w:val="20"/>
                <w:color w:val="auto"/>
              </w:rPr>
            </w:pPr>
            <w:r>
              <w:rPr>
                <w:rFonts w:ascii="Arial" w:cs="Arial" w:eastAsia="Arial" w:hAnsi="Arial"/>
                <w:sz w:val="14"/>
                <w:szCs w:val="14"/>
                <w:color w:val="auto"/>
              </w:rPr>
              <w:t>President, Global Operations on a review of the Company’s process for</w:t>
            </w:r>
          </w:p>
        </w:tc>
        <w:tc>
          <w:tcPr>
            <w:tcW w:w="0" w:type="dxa"/>
            <w:vAlign w:val="bottom"/>
          </w:tcPr>
          <w:p>
            <w:pPr>
              <w:spacing w:after="0"/>
              <w:rPr>
                <w:sz w:val="1"/>
                <w:szCs w:val="1"/>
                <w:color w:val="auto"/>
              </w:rPr>
            </w:pPr>
          </w:p>
        </w:tc>
      </w:tr>
      <w:tr>
        <w:trPr>
          <w:trHeight w:val="134"/>
        </w:trPr>
        <w:tc>
          <w:tcPr>
            <w:tcW w:w="80" w:type="dxa"/>
            <w:vAlign w:val="bottom"/>
            <w:shd w:val="clear" w:color="auto" w:fill="E6E7E8"/>
          </w:tcPr>
          <w:p>
            <w:pPr>
              <w:spacing w:after="0"/>
              <w:rPr>
                <w:sz w:val="11"/>
                <w:szCs w:val="11"/>
                <w:color w:val="auto"/>
              </w:rPr>
            </w:pPr>
          </w:p>
        </w:tc>
        <w:tc>
          <w:tcPr>
            <w:tcW w:w="400" w:type="dxa"/>
            <w:vAlign w:val="bottom"/>
            <w:vMerge w:val="restart"/>
            <w:shd w:val="clear" w:color="auto" w:fill="E6E7E8"/>
          </w:tcPr>
          <w:p>
            <w:pPr>
              <w:ind w:left="220"/>
              <w:spacing w:after="0"/>
              <w:rPr>
                <w:sz w:val="20"/>
                <w:szCs w:val="20"/>
                <w:color w:val="auto"/>
              </w:rPr>
            </w:pPr>
            <w:r>
              <w:rPr>
                <w:rFonts w:ascii="Arial" w:cs="Arial" w:eastAsia="Arial" w:hAnsi="Arial"/>
                <w:sz w:val="14"/>
                <w:szCs w:val="14"/>
                <w:color w:val="auto"/>
              </w:rPr>
              <w:t>4.</w:t>
            </w:r>
          </w:p>
        </w:tc>
        <w:tc>
          <w:tcPr>
            <w:tcW w:w="5140" w:type="dxa"/>
            <w:vAlign w:val="bottom"/>
            <w:gridSpan w:val="2"/>
            <w:vMerge w:val="restart"/>
            <w:shd w:val="clear" w:color="auto" w:fill="E6E7E8"/>
          </w:tcPr>
          <w:p>
            <w:pPr>
              <w:ind w:left="60"/>
              <w:spacing w:after="0"/>
              <w:rPr>
                <w:sz w:val="20"/>
                <w:szCs w:val="20"/>
                <w:color w:val="auto"/>
              </w:rPr>
            </w:pPr>
            <w:r>
              <w:rPr>
                <w:rFonts w:ascii="Arial" w:cs="Arial" w:eastAsia="Arial" w:hAnsi="Arial"/>
                <w:sz w:val="14"/>
                <w:szCs w:val="14"/>
                <w:color w:val="auto"/>
              </w:rPr>
              <w:t>from our independent auditors on their review of our internal controls over</w:t>
            </w:r>
          </w:p>
        </w:tc>
        <w:tc>
          <w:tcPr>
            <w:tcW w:w="5620" w:type="dxa"/>
            <w:vAlign w:val="bottom"/>
            <w:gridSpan w:val="2"/>
            <w:shd w:val="clear" w:color="auto" w:fill="E6E7E8"/>
          </w:tcPr>
          <w:p>
            <w:pPr>
              <w:ind w:left="540"/>
              <w:spacing w:after="0" w:line="135" w:lineRule="exact"/>
              <w:rPr>
                <w:sz w:val="20"/>
                <w:szCs w:val="20"/>
                <w:color w:val="auto"/>
              </w:rPr>
            </w:pPr>
            <w:r>
              <w:rPr>
                <w:rFonts w:ascii="Arial" w:cs="Arial" w:eastAsia="Arial" w:hAnsi="Arial"/>
                <w:sz w:val="14"/>
                <w:szCs w:val="14"/>
                <w:color w:val="auto"/>
              </w:rPr>
              <w:t>effective management of enterprise risks and disclosures.</w:t>
            </w:r>
          </w:p>
        </w:tc>
        <w:tc>
          <w:tcPr>
            <w:tcW w:w="0" w:type="dxa"/>
            <w:vAlign w:val="bottom"/>
          </w:tcPr>
          <w:p>
            <w:pPr>
              <w:spacing w:after="0"/>
              <w:rPr>
                <w:sz w:val="1"/>
                <w:szCs w:val="1"/>
                <w:color w:val="auto"/>
              </w:rPr>
            </w:pPr>
          </w:p>
        </w:tc>
      </w:tr>
      <w:tr>
        <w:trPr>
          <w:trHeight w:val="45"/>
        </w:trPr>
        <w:tc>
          <w:tcPr>
            <w:tcW w:w="80" w:type="dxa"/>
            <w:vAlign w:val="bottom"/>
            <w:shd w:val="clear" w:color="auto" w:fill="E6E7E8"/>
          </w:tcPr>
          <w:p>
            <w:pPr>
              <w:spacing w:after="0"/>
              <w:rPr>
                <w:sz w:val="3"/>
                <w:szCs w:val="3"/>
                <w:color w:val="auto"/>
              </w:rPr>
            </w:pPr>
          </w:p>
        </w:tc>
        <w:tc>
          <w:tcPr>
            <w:tcW w:w="400" w:type="dxa"/>
            <w:vAlign w:val="bottom"/>
            <w:vMerge w:val="continue"/>
            <w:shd w:val="clear" w:color="auto" w:fill="E6E7E8"/>
          </w:tcPr>
          <w:p>
            <w:pPr>
              <w:spacing w:after="0"/>
              <w:rPr>
                <w:sz w:val="3"/>
                <w:szCs w:val="3"/>
                <w:color w:val="auto"/>
              </w:rPr>
            </w:pPr>
          </w:p>
        </w:tc>
        <w:tc>
          <w:tcPr>
            <w:tcW w:w="5140" w:type="dxa"/>
            <w:vAlign w:val="bottom"/>
            <w:gridSpan w:val="2"/>
            <w:vMerge w:val="continue"/>
            <w:shd w:val="clear" w:color="auto" w:fill="E6E7E8"/>
          </w:tcPr>
          <w:p>
            <w:pPr>
              <w:spacing w:after="0"/>
              <w:rPr>
                <w:sz w:val="3"/>
                <w:szCs w:val="3"/>
                <w:color w:val="auto"/>
              </w:rPr>
            </w:pPr>
          </w:p>
        </w:tc>
        <w:tc>
          <w:tcPr>
            <w:tcW w:w="5620" w:type="dxa"/>
            <w:vAlign w:val="bottom"/>
            <w:gridSpan w:val="2"/>
            <w:vMerge w:val="restart"/>
            <w:shd w:val="clear" w:color="auto" w:fill="E6E7E8"/>
          </w:tcPr>
          <w:p>
            <w:pPr>
              <w:ind w:left="140"/>
              <w:spacing w:after="0"/>
              <w:rPr>
                <w:sz w:val="20"/>
                <w:szCs w:val="20"/>
                <w:color w:val="auto"/>
              </w:rPr>
            </w:pPr>
            <w:r>
              <w:rPr>
                <w:rFonts w:ascii="Arial" w:cs="Arial" w:eastAsia="Arial" w:hAnsi="Arial"/>
                <w:sz w:val="16"/>
                <w:szCs w:val="16"/>
                <w:color w:val="29378D"/>
              </w:rPr>
              <w:t xml:space="preserve">• </w:t>
            </w:r>
            <w:r>
              <w:rPr>
                <w:rFonts w:ascii="Arial" w:cs="Arial" w:eastAsia="Arial" w:hAnsi="Arial"/>
                <w:sz w:val="14"/>
                <w:szCs w:val="14"/>
                <w:color w:val="000000"/>
              </w:rPr>
              <w:t>Provides opportunity for regular discussion of new and emerging risks.</w:t>
            </w:r>
          </w:p>
        </w:tc>
        <w:tc>
          <w:tcPr>
            <w:tcW w:w="0" w:type="dxa"/>
            <w:vAlign w:val="bottom"/>
          </w:tcPr>
          <w:p>
            <w:pPr>
              <w:spacing w:after="0"/>
              <w:rPr>
                <w:sz w:val="1"/>
                <w:szCs w:val="1"/>
                <w:color w:val="auto"/>
              </w:rPr>
            </w:pPr>
          </w:p>
        </w:tc>
      </w:tr>
      <w:tr>
        <w:trPr>
          <w:trHeight w:val="144"/>
        </w:trPr>
        <w:tc>
          <w:tcPr>
            <w:tcW w:w="80" w:type="dxa"/>
            <w:vAlign w:val="bottom"/>
            <w:shd w:val="clear" w:color="auto" w:fill="E6E7E8"/>
          </w:tcPr>
          <w:p>
            <w:pPr>
              <w:spacing w:after="0"/>
              <w:rPr>
                <w:sz w:val="12"/>
                <w:szCs w:val="12"/>
                <w:color w:val="auto"/>
              </w:rPr>
            </w:pPr>
          </w:p>
        </w:tc>
        <w:tc>
          <w:tcPr>
            <w:tcW w:w="400" w:type="dxa"/>
            <w:vAlign w:val="bottom"/>
            <w:shd w:val="clear" w:color="auto" w:fill="E6E7E8"/>
          </w:tcPr>
          <w:p>
            <w:pPr>
              <w:spacing w:after="0"/>
              <w:rPr>
                <w:sz w:val="12"/>
                <w:szCs w:val="12"/>
                <w:color w:val="auto"/>
              </w:rPr>
            </w:pPr>
          </w:p>
        </w:tc>
        <w:tc>
          <w:tcPr>
            <w:tcW w:w="3960" w:type="dxa"/>
            <w:vAlign w:val="bottom"/>
            <w:shd w:val="clear" w:color="auto" w:fill="E6E7E8"/>
          </w:tcPr>
          <w:p>
            <w:pPr>
              <w:ind w:left="80"/>
              <w:spacing w:after="0" w:line="145" w:lineRule="exact"/>
              <w:rPr>
                <w:sz w:val="20"/>
                <w:szCs w:val="20"/>
                <w:color w:val="auto"/>
              </w:rPr>
            </w:pPr>
            <w:r>
              <w:rPr>
                <w:rFonts w:ascii="Arial" w:cs="Arial" w:eastAsia="Arial" w:hAnsi="Arial"/>
                <w:sz w:val="14"/>
                <w:szCs w:val="14"/>
                <w:color w:val="auto"/>
              </w:rPr>
              <w:t>financial reporting;</w:t>
            </w:r>
          </w:p>
        </w:tc>
        <w:tc>
          <w:tcPr>
            <w:tcW w:w="1180" w:type="dxa"/>
            <w:vAlign w:val="bottom"/>
            <w:shd w:val="clear" w:color="auto" w:fill="E6E7E8"/>
          </w:tcPr>
          <w:p>
            <w:pPr>
              <w:spacing w:after="0"/>
              <w:rPr>
                <w:sz w:val="12"/>
                <w:szCs w:val="12"/>
                <w:color w:val="auto"/>
              </w:rPr>
            </w:pPr>
          </w:p>
        </w:tc>
        <w:tc>
          <w:tcPr>
            <w:tcW w:w="5620" w:type="dxa"/>
            <w:vAlign w:val="bottom"/>
            <w:gridSpan w:val="2"/>
            <w:vMerge w:val="continue"/>
            <w:shd w:val="clear" w:color="auto" w:fill="E6E7E8"/>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E6E7E8"/>
          </w:tcPr>
          <w:p>
            <w:pPr>
              <w:spacing w:after="0"/>
              <w:rPr>
                <w:sz w:val="15"/>
                <w:szCs w:val="15"/>
                <w:color w:val="auto"/>
              </w:rPr>
            </w:pPr>
          </w:p>
        </w:tc>
        <w:tc>
          <w:tcPr>
            <w:tcW w:w="400" w:type="dxa"/>
            <w:vAlign w:val="bottom"/>
            <w:shd w:val="clear" w:color="auto" w:fill="E6E7E8"/>
          </w:tcPr>
          <w:p>
            <w:pPr>
              <w:ind w:left="220"/>
              <w:spacing w:after="0"/>
              <w:rPr>
                <w:sz w:val="20"/>
                <w:szCs w:val="20"/>
                <w:color w:val="auto"/>
              </w:rPr>
            </w:pPr>
            <w:r>
              <w:rPr>
                <w:rFonts w:ascii="Arial" w:cs="Arial" w:eastAsia="Arial" w:hAnsi="Arial"/>
                <w:sz w:val="14"/>
                <w:szCs w:val="14"/>
                <w:color w:val="auto"/>
              </w:rPr>
              <w:t>5.</w:t>
            </w:r>
          </w:p>
        </w:tc>
        <w:tc>
          <w:tcPr>
            <w:tcW w:w="5140" w:type="dxa"/>
            <w:vAlign w:val="bottom"/>
            <w:gridSpan w:val="2"/>
            <w:shd w:val="clear" w:color="auto" w:fill="E6E7E8"/>
          </w:tcPr>
          <w:p>
            <w:pPr>
              <w:ind w:left="60"/>
              <w:spacing w:after="0"/>
              <w:rPr>
                <w:sz w:val="20"/>
                <w:szCs w:val="20"/>
                <w:color w:val="auto"/>
              </w:rPr>
            </w:pPr>
            <w:r>
              <w:rPr>
                <w:rFonts w:ascii="Arial" w:cs="Arial" w:eastAsia="Arial" w:hAnsi="Arial"/>
                <w:sz w:val="14"/>
                <w:szCs w:val="14"/>
                <w:color w:val="auto"/>
              </w:rPr>
              <w:t>from our General Counsel on legal and other compliance risks and how the</w:t>
            </w:r>
          </w:p>
        </w:tc>
        <w:tc>
          <w:tcPr>
            <w:tcW w:w="5620" w:type="dxa"/>
            <w:vAlign w:val="bottom"/>
            <w:gridSpan w:val="2"/>
            <w:shd w:val="clear" w:color="auto" w:fill="E6E7E8"/>
          </w:tcPr>
          <w:p>
            <w:pPr>
              <w:ind w:left="140"/>
              <w:spacing w:after="0" w:line="175" w:lineRule="exact"/>
              <w:rPr>
                <w:sz w:val="20"/>
                <w:szCs w:val="20"/>
                <w:color w:val="auto"/>
              </w:rPr>
            </w:pPr>
            <w:r>
              <w:rPr>
                <w:rFonts w:ascii="Arial" w:cs="Arial" w:eastAsia="Arial" w:hAnsi="Arial"/>
                <w:sz w:val="16"/>
                <w:szCs w:val="16"/>
                <w:color w:val="29378D"/>
              </w:rPr>
              <w:t xml:space="preserve">• </w:t>
            </w:r>
            <w:r>
              <w:rPr>
                <w:rFonts w:ascii="Arial" w:cs="Arial" w:eastAsia="Arial" w:hAnsi="Arial"/>
                <w:sz w:val="14"/>
                <w:szCs w:val="14"/>
                <w:color w:val="000000"/>
              </w:rPr>
              <w:t>Focuses on risks tied most directly to our financial performance, and those</w:t>
            </w:r>
          </w:p>
        </w:tc>
        <w:tc>
          <w:tcPr>
            <w:tcW w:w="0" w:type="dxa"/>
            <w:vAlign w:val="bottom"/>
          </w:tcPr>
          <w:p>
            <w:pPr>
              <w:spacing w:after="0"/>
              <w:rPr>
                <w:sz w:val="1"/>
                <w:szCs w:val="1"/>
                <w:color w:val="auto"/>
              </w:rPr>
            </w:pPr>
          </w:p>
        </w:tc>
      </w:tr>
      <w:tr>
        <w:trPr>
          <w:trHeight w:val="180"/>
        </w:trPr>
        <w:tc>
          <w:tcPr>
            <w:tcW w:w="80" w:type="dxa"/>
            <w:vAlign w:val="bottom"/>
            <w:shd w:val="clear" w:color="auto" w:fill="E6E7E8"/>
          </w:tcPr>
          <w:p>
            <w:pPr>
              <w:spacing w:after="0"/>
              <w:rPr>
                <w:sz w:val="15"/>
                <w:szCs w:val="15"/>
                <w:color w:val="auto"/>
              </w:rPr>
            </w:pPr>
          </w:p>
        </w:tc>
        <w:tc>
          <w:tcPr>
            <w:tcW w:w="400" w:type="dxa"/>
            <w:vAlign w:val="bottom"/>
            <w:shd w:val="clear" w:color="auto" w:fill="E6E7E8"/>
          </w:tcPr>
          <w:p>
            <w:pPr>
              <w:spacing w:after="0"/>
              <w:rPr>
                <w:sz w:val="15"/>
                <w:szCs w:val="15"/>
                <w:color w:val="auto"/>
              </w:rPr>
            </w:pPr>
          </w:p>
        </w:tc>
        <w:tc>
          <w:tcPr>
            <w:tcW w:w="3960" w:type="dxa"/>
            <w:vAlign w:val="bottom"/>
            <w:shd w:val="clear" w:color="auto" w:fill="E6E7E8"/>
          </w:tcPr>
          <w:p>
            <w:pPr>
              <w:ind w:left="80"/>
              <w:spacing w:after="0"/>
              <w:rPr>
                <w:sz w:val="20"/>
                <w:szCs w:val="20"/>
                <w:color w:val="auto"/>
              </w:rPr>
            </w:pPr>
            <w:r>
              <w:rPr>
                <w:rFonts w:ascii="Arial" w:cs="Arial" w:eastAsia="Arial" w:hAnsi="Arial"/>
                <w:sz w:val="14"/>
                <w:szCs w:val="14"/>
                <w:color w:val="auto"/>
              </w:rPr>
              <w:t>Company is addressing and mitigating those risks;</w:t>
            </w:r>
          </w:p>
        </w:tc>
        <w:tc>
          <w:tcPr>
            <w:tcW w:w="1180" w:type="dxa"/>
            <w:vAlign w:val="bottom"/>
            <w:shd w:val="clear" w:color="auto" w:fill="E6E7E8"/>
          </w:tcPr>
          <w:p>
            <w:pPr>
              <w:spacing w:after="0"/>
              <w:rPr>
                <w:sz w:val="15"/>
                <w:szCs w:val="15"/>
                <w:color w:val="auto"/>
              </w:rPr>
            </w:pPr>
          </w:p>
        </w:tc>
        <w:tc>
          <w:tcPr>
            <w:tcW w:w="5620" w:type="dxa"/>
            <w:vAlign w:val="bottom"/>
            <w:gridSpan w:val="2"/>
            <w:shd w:val="clear" w:color="auto" w:fill="E6E7E8"/>
          </w:tcPr>
          <w:p>
            <w:pPr>
              <w:ind w:left="340"/>
              <w:spacing w:after="0"/>
              <w:rPr>
                <w:sz w:val="20"/>
                <w:szCs w:val="20"/>
                <w:color w:val="auto"/>
              </w:rPr>
            </w:pPr>
            <w:r>
              <w:rPr>
                <w:rFonts w:ascii="Arial" w:cs="Arial" w:eastAsia="Arial" w:hAnsi="Arial"/>
                <w:sz w:val="14"/>
                <w:szCs w:val="14"/>
                <w:color w:val="auto"/>
              </w:rPr>
              <w:t>related to natural disasters and security, including cybersecurity.</w:t>
            </w:r>
          </w:p>
        </w:tc>
        <w:tc>
          <w:tcPr>
            <w:tcW w:w="0" w:type="dxa"/>
            <w:vAlign w:val="bottom"/>
          </w:tcPr>
          <w:p>
            <w:pPr>
              <w:spacing w:after="0"/>
              <w:rPr>
                <w:sz w:val="1"/>
                <w:szCs w:val="1"/>
                <w:color w:val="auto"/>
              </w:rPr>
            </w:pPr>
          </w:p>
        </w:tc>
      </w:tr>
      <w:tr>
        <w:trPr>
          <w:trHeight w:val="144"/>
        </w:trPr>
        <w:tc>
          <w:tcPr>
            <w:tcW w:w="80" w:type="dxa"/>
            <w:vAlign w:val="bottom"/>
            <w:shd w:val="clear" w:color="auto" w:fill="E6E7E8"/>
          </w:tcPr>
          <w:p>
            <w:pPr>
              <w:spacing w:after="0"/>
              <w:rPr>
                <w:sz w:val="12"/>
                <w:szCs w:val="12"/>
                <w:color w:val="auto"/>
              </w:rPr>
            </w:pPr>
          </w:p>
        </w:tc>
        <w:tc>
          <w:tcPr>
            <w:tcW w:w="400" w:type="dxa"/>
            <w:vAlign w:val="bottom"/>
            <w:shd w:val="clear" w:color="auto" w:fill="E6E7E8"/>
          </w:tcPr>
          <w:p>
            <w:pPr>
              <w:ind w:left="220"/>
              <w:spacing w:after="0" w:line="145" w:lineRule="exact"/>
              <w:rPr>
                <w:sz w:val="20"/>
                <w:szCs w:val="20"/>
                <w:color w:val="auto"/>
              </w:rPr>
            </w:pPr>
            <w:r>
              <w:rPr>
                <w:rFonts w:ascii="Arial" w:cs="Arial" w:eastAsia="Arial" w:hAnsi="Arial"/>
                <w:sz w:val="14"/>
                <w:szCs w:val="14"/>
                <w:color w:val="auto"/>
              </w:rPr>
              <w:t>6.</w:t>
            </w:r>
          </w:p>
        </w:tc>
        <w:tc>
          <w:tcPr>
            <w:tcW w:w="5140" w:type="dxa"/>
            <w:vAlign w:val="bottom"/>
            <w:gridSpan w:val="2"/>
            <w:shd w:val="clear" w:color="auto" w:fill="E6E7E8"/>
          </w:tcPr>
          <w:p>
            <w:pPr>
              <w:ind w:left="60"/>
              <w:spacing w:after="0" w:line="145" w:lineRule="exact"/>
              <w:rPr>
                <w:sz w:val="20"/>
                <w:szCs w:val="20"/>
                <w:color w:val="auto"/>
              </w:rPr>
            </w:pPr>
            <w:r>
              <w:rPr>
                <w:rFonts w:ascii="Arial" w:cs="Arial" w:eastAsia="Arial" w:hAnsi="Arial"/>
                <w:sz w:val="14"/>
                <w:szCs w:val="14"/>
                <w:color w:val="auto"/>
              </w:rPr>
              <w:t>from the Company's Chief Ethics and Compliance Officer (CECO) on the</w:t>
            </w:r>
          </w:p>
        </w:tc>
        <w:tc>
          <w:tcPr>
            <w:tcW w:w="2000" w:type="dxa"/>
            <w:vAlign w:val="bottom"/>
            <w:shd w:val="clear" w:color="auto" w:fill="E6E7E8"/>
          </w:tcPr>
          <w:p>
            <w:pPr>
              <w:spacing w:after="0"/>
              <w:rPr>
                <w:sz w:val="12"/>
                <w:szCs w:val="12"/>
                <w:color w:val="auto"/>
              </w:rPr>
            </w:pPr>
          </w:p>
        </w:tc>
        <w:tc>
          <w:tcPr>
            <w:tcW w:w="3620" w:type="dxa"/>
            <w:vAlign w:val="bottom"/>
            <w:shd w:val="clear" w:color="auto" w:fill="E6E7E8"/>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0" w:type="dxa"/>
            <w:vAlign w:val="bottom"/>
            <w:shd w:val="clear" w:color="auto" w:fill="E6E7E8"/>
          </w:tcPr>
          <w:p>
            <w:pPr>
              <w:spacing w:after="0"/>
              <w:rPr>
                <w:sz w:val="16"/>
                <w:szCs w:val="16"/>
                <w:color w:val="auto"/>
              </w:rPr>
            </w:pPr>
          </w:p>
        </w:tc>
        <w:tc>
          <w:tcPr>
            <w:tcW w:w="400" w:type="dxa"/>
            <w:vAlign w:val="bottom"/>
            <w:shd w:val="clear" w:color="auto" w:fill="E6E7E8"/>
          </w:tcPr>
          <w:p>
            <w:pPr>
              <w:spacing w:after="0"/>
              <w:rPr>
                <w:sz w:val="16"/>
                <w:szCs w:val="16"/>
                <w:color w:val="auto"/>
              </w:rPr>
            </w:pPr>
          </w:p>
        </w:tc>
        <w:tc>
          <w:tcPr>
            <w:tcW w:w="3960" w:type="dxa"/>
            <w:vAlign w:val="bottom"/>
            <w:shd w:val="clear" w:color="auto" w:fill="E6E7E8"/>
          </w:tcPr>
          <w:p>
            <w:pPr>
              <w:ind w:left="80"/>
              <w:spacing w:after="0"/>
              <w:rPr>
                <w:sz w:val="20"/>
                <w:szCs w:val="20"/>
                <w:color w:val="auto"/>
              </w:rPr>
            </w:pPr>
            <w:r>
              <w:rPr>
                <w:rFonts w:ascii="Arial" w:cs="Arial" w:eastAsia="Arial" w:hAnsi="Arial"/>
                <w:sz w:val="14"/>
                <w:szCs w:val="14"/>
                <w:color w:val="auto"/>
              </w:rPr>
              <w:t>Company’s global compliance program overall;</w:t>
            </w:r>
          </w:p>
        </w:tc>
        <w:tc>
          <w:tcPr>
            <w:tcW w:w="1180" w:type="dxa"/>
            <w:vAlign w:val="bottom"/>
            <w:shd w:val="clear" w:color="auto" w:fill="E6E7E8"/>
          </w:tcPr>
          <w:p>
            <w:pPr>
              <w:spacing w:after="0"/>
              <w:rPr>
                <w:sz w:val="16"/>
                <w:szCs w:val="16"/>
                <w:color w:val="auto"/>
              </w:rPr>
            </w:pPr>
          </w:p>
        </w:tc>
        <w:tc>
          <w:tcPr>
            <w:tcW w:w="2000" w:type="dxa"/>
            <w:vAlign w:val="bottom"/>
            <w:shd w:val="clear" w:color="auto" w:fill="E6E7E8"/>
          </w:tcPr>
          <w:p>
            <w:pPr>
              <w:spacing w:after="0"/>
              <w:rPr>
                <w:sz w:val="16"/>
                <w:szCs w:val="16"/>
                <w:color w:val="auto"/>
              </w:rPr>
            </w:pPr>
          </w:p>
        </w:tc>
        <w:tc>
          <w:tcPr>
            <w:tcW w:w="3620" w:type="dxa"/>
            <w:vAlign w:val="bottom"/>
            <w:shd w:val="clear" w:color="auto" w:fill="E6E7E8"/>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80" w:type="dxa"/>
            <w:vAlign w:val="bottom"/>
            <w:shd w:val="clear" w:color="auto" w:fill="E6E7E8"/>
          </w:tcPr>
          <w:p>
            <w:pPr>
              <w:spacing w:after="0"/>
              <w:rPr>
                <w:sz w:val="8"/>
                <w:szCs w:val="8"/>
                <w:color w:val="auto"/>
              </w:rPr>
            </w:pPr>
          </w:p>
        </w:tc>
        <w:tc>
          <w:tcPr>
            <w:tcW w:w="4360" w:type="dxa"/>
            <w:vAlign w:val="bottom"/>
            <w:gridSpan w:val="2"/>
            <w:shd w:val="clear" w:color="auto" w:fill="E6E7E8"/>
          </w:tcPr>
          <w:p>
            <w:pPr>
              <w:spacing w:after="0"/>
              <w:rPr>
                <w:sz w:val="8"/>
                <w:szCs w:val="8"/>
                <w:color w:val="auto"/>
              </w:rPr>
            </w:pPr>
          </w:p>
        </w:tc>
        <w:tc>
          <w:tcPr>
            <w:tcW w:w="1180" w:type="dxa"/>
            <w:vAlign w:val="bottom"/>
            <w:shd w:val="clear" w:color="auto" w:fill="E6E7E8"/>
          </w:tcPr>
          <w:p>
            <w:pPr>
              <w:spacing w:after="0"/>
              <w:rPr>
                <w:sz w:val="8"/>
                <w:szCs w:val="8"/>
                <w:color w:val="auto"/>
              </w:rPr>
            </w:pPr>
          </w:p>
        </w:tc>
        <w:tc>
          <w:tcPr>
            <w:tcW w:w="2000" w:type="dxa"/>
            <w:vAlign w:val="bottom"/>
            <w:shd w:val="clear" w:color="auto" w:fill="E6E7E8"/>
          </w:tcPr>
          <w:p>
            <w:pPr>
              <w:spacing w:after="0"/>
              <w:rPr>
                <w:sz w:val="8"/>
                <w:szCs w:val="8"/>
                <w:color w:val="auto"/>
              </w:rPr>
            </w:pPr>
          </w:p>
        </w:tc>
        <w:tc>
          <w:tcPr>
            <w:tcW w:w="3620" w:type="dxa"/>
            <w:vAlign w:val="bottom"/>
            <w:shd w:val="clear" w:color="auto" w:fill="E6E7E8"/>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4360" w:type="dxa"/>
            <w:vAlign w:val="bottom"/>
            <w:gridSpan w:val="2"/>
          </w:tcPr>
          <w:p>
            <w:pPr>
              <w:ind w:left="200"/>
              <w:spacing w:after="0"/>
              <w:rPr>
                <w:sz w:val="20"/>
                <w:szCs w:val="20"/>
                <w:color w:val="auto"/>
              </w:rPr>
            </w:pPr>
            <w:r>
              <w:rPr>
                <w:rFonts w:ascii="Arial" w:cs="Arial" w:eastAsia="Arial" w:hAnsi="Arial"/>
                <w:sz w:val="15"/>
                <w:szCs w:val="15"/>
                <w:b w:val="1"/>
                <w:bCs w:val="1"/>
                <w:color w:val="auto"/>
              </w:rPr>
              <w:t>COMPENSATION AND HUMAN CAPITAL</w:t>
            </w:r>
          </w:p>
        </w:tc>
        <w:tc>
          <w:tcPr>
            <w:tcW w:w="318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POLICY COMMITTEE</w:t>
            </w:r>
          </w:p>
        </w:tc>
        <w:tc>
          <w:tcPr>
            <w:tcW w:w="3620" w:type="dxa"/>
            <w:vAlign w:val="bottom"/>
          </w:tcPr>
          <w:p>
            <w:pPr>
              <w:jc w:val="center"/>
              <w:spacing w:after="0"/>
              <w:rPr>
                <w:sz w:val="20"/>
                <w:szCs w:val="20"/>
                <w:color w:val="auto"/>
              </w:rPr>
            </w:pPr>
            <w:r>
              <w:rPr>
                <w:rFonts w:ascii="Arial" w:cs="Arial" w:eastAsia="Arial" w:hAnsi="Arial"/>
                <w:sz w:val="15"/>
                <w:szCs w:val="15"/>
                <w:b w:val="1"/>
                <w:bCs w:val="1"/>
                <w:color w:val="auto"/>
              </w:rPr>
              <w:t>NOMINATING AND CORPORATE</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960" w:type="dxa"/>
            <w:vAlign w:val="bottom"/>
            <w:vMerge w:val="restart"/>
          </w:tcPr>
          <w:p>
            <w:pPr>
              <w:ind w:left="800"/>
              <w:spacing w:after="0"/>
              <w:rPr>
                <w:sz w:val="20"/>
                <w:szCs w:val="20"/>
                <w:color w:val="auto"/>
              </w:rPr>
            </w:pPr>
            <w:r>
              <w:rPr>
                <w:rFonts w:ascii="Arial" w:cs="Arial" w:eastAsia="Arial" w:hAnsi="Arial"/>
                <w:sz w:val="15"/>
                <w:szCs w:val="15"/>
                <w:b w:val="1"/>
                <w:bCs w:val="1"/>
                <w:color w:val="auto"/>
              </w:rPr>
              <w:t>COMMITTEE</w:t>
            </w:r>
          </w:p>
        </w:tc>
        <w:tc>
          <w:tcPr>
            <w:tcW w:w="3180" w:type="dxa"/>
            <w:vAlign w:val="bottom"/>
            <w:gridSpan w:val="2"/>
            <w:vMerge w:val="continue"/>
          </w:tcPr>
          <w:p>
            <w:pPr>
              <w:spacing w:after="0"/>
              <w:rPr>
                <w:sz w:val="10"/>
                <w:szCs w:val="10"/>
                <w:color w:val="auto"/>
              </w:rPr>
            </w:pPr>
          </w:p>
        </w:tc>
        <w:tc>
          <w:tcPr>
            <w:tcW w:w="362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GOVERNANCE COMMITTEE</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96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3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2344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178" w:lineRule="exact"/>
        <w:rPr>
          <w:sz w:val="20"/>
          <w:szCs w:val="20"/>
          <w:color w:val="auto"/>
        </w:rPr>
      </w:pPr>
    </w:p>
    <w:p>
      <w:pPr>
        <w:jc w:val="both"/>
        <w:ind w:left="300" w:right="40" w:hanging="193"/>
        <w:spacing w:after="0" w:line="224" w:lineRule="auto"/>
        <w:tabs>
          <w:tab w:leader="none" w:pos="257" w:val="left"/>
        </w:tabs>
        <w:numPr>
          <w:ilvl w:val="0"/>
          <w:numId w:val="65"/>
        </w:numPr>
        <w:rPr>
          <w:rFonts w:ascii="Arial" w:cs="Arial" w:eastAsia="Arial" w:hAnsi="Arial"/>
          <w:sz w:val="16"/>
          <w:szCs w:val="16"/>
          <w:color w:val="29378D"/>
        </w:rPr>
      </w:pPr>
      <w:r>
        <w:rPr>
          <w:rFonts w:ascii="Arial" w:cs="Arial" w:eastAsia="Arial" w:hAnsi="Arial"/>
          <w:sz w:val="14"/>
          <w:szCs w:val="14"/>
          <w:color w:val="auto"/>
        </w:rPr>
        <w:t>Oversees management of human capital risk, including talent management, diversity, equity and inclusion, and engagement.</w:t>
      </w:r>
    </w:p>
    <w:p>
      <w:pPr>
        <w:spacing w:after="0" w:line="13" w:lineRule="exact"/>
        <w:rPr>
          <w:rFonts w:ascii="Arial" w:cs="Arial" w:eastAsia="Arial" w:hAnsi="Arial"/>
          <w:sz w:val="16"/>
          <w:szCs w:val="16"/>
          <w:color w:val="29378D"/>
        </w:rPr>
      </w:pPr>
    </w:p>
    <w:p>
      <w:pPr>
        <w:ind w:left="300" w:hanging="193"/>
        <w:spacing w:after="0" w:line="223" w:lineRule="auto"/>
        <w:tabs>
          <w:tab w:leader="none" w:pos="257" w:val="left"/>
        </w:tabs>
        <w:numPr>
          <w:ilvl w:val="0"/>
          <w:numId w:val="65"/>
        </w:numPr>
        <w:rPr>
          <w:rFonts w:ascii="Arial" w:cs="Arial" w:eastAsia="Arial" w:hAnsi="Arial"/>
          <w:sz w:val="16"/>
          <w:szCs w:val="16"/>
          <w:color w:val="29378D"/>
        </w:rPr>
      </w:pPr>
      <w:r>
        <w:rPr>
          <w:rFonts w:ascii="Arial" w:cs="Arial" w:eastAsia="Arial" w:hAnsi="Arial"/>
          <w:sz w:val="14"/>
          <w:szCs w:val="14"/>
          <w:color w:val="auto"/>
        </w:rPr>
        <w:t>Reviews at least annually a risk assessment of the Company’s compensation programs and, together with its independent compensation consultant, evaluates the mix of at-risk compensation linked to stock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674370</wp:posOffset>
            </wp:positionV>
            <wp:extent cx="51435" cy="603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60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204" w:hanging="204"/>
        <w:spacing w:after="0" w:line="223" w:lineRule="auto"/>
        <w:tabs>
          <w:tab w:leader="none" w:pos="161" w:val="left"/>
        </w:tabs>
        <w:numPr>
          <w:ilvl w:val="0"/>
          <w:numId w:val="66"/>
        </w:numPr>
        <w:rPr>
          <w:rFonts w:ascii="Arial" w:cs="Arial" w:eastAsia="Arial" w:hAnsi="Arial"/>
          <w:sz w:val="16"/>
          <w:szCs w:val="16"/>
          <w:color w:val="29378D"/>
        </w:rPr>
      </w:pPr>
      <w:r>
        <w:rPr>
          <w:rFonts w:ascii="Arial" w:cs="Arial" w:eastAsia="Arial" w:hAnsi="Arial"/>
          <w:sz w:val="14"/>
          <w:szCs w:val="14"/>
          <w:color w:val="auto"/>
        </w:rPr>
        <w:t>Assists the Board in identifying and considering geopolitical risks, including global security, political, budgetary, technological and other similar issues and trends that could significantly impact the Company’s business.</w:t>
      </w:r>
    </w:p>
    <w:p>
      <w:pPr>
        <w:spacing w:after="0" w:line="2" w:lineRule="exact"/>
        <w:rPr>
          <w:rFonts w:ascii="Arial" w:cs="Arial" w:eastAsia="Arial" w:hAnsi="Arial"/>
          <w:sz w:val="16"/>
          <w:szCs w:val="16"/>
          <w:color w:val="29378D"/>
        </w:rPr>
      </w:pPr>
    </w:p>
    <w:p>
      <w:pPr>
        <w:ind w:left="204" w:right="220" w:hanging="204"/>
        <w:spacing w:after="0" w:line="230" w:lineRule="auto"/>
        <w:tabs>
          <w:tab w:leader="none" w:pos="161" w:val="left"/>
        </w:tabs>
        <w:numPr>
          <w:ilvl w:val="0"/>
          <w:numId w:val="66"/>
        </w:numPr>
        <w:rPr>
          <w:rFonts w:ascii="Arial" w:cs="Arial" w:eastAsia="Arial" w:hAnsi="Arial"/>
          <w:sz w:val="16"/>
          <w:szCs w:val="16"/>
          <w:color w:val="29378D"/>
        </w:rPr>
      </w:pPr>
      <w:r>
        <w:rPr>
          <w:rFonts w:ascii="Arial" w:cs="Arial" w:eastAsia="Arial" w:hAnsi="Arial"/>
          <w:sz w:val="14"/>
          <w:szCs w:val="14"/>
          <w:color w:val="auto"/>
        </w:rPr>
        <w:t>Reviews the Company’s external relations and provides oversight over the Company’s policies and programs for ethics and corporate social responsibility.</w:t>
      </w:r>
    </w:p>
    <w:p>
      <w:pPr>
        <w:spacing w:after="0" w:line="1" w:lineRule="exact"/>
        <w:rPr>
          <w:rFonts w:ascii="Arial" w:cs="Arial" w:eastAsia="Arial" w:hAnsi="Arial"/>
          <w:sz w:val="16"/>
          <w:szCs w:val="16"/>
          <w:color w:val="29378D"/>
        </w:rPr>
      </w:pPr>
    </w:p>
    <w:p>
      <w:pPr>
        <w:ind w:left="204" w:right="220" w:hanging="204"/>
        <w:spacing w:after="0" w:line="228" w:lineRule="auto"/>
        <w:tabs>
          <w:tab w:leader="none" w:pos="161" w:val="left"/>
        </w:tabs>
        <w:numPr>
          <w:ilvl w:val="0"/>
          <w:numId w:val="66"/>
        </w:numPr>
        <w:rPr>
          <w:rFonts w:ascii="Arial" w:cs="Arial" w:eastAsia="Arial" w:hAnsi="Arial"/>
          <w:sz w:val="16"/>
          <w:szCs w:val="16"/>
          <w:color w:val="29378D"/>
        </w:rPr>
      </w:pPr>
      <w:r>
        <w:rPr>
          <w:rFonts w:ascii="Arial" w:cs="Arial" w:eastAsia="Arial" w:hAnsi="Arial"/>
          <w:sz w:val="14"/>
          <w:szCs w:val="14"/>
          <w:color w:val="auto"/>
        </w:rPr>
        <w:t>Reviews and oversees the Company’s commitment to environmental sustainability, climate change, health and safety and human rights, including review of the Sustainability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365760</wp:posOffset>
            </wp:positionV>
            <wp:extent cx="7020560" cy="603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020560" cy="6032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116840</wp:posOffset>
            </wp:positionV>
            <wp:extent cx="180340"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8034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192" w:right="460" w:hanging="192"/>
        <w:spacing w:after="0" w:line="224" w:lineRule="auto"/>
        <w:tabs>
          <w:tab w:leader="none" w:pos="149" w:val="left"/>
        </w:tabs>
        <w:numPr>
          <w:ilvl w:val="0"/>
          <w:numId w:val="67"/>
        </w:numPr>
        <w:rPr>
          <w:rFonts w:ascii="Arial" w:cs="Arial" w:eastAsia="Arial" w:hAnsi="Arial"/>
          <w:sz w:val="16"/>
          <w:szCs w:val="16"/>
          <w:color w:val="29378D"/>
        </w:rPr>
      </w:pPr>
      <w:r>
        <w:rPr>
          <w:rFonts w:ascii="Arial" w:cs="Arial" w:eastAsia="Arial" w:hAnsi="Arial"/>
          <w:sz w:val="14"/>
          <w:szCs w:val="14"/>
          <w:color w:val="auto"/>
        </w:rPr>
        <w:t>Oversees and reviews the Company’s management of its governance-related risks, including risks related to corporate culture.</w:t>
      </w:r>
    </w:p>
    <w:p>
      <w:pPr>
        <w:spacing w:after="0" w:line="13" w:lineRule="exact"/>
        <w:rPr>
          <w:rFonts w:ascii="Arial" w:cs="Arial" w:eastAsia="Arial" w:hAnsi="Arial"/>
          <w:sz w:val="16"/>
          <w:szCs w:val="16"/>
          <w:color w:val="29378D"/>
        </w:rPr>
      </w:pPr>
    </w:p>
    <w:p>
      <w:pPr>
        <w:ind w:left="192" w:right="400" w:hanging="192"/>
        <w:spacing w:after="0" w:line="219" w:lineRule="auto"/>
        <w:tabs>
          <w:tab w:leader="none" w:pos="149" w:val="left"/>
        </w:tabs>
        <w:numPr>
          <w:ilvl w:val="0"/>
          <w:numId w:val="67"/>
        </w:numPr>
        <w:rPr>
          <w:rFonts w:ascii="Arial" w:cs="Arial" w:eastAsia="Arial" w:hAnsi="Arial"/>
          <w:sz w:val="16"/>
          <w:szCs w:val="16"/>
          <w:color w:val="29378D"/>
        </w:rPr>
      </w:pPr>
      <w:r>
        <w:rPr>
          <w:rFonts w:ascii="Arial" w:cs="Arial" w:eastAsia="Arial" w:hAnsi="Arial"/>
          <w:sz w:val="14"/>
          <w:szCs w:val="14"/>
          <w:color w:val="auto"/>
        </w:rPr>
        <w:t>Regularly reviews the Company’s policies and practices on issues of corporate governance, and considers issues of succession and composition of the Board, recommending proposed changes to the full Board for approval.</w:t>
      </w:r>
    </w:p>
    <w:p>
      <w:pPr>
        <w:spacing w:after="0" w:line="15" w:lineRule="exact"/>
        <w:rPr>
          <w:rFonts w:ascii="Arial" w:cs="Arial" w:eastAsia="Arial" w:hAnsi="Arial"/>
          <w:sz w:val="16"/>
          <w:szCs w:val="16"/>
          <w:color w:val="29378D"/>
        </w:rPr>
      </w:pPr>
    </w:p>
    <w:p>
      <w:pPr>
        <w:ind w:left="192" w:right="480" w:hanging="192"/>
        <w:spacing w:after="0" w:line="235" w:lineRule="auto"/>
        <w:tabs>
          <w:tab w:leader="none" w:pos="149" w:val="left"/>
        </w:tabs>
        <w:numPr>
          <w:ilvl w:val="0"/>
          <w:numId w:val="67"/>
        </w:numPr>
        <w:rPr>
          <w:rFonts w:ascii="Arial" w:cs="Arial" w:eastAsia="Arial" w:hAnsi="Arial"/>
          <w:sz w:val="16"/>
          <w:szCs w:val="16"/>
          <w:color w:val="29378D"/>
        </w:rPr>
      </w:pPr>
      <w:r>
        <w:rPr>
          <w:rFonts w:ascii="Arial" w:cs="Arial" w:eastAsia="Arial" w:hAnsi="Arial"/>
          <w:sz w:val="14"/>
          <w:szCs w:val="14"/>
          <w:color w:val="auto"/>
        </w:rPr>
        <w:t>Oversees the roles and responsibilities of the Committees and Committee assignments.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365760</wp:posOffset>
            </wp:positionV>
            <wp:extent cx="59690" cy="603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690" cy="603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240" w:space="296"/>
            <w:col w:w="3964" w:space="248"/>
            <w:col w:w="3492"/>
          </w:cols>
          <w:pgMar w:left="320" w:top="238" w:right="3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5"/>
          <w:szCs w:val="15"/>
          <w:b w:val="1"/>
          <w:bCs w:val="1"/>
          <w:color w:val="auto"/>
        </w:rPr>
        <w:t>ENTERPRISE RISK MANAGEMENT COUNCIL (ERMC)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1576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157605"/>
                    </a:xfrm>
                    <a:prstGeom prst="rect">
                      <a:avLst/>
                    </a:prstGeom>
                    <a:noFill/>
                  </pic:spPr>
                </pic:pic>
              </a:graphicData>
            </a:graphic>
          </wp:anchor>
        </w:drawing>
      </w:r>
    </w:p>
    <w:p>
      <w:pPr>
        <w:spacing w:after="0" w:line="182" w:lineRule="exact"/>
        <w:rPr>
          <w:sz w:val="20"/>
          <w:szCs w:val="20"/>
          <w:color w:val="auto"/>
        </w:rPr>
      </w:pPr>
    </w:p>
    <w:p>
      <w:pPr>
        <w:ind w:left="260" w:hanging="153"/>
        <w:spacing w:after="0"/>
        <w:tabs>
          <w:tab w:leader="none" w:pos="260" w:val="left"/>
        </w:tabs>
        <w:numPr>
          <w:ilvl w:val="0"/>
          <w:numId w:val="68"/>
        </w:numPr>
        <w:rPr>
          <w:rFonts w:ascii="Arial" w:cs="Arial" w:eastAsia="Arial" w:hAnsi="Arial"/>
          <w:sz w:val="16"/>
          <w:szCs w:val="16"/>
          <w:color w:val="29378D"/>
        </w:rPr>
      </w:pPr>
      <w:r>
        <w:rPr>
          <w:rFonts w:ascii="Arial" w:cs="Arial" w:eastAsia="Arial" w:hAnsi="Arial"/>
          <w:sz w:val="14"/>
          <w:szCs w:val="14"/>
          <w:color w:val="auto"/>
        </w:rPr>
        <w:t>Seeks to ensure that the Company has identified significant risks and implemented effective mitigation plans for each risk.</w:t>
      </w:r>
    </w:p>
    <w:p>
      <w:pPr>
        <w:spacing w:after="0" w:line="12" w:lineRule="exact"/>
        <w:rPr>
          <w:rFonts w:ascii="Arial" w:cs="Arial" w:eastAsia="Arial" w:hAnsi="Arial"/>
          <w:sz w:val="16"/>
          <w:szCs w:val="16"/>
          <w:color w:val="29378D"/>
        </w:rPr>
      </w:pPr>
    </w:p>
    <w:p>
      <w:pPr>
        <w:ind w:left="300" w:right="600" w:hanging="193"/>
        <w:spacing w:after="0" w:line="230" w:lineRule="auto"/>
        <w:tabs>
          <w:tab w:leader="none" w:pos="257" w:val="left"/>
        </w:tabs>
        <w:numPr>
          <w:ilvl w:val="0"/>
          <w:numId w:val="68"/>
        </w:numPr>
        <w:rPr>
          <w:rFonts w:ascii="Arial" w:cs="Arial" w:eastAsia="Arial" w:hAnsi="Arial"/>
          <w:sz w:val="16"/>
          <w:szCs w:val="16"/>
          <w:color w:val="29378D"/>
        </w:rPr>
      </w:pPr>
      <w:r>
        <w:rPr>
          <w:rFonts w:ascii="Arial" w:cs="Arial" w:eastAsia="Arial" w:hAnsi="Arial"/>
          <w:sz w:val="14"/>
          <w:szCs w:val="14"/>
          <w:color w:val="auto"/>
        </w:rPr>
        <w:t>Comprised of all members of the Executive Leadership Team, as well as the Chief Accounting Officer, CECO, Corporate Secretary, Chief Sustainability Officer, Vice President, Internal Audit and Treasurer.</w:t>
      </w:r>
    </w:p>
    <w:p>
      <w:pPr>
        <w:spacing w:after="0" w:line="13" w:lineRule="exact"/>
        <w:rPr>
          <w:rFonts w:ascii="Arial" w:cs="Arial" w:eastAsia="Arial" w:hAnsi="Arial"/>
          <w:sz w:val="16"/>
          <w:szCs w:val="16"/>
          <w:color w:val="29378D"/>
        </w:rPr>
      </w:pPr>
    </w:p>
    <w:p>
      <w:pPr>
        <w:ind w:left="260" w:hanging="153"/>
        <w:spacing w:after="0"/>
        <w:tabs>
          <w:tab w:leader="none" w:pos="260" w:val="left"/>
        </w:tabs>
        <w:numPr>
          <w:ilvl w:val="0"/>
          <w:numId w:val="68"/>
        </w:numPr>
        <w:rPr>
          <w:rFonts w:ascii="Arial" w:cs="Arial" w:eastAsia="Arial" w:hAnsi="Arial"/>
          <w:sz w:val="16"/>
          <w:szCs w:val="16"/>
          <w:color w:val="29378D"/>
        </w:rPr>
      </w:pPr>
      <w:r>
        <w:rPr>
          <w:rFonts w:ascii="Arial" w:cs="Arial" w:eastAsia="Arial" w:hAnsi="Arial"/>
          <w:sz w:val="14"/>
          <w:szCs w:val="14"/>
          <w:color w:val="auto"/>
        </w:rPr>
        <w:t>Meets at least twice each year to oversee, review and ensure effective management of enterprise risks.</w:t>
      </w:r>
    </w:p>
    <w:p>
      <w:pPr>
        <w:spacing w:after="0" w:line="12" w:lineRule="exact"/>
        <w:rPr>
          <w:rFonts w:ascii="Arial" w:cs="Arial" w:eastAsia="Arial" w:hAnsi="Arial"/>
          <w:sz w:val="16"/>
          <w:szCs w:val="16"/>
          <w:color w:val="29378D"/>
        </w:rPr>
      </w:pPr>
    </w:p>
    <w:p>
      <w:pPr>
        <w:ind w:left="300" w:right="780" w:hanging="193"/>
        <w:spacing w:after="0" w:line="230" w:lineRule="auto"/>
        <w:tabs>
          <w:tab w:leader="none" w:pos="257" w:val="left"/>
        </w:tabs>
        <w:numPr>
          <w:ilvl w:val="0"/>
          <w:numId w:val="68"/>
        </w:numPr>
        <w:rPr>
          <w:rFonts w:ascii="Arial" w:cs="Arial" w:eastAsia="Arial" w:hAnsi="Arial"/>
          <w:sz w:val="16"/>
          <w:szCs w:val="16"/>
          <w:color w:val="29378D"/>
        </w:rPr>
      </w:pPr>
      <w:r>
        <w:rPr>
          <w:rFonts w:ascii="Arial" w:cs="Arial" w:eastAsia="Arial" w:hAnsi="Arial"/>
          <w:sz w:val="14"/>
          <w:szCs w:val="14"/>
          <w:color w:val="auto"/>
        </w:rPr>
        <w:t>Receives updates from management lead at each meeting, with particular focus on any significant changes in the risk profile or necessary mitigations; discusses changes in the environment and potential new and emerging risks; takes actions to address; ensures any material changes to risks are reflected in SEC filings.</w:t>
      </w:r>
    </w:p>
    <w:p>
      <w:pPr>
        <w:spacing w:after="0" w:line="13" w:lineRule="exact"/>
        <w:rPr>
          <w:rFonts w:ascii="Arial" w:cs="Arial" w:eastAsia="Arial" w:hAnsi="Arial"/>
          <w:sz w:val="16"/>
          <w:szCs w:val="16"/>
          <w:color w:val="29378D"/>
        </w:rPr>
      </w:pPr>
    </w:p>
    <w:p>
      <w:pPr>
        <w:ind w:left="260" w:hanging="153"/>
        <w:spacing w:after="0"/>
        <w:tabs>
          <w:tab w:leader="none" w:pos="260" w:val="left"/>
        </w:tabs>
        <w:numPr>
          <w:ilvl w:val="0"/>
          <w:numId w:val="68"/>
        </w:numPr>
        <w:rPr>
          <w:rFonts w:ascii="Arial" w:cs="Arial" w:eastAsia="Arial" w:hAnsi="Arial"/>
          <w:sz w:val="16"/>
          <w:szCs w:val="16"/>
          <w:color w:val="29378D"/>
        </w:rPr>
      </w:pPr>
      <w:r>
        <w:rPr>
          <w:rFonts w:ascii="Arial" w:cs="Arial" w:eastAsia="Arial" w:hAnsi="Arial"/>
          <w:sz w:val="14"/>
          <w:szCs w:val="14"/>
          <w:color w:val="auto"/>
        </w:rPr>
        <w:t>The Chief Information Officer, Chief Technology Officer and Vice President, Supply Chain also attend each ERMC meeting.</w:t>
      </w:r>
    </w:p>
    <w:p>
      <w:pPr>
        <w:spacing w:after="0" w:line="12" w:lineRule="exact"/>
        <w:rPr>
          <w:rFonts w:ascii="Arial" w:cs="Arial" w:eastAsia="Arial" w:hAnsi="Arial"/>
          <w:sz w:val="16"/>
          <w:szCs w:val="16"/>
          <w:color w:val="29378D"/>
        </w:rPr>
      </w:pPr>
    </w:p>
    <w:p>
      <w:pPr>
        <w:ind w:left="300" w:right="380" w:hanging="193"/>
        <w:spacing w:after="0" w:line="230" w:lineRule="auto"/>
        <w:tabs>
          <w:tab w:leader="none" w:pos="257" w:val="left"/>
        </w:tabs>
        <w:numPr>
          <w:ilvl w:val="0"/>
          <w:numId w:val="68"/>
        </w:numPr>
        <w:rPr>
          <w:rFonts w:ascii="Arial" w:cs="Arial" w:eastAsia="Arial" w:hAnsi="Arial"/>
          <w:sz w:val="16"/>
          <w:szCs w:val="16"/>
          <w:color w:val="29378D"/>
        </w:rPr>
      </w:pPr>
      <w:r>
        <w:rPr>
          <w:rFonts w:ascii="Arial" w:cs="Arial" w:eastAsia="Arial" w:hAnsi="Arial"/>
          <w:sz w:val="14"/>
          <w:szCs w:val="14"/>
          <w:color w:val="auto"/>
        </w:rPr>
        <w:t>The General Counsel, Chief Financial Officer and Corporate Vice President, Global Operations provide an update at least annually to the Audit and Risk Committee on the deliberations of the ERMC and significant areas of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31115</wp:posOffset>
            </wp:positionV>
            <wp:extent cx="7080885"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08088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0" w:hanging="494"/>
        <w:spacing w:after="0"/>
        <w:tabs>
          <w:tab w:leader="none" w:pos="520" w:val="left"/>
        </w:tabs>
        <w:numPr>
          <w:ilvl w:val="0"/>
          <w:numId w:val="69"/>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Leadership Structure</w:t>
      </w:r>
    </w:p>
    <w:p>
      <w:pPr>
        <w:spacing w:after="0" w:line="308"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Chair of the Board</w:t>
      </w:r>
    </w:p>
    <w:p>
      <w:pPr>
        <w:spacing w:after="0" w:line="123" w:lineRule="exact"/>
        <w:rPr>
          <w:sz w:val="20"/>
          <w:szCs w:val="20"/>
          <w:color w:val="auto"/>
        </w:rPr>
      </w:pPr>
    </w:p>
    <w:p>
      <w:pPr>
        <w:ind w:right="400"/>
        <w:spacing w:after="0" w:line="265" w:lineRule="auto"/>
        <w:rPr>
          <w:sz w:val="20"/>
          <w:szCs w:val="20"/>
          <w:color w:val="auto"/>
        </w:rPr>
      </w:pPr>
      <w:r>
        <w:rPr>
          <w:rFonts w:ascii="Arial" w:cs="Arial" w:eastAsia="Arial" w:hAnsi="Arial"/>
          <w:sz w:val="16"/>
          <w:szCs w:val="16"/>
          <w:color w:val="auto"/>
        </w:rPr>
        <w:t>Our Bylaws provide that our directors will designate a Chair of the Board from among its members. The Chair presides at all Board and shareholder meetings. The Chair interacts directly with all members of the Board and assists the Board to fulfill its responsibilities, including those related to risk oversight. As the Principles of Corporate Governance provide, the Board believes it is in the best interests of the Company and the shareholders for the Board to have flexibility to determine the best director to serve as Chair of the Board at the time, based on consideration of all relevant factors.</w:t>
      </w:r>
    </w:p>
    <w:p>
      <w:pPr>
        <w:spacing w:after="0" w:line="6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At least once every year, the Board considers who will best serve as Chair and whether that person should be an independent director given the environment and needs of the Company. The Board has concluded that having Ms. Warden, our Chief Executive Officer, serve as Chair is the most appropriate leadership structure for the Company at this time, and best positions the Company to be innovative, compete successfully, present one face to our customers and advance shareholder interests in today’s environment. The Board believes that Ms. Warden’s years of experience and her deep understanding of the Company’s business, day-to-day operations, growth opportunities, challenges and risk management practices gained through various leadership positions enable her to provide strong and effective leadership to the Board and to ensure that the Board is informed of important issues facing the Company. The Board consists entirely of independent directors, other than Ms. Warden, and continues to exercise a strong, independent oversight function, with fully independent Board Committees and a strong Lead Independent Director with clearly articulated responsibilities. The Board will continue to review and discuss the leadership structure of the Board and determine the leadership structure, including the Chair, that best meets the needs of the Company.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Lead Independent Director</w:t>
      </w:r>
    </w:p>
    <w:p>
      <w:pPr>
        <w:spacing w:after="0" w:line="123"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If the Chair is not independent, the independent directors will designate annually from among them a Lead Independent Director. Following our 2023 Annual Meeting, the independent directors designated Ms. Kleiner as Lead Independent Director.</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Our Principles of Corporate Governance set forth specific duties and responsibilities of the Lead Independent Director, which include the following:</w:t>
      </w:r>
    </w:p>
    <w:p>
      <w:pPr>
        <w:spacing w:after="0" w:line="113" w:lineRule="exact"/>
        <w:rPr>
          <w:sz w:val="20"/>
          <w:szCs w:val="20"/>
          <w:color w:val="auto"/>
        </w:rPr>
      </w:pPr>
    </w:p>
    <w:p>
      <w:pPr>
        <w:ind w:left="200" w:right="200" w:hanging="192"/>
        <w:spacing w:after="0" w:line="275" w:lineRule="auto"/>
        <w:tabs>
          <w:tab w:leader="none" w:pos="143"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authority to call, establish the agenda and review all the materials for, and chair all meetings of the Independent Directors, including executive sessions regularly scheduled at each full Board meeting, and special sessions of Independent Directors called in case of crisis or matters requiring their separate consideration or decision;</w:t>
      </w:r>
    </w:p>
    <w:p>
      <w:pPr>
        <w:spacing w:after="0" w:line="29" w:lineRule="exact"/>
        <w:rPr>
          <w:rFonts w:ascii="Arial" w:cs="Arial" w:eastAsia="Arial" w:hAnsi="Arial"/>
          <w:sz w:val="16"/>
          <w:szCs w:val="16"/>
          <w:b w:val="1"/>
          <w:bCs w:val="1"/>
          <w:color w:val="29378D"/>
        </w:rPr>
      </w:pPr>
    </w:p>
    <w:p>
      <w:pPr>
        <w:ind w:left="140" w:hanging="132"/>
        <w:spacing w:after="0"/>
        <w:tabs>
          <w:tab w:leader="none" w:pos="140"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chair all other meetings of the Board at which the Chair is not present;</w:t>
      </w:r>
    </w:p>
    <w:p>
      <w:pPr>
        <w:spacing w:after="0" w:line="86" w:lineRule="exact"/>
        <w:rPr>
          <w:rFonts w:ascii="Arial" w:cs="Arial" w:eastAsia="Arial" w:hAnsi="Arial"/>
          <w:sz w:val="16"/>
          <w:szCs w:val="16"/>
          <w:b w:val="1"/>
          <w:bCs w:val="1"/>
          <w:color w:val="29378D"/>
        </w:rPr>
      </w:pPr>
    </w:p>
    <w:p>
      <w:pPr>
        <w:ind w:left="200" w:right="60" w:hanging="192"/>
        <w:spacing w:after="0" w:line="265" w:lineRule="auto"/>
        <w:tabs>
          <w:tab w:leader="none" w:pos="143"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regularly meet with the Chair to provide independent oversight, as well as guidance and requests from Independent Directors; to review the agenda for upcoming Board and committee meetings, and materials provided to Directors; to review the results of recently held Board meetings and to agree to next steps; to advise the Chair on decisions made by the Independent Directors in executive session and ensure implementation; and to consult with the Chair more broadly to help ensure the Board’s effective exercise of governance, risk and oversight responsibilities;</w:t>
      </w:r>
    </w:p>
    <w:p>
      <w:pPr>
        <w:spacing w:after="0" w:line="37" w:lineRule="exact"/>
        <w:rPr>
          <w:rFonts w:ascii="Arial" w:cs="Arial" w:eastAsia="Arial" w:hAnsi="Arial"/>
          <w:sz w:val="16"/>
          <w:szCs w:val="16"/>
          <w:b w:val="1"/>
          <w:bCs w:val="1"/>
          <w:color w:val="29378D"/>
        </w:rPr>
      </w:pPr>
    </w:p>
    <w:p>
      <w:pPr>
        <w:ind w:left="200" w:right="160" w:hanging="192"/>
        <w:spacing w:after="0" w:line="286" w:lineRule="auto"/>
        <w:tabs>
          <w:tab w:leader="none" w:pos="143"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approve the schedule of Board and committee meetings to assure there is significant opportunity for the Board to consider properly all necessary agenda items;</w:t>
      </w:r>
    </w:p>
    <w:p>
      <w:pPr>
        <w:spacing w:after="0" w:line="20" w:lineRule="exact"/>
        <w:rPr>
          <w:rFonts w:ascii="Arial" w:cs="Arial" w:eastAsia="Arial" w:hAnsi="Arial"/>
          <w:sz w:val="16"/>
          <w:szCs w:val="16"/>
          <w:b w:val="1"/>
          <w:bCs w:val="1"/>
          <w:color w:val="29378D"/>
        </w:rPr>
      </w:pPr>
    </w:p>
    <w:p>
      <w:pPr>
        <w:ind w:left="140" w:hanging="132"/>
        <w:spacing w:after="0"/>
        <w:tabs>
          <w:tab w:leader="none" w:pos="140"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serve as a liaison between the Chair and the Independent Directors;</w:t>
      </w:r>
    </w:p>
    <w:p>
      <w:pPr>
        <w:spacing w:after="0" w:line="72" w:lineRule="exact"/>
        <w:rPr>
          <w:rFonts w:ascii="Arial" w:cs="Arial" w:eastAsia="Arial" w:hAnsi="Arial"/>
          <w:sz w:val="16"/>
          <w:szCs w:val="16"/>
          <w:b w:val="1"/>
          <w:bCs w:val="1"/>
          <w:color w:val="29378D"/>
        </w:rPr>
      </w:pPr>
    </w:p>
    <w:p>
      <w:pPr>
        <w:ind w:left="140" w:hanging="132"/>
        <w:spacing w:after="0"/>
        <w:tabs>
          <w:tab w:leader="none" w:pos="140"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meet with shareholders and other stakeholders as appropriate;</w:t>
      </w:r>
    </w:p>
    <w:p>
      <w:pPr>
        <w:spacing w:after="0" w:line="86" w:lineRule="exact"/>
        <w:rPr>
          <w:rFonts w:ascii="Arial" w:cs="Arial" w:eastAsia="Arial" w:hAnsi="Arial"/>
          <w:sz w:val="16"/>
          <w:szCs w:val="16"/>
          <w:b w:val="1"/>
          <w:bCs w:val="1"/>
          <w:color w:val="29378D"/>
        </w:rPr>
      </w:pPr>
    </w:p>
    <w:p>
      <w:pPr>
        <w:ind w:left="160" w:hanging="152"/>
        <w:spacing w:after="0"/>
        <w:tabs>
          <w:tab w:leader="none" w:pos="160" w:val="left"/>
        </w:tabs>
        <w:numPr>
          <w:ilvl w:val="0"/>
          <w:numId w:val="70"/>
        </w:numPr>
        <w:rPr>
          <w:rFonts w:ascii="Arial" w:cs="Arial" w:eastAsia="Arial" w:hAnsi="Arial"/>
          <w:sz w:val="16"/>
          <w:szCs w:val="16"/>
          <w:color w:val="29378D"/>
        </w:rPr>
      </w:pPr>
      <w:r>
        <w:rPr>
          <w:rFonts w:ascii="Arial" w:cs="Arial" w:eastAsia="Arial" w:hAnsi="Arial"/>
          <w:sz w:val="16"/>
          <w:szCs w:val="16"/>
          <w:color w:val="auto"/>
        </w:rPr>
        <w:t>meet with senior management outside of Board meetings periodically and as requested;</w:t>
      </w:r>
    </w:p>
    <w:p>
      <w:pPr>
        <w:spacing w:after="0" w:line="86" w:lineRule="exact"/>
        <w:rPr>
          <w:rFonts w:ascii="Arial" w:cs="Arial" w:eastAsia="Arial" w:hAnsi="Arial"/>
          <w:sz w:val="16"/>
          <w:szCs w:val="16"/>
          <w:color w:val="29378D"/>
        </w:rPr>
      </w:pPr>
    </w:p>
    <w:p>
      <w:pPr>
        <w:ind w:left="200" w:right="160" w:hanging="192"/>
        <w:spacing w:after="0" w:line="275" w:lineRule="auto"/>
        <w:tabs>
          <w:tab w:leader="none" w:pos="143"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interview, along with the Chair and the Chair of the Nominating and Corporate Governance Committee, Board candidates and make recommendations to the Nominating and Corporate Governance Committee and the Board, helping to prioritize the specific skill sets, diversity, experience and values that candidates for consideration should possess;</w:t>
      </w:r>
    </w:p>
    <w:p>
      <w:pPr>
        <w:spacing w:after="0" w:line="15" w:lineRule="exact"/>
        <w:rPr>
          <w:rFonts w:ascii="Arial" w:cs="Arial" w:eastAsia="Arial" w:hAnsi="Arial"/>
          <w:sz w:val="16"/>
          <w:szCs w:val="16"/>
          <w:b w:val="1"/>
          <w:bCs w:val="1"/>
          <w:color w:val="29378D"/>
        </w:rPr>
      </w:pPr>
    </w:p>
    <w:p>
      <w:pPr>
        <w:ind w:left="140" w:hanging="132"/>
        <w:spacing w:after="0"/>
        <w:tabs>
          <w:tab w:leader="none" w:pos="140"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coordinate with Chair on the structure of Committee membership and leadership;</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help to enable confidence in the Company’s leadership;</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support the chair to facilitate succession planning and management development;</w:t>
      </w:r>
    </w:p>
    <w:p>
      <w:pPr>
        <w:spacing w:after="0" w:line="72" w:lineRule="exact"/>
        <w:rPr>
          <w:rFonts w:ascii="Arial" w:cs="Arial" w:eastAsia="Arial" w:hAnsi="Arial"/>
          <w:sz w:val="16"/>
          <w:szCs w:val="16"/>
          <w:b w:val="1"/>
          <w:bCs w:val="1"/>
          <w:color w:val="29378D"/>
        </w:rPr>
      </w:pPr>
    </w:p>
    <w:p>
      <w:pPr>
        <w:ind w:left="140" w:hanging="132"/>
        <w:spacing w:after="0"/>
        <w:tabs>
          <w:tab w:leader="none" w:pos="140"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lead the annual evaluation of the Chair and CEO;</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70"/>
        </w:numPr>
        <w:rPr>
          <w:rFonts w:ascii="Arial" w:cs="Arial" w:eastAsia="Arial" w:hAnsi="Arial"/>
          <w:sz w:val="16"/>
          <w:szCs w:val="16"/>
          <w:b w:val="1"/>
          <w:bCs w:val="1"/>
          <w:color w:val="29378D"/>
        </w:rPr>
      </w:pPr>
      <w:r>
        <w:rPr>
          <w:rFonts w:ascii="Arial" w:cs="Arial" w:eastAsia="Arial" w:hAnsi="Arial"/>
          <w:sz w:val="16"/>
          <w:szCs w:val="16"/>
          <w:color w:val="auto"/>
        </w:rPr>
        <w:t>oversee the evaluation of the performance of the Board and meet with independent directors to discuss results of director peer evaluations;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0" w:hanging="132"/>
        <w:spacing w:after="0"/>
        <w:tabs>
          <w:tab w:leader="none" w:pos="140" w:val="left"/>
        </w:tabs>
        <w:numPr>
          <w:ilvl w:val="0"/>
          <w:numId w:val="71"/>
        </w:numPr>
        <w:rPr>
          <w:rFonts w:ascii="Arial" w:cs="Arial" w:eastAsia="Arial" w:hAnsi="Arial"/>
          <w:sz w:val="16"/>
          <w:szCs w:val="16"/>
          <w:b w:val="1"/>
          <w:bCs w:val="1"/>
          <w:color w:val="29378D"/>
        </w:rPr>
      </w:pPr>
      <w:r>
        <w:rPr>
          <w:rFonts w:ascii="Arial" w:cs="Arial" w:eastAsia="Arial" w:hAnsi="Arial"/>
          <w:sz w:val="16"/>
          <w:szCs w:val="16"/>
          <w:color w:val="auto"/>
        </w:rPr>
        <w:t>perform such other duties as may be assigned by the Board.</w:t>
      </w:r>
    </w:p>
    <w:p>
      <w:pPr>
        <w:spacing w:after="0" w:line="113"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color w:val="auto"/>
        </w:rPr>
        <w:t>Our Lead Independent Director plays a critical role in reviewing director feedback received through the annual director evaluation process and providing feedback to each director on their individual performance. Our Lead Independent Director is empowered to and does actively engage with our Chair and Chief Executive Officer to help enable a strong and effective Board of Directors.</w:t>
      </w:r>
    </w:p>
    <w:p>
      <w:pPr>
        <w:spacing w:after="0" w:line="26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Committees of the Board</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Board has four standing committees: the Audit and Risk Committee, the Compensation and Human Capital Committee, the Nominating and Corporate Governance Committee and the Policy Committee. The membership of these committees is typically determined at the organizational meeting of the Board held in conjunction with the annual meeting. All the committees are composed entirely of independent directors. The primary responsibilities of each of the committees, as of the date of this Proxy Statement, are summarized below, together with a table listing the membership as of December 31, 2023, and Chair of each committee. The charters for each standing committee can be found on the Investor Relations section of our website (</w:t>
      </w:r>
      <w:r>
        <w:rPr>
          <w:rFonts w:ascii="Arial" w:cs="Arial" w:eastAsia="Arial" w:hAnsi="Arial"/>
          <w:sz w:val="16"/>
          <w:szCs w:val="16"/>
          <w:i w:val="1"/>
          <w:iCs w:val="1"/>
          <w:color w:val="auto"/>
        </w:rPr>
        <w:t>www.northropgrumman.com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637030" cy="4963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637030" cy="4963160"/>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p>
      <w:pPr>
        <w:spacing w:after="0" w:line="277" w:lineRule="exact"/>
        <w:rPr>
          <w:sz w:val="20"/>
          <w:szCs w:val="20"/>
          <w:color w:val="auto"/>
        </w:rPr>
      </w:pPr>
    </w:p>
    <w:p>
      <w:pPr>
        <w:ind w:left="100" w:right="740"/>
        <w:spacing w:after="0" w:line="296" w:lineRule="auto"/>
        <w:rPr>
          <w:sz w:val="20"/>
          <w:szCs w:val="20"/>
          <w:color w:val="auto"/>
        </w:rPr>
      </w:pPr>
      <w:r>
        <w:rPr>
          <w:rFonts w:ascii="Arial" w:cs="Arial" w:eastAsia="Arial" w:hAnsi="Arial"/>
          <w:sz w:val="23"/>
          <w:szCs w:val="23"/>
          <w:color w:val="29378D"/>
        </w:rPr>
        <w:t>Audit and Risk Committee</w:t>
      </w:r>
    </w:p>
    <w:p>
      <w:pPr>
        <w:spacing w:after="0" w:line="13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COMMITTEE MEMBERS:</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29378D"/>
        </w:rPr>
        <w:t>Thomas M. Schoewe* (chair)</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Marianne C. Brown</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Ann M. Fudge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Kimberly A. Ross*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James S. Turley*</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Mark A. Welsh III</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xml:space="preserve">Number of meetings in 2023: </w:t>
      </w:r>
      <w:r>
        <w:rPr>
          <w:rFonts w:ascii="Arial" w:cs="Arial" w:eastAsia="Arial" w:hAnsi="Arial"/>
          <w:sz w:val="16"/>
          <w:szCs w:val="16"/>
          <w:b w:val="1"/>
          <w:bCs w:val="1"/>
          <w:color w:val="29378D"/>
        </w:rPr>
        <w:t>8</w:t>
      </w:r>
    </w:p>
    <w:p>
      <w:pPr>
        <w:spacing w:after="0" w:line="216" w:lineRule="exact"/>
        <w:rPr>
          <w:sz w:val="20"/>
          <w:szCs w:val="20"/>
          <w:color w:val="auto"/>
        </w:rPr>
      </w:pPr>
    </w:p>
    <w:p>
      <w:pPr>
        <w:ind w:left="100" w:firstLine="4"/>
        <w:spacing w:after="0" w:line="262" w:lineRule="auto"/>
        <w:tabs>
          <w:tab w:leader="none" w:pos="270" w:val="left"/>
        </w:tabs>
        <w:numPr>
          <w:ilvl w:val="0"/>
          <w:numId w:val="72"/>
        </w:numPr>
        <w:rPr>
          <w:rFonts w:ascii="Arial" w:cs="Arial" w:eastAsia="Arial" w:hAnsi="Arial"/>
          <w:sz w:val="18"/>
          <w:szCs w:val="18"/>
          <w:color w:val="auto"/>
        </w:rPr>
      </w:pPr>
      <w:r>
        <w:rPr>
          <w:rFonts w:ascii="Arial" w:cs="Arial" w:eastAsia="Arial" w:hAnsi="Arial"/>
          <w:sz w:val="18"/>
          <w:szCs w:val="18"/>
          <w:color w:val="auto"/>
        </w:rPr>
        <w:t>Qualifies as Audit Committee Financial Expert; all members are financially literate.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ROLES AND RESPONSIBILITIES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Assist the Board in overseeing the Company’s financial and enterprise-related risk activities, including by:</w:t>
      </w:r>
    </w:p>
    <w:p>
      <w:pPr>
        <w:spacing w:after="0" w:line="113" w:lineRule="exact"/>
        <w:rPr>
          <w:sz w:val="20"/>
          <w:szCs w:val="20"/>
          <w:color w:val="auto"/>
        </w:rPr>
      </w:pPr>
    </w:p>
    <w:p>
      <w:pPr>
        <w:ind w:left="140" w:hanging="139"/>
        <w:spacing w:after="0"/>
        <w:tabs>
          <w:tab w:leader="none" w:pos="140"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reviewing and discussing the Company’s Annual Reports on Form 10-K and Quarterly Reports on Form 10-Q</w:t>
      </w:r>
    </w:p>
    <w:p>
      <w:pPr>
        <w:spacing w:after="0" w:line="86" w:lineRule="exact"/>
        <w:rPr>
          <w:rFonts w:ascii="Arial" w:cs="Arial" w:eastAsia="Arial" w:hAnsi="Arial"/>
          <w:sz w:val="16"/>
          <w:szCs w:val="16"/>
          <w:b w:val="1"/>
          <w:bCs w:val="1"/>
          <w:color w:val="29378D"/>
        </w:rPr>
      </w:pPr>
    </w:p>
    <w:p>
      <w:pPr>
        <w:ind w:left="200" w:right="500" w:hanging="199"/>
        <w:spacing w:after="0" w:line="286" w:lineRule="auto"/>
        <w:tabs>
          <w:tab w:leader="none" w:pos="143"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reviewing and discussing management’s assessment of, and report on, the effectiveness of the Company’s internal control over financial reporting at least annually and independent auditor's related report</w:t>
      </w:r>
    </w:p>
    <w:p>
      <w:pPr>
        <w:spacing w:after="0" w:line="20" w:lineRule="exact"/>
        <w:rPr>
          <w:rFonts w:ascii="Arial" w:cs="Arial" w:eastAsia="Arial" w:hAnsi="Arial"/>
          <w:sz w:val="16"/>
          <w:szCs w:val="16"/>
          <w:b w:val="1"/>
          <w:bCs w:val="1"/>
          <w:color w:val="29378D"/>
        </w:rPr>
      </w:pPr>
    </w:p>
    <w:p>
      <w:pPr>
        <w:ind w:left="200" w:right="280" w:hanging="199"/>
        <w:spacing w:after="0" w:line="286" w:lineRule="auto"/>
        <w:tabs>
          <w:tab w:leader="none" w:pos="143"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assisting the Board in its oversight of enterprise risk management (including through the different board committees), including reviewing at least annually the overall risk management process at the Company level</w:t>
      </w:r>
    </w:p>
    <w:p>
      <w:pPr>
        <w:spacing w:after="0" w:line="20" w:lineRule="exact"/>
        <w:rPr>
          <w:rFonts w:ascii="Arial" w:cs="Arial" w:eastAsia="Arial" w:hAnsi="Arial"/>
          <w:sz w:val="16"/>
          <w:szCs w:val="16"/>
          <w:b w:val="1"/>
          <w:bCs w:val="1"/>
          <w:color w:val="29378D"/>
        </w:rPr>
      </w:pPr>
    </w:p>
    <w:p>
      <w:pPr>
        <w:ind w:left="200" w:right="60" w:hanging="199"/>
        <w:spacing w:after="0" w:line="286" w:lineRule="auto"/>
        <w:tabs>
          <w:tab w:leader="none" w:pos="143"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appointing, retaining, overseeing, evaluating and terminating, if necessary, the independent auditor; reviewing the performance of the lead audit partner and involvement in the selection and approval of the lead audit partner</w:t>
      </w:r>
    </w:p>
    <w:p>
      <w:pPr>
        <w:spacing w:after="0" w:line="20" w:lineRule="exact"/>
        <w:rPr>
          <w:rFonts w:ascii="Arial" w:cs="Arial" w:eastAsia="Arial" w:hAnsi="Arial"/>
          <w:sz w:val="16"/>
          <w:szCs w:val="16"/>
          <w:b w:val="1"/>
          <w:bCs w:val="1"/>
          <w:color w:val="29378D"/>
        </w:rPr>
      </w:pPr>
    </w:p>
    <w:p>
      <w:pPr>
        <w:ind w:left="140" w:hanging="139"/>
        <w:spacing w:after="0"/>
        <w:tabs>
          <w:tab w:leader="none" w:pos="140"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reviewing and pre-approving audit and permitted non-audit services and related fees for the independent auditor</w:t>
      </w:r>
    </w:p>
    <w:p>
      <w:pPr>
        <w:spacing w:after="0" w:line="86" w:lineRule="exact"/>
        <w:rPr>
          <w:rFonts w:ascii="Arial" w:cs="Arial" w:eastAsia="Arial" w:hAnsi="Arial"/>
          <w:sz w:val="16"/>
          <w:szCs w:val="16"/>
          <w:b w:val="1"/>
          <w:bCs w:val="1"/>
          <w:color w:val="29378D"/>
        </w:rPr>
      </w:pPr>
    </w:p>
    <w:p>
      <w:pPr>
        <w:ind w:left="200" w:right="380" w:hanging="199"/>
        <w:spacing w:after="0" w:line="286" w:lineRule="auto"/>
        <w:tabs>
          <w:tab w:leader="none" w:pos="143"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reviewing and discussing with the independent auditor any critical audit matters identified by the independent auditor, the Company’s critical accounting policies, and material written communications with management</w:t>
      </w:r>
    </w:p>
    <w:p>
      <w:pPr>
        <w:spacing w:after="0" w:line="20" w:lineRule="exact"/>
        <w:rPr>
          <w:rFonts w:ascii="Arial" w:cs="Arial" w:eastAsia="Arial" w:hAnsi="Arial"/>
          <w:sz w:val="16"/>
          <w:szCs w:val="16"/>
          <w:b w:val="1"/>
          <w:bCs w:val="1"/>
          <w:color w:val="29378D"/>
        </w:rPr>
      </w:pPr>
    </w:p>
    <w:p>
      <w:pPr>
        <w:ind w:left="200" w:right="60" w:hanging="199"/>
        <w:spacing w:after="0" w:line="286" w:lineRule="auto"/>
        <w:tabs>
          <w:tab w:leader="none" w:pos="143"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reviewing with the General Counsel, at least annually, the status of significant pending litigation and various other significant legal, compliance or regulatory matters</w:t>
      </w:r>
    </w:p>
    <w:p>
      <w:pPr>
        <w:spacing w:after="0" w:line="20" w:lineRule="exact"/>
        <w:rPr>
          <w:rFonts w:ascii="Arial" w:cs="Arial" w:eastAsia="Arial" w:hAnsi="Arial"/>
          <w:sz w:val="16"/>
          <w:szCs w:val="16"/>
          <w:b w:val="1"/>
          <w:bCs w:val="1"/>
          <w:color w:val="29378D"/>
        </w:rPr>
      </w:pPr>
    </w:p>
    <w:p>
      <w:pPr>
        <w:ind w:left="200" w:right="500" w:hanging="199"/>
        <w:spacing w:after="0" w:line="286" w:lineRule="auto"/>
        <w:tabs>
          <w:tab w:leader="none" w:pos="143"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reviewing with the Chief Ethics and Compliance Officer, at least annually, the state of the Company’s global compliance program</w:t>
      </w:r>
    </w:p>
    <w:p>
      <w:pPr>
        <w:spacing w:after="0" w:line="20" w:lineRule="exact"/>
        <w:rPr>
          <w:rFonts w:ascii="Arial" w:cs="Arial" w:eastAsia="Arial" w:hAnsi="Arial"/>
          <w:sz w:val="16"/>
          <w:szCs w:val="16"/>
          <w:b w:val="1"/>
          <w:bCs w:val="1"/>
          <w:color w:val="29378D"/>
        </w:rPr>
      </w:pPr>
    </w:p>
    <w:p>
      <w:pPr>
        <w:ind w:left="140" w:hanging="139"/>
        <w:spacing w:after="0"/>
        <w:tabs>
          <w:tab w:leader="none" w:pos="140"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reviewing, at least quarterly, matters that are communicated through the Company’s OpenLine reporting system</w:t>
      </w:r>
    </w:p>
    <w:p>
      <w:pPr>
        <w:spacing w:after="0" w:line="86" w:lineRule="exact"/>
        <w:rPr>
          <w:rFonts w:ascii="Arial" w:cs="Arial" w:eastAsia="Arial" w:hAnsi="Arial"/>
          <w:sz w:val="16"/>
          <w:szCs w:val="16"/>
          <w:b w:val="1"/>
          <w:bCs w:val="1"/>
          <w:color w:val="29378D"/>
        </w:rPr>
      </w:pPr>
    </w:p>
    <w:p>
      <w:pPr>
        <w:ind w:left="200" w:right="200" w:hanging="199"/>
        <w:spacing w:after="0" w:line="275" w:lineRule="auto"/>
        <w:tabs>
          <w:tab w:leader="none" w:pos="143"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providing oversight and reviewing periodically the Company’s management of its financial risks, including at the sector level, as well as the Company’s management of its risks related to cybersecurity, insurance, nuclear, natural and environmental (including climate change) matters</w:t>
      </w:r>
    </w:p>
    <w:p>
      <w:pPr>
        <w:spacing w:after="0" w:line="15" w:lineRule="exact"/>
        <w:rPr>
          <w:rFonts w:ascii="Arial" w:cs="Arial" w:eastAsia="Arial" w:hAnsi="Arial"/>
          <w:sz w:val="16"/>
          <w:szCs w:val="16"/>
          <w:b w:val="1"/>
          <w:bCs w:val="1"/>
          <w:color w:val="29378D"/>
        </w:rPr>
      </w:pPr>
    </w:p>
    <w:p>
      <w:pPr>
        <w:ind w:left="200" w:right="40" w:hanging="199"/>
        <w:spacing w:after="0" w:line="275" w:lineRule="auto"/>
        <w:tabs>
          <w:tab w:leader="none" w:pos="143"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providing oversight of internal controls over publicly reported data in environmental, social and governance (ESG) and in Task Force on Climate-related Financial Disclosures reports, and oversight of audit and assurance processes for ESG reporting</w:t>
      </w:r>
    </w:p>
    <w:p>
      <w:pPr>
        <w:spacing w:after="0" w:line="29" w:lineRule="exact"/>
        <w:rPr>
          <w:rFonts w:ascii="Arial" w:cs="Arial" w:eastAsia="Arial" w:hAnsi="Arial"/>
          <w:sz w:val="16"/>
          <w:szCs w:val="16"/>
          <w:b w:val="1"/>
          <w:bCs w:val="1"/>
          <w:color w:val="29378D"/>
        </w:rPr>
      </w:pPr>
    </w:p>
    <w:p>
      <w:pPr>
        <w:ind w:left="200" w:right="200" w:hanging="199"/>
        <w:spacing w:after="0" w:line="286" w:lineRule="auto"/>
        <w:tabs>
          <w:tab w:leader="none" w:pos="143" w:val="left"/>
        </w:tabs>
        <w:numPr>
          <w:ilvl w:val="0"/>
          <w:numId w:val="73"/>
        </w:numPr>
        <w:rPr>
          <w:rFonts w:ascii="Arial" w:cs="Arial" w:eastAsia="Arial" w:hAnsi="Arial"/>
          <w:sz w:val="16"/>
          <w:szCs w:val="16"/>
          <w:b w:val="1"/>
          <w:bCs w:val="1"/>
          <w:color w:val="29378D"/>
        </w:rPr>
      </w:pPr>
      <w:r>
        <w:rPr>
          <w:rFonts w:ascii="Arial" w:cs="Arial" w:eastAsia="Arial" w:hAnsi="Arial"/>
          <w:sz w:val="16"/>
          <w:szCs w:val="16"/>
          <w:color w:val="auto"/>
        </w:rPr>
        <w:t>reviewing any significant issues raised by the internal audit function and, as appropriate, management’s actions for remediation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1162050</wp:posOffset>
            </wp:positionV>
            <wp:extent cx="53060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3060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540"/>
            <w:col w:w="8300"/>
          </w:cols>
          <w:pgMar w:left="320" w:top="23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 w:hanging="494"/>
        <w:spacing w:after="0"/>
        <w:tabs>
          <w:tab w:leader="none" w:pos="520" w:val="left"/>
        </w:tabs>
        <w:numPr>
          <w:ilvl w:val="0"/>
          <w:numId w:val="74"/>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1637030" cy="39604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637030" cy="396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 w:right="260"/>
        <w:spacing w:after="0" w:line="276" w:lineRule="auto"/>
        <w:rPr>
          <w:sz w:val="20"/>
          <w:szCs w:val="20"/>
          <w:color w:val="auto"/>
        </w:rPr>
      </w:pPr>
      <w:r>
        <w:rPr>
          <w:rFonts w:ascii="Arial" w:cs="Arial" w:eastAsia="Arial" w:hAnsi="Arial"/>
          <w:sz w:val="23"/>
          <w:szCs w:val="23"/>
          <w:color w:val="29378D"/>
        </w:rPr>
        <w:t>Compensation and Human Capital Committee</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COMMITTEE MEMBERS:</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29378D"/>
        </w:rPr>
        <w:t>David P. Abney (chair)</w:t>
      </w:r>
    </w:p>
    <w:p>
      <w:pPr>
        <w:spacing w:after="0" w:line="35" w:lineRule="exact"/>
        <w:rPr>
          <w:sz w:val="20"/>
          <w:szCs w:val="20"/>
          <w:color w:val="auto"/>
        </w:rPr>
      </w:pPr>
    </w:p>
    <w:p>
      <w:pPr>
        <w:ind w:left="100" w:right="700"/>
        <w:spacing w:after="0" w:line="250" w:lineRule="auto"/>
        <w:rPr>
          <w:sz w:val="20"/>
          <w:szCs w:val="20"/>
          <w:color w:val="auto"/>
        </w:rPr>
      </w:pPr>
      <w:r>
        <w:rPr>
          <w:rFonts w:ascii="Arial" w:cs="Arial" w:eastAsia="Arial" w:hAnsi="Arial"/>
          <w:sz w:val="16"/>
          <w:szCs w:val="16"/>
          <w:color w:val="auto"/>
        </w:rPr>
        <w:t>Madeleine A. Kleiner Arvind Krishna Graham N. Robinson</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Gary Roughead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Mary A. Winston</w:t>
      </w:r>
    </w:p>
    <w:p>
      <w:pPr>
        <w:spacing w:after="0" w:line="35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xml:space="preserve">Number of meetings in 2023: </w:t>
      </w:r>
      <w:r>
        <w:rPr>
          <w:rFonts w:ascii="Arial" w:cs="Arial" w:eastAsia="Arial" w:hAnsi="Arial"/>
          <w:sz w:val="16"/>
          <w:szCs w:val="16"/>
          <w:b w:val="1"/>
          <w:bCs w:val="1"/>
          <w:color w:val="29378D"/>
        </w:rPr>
        <w:t>7</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ROLES AND RESPONSIBILITIES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Assist the Board in overseeing the Company’s compensation policies and practices, including by:</w:t>
      </w:r>
    </w:p>
    <w:p>
      <w:pPr>
        <w:spacing w:after="0" w:line="127" w:lineRule="exact"/>
        <w:rPr>
          <w:sz w:val="20"/>
          <w:szCs w:val="20"/>
          <w:color w:val="auto"/>
        </w:rPr>
      </w:pPr>
    </w:p>
    <w:p>
      <w:pPr>
        <w:ind w:left="200" w:right="680" w:hanging="199"/>
        <w:spacing w:after="0" w:line="286" w:lineRule="auto"/>
        <w:tabs>
          <w:tab w:leader="none" w:pos="143" w:val="left"/>
        </w:tabs>
        <w:numPr>
          <w:ilvl w:val="0"/>
          <w:numId w:val="75"/>
        </w:numPr>
        <w:rPr>
          <w:rFonts w:ascii="Arial" w:cs="Arial" w:eastAsia="Arial" w:hAnsi="Arial"/>
          <w:sz w:val="16"/>
          <w:szCs w:val="16"/>
          <w:b w:val="1"/>
          <w:bCs w:val="1"/>
          <w:color w:val="29378D"/>
        </w:rPr>
      </w:pPr>
      <w:r>
        <w:rPr>
          <w:rFonts w:ascii="Arial" w:cs="Arial" w:eastAsia="Arial" w:hAnsi="Arial"/>
          <w:sz w:val="16"/>
          <w:szCs w:val="16"/>
          <w:color w:val="auto"/>
        </w:rPr>
        <w:t>overseeing and reviewing at least annually a risk assessment of the Company’s compensation programs, ensuring, among other factors, that compensation appropriately reflects certain priorities</w:t>
      </w:r>
    </w:p>
    <w:p>
      <w:pPr>
        <w:spacing w:after="0" w:line="20" w:lineRule="exact"/>
        <w:rPr>
          <w:rFonts w:ascii="Arial" w:cs="Arial" w:eastAsia="Arial" w:hAnsi="Arial"/>
          <w:sz w:val="16"/>
          <w:szCs w:val="16"/>
          <w:b w:val="1"/>
          <w:bCs w:val="1"/>
          <w:color w:val="29378D"/>
        </w:rPr>
      </w:pPr>
    </w:p>
    <w:p>
      <w:pPr>
        <w:ind w:left="200" w:right="240" w:hanging="199"/>
        <w:spacing w:after="0" w:line="286" w:lineRule="auto"/>
        <w:tabs>
          <w:tab w:leader="none" w:pos="143" w:val="left"/>
        </w:tabs>
        <w:numPr>
          <w:ilvl w:val="0"/>
          <w:numId w:val="75"/>
        </w:numPr>
        <w:rPr>
          <w:rFonts w:ascii="Arial" w:cs="Arial" w:eastAsia="Arial" w:hAnsi="Arial"/>
          <w:sz w:val="16"/>
          <w:szCs w:val="16"/>
          <w:b w:val="1"/>
          <w:bCs w:val="1"/>
          <w:color w:val="29378D"/>
        </w:rPr>
      </w:pPr>
      <w:r>
        <w:rPr>
          <w:rFonts w:ascii="Arial" w:cs="Arial" w:eastAsia="Arial" w:hAnsi="Arial"/>
          <w:sz w:val="16"/>
          <w:szCs w:val="16"/>
          <w:color w:val="auto"/>
        </w:rPr>
        <w:t>approving the compensation for elected officers (other than the Chief Executive Officer, whose compensation is recommended by the Committee and approved by all the independent directors)</w:t>
      </w:r>
    </w:p>
    <w:p>
      <w:pPr>
        <w:spacing w:after="0" w:line="20" w:lineRule="exact"/>
        <w:rPr>
          <w:rFonts w:ascii="Arial" w:cs="Arial" w:eastAsia="Arial" w:hAnsi="Arial"/>
          <w:sz w:val="16"/>
          <w:szCs w:val="16"/>
          <w:b w:val="1"/>
          <w:bCs w:val="1"/>
          <w:color w:val="29378D"/>
        </w:rPr>
      </w:pPr>
    </w:p>
    <w:p>
      <w:pPr>
        <w:ind w:left="200" w:right="160" w:hanging="199"/>
        <w:spacing w:after="0" w:line="265" w:lineRule="auto"/>
        <w:tabs>
          <w:tab w:leader="none" w:pos="143" w:val="left"/>
        </w:tabs>
        <w:numPr>
          <w:ilvl w:val="0"/>
          <w:numId w:val="75"/>
        </w:numPr>
        <w:rPr>
          <w:rFonts w:ascii="Arial" w:cs="Arial" w:eastAsia="Arial" w:hAnsi="Arial"/>
          <w:sz w:val="16"/>
          <w:szCs w:val="16"/>
          <w:b w:val="1"/>
          <w:bCs w:val="1"/>
          <w:color w:val="29378D"/>
        </w:rPr>
      </w:pPr>
      <w:r>
        <w:rPr>
          <w:rFonts w:ascii="Arial" w:cs="Arial" w:eastAsia="Arial" w:hAnsi="Arial"/>
          <w:sz w:val="16"/>
          <w:szCs w:val="16"/>
          <w:color w:val="auto"/>
        </w:rPr>
        <w:t>reviewing incentive and equity compensation plans (including performance metrics under such plans), approving financial and non-financial metrics (incorporating diversity, equity and inclusion (DE&amp;I), environmental and other goals), and approving payments or grants under these plans for elected officers (other than the Chief Executive Officer, whose payments or grants are recommended by the Committee and approved by all the independent directors)</w:t>
      </w:r>
    </w:p>
    <w:p>
      <w:pPr>
        <w:spacing w:after="0" w:line="23" w:lineRule="exact"/>
        <w:rPr>
          <w:rFonts w:ascii="Arial" w:cs="Arial" w:eastAsia="Arial" w:hAnsi="Arial"/>
          <w:sz w:val="16"/>
          <w:szCs w:val="16"/>
          <w:b w:val="1"/>
          <w:bCs w:val="1"/>
          <w:color w:val="29378D"/>
        </w:rPr>
      </w:pPr>
    </w:p>
    <w:p>
      <w:pPr>
        <w:ind w:left="200" w:right="80" w:hanging="199"/>
        <w:spacing w:after="0" w:line="299" w:lineRule="auto"/>
        <w:tabs>
          <w:tab w:leader="none" w:pos="143" w:val="left"/>
        </w:tabs>
        <w:numPr>
          <w:ilvl w:val="0"/>
          <w:numId w:val="75"/>
        </w:numPr>
        <w:rPr>
          <w:rFonts w:ascii="Arial" w:cs="Arial" w:eastAsia="Arial" w:hAnsi="Arial"/>
          <w:sz w:val="16"/>
          <w:szCs w:val="16"/>
          <w:b w:val="1"/>
          <w:bCs w:val="1"/>
          <w:color w:val="29378D"/>
        </w:rPr>
      </w:pPr>
      <w:r>
        <w:rPr>
          <w:rFonts w:ascii="Arial" w:cs="Arial" w:eastAsia="Arial" w:hAnsi="Arial"/>
          <w:sz w:val="16"/>
          <w:szCs w:val="16"/>
          <w:color w:val="auto"/>
        </w:rPr>
        <w:t>recommending for approval compensation for the non-employee directors, after consultation with the independent compensation consultant</w:t>
      </w:r>
    </w:p>
    <w:p>
      <w:pPr>
        <w:ind w:left="200" w:right="220" w:hanging="199"/>
        <w:spacing w:after="0" w:line="304" w:lineRule="auto"/>
        <w:tabs>
          <w:tab w:leader="none" w:pos="143" w:val="left"/>
        </w:tabs>
        <w:numPr>
          <w:ilvl w:val="0"/>
          <w:numId w:val="75"/>
        </w:numPr>
        <w:rPr>
          <w:rFonts w:ascii="Arial" w:cs="Arial" w:eastAsia="Arial" w:hAnsi="Arial"/>
          <w:sz w:val="16"/>
          <w:szCs w:val="16"/>
          <w:b w:val="1"/>
          <w:bCs w:val="1"/>
          <w:color w:val="29378D"/>
        </w:rPr>
      </w:pPr>
      <w:r>
        <w:rPr>
          <w:rFonts w:ascii="Arial" w:cs="Arial" w:eastAsia="Arial" w:hAnsi="Arial"/>
          <w:sz w:val="16"/>
          <w:szCs w:val="16"/>
          <w:color w:val="auto"/>
        </w:rPr>
        <w:t>overseeing and reviewing the Company’s management of its human capital risk, including talent acquisition and retention</w:t>
      </w:r>
    </w:p>
    <w:p>
      <w:pPr>
        <w:spacing w:after="0" w:line="6" w:lineRule="exact"/>
        <w:rPr>
          <w:rFonts w:ascii="Arial" w:cs="Arial" w:eastAsia="Arial" w:hAnsi="Arial"/>
          <w:sz w:val="16"/>
          <w:szCs w:val="16"/>
          <w:b w:val="1"/>
          <w:bCs w:val="1"/>
          <w:color w:val="29378D"/>
        </w:rPr>
      </w:pPr>
    </w:p>
    <w:p>
      <w:pPr>
        <w:ind w:left="140" w:hanging="139"/>
        <w:spacing w:after="0"/>
        <w:tabs>
          <w:tab w:leader="none" w:pos="140" w:val="left"/>
        </w:tabs>
        <w:numPr>
          <w:ilvl w:val="0"/>
          <w:numId w:val="75"/>
        </w:numPr>
        <w:rPr>
          <w:rFonts w:ascii="Arial" w:cs="Arial" w:eastAsia="Arial" w:hAnsi="Arial"/>
          <w:sz w:val="16"/>
          <w:szCs w:val="16"/>
          <w:b w:val="1"/>
          <w:bCs w:val="1"/>
          <w:color w:val="29378D"/>
        </w:rPr>
      </w:pPr>
      <w:r>
        <w:rPr>
          <w:rFonts w:ascii="Arial" w:cs="Arial" w:eastAsia="Arial" w:hAnsi="Arial"/>
          <w:sz w:val="16"/>
          <w:szCs w:val="16"/>
          <w:color w:val="auto"/>
        </w:rPr>
        <w:t>overseeing and reviewing and monitoring the Company’s DEI programs</w:t>
      </w:r>
    </w:p>
    <w:p>
      <w:pPr>
        <w:spacing w:after="0" w:line="72" w:lineRule="exact"/>
        <w:rPr>
          <w:rFonts w:ascii="Arial" w:cs="Arial" w:eastAsia="Arial" w:hAnsi="Arial"/>
          <w:sz w:val="16"/>
          <w:szCs w:val="16"/>
          <w:b w:val="1"/>
          <w:bCs w:val="1"/>
          <w:color w:val="29378D"/>
        </w:rPr>
      </w:pPr>
    </w:p>
    <w:p>
      <w:pPr>
        <w:ind w:left="200" w:right="380" w:hanging="199"/>
        <w:spacing w:after="0" w:line="299" w:lineRule="auto"/>
        <w:tabs>
          <w:tab w:leader="none" w:pos="143" w:val="left"/>
        </w:tabs>
        <w:numPr>
          <w:ilvl w:val="0"/>
          <w:numId w:val="75"/>
        </w:numPr>
        <w:rPr>
          <w:rFonts w:ascii="Arial" w:cs="Arial" w:eastAsia="Arial" w:hAnsi="Arial"/>
          <w:sz w:val="16"/>
          <w:szCs w:val="16"/>
          <w:b w:val="1"/>
          <w:bCs w:val="1"/>
          <w:color w:val="29378D"/>
        </w:rPr>
      </w:pPr>
      <w:r>
        <w:rPr>
          <w:rFonts w:ascii="Arial" w:cs="Arial" w:eastAsia="Arial" w:hAnsi="Arial"/>
          <w:sz w:val="16"/>
          <w:szCs w:val="16"/>
          <w:color w:val="auto"/>
        </w:rPr>
        <w:t>conducting an annual evaluation of the compensation consultant and reporting results of the evaluation to the Board</w:t>
      </w:r>
    </w:p>
    <w:p>
      <w:pPr>
        <w:ind w:left="140" w:hanging="139"/>
        <w:spacing w:after="0"/>
        <w:tabs>
          <w:tab w:leader="none" w:pos="140" w:val="left"/>
        </w:tabs>
        <w:numPr>
          <w:ilvl w:val="0"/>
          <w:numId w:val="75"/>
        </w:numPr>
        <w:rPr>
          <w:rFonts w:ascii="Arial" w:cs="Arial" w:eastAsia="Arial" w:hAnsi="Arial"/>
          <w:sz w:val="16"/>
          <w:szCs w:val="16"/>
          <w:b w:val="1"/>
          <w:bCs w:val="1"/>
          <w:color w:val="29378D"/>
        </w:rPr>
      </w:pPr>
      <w:r>
        <w:rPr>
          <w:rFonts w:ascii="Arial" w:cs="Arial" w:eastAsia="Arial" w:hAnsi="Arial"/>
          <w:sz w:val="16"/>
          <w:szCs w:val="16"/>
          <w:color w:val="auto"/>
        </w:rPr>
        <w:t>producing an annual report on executive compensation for inclusion in the Proxy Statement</w:t>
      </w:r>
    </w:p>
    <w:p>
      <w:pPr>
        <w:spacing w:after="0" w:line="86" w:lineRule="exact"/>
        <w:rPr>
          <w:rFonts w:ascii="Arial" w:cs="Arial" w:eastAsia="Arial" w:hAnsi="Arial"/>
          <w:sz w:val="16"/>
          <w:szCs w:val="16"/>
          <w:b w:val="1"/>
          <w:bCs w:val="1"/>
          <w:color w:val="29378D"/>
        </w:rPr>
      </w:pPr>
    </w:p>
    <w:p>
      <w:pPr>
        <w:ind w:left="140" w:hanging="139"/>
        <w:spacing w:after="0"/>
        <w:tabs>
          <w:tab w:leader="none" w:pos="140" w:val="left"/>
        </w:tabs>
        <w:numPr>
          <w:ilvl w:val="0"/>
          <w:numId w:val="75"/>
        </w:numPr>
        <w:rPr>
          <w:rFonts w:ascii="Arial" w:cs="Arial" w:eastAsia="Arial" w:hAnsi="Arial"/>
          <w:sz w:val="16"/>
          <w:szCs w:val="16"/>
          <w:b w:val="1"/>
          <w:bCs w:val="1"/>
          <w:color w:val="29378D"/>
        </w:rPr>
      </w:pPr>
      <w:r>
        <w:rPr>
          <w:rFonts w:ascii="Arial" w:cs="Arial" w:eastAsia="Arial" w:hAnsi="Arial"/>
          <w:sz w:val="16"/>
          <w:szCs w:val="16"/>
          <w:color w:val="auto"/>
        </w:rPr>
        <w:t>establishing stock ownership guidelines and reviewing ownership levels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955040</wp:posOffset>
            </wp:positionV>
            <wp:extent cx="53060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3060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580"/>
            <w:col w:w="83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Compensation Committee Interlocks and Insider Participation</w:t>
      </w:r>
    </w:p>
    <w:p>
      <w:pPr>
        <w:spacing w:after="0" w:line="12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During 2023, Ms. Kleiner, Ms. Winston and Messrs. Abney, Krishna, Robinson and Roughead served as members of the Compensation and Human Capital Committee. Messrs. Felsinger and Krapek, who did not stand for re-election at our 2023 Annual Meeting, also served as members of the Compensation and Human Capital Committee until their terms ended in May 2023. During 2023, no member of the Compensation and Human Capital Committee had a relationship with the Company or any of our subsidiaries, other than as directors and shareholders, and no member was an officer or employee of the Company or any of our subsidiaries, a participant in a related person transaction or an executive officer of another entity, where one of our executive officers serves on the board of directors that would constitute a related person transaction or raise concerns of a compensation committee interlock.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1637030" cy="41662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637030" cy="416623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
        <w:spacing w:after="0" w:line="276" w:lineRule="auto"/>
        <w:rPr>
          <w:sz w:val="20"/>
          <w:szCs w:val="20"/>
          <w:color w:val="auto"/>
        </w:rPr>
      </w:pPr>
      <w:r>
        <w:rPr>
          <w:rFonts w:ascii="Arial" w:cs="Arial" w:eastAsia="Arial" w:hAnsi="Arial"/>
          <w:sz w:val="23"/>
          <w:szCs w:val="23"/>
          <w:color w:val="29378D"/>
        </w:rPr>
        <w:t>Nominating and Corporate Governance Committee</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COMMITTEE MEMBERS:</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29378D"/>
        </w:rPr>
        <w:t>Marianne C. Brown (chair)</w:t>
      </w:r>
    </w:p>
    <w:p>
      <w:pPr>
        <w:spacing w:after="0" w:line="35" w:lineRule="exact"/>
        <w:rPr>
          <w:sz w:val="20"/>
          <w:szCs w:val="20"/>
          <w:color w:val="auto"/>
        </w:rPr>
      </w:pPr>
    </w:p>
    <w:p>
      <w:pPr>
        <w:ind w:left="100" w:right="860"/>
        <w:spacing w:after="0" w:line="250" w:lineRule="auto"/>
        <w:rPr>
          <w:sz w:val="20"/>
          <w:szCs w:val="20"/>
          <w:color w:val="auto"/>
        </w:rPr>
      </w:pPr>
      <w:r>
        <w:rPr>
          <w:rFonts w:ascii="Arial" w:cs="Arial" w:eastAsia="Arial" w:hAnsi="Arial"/>
          <w:sz w:val="16"/>
          <w:szCs w:val="16"/>
          <w:color w:val="auto"/>
        </w:rPr>
        <w:t>David P. Abney Madeleine A. Kleiner Thomas M. Schoewe</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James S. Turley</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xml:space="preserve">Number of meetings in 2023: </w:t>
      </w:r>
      <w:r>
        <w:rPr>
          <w:rFonts w:ascii="Arial" w:cs="Arial" w:eastAsia="Arial" w:hAnsi="Arial"/>
          <w:sz w:val="16"/>
          <w:szCs w:val="16"/>
          <w:b w:val="1"/>
          <w:bCs w:val="1"/>
          <w:color w:val="29378D"/>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2600960</wp:posOffset>
            </wp:positionV>
            <wp:extent cx="1637030" cy="32404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637030" cy="32404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ROLES AND RESPONSIBILITIES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Assist the Board in overseeing the Company’s corporate governance practices, including by:</w:t>
      </w:r>
    </w:p>
    <w:p>
      <w:pPr>
        <w:spacing w:after="0" w:line="127" w:lineRule="exact"/>
        <w:rPr>
          <w:sz w:val="20"/>
          <w:szCs w:val="20"/>
          <w:color w:val="auto"/>
        </w:rPr>
      </w:pPr>
    </w:p>
    <w:p>
      <w:pPr>
        <w:ind w:left="200" w:right="140" w:hanging="199"/>
        <w:spacing w:after="0" w:line="286" w:lineRule="auto"/>
        <w:tabs>
          <w:tab w:leader="none" w:pos="143" w:val="left"/>
        </w:tabs>
        <w:numPr>
          <w:ilvl w:val="0"/>
          <w:numId w:val="76"/>
        </w:numPr>
        <w:rPr>
          <w:rFonts w:ascii="Arial" w:cs="Arial" w:eastAsia="Arial" w:hAnsi="Arial"/>
          <w:sz w:val="16"/>
          <w:szCs w:val="16"/>
          <w:b w:val="1"/>
          <w:bCs w:val="1"/>
          <w:color w:val="29378D"/>
        </w:rPr>
      </w:pPr>
      <w:r>
        <w:rPr>
          <w:rFonts w:ascii="Arial" w:cs="Arial" w:eastAsia="Arial" w:hAnsi="Arial"/>
          <w:sz w:val="16"/>
          <w:szCs w:val="16"/>
          <w:color w:val="auto"/>
        </w:rPr>
        <w:t>overseeing and reviewing the Company’s management of governance-related risks, including the risks related to corporate culture</w:t>
      </w:r>
    </w:p>
    <w:p>
      <w:pPr>
        <w:spacing w:after="0" w:line="7" w:lineRule="exact"/>
        <w:rPr>
          <w:rFonts w:ascii="Arial" w:cs="Arial" w:eastAsia="Arial" w:hAnsi="Arial"/>
          <w:sz w:val="16"/>
          <w:szCs w:val="16"/>
          <w:b w:val="1"/>
          <w:bCs w:val="1"/>
          <w:color w:val="29378D"/>
        </w:rPr>
      </w:pPr>
    </w:p>
    <w:p>
      <w:pPr>
        <w:ind w:left="140" w:hanging="139"/>
        <w:spacing w:after="0"/>
        <w:tabs>
          <w:tab w:leader="none" w:pos="140" w:val="left"/>
        </w:tabs>
        <w:numPr>
          <w:ilvl w:val="0"/>
          <w:numId w:val="76"/>
        </w:numPr>
        <w:rPr>
          <w:rFonts w:ascii="Arial" w:cs="Arial" w:eastAsia="Arial" w:hAnsi="Arial"/>
          <w:sz w:val="16"/>
          <w:szCs w:val="16"/>
          <w:b w:val="1"/>
          <w:bCs w:val="1"/>
          <w:color w:val="29378D"/>
        </w:rPr>
      </w:pPr>
      <w:r>
        <w:rPr>
          <w:rFonts w:ascii="Arial" w:cs="Arial" w:eastAsia="Arial" w:hAnsi="Arial"/>
          <w:sz w:val="16"/>
          <w:szCs w:val="16"/>
          <w:color w:val="auto"/>
        </w:rPr>
        <w:t>assisting the Board in ensuring a comprehensive and effective framework for Board oversight</w:t>
      </w:r>
    </w:p>
    <w:p>
      <w:pPr>
        <w:spacing w:after="0" w:line="59" w:lineRule="exact"/>
        <w:rPr>
          <w:rFonts w:ascii="Arial" w:cs="Arial" w:eastAsia="Arial" w:hAnsi="Arial"/>
          <w:sz w:val="16"/>
          <w:szCs w:val="16"/>
          <w:b w:val="1"/>
          <w:bCs w:val="1"/>
          <w:color w:val="29378D"/>
        </w:rPr>
      </w:pPr>
    </w:p>
    <w:p>
      <w:pPr>
        <w:ind w:left="200" w:right="80" w:hanging="199"/>
        <w:spacing w:after="0" w:line="286" w:lineRule="auto"/>
        <w:tabs>
          <w:tab w:leader="none" w:pos="143" w:val="left"/>
        </w:tabs>
        <w:numPr>
          <w:ilvl w:val="0"/>
          <w:numId w:val="76"/>
        </w:numPr>
        <w:rPr>
          <w:rFonts w:ascii="Arial" w:cs="Arial" w:eastAsia="Arial" w:hAnsi="Arial"/>
          <w:sz w:val="16"/>
          <w:szCs w:val="16"/>
          <w:b w:val="1"/>
          <w:bCs w:val="1"/>
          <w:color w:val="29378D"/>
        </w:rPr>
      </w:pPr>
      <w:r>
        <w:rPr>
          <w:rFonts w:ascii="Arial" w:cs="Arial" w:eastAsia="Arial" w:hAnsi="Arial"/>
          <w:sz w:val="16"/>
          <w:szCs w:val="16"/>
          <w:color w:val="auto"/>
        </w:rPr>
        <w:t>regularly reviewing the Company’s corporate governance policies and practices, including the Company’s Bylaws and other corporate documents</w:t>
      </w:r>
    </w:p>
    <w:p>
      <w:pPr>
        <w:spacing w:after="0" w:line="7" w:lineRule="exact"/>
        <w:rPr>
          <w:rFonts w:ascii="Arial" w:cs="Arial" w:eastAsia="Arial" w:hAnsi="Arial"/>
          <w:sz w:val="16"/>
          <w:szCs w:val="16"/>
          <w:b w:val="1"/>
          <w:bCs w:val="1"/>
          <w:color w:val="29378D"/>
        </w:rPr>
      </w:pPr>
    </w:p>
    <w:p>
      <w:pPr>
        <w:ind w:left="200" w:right="40" w:hanging="199"/>
        <w:spacing w:after="0" w:line="286" w:lineRule="auto"/>
        <w:tabs>
          <w:tab w:leader="none" w:pos="143" w:val="left"/>
        </w:tabs>
        <w:numPr>
          <w:ilvl w:val="0"/>
          <w:numId w:val="76"/>
        </w:numPr>
        <w:rPr>
          <w:rFonts w:ascii="Arial" w:cs="Arial" w:eastAsia="Arial" w:hAnsi="Arial"/>
          <w:sz w:val="16"/>
          <w:szCs w:val="16"/>
          <w:b w:val="1"/>
          <w:bCs w:val="1"/>
          <w:color w:val="29378D"/>
        </w:rPr>
      </w:pPr>
      <w:r>
        <w:rPr>
          <w:rFonts w:ascii="Arial" w:cs="Arial" w:eastAsia="Arial" w:hAnsi="Arial"/>
          <w:sz w:val="16"/>
          <w:szCs w:val="16"/>
          <w:color w:val="auto"/>
        </w:rPr>
        <w:t>regularly reviewing and considering corporate governance developments, emerging trends and best practices and recommending changes to the Board</w:t>
      </w:r>
    </w:p>
    <w:p>
      <w:pPr>
        <w:spacing w:after="0" w:line="7" w:lineRule="exact"/>
        <w:rPr>
          <w:rFonts w:ascii="Arial" w:cs="Arial" w:eastAsia="Arial" w:hAnsi="Arial"/>
          <w:sz w:val="16"/>
          <w:szCs w:val="16"/>
          <w:b w:val="1"/>
          <w:bCs w:val="1"/>
          <w:color w:val="29378D"/>
        </w:rPr>
      </w:pPr>
    </w:p>
    <w:p>
      <w:pPr>
        <w:ind w:left="200" w:right="360" w:hanging="199"/>
        <w:spacing w:after="0" w:line="281" w:lineRule="auto"/>
        <w:tabs>
          <w:tab w:leader="none" w:pos="143" w:val="left"/>
        </w:tabs>
        <w:numPr>
          <w:ilvl w:val="0"/>
          <w:numId w:val="76"/>
        </w:numPr>
        <w:rPr>
          <w:rFonts w:ascii="Arial" w:cs="Arial" w:eastAsia="Arial" w:hAnsi="Arial"/>
          <w:sz w:val="16"/>
          <w:szCs w:val="16"/>
          <w:b w:val="1"/>
          <w:bCs w:val="1"/>
          <w:color w:val="29378D"/>
        </w:rPr>
      </w:pPr>
      <w:r>
        <w:rPr>
          <w:rFonts w:ascii="Arial" w:cs="Arial" w:eastAsia="Arial" w:hAnsi="Arial"/>
          <w:sz w:val="16"/>
          <w:szCs w:val="16"/>
          <w:color w:val="auto"/>
        </w:rPr>
        <w:t>reviewing and making recommendations to the Board with respect to the corporate governance section of the proxy statement, including proposed responses to any management and shareholder proposals</w:t>
      </w:r>
    </w:p>
    <w:p>
      <w:pPr>
        <w:spacing w:after="0" w:line="1" w:lineRule="exact"/>
        <w:rPr>
          <w:rFonts w:ascii="Arial" w:cs="Arial" w:eastAsia="Arial" w:hAnsi="Arial"/>
          <w:sz w:val="16"/>
          <w:szCs w:val="16"/>
          <w:b w:val="1"/>
          <w:bCs w:val="1"/>
          <w:color w:val="29378D"/>
        </w:rPr>
      </w:pPr>
    </w:p>
    <w:p>
      <w:pPr>
        <w:ind w:left="140" w:hanging="139"/>
        <w:spacing w:after="0"/>
        <w:tabs>
          <w:tab w:leader="none" w:pos="140" w:val="left"/>
        </w:tabs>
        <w:numPr>
          <w:ilvl w:val="0"/>
          <w:numId w:val="76"/>
        </w:numPr>
        <w:rPr>
          <w:rFonts w:ascii="Arial" w:cs="Arial" w:eastAsia="Arial" w:hAnsi="Arial"/>
          <w:sz w:val="16"/>
          <w:szCs w:val="16"/>
          <w:b w:val="1"/>
          <w:bCs w:val="1"/>
          <w:color w:val="29378D"/>
        </w:rPr>
      </w:pPr>
      <w:r>
        <w:rPr>
          <w:rFonts w:ascii="Arial" w:cs="Arial" w:eastAsia="Arial" w:hAnsi="Arial"/>
          <w:sz w:val="16"/>
          <w:szCs w:val="16"/>
          <w:color w:val="auto"/>
        </w:rPr>
        <w:t>meeting with shareholders and proxy advisory groups, as needed, to discuss issues of corporate governance</w:t>
      </w:r>
    </w:p>
    <w:p>
      <w:pPr>
        <w:spacing w:after="0" w:line="72" w:lineRule="exact"/>
        <w:rPr>
          <w:rFonts w:ascii="Arial" w:cs="Arial" w:eastAsia="Arial" w:hAnsi="Arial"/>
          <w:sz w:val="16"/>
          <w:szCs w:val="16"/>
          <w:b w:val="1"/>
          <w:bCs w:val="1"/>
          <w:color w:val="29378D"/>
        </w:rPr>
      </w:pPr>
    </w:p>
    <w:p>
      <w:pPr>
        <w:ind w:left="200" w:right="20" w:hanging="199"/>
        <w:spacing w:after="0" w:line="266" w:lineRule="auto"/>
        <w:tabs>
          <w:tab w:leader="none" w:pos="143" w:val="left"/>
        </w:tabs>
        <w:numPr>
          <w:ilvl w:val="0"/>
          <w:numId w:val="76"/>
        </w:numPr>
        <w:rPr>
          <w:rFonts w:ascii="Arial" w:cs="Arial" w:eastAsia="Arial" w:hAnsi="Arial"/>
          <w:sz w:val="16"/>
          <w:szCs w:val="16"/>
          <w:b w:val="1"/>
          <w:bCs w:val="1"/>
          <w:color w:val="29378D"/>
        </w:rPr>
      </w:pPr>
      <w:r>
        <w:rPr>
          <w:rFonts w:ascii="Arial" w:cs="Arial" w:eastAsia="Arial" w:hAnsi="Arial"/>
          <w:sz w:val="16"/>
          <w:szCs w:val="16"/>
          <w:color w:val="auto"/>
        </w:rPr>
        <w:t>regularly reviewing and making recommendations to the Board regarding the composition and size of the Board and the criteria for Board membership, which should include, among other things, skills, experience, diversity and integrity</w:t>
      </w:r>
    </w:p>
    <w:p>
      <w:pPr>
        <w:spacing w:after="0" w:line="22" w:lineRule="exact"/>
        <w:rPr>
          <w:rFonts w:ascii="Arial" w:cs="Arial" w:eastAsia="Arial" w:hAnsi="Arial"/>
          <w:sz w:val="16"/>
          <w:szCs w:val="16"/>
          <w:b w:val="1"/>
          <w:bCs w:val="1"/>
          <w:color w:val="29378D"/>
        </w:rPr>
      </w:pPr>
    </w:p>
    <w:p>
      <w:pPr>
        <w:ind w:left="200" w:right="440" w:hanging="199"/>
        <w:spacing w:after="0" w:line="275" w:lineRule="auto"/>
        <w:tabs>
          <w:tab w:leader="none" w:pos="143" w:val="left"/>
        </w:tabs>
        <w:numPr>
          <w:ilvl w:val="0"/>
          <w:numId w:val="76"/>
        </w:numPr>
        <w:rPr>
          <w:rFonts w:ascii="Arial" w:cs="Arial" w:eastAsia="Arial" w:hAnsi="Arial"/>
          <w:sz w:val="16"/>
          <w:szCs w:val="16"/>
          <w:b w:val="1"/>
          <w:bCs w:val="1"/>
          <w:color w:val="29378D"/>
        </w:rPr>
      </w:pPr>
      <w:r>
        <w:rPr>
          <w:rFonts w:ascii="Arial" w:cs="Arial" w:eastAsia="Arial" w:hAnsi="Arial"/>
          <w:sz w:val="16"/>
          <w:szCs w:val="16"/>
          <w:color w:val="auto"/>
        </w:rPr>
        <w:t>providing effective board succession planning, identifying and recommending to the Board qualified potential candidates to serve on the Board and its committees, including candidates who are recommended by the shareholders</w:t>
      </w:r>
    </w:p>
    <w:p>
      <w:pPr>
        <w:spacing w:after="0" w:line="2" w:lineRule="exact"/>
        <w:rPr>
          <w:rFonts w:ascii="Arial" w:cs="Arial" w:eastAsia="Arial" w:hAnsi="Arial"/>
          <w:sz w:val="16"/>
          <w:szCs w:val="16"/>
          <w:b w:val="1"/>
          <w:bCs w:val="1"/>
          <w:color w:val="29378D"/>
        </w:rPr>
      </w:pPr>
    </w:p>
    <w:p>
      <w:pPr>
        <w:ind w:left="200" w:right="20" w:hanging="199"/>
        <w:spacing w:after="0" w:line="286" w:lineRule="auto"/>
        <w:tabs>
          <w:tab w:leader="none" w:pos="143" w:val="left"/>
        </w:tabs>
        <w:numPr>
          <w:ilvl w:val="0"/>
          <w:numId w:val="76"/>
        </w:numPr>
        <w:rPr>
          <w:rFonts w:ascii="Arial" w:cs="Arial" w:eastAsia="Arial" w:hAnsi="Arial"/>
          <w:sz w:val="16"/>
          <w:szCs w:val="16"/>
          <w:b w:val="1"/>
          <w:bCs w:val="1"/>
          <w:color w:val="29378D"/>
        </w:rPr>
      </w:pPr>
      <w:r>
        <w:rPr>
          <w:rFonts w:ascii="Arial" w:cs="Arial" w:eastAsia="Arial" w:hAnsi="Arial"/>
          <w:sz w:val="16"/>
          <w:szCs w:val="16"/>
          <w:color w:val="auto"/>
        </w:rPr>
        <w:t>reviewing and determining whether a director’s service on another board or elsewhere is likely to interfere with the director’s duties and responsibilities as a member of the Board</w:t>
      </w:r>
    </w:p>
    <w:p>
      <w:pPr>
        <w:spacing w:after="0" w:line="7" w:lineRule="exact"/>
        <w:rPr>
          <w:rFonts w:ascii="Arial" w:cs="Arial" w:eastAsia="Arial" w:hAnsi="Arial"/>
          <w:sz w:val="16"/>
          <w:szCs w:val="16"/>
          <w:b w:val="1"/>
          <w:bCs w:val="1"/>
          <w:color w:val="29378D"/>
        </w:rPr>
      </w:pPr>
    </w:p>
    <w:p>
      <w:pPr>
        <w:ind w:left="200" w:right="100" w:hanging="199"/>
        <w:spacing w:after="0" w:line="275" w:lineRule="auto"/>
        <w:tabs>
          <w:tab w:leader="none" w:pos="143" w:val="left"/>
        </w:tabs>
        <w:numPr>
          <w:ilvl w:val="0"/>
          <w:numId w:val="76"/>
        </w:numPr>
        <w:rPr>
          <w:rFonts w:ascii="Arial" w:cs="Arial" w:eastAsia="Arial" w:hAnsi="Arial"/>
          <w:sz w:val="16"/>
          <w:szCs w:val="16"/>
          <w:b w:val="1"/>
          <w:bCs w:val="1"/>
          <w:color w:val="29378D"/>
        </w:rPr>
      </w:pPr>
      <w:r>
        <w:rPr>
          <w:rFonts w:ascii="Arial" w:cs="Arial" w:eastAsia="Arial" w:hAnsi="Arial"/>
          <w:sz w:val="16"/>
          <w:szCs w:val="16"/>
          <w:color w:val="auto"/>
        </w:rPr>
        <w:t>developing, recommending to the Board, and overseeing implementation of a robust annual performance evaluation process that includes an evaluation of each individual director, each committee and of the full Board's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807720</wp:posOffset>
            </wp:positionV>
            <wp:extent cx="530606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3060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420"/>
            <w:col w:w="8320"/>
          </w:cols>
          <w:pgMar w:left="320" w:top="23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0"/>
        <w:spacing w:after="0"/>
        <w:rPr>
          <w:sz w:val="20"/>
          <w:szCs w:val="20"/>
          <w:color w:val="auto"/>
        </w:rPr>
      </w:pPr>
      <w:r>
        <w:rPr>
          <w:rFonts w:ascii="Arial" w:cs="Arial" w:eastAsia="Arial" w:hAnsi="Arial"/>
          <w:sz w:val="23"/>
          <w:szCs w:val="23"/>
          <w:color w:val="29378D"/>
        </w:rPr>
        <w:t>Policy Committee</w:t>
      </w:r>
    </w:p>
    <w:p>
      <w:pPr>
        <w:spacing w:after="0" w:line="24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COMMITTEE MEMBERS:</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29378D"/>
        </w:rPr>
        <w:t>Gary Roughead (chair)</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Ann M. Fudge</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Arvind Krishna</w:t>
      </w:r>
    </w:p>
    <w:p>
      <w:pPr>
        <w:spacing w:after="0" w:line="15" w:lineRule="exact"/>
        <w:rPr>
          <w:sz w:val="20"/>
          <w:szCs w:val="20"/>
          <w:color w:val="auto"/>
        </w:rPr>
      </w:pPr>
    </w:p>
    <w:p>
      <w:pPr>
        <w:ind w:left="100" w:right="700"/>
        <w:spacing w:after="0" w:line="255" w:lineRule="auto"/>
        <w:rPr>
          <w:sz w:val="20"/>
          <w:szCs w:val="20"/>
          <w:color w:val="auto"/>
        </w:rPr>
      </w:pPr>
      <w:r>
        <w:rPr>
          <w:rFonts w:ascii="Arial" w:cs="Arial" w:eastAsia="Arial" w:hAnsi="Arial"/>
          <w:sz w:val="16"/>
          <w:szCs w:val="16"/>
          <w:color w:val="auto"/>
        </w:rPr>
        <w:t>Graham N. Robinson Kimberly A. Ross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Mark A. Welsh III</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Mary A. Winston</w:t>
      </w:r>
    </w:p>
    <w:p>
      <w:pPr>
        <w:spacing w:after="0" w:line="34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xml:space="preserve">Number of meetings in 2023: </w:t>
      </w:r>
      <w:r>
        <w:rPr>
          <w:rFonts w:ascii="Arial" w:cs="Arial" w:eastAsia="Arial" w:hAnsi="Arial"/>
          <w:sz w:val="16"/>
          <w:szCs w:val="16"/>
          <w:b w:val="1"/>
          <w:bCs w:val="1"/>
          <w:color w:val="29378D"/>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ROLES AND RESPONSIBILITIES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Assist the Board in reviewing policy, government relations and corporate responsibility, including by:</w:t>
      </w:r>
    </w:p>
    <w:p>
      <w:pPr>
        <w:spacing w:after="0" w:line="127" w:lineRule="exact"/>
        <w:rPr>
          <w:sz w:val="20"/>
          <w:szCs w:val="20"/>
          <w:color w:val="auto"/>
        </w:rPr>
      </w:pPr>
    </w:p>
    <w:p>
      <w:pPr>
        <w:ind w:left="200" w:right="100" w:hanging="199"/>
        <w:spacing w:after="0" w:line="286" w:lineRule="auto"/>
        <w:tabs>
          <w:tab w:leader="none" w:pos="143" w:val="left"/>
        </w:tabs>
        <w:numPr>
          <w:ilvl w:val="0"/>
          <w:numId w:val="77"/>
        </w:numPr>
        <w:rPr>
          <w:rFonts w:ascii="Arial" w:cs="Arial" w:eastAsia="Arial" w:hAnsi="Arial"/>
          <w:sz w:val="16"/>
          <w:szCs w:val="16"/>
          <w:b w:val="1"/>
          <w:bCs w:val="1"/>
          <w:color w:val="29378D"/>
        </w:rPr>
      </w:pPr>
      <w:r>
        <w:rPr>
          <w:rFonts w:ascii="Arial" w:cs="Arial" w:eastAsia="Arial" w:hAnsi="Arial"/>
          <w:sz w:val="16"/>
          <w:szCs w:val="16"/>
          <w:color w:val="auto"/>
        </w:rPr>
        <w:t>reviewing and providing input on select global security, political, budgetary, technological and other similar issues and trends that could significantly impact the Company’s business activities and performance</w:t>
      </w:r>
    </w:p>
    <w:p>
      <w:pPr>
        <w:spacing w:after="0" w:line="7" w:lineRule="exact"/>
        <w:rPr>
          <w:rFonts w:ascii="Arial" w:cs="Arial" w:eastAsia="Arial" w:hAnsi="Arial"/>
          <w:sz w:val="16"/>
          <w:szCs w:val="16"/>
          <w:b w:val="1"/>
          <w:bCs w:val="1"/>
          <w:color w:val="29378D"/>
        </w:rPr>
      </w:pPr>
    </w:p>
    <w:p>
      <w:pPr>
        <w:ind w:left="200" w:hanging="199"/>
        <w:spacing w:after="0" w:line="266" w:lineRule="auto"/>
        <w:tabs>
          <w:tab w:leader="none" w:pos="143" w:val="left"/>
        </w:tabs>
        <w:numPr>
          <w:ilvl w:val="0"/>
          <w:numId w:val="77"/>
        </w:numPr>
        <w:rPr>
          <w:rFonts w:ascii="Arial" w:cs="Arial" w:eastAsia="Arial" w:hAnsi="Arial"/>
          <w:sz w:val="16"/>
          <w:szCs w:val="16"/>
          <w:b w:val="1"/>
          <w:bCs w:val="1"/>
          <w:color w:val="29378D"/>
        </w:rPr>
      </w:pPr>
      <w:r>
        <w:rPr>
          <w:rFonts w:ascii="Arial" w:cs="Arial" w:eastAsia="Arial" w:hAnsi="Arial"/>
          <w:sz w:val="16"/>
          <w:szCs w:val="16"/>
          <w:color w:val="auto"/>
        </w:rPr>
        <w:t>reviewing and providing oversight of the Company’s environmental policies and programs (including climate change, net-zero, water and waste reduction, and other environmental initiatives and matters), and reviewing with the Company’s Chief Sustainability Officer at least annually the status of such programs</w:t>
      </w:r>
    </w:p>
    <w:p>
      <w:pPr>
        <w:spacing w:after="0" w:line="22" w:lineRule="exact"/>
        <w:rPr>
          <w:rFonts w:ascii="Arial" w:cs="Arial" w:eastAsia="Arial" w:hAnsi="Arial"/>
          <w:sz w:val="16"/>
          <w:szCs w:val="16"/>
          <w:b w:val="1"/>
          <w:bCs w:val="1"/>
          <w:color w:val="29378D"/>
        </w:rPr>
      </w:pPr>
    </w:p>
    <w:p>
      <w:pPr>
        <w:ind w:left="200" w:right="360" w:hanging="199"/>
        <w:spacing w:after="0" w:line="286" w:lineRule="auto"/>
        <w:tabs>
          <w:tab w:leader="none" w:pos="143" w:val="left"/>
        </w:tabs>
        <w:numPr>
          <w:ilvl w:val="0"/>
          <w:numId w:val="77"/>
        </w:numPr>
        <w:rPr>
          <w:rFonts w:ascii="Arial" w:cs="Arial" w:eastAsia="Arial" w:hAnsi="Arial"/>
          <w:sz w:val="16"/>
          <w:szCs w:val="16"/>
          <w:b w:val="1"/>
          <w:bCs w:val="1"/>
          <w:color w:val="29378D"/>
        </w:rPr>
      </w:pPr>
      <w:r>
        <w:rPr>
          <w:rFonts w:ascii="Arial" w:cs="Arial" w:eastAsia="Arial" w:hAnsi="Arial"/>
          <w:sz w:val="16"/>
          <w:szCs w:val="16"/>
          <w:color w:val="auto"/>
        </w:rPr>
        <w:t>reviewing and providing oversight of the Company’s Sustainability Report and Task Force on Climate-Related Financial Disclosures reports</w:t>
      </w:r>
    </w:p>
    <w:p>
      <w:pPr>
        <w:spacing w:after="0" w:line="7" w:lineRule="exact"/>
        <w:rPr>
          <w:rFonts w:ascii="Arial" w:cs="Arial" w:eastAsia="Arial" w:hAnsi="Arial"/>
          <w:sz w:val="16"/>
          <w:szCs w:val="16"/>
          <w:b w:val="1"/>
          <w:bCs w:val="1"/>
          <w:color w:val="29378D"/>
        </w:rPr>
      </w:pPr>
    </w:p>
    <w:p>
      <w:pPr>
        <w:ind w:left="200" w:right="160" w:hanging="199"/>
        <w:spacing w:after="0" w:line="266" w:lineRule="auto"/>
        <w:tabs>
          <w:tab w:leader="none" w:pos="143" w:val="left"/>
        </w:tabs>
        <w:numPr>
          <w:ilvl w:val="0"/>
          <w:numId w:val="77"/>
        </w:numPr>
        <w:rPr>
          <w:rFonts w:ascii="Arial" w:cs="Arial" w:eastAsia="Arial" w:hAnsi="Arial"/>
          <w:sz w:val="16"/>
          <w:szCs w:val="16"/>
          <w:b w:val="1"/>
          <w:bCs w:val="1"/>
          <w:color w:val="29378D"/>
        </w:rPr>
      </w:pPr>
      <w:r>
        <w:rPr>
          <w:rFonts w:ascii="Arial" w:cs="Arial" w:eastAsia="Arial" w:hAnsi="Arial"/>
          <w:sz w:val="16"/>
          <w:szCs w:val="16"/>
          <w:color w:val="auto"/>
        </w:rPr>
        <w:t>reviewing and providing oversight of the Company’s policies supporting human rights and health and safety, and receiving an update from the Company’s General Counsel at least annually on the Company’s Human Rights Working Group</w:t>
      </w:r>
    </w:p>
    <w:p>
      <w:pPr>
        <w:spacing w:after="0" w:line="22" w:lineRule="exact"/>
        <w:rPr>
          <w:rFonts w:ascii="Arial" w:cs="Arial" w:eastAsia="Arial" w:hAnsi="Arial"/>
          <w:sz w:val="16"/>
          <w:szCs w:val="16"/>
          <w:b w:val="1"/>
          <w:bCs w:val="1"/>
          <w:color w:val="29378D"/>
        </w:rPr>
      </w:pPr>
    </w:p>
    <w:p>
      <w:pPr>
        <w:ind w:left="200" w:right="440" w:hanging="199"/>
        <w:spacing w:after="0" w:line="281" w:lineRule="auto"/>
        <w:tabs>
          <w:tab w:leader="none" w:pos="143" w:val="left"/>
        </w:tabs>
        <w:numPr>
          <w:ilvl w:val="0"/>
          <w:numId w:val="77"/>
        </w:numPr>
        <w:rPr>
          <w:rFonts w:ascii="Arial" w:cs="Arial" w:eastAsia="Arial" w:hAnsi="Arial"/>
          <w:sz w:val="16"/>
          <w:szCs w:val="16"/>
          <w:b w:val="1"/>
          <w:bCs w:val="1"/>
          <w:color w:val="29378D"/>
        </w:rPr>
      </w:pPr>
      <w:r>
        <w:rPr>
          <w:rFonts w:ascii="Arial" w:cs="Arial" w:eastAsia="Arial" w:hAnsi="Arial"/>
          <w:sz w:val="16"/>
          <w:szCs w:val="16"/>
          <w:color w:val="auto"/>
        </w:rPr>
        <w:t>reviewing and providing oversight over the Company’s ethics and corporate social responsibility policies and programs</w:t>
      </w:r>
    </w:p>
    <w:p>
      <w:pPr>
        <w:spacing w:after="0" w:line="1" w:lineRule="exact"/>
        <w:rPr>
          <w:rFonts w:ascii="Arial" w:cs="Arial" w:eastAsia="Arial" w:hAnsi="Arial"/>
          <w:sz w:val="16"/>
          <w:szCs w:val="16"/>
          <w:b w:val="1"/>
          <w:bCs w:val="1"/>
          <w:color w:val="29378D"/>
        </w:rPr>
      </w:pPr>
    </w:p>
    <w:p>
      <w:pPr>
        <w:ind w:left="140" w:hanging="139"/>
        <w:spacing w:after="0"/>
        <w:tabs>
          <w:tab w:leader="none" w:pos="140" w:val="left"/>
        </w:tabs>
        <w:numPr>
          <w:ilvl w:val="0"/>
          <w:numId w:val="77"/>
        </w:numPr>
        <w:rPr>
          <w:rFonts w:ascii="Arial" w:cs="Arial" w:eastAsia="Arial" w:hAnsi="Arial"/>
          <w:sz w:val="16"/>
          <w:szCs w:val="16"/>
          <w:b w:val="1"/>
          <w:bCs w:val="1"/>
          <w:color w:val="29378D"/>
        </w:rPr>
      </w:pPr>
      <w:r>
        <w:rPr>
          <w:rFonts w:ascii="Arial" w:cs="Arial" w:eastAsia="Arial" w:hAnsi="Arial"/>
          <w:sz w:val="16"/>
          <w:szCs w:val="16"/>
          <w:color w:val="auto"/>
        </w:rPr>
        <w:t>reviewing the Company’s public relations strategy</w:t>
      </w:r>
    </w:p>
    <w:p>
      <w:pPr>
        <w:spacing w:after="0" w:line="72" w:lineRule="exact"/>
        <w:rPr>
          <w:rFonts w:ascii="Arial" w:cs="Arial" w:eastAsia="Arial" w:hAnsi="Arial"/>
          <w:sz w:val="16"/>
          <w:szCs w:val="16"/>
          <w:b w:val="1"/>
          <w:bCs w:val="1"/>
          <w:color w:val="29378D"/>
        </w:rPr>
      </w:pPr>
    </w:p>
    <w:p>
      <w:pPr>
        <w:ind w:left="200" w:right="80" w:hanging="199"/>
        <w:spacing w:after="0" w:line="286" w:lineRule="auto"/>
        <w:tabs>
          <w:tab w:leader="none" w:pos="143" w:val="left"/>
        </w:tabs>
        <w:numPr>
          <w:ilvl w:val="0"/>
          <w:numId w:val="77"/>
        </w:numPr>
        <w:rPr>
          <w:rFonts w:ascii="Arial" w:cs="Arial" w:eastAsia="Arial" w:hAnsi="Arial"/>
          <w:sz w:val="16"/>
          <w:szCs w:val="16"/>
          <w:b w:val="1"/>
          <w:bCs w:val="1"/>
          <w:color w:val="29378D"/>
        </w:rPr>
      </w:pPr>
      <w:r>
        <w:rPr>
          <w:rFonts w:ascii="Arial" w:cs="Arial" w:eastAsia="Arial" w:hAnsi="Arial"/>
          <w:sz w:val="16"/>
          <w:szCs w:val="16"/>
          <w:color w:val="auto"/>
        </w:rPr>
        <w:t>reviewing the Company’s government relations strategy and providing oversight of the compliance and policies of the political action committee</w:t>
      </w:r>
    </w:p>
    <w:p>
      <w:pPr>
        <w:spacing w:after="0" w:line="7" w:lineRule="exact"/>
        <w:rPr>
          <w:rFonts w:ascii="Arial" w:cs="Arial" w:eastAsia="Arial" w:hAnsi="Arial"/>
          <w:sz w:val="16"/>
          <w:szCs w:val="16"/>
          <w:b w:val="1"/>
          <w:bCs w:val="1"/>
          <w:color w:val="29378D"/>
        </w:rPr>
      </w:pPr>
    </w:p>
    <w:p>
      <w:pPr>
        <w:ind w:left="200" w:right="560" w:hanging="199"/>
        <w:spacing w:after="0" w:line="286" w:lineRule="auto"/>
        <w:tabs>
          <w:tab w:leader="none" w:pos="143" w:val="left"/>
        </w:tabs>
        <w:numPr>
          <w:ilvl w:val="0"/>
          <w:numId w:val="77"/>
        </w:numPr>
        <w:rPr>
          <w:rFonts w:ascii="Arial" w:cs="Arial" w:eastAsia="Arial" w:hAnsi="Arial"/>
          <w:sz w:val="16"/>
          <w:szCs w:val="16"/>
          <w:b w:val="1"/>
          <w:bCs w:val="1"/>
          <w:color w:val="29378D"/>
        </w:rPr>
      </w:pPr>
      <w:r>
        <w:rPr>
          <w:rFonts w:ascii="Arial" w:cs="Arial" w:eastAsia="Arial" w:hAnsi="Arial"/>
          <w:sz w:val="16"/>
          <w:szCs w:val="16"/>
          <w:color w:val="auto"/>
        </w:rPr>
        <w:t>reviewing and provide oversight of the Company’s community relations programs and support of charitable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441960</wp:posOffset>
            </wp:positionV>
            <wp:extent cx="53060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3060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580"/>
            <w:col w:w="8320"/>
          </w:cols>
          <w:pgMar w:left="320" w:top="23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0" w:hanging="494"/>
        <w:spacing w:after="0"/>
        <w:tabs>
          <w:tab w:leader="none" w:pos="520" w:val="left"/>
        </w:tabs>
        <w:numPr>
          <w:ilvl w:val="0"/>
          <w:numId w:val="78"/>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Meetings and Executive Sessions</w:t>
      </w:r>
    </w:p>
    <w:p>
      <w:pPr>
        <w:spacing w:after="0" w:line="14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Board meets no fewer than nine times each year (including via telephonic meetings). Special meetings of the Board may be called from time to time as appropriate. On an annual basis, the Board holds an extended meeting to review our long-term strategy.</w:t>
      </w:r>
    </w:p>
    <w:p>
      <w:pPr>
        <w:spacing w:after="0" w:line="6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Board often holds its meetings at Company locations other than our corporate headquarters to provide the directors with a first-hand view of different elements of our business and an opportunity to interact with local management and employees at various levels.</w:t>
      </w:r>
    </w:p>
    <w:p>
      <w:pPr>
        <w:spacing w:after="0" w:line="48"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Board meets in executive session (with the directors only and then with the independent directors only) following each in-person Board meeting and on other occasions as needed. The Lead Independent Director presides over the executive sessions of the independent directors. The Audit and Risk Committee meets in executive session at least four times each year, and regularly requests separate executive sessions with representatives of our independent auditor and our senior management, including our Chief Financial Officer, General Counsel and our Vice President, Internal Audit. The Compensation and Human Capital Committee also meets in executive session from time to time and regularly receives a report from the Compensation and Human Capital Committee’s independent compensation consultant. The Nominating and Corporate Governance and Policy Committees also meet in executive session as they deem necessary.</w:t>
      </w:r>
    </w:p>
    <w:p>
      <w:pPr>
        <w:spacing w:after="0" w:line="226"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Meeting Attendance</w:t>
      </w:r>
    </w:p>
    <w:p>
      <w:pPr>
        <w:spacing w:after="0" w:line="12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2023, the Board held nine meetings. Each director serving in 2023 attended 75% or more of the meetings of the Board and the committees on which he or she served during 2023, with the average attendance for all Board and committee meetings being 97%. Board members are expected to attend each annual meeting, except where the failure to attend is due to unavoidable circumstances. All of our directors except one attended our 2023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30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Independence</w:t>
      </w:r>
    </w:p>
    <w:p>
      <w:pPr>
        <w:spacing w:after="0" w:line="14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Board and the Nominating and Corporate Governance Committee annually review the relevant relationships or arrangements between the Company and our directors or parties related to the directors in determining whether such directors are independent. No director is considered independent unless the Board has determined that the director meets the independence requirements under applicable New York Stock Exchange (NYSE) and SEC rules and under our categorical independence standards, which are described in our Principles of Corporate Governance. For a director to be considered independent, the Board must determine that a director has no material relationship with the Company other than as a director.</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Our Principles of Corporate Governance provide that a director may be found not to qualify as an independent director if the director:</w:t>
      </w:r>
    </w:p>
    <w:p>
      <w:pPr>
        <w:spacing w:after="0" w:line="113" w:lineRule="exact"/>
        <w:rPr>
          <w:sz w:val="20"/>
          <w:szCs w:val="20"/>
          <w:color w:val="auto"/>
        </w:rPr>
      </w:pPr>
    </w:p>
    <w:p>
      <w:pPr>
        <w:ind w:left="200" w:right="380" w:hanging="192"/>
        <w:spacing w:after="0" w:line="275" w:lineRule="auto"/>
        <w:tabs>
          <w:tab w:leader="none" w:pos="143" w:val="left"/>
        </w:tabs>
        <w:numPr>
          <w:ilvl w:val="0"/>
          <w:numId w:val="79"/>
        </w:numPr>
        <w:rPr>
          <w:rFonts w:ascii="Arial" w:cs="Arial" w:eastAsia="Arial" w:hAnsi="Arial"/>
          <w:sz w:val="16"/>
          <w:szCs w:val="16"/>
          <w:b w:val="1"/>
          <w:bCs w:val="1"/>
          <w:color w:val="29378D"/>
        </w:rPr>
      </w:pPr>
      <w:r>
        <w:rPr>
          <w:rFonts w:ascii="Arial" w:cs="Arial" w:eastAsia="Arial" w:hAnsi="Arial"/>
          <w:sz w:val="16"/>
          <w:szCs w:val="16"/>
          <w:color w:val="auto"/>
        </w:rPr>
        <w:t>has within the prior three years been a director, executive officer or trustee of a charitable organization that received annual contributions from the Company exceeding the greater of $1 million or 2% of the charitable organization’s annual gross revenues, where the gifts were not normal matching charitable gifts, did not go through normal corporate charitable donation approval processes or were made “on behalf of” a director;</w:t>
      </w:r>
    </w:p>
    <w:p>
      <w:pPr>
        <w:spacing w:after="0" w:line="29" w:lineRule="exact"/>
        <w:rPr>
          <w:rFonts w:ascii="Arial" w:cs="Arial" w:eastAsia="Arial" w:hAnsi="Arial"/>
          <w:sz w:val="16"/>
          <w:szCs w:val="16"/>
          <w:b w:val="1"/>
          <w:bCs w:val="1"/>
          <w:color w:val="29378D"/>
        </w:rPr>
      </w:pPr>
    </w:p>
    <w:p>
      <w:pPr>
        <w:ind w:left="200" w:right="80" w:hanging="192"/>
        <w:spacing w:after="0" w:line="265" w:lineRule="auto"/>
        <w:tabs>
          <w:tab w:leader="none" w:pos="143" w:val="left"/>
        </w:tabs>
        <w:numPr>
          <w:ilvl w:val="0"/>
          <w:numId w:val="79"/>
        </w:numPr>
        <w:rPr>
          <w:rFonts w:ascii="Arial" w:cs="Arial" w:eastAsia="Arial" w:hAnsi="Arial"/>
          <w:sz w:val="16"/>
          <w:szCs w:val="16"/>
          <w:b w:val="1"/>
          <w:bCs w:val="1"/>
          <w:color w:val="29378D"/>
        </w:rPr>
      </w:pPr>
      <w:r>
        <w:rPr>
          <w:rFonts w:ascii="Arial" w:cs="Arial" w:eastAsia="Arial" w:hAnsi="Arial"/>
          <w:sz w:val="16"/>
          <w:szCs w:val="16"/>
          <w:color w:val="auto"/>
        </w:rPr>
        <w:t>has, or has an immediate family member who has, within the prior three years been employed by, a partner in or otherwise affiliated with any law firm or investment bank in which the director’s or the immediate family member’s compensation was contingent on the services performed for the Company or in which the director or the immediate family member personally performed services for the Company and the annual fees paid by the Company during the preceding fiscal year exceeded the greater of $1 million or 2% of the gross annual revenues of such firm; or</w:t>
      </w:r>
    </w:p>
    <w:p>
      <w:pPr>
        <w:spacing w:after="0" w:line="37" w:lineRule="exact"/>
        <w:rPr>
          <w:rFonts w:ascii="Arial" w:cs="Arial" w:eastAsia="Arial" w:hAnsi="Arial"/>
          <w:sz w:val="16"/>
          <w:szCs w:val="16"/>
          <w:b w:val="1"/>
          <w:bCs w:val="1"/>
          <w:color w:val="29378D"/>
        </w:rPr>
      </w:pPr>
    </w:p>
    <w:p>
      <w:pPr>
        <w:ind w:left="200" w:right="160" w:hanging="192"/>
        <w:spacing w:after="0" w:line="266" w:lineRule="auto"/>
        <w:tabs>
          <w:tab w:leader="none" w:pos="143" w:val="left"/>
        </w:tabs>
        <w:numPr>
          <w:ilvl w:val="0"/>
          <w:numId w:val="79"/>
        </w:numPr>
        <w:rPr>
          <w:rFonts w:ascii="Arial" w:cs="Arial" w:eastAsia="Arial" w:hAnsi="Arial"/>
          <w:sz w:val="16"/>
          <w:szCs w:val="16"/>
          <w:b w:val="1"/>
          <w:bCs w:val="1"/>
          <w:color w:val="29378D"/>
        </w:rPr>
      </w:pPr>
      <w:r>
        <w:rPr>
          <w:rFonts w:ascii="Arial" w:cs="Arial" w:eastAsia="Arial" w:hAnsi="Arial"/>
          <w:sz w:val="16"/>
          <w:szCs w:val="16"/>
          <w:color w:val="auto"/>
        </w:rPr>
        <w:t>has, or has an immediate family member who has, within the prior three years owned, either directly or indirectly as a partner, shareholder or officer of another company, more than 5% of the equity of an organization that has a material business relationship with (including significant purchasers of goods or services), or more than 5% ownership in,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Independence Determination</w:t>
      </w:r>
    </w:p>
    <w:p>
      <w:pPr>
        <w:spacing w:after="0" w:line="12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 connection with their annual independence review, the Board and Nominating and Corporate Governance Committee considered certain relationships with organizations to which we have made payments or from which we have received payments in the usual course of our business in 2023. The Board of Directors considered that Mr. Abney, Ms. Brown, Ms. Fudge, Mr. Krishna, Mr. Robinson, Ms. Ross, Adm. Roughead, Mr. Schoewe, Mr. Turley, Gen. Welsh and Ms. Winston served as members of the board of directors or trustees and/or employees or executive officers of companies with which we do business or have made payments in the ordinary course.</w:t>
      </w:r>
    </w:p>
    <w:p>
      <w:pPr>
        <w:spacing w:after="0" w:line="8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Board of Directors considered that Ms. Ross, Adm. Roughead and Mr. Turley served as members of the boards of organizations to which the Company made contributions during 2023 in the usual course of our charitable contributions program, or in connection with our matching gifts program (which limits the contributions to $10,000 per year per director). The amounts paid were below the applicable thresholds under NYSE rules and our Principles of Corporate Governance.</w:t>
      </w:r>
    </w:p>
    <w:p>
      <w:pPr>
        <w:spacing w:after="0" w:line="65"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Following its review and the recommendation of the Nominating and Corporate Governance Committee, the Board affirmatively determined that all of the directors, except Ms. Warden, are independent. The independent directors constitute approximately 92% of the members of our Board.</w:t>
      </w:r>
    </w:p>
    <w:p>
      <w:pPr>
        <w:spacing w:after="0" w:line="200" w:lineRule="exact"/>
        <w:rPr>
          <w:sz w:val="20"/>
          <w:szCs w:val="20"/>
          <w:color w:val="auto"/>
        </w:rPr>
      </w:pPr>
    </w:p>
    <w:p>
      <w:pPr>
        <w:spacing w:after="0" w:line="311" w:lineRule="exact"/>
        <w:rPr>
          <w:sz w:val="20"/>
          <w:szCs w:val="20"/>
          <w:color w:val="auto"/>
        </w:rPr>
      </w:pPr>
    </w:p>
    <w:p>
      <w:pPr>
        <w:ind w:left="520" w:hanging="494"/>
        <w:spacing w:after="0"/>
        <w:tabs>
          <w:tab w:leader="none" w:pos="520" w:val="left"/>
        </w:tabs>
        <w:numPr>
          <w:ilvl w:val="0"/>
          <w:numId w:val="80"/>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Our Culture</w:t>
      </w:r>
    </w:p>
    <w:p>
      <w:pPr>
        <w:spacing w:after="0" w:line="14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Our strong culture — founded on our values; reflecting our commitment to ethics, integrity, belonging, inclusion and respect; and focused on enduring performance, innovation, agility and accountability — enables our success and long-term sustainable growth. Culture is critical to who we are and how we do business. Our values guide our Company and provide the foundation for our culture. Our culture is critical to our ability to do business, to attract and retain talent, to perform, to earn trust, to serve our customers and to deliver long-term value for our shareholders. We all have a shared responsibility to maintain and enhance it.</w:t>
      </w:r>
    </w:p>
    <w:p>
      <w:pPr>
        <w:spacing w:after="0" w:line="83"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Our culture is reflected in our commitment to corporate responsibility and sustainability. We are proud of our long-standing advancement of diversity, equity and inclusion, our service to our communities and the progress we have driven across the various aspects of sustainability. Corporate responsibility and sustainability are critical to our business and long-term value creation for our shareholders, customers, employees and suppliers, and the communities we serve.</w:t>
      </w:r>
    </w:p>
    <w:p>
      <w:pPr>
        <w:spacing w:after="0" w:line="65" w:lineRule="exact"/>
        <w:rPr>
          <w:sz w:val="20"/>
          <w:szCs w:val="20"/>
          <w:color w:val="auto"/>
        </w:rPr>
      </w:pPr>
    </w:p>
    <w:p>
      <w:pPr>
        <w:ind w:right="600"/>
        <w:spacing w:after="0" w:line="304" w:lineRule="auto"/>
        <w:rPr>
          <w:sz w:val="20"/>
          <w:szCs w:val="20"/>
          <w:color w:val="auto"/>
        </w:rPr>
      </w:pPr>
      <w:r>
        <w:rPr>
          <w:rFonts w:ascii="Arial" w:cs="Arial" w:eastAsia="Arial" w:hAnsi="Arial"/>
          <w:sz w:val="16"/>
          <w:szCs w:val="16"/>
          <w:color w:val="auto"/>
        </w:rPr>
        <w:t>Management establishes and reinforces the Company’s culture, and our Board is actively engaged in providing oversight. The Board is committed to sustaining and enhancing the Company’s strong culture. For example:</w:t>
      </w:r>
    </w:p>
    <w:p>
      <w:pPr>
        <w:spacing w:after="0" w:line="33" w:lineRule="exact"/>
        <w:rPr>
          <w:sz w:val="20"/>
          <w:szCs w:val="20"/>
          <w:color w:val="auto"/>
        </w:rPr>
      </w:pPr>
    </w:p>
    <w:p>
      <w:pPr>
        <w:ind w:left="200" w:right="140" w:hanging="192"/>
        <w:spacing w:after="0" w:line="265" w:lineRule="auto"/>
        <w:tabs>
          <w:tab w:leader="none" w:pos="143" w:val="left"/>
        </w:tabs>
        <w:numPr>
          <w:ilvl w:val="0"/>
          <w:numId w:val="81"/>
        </w:numPr>
        <w:rPr>
          <w:rFonts w:ascii="Arial" w:cs="Arial" w:eastAsia="Arial" w:hAnsi="Arial"/>
          <w:sz w:val="16"/>
          <w:szCs w:val="16"/>
          <w:b w:val="1"/>
          <w:bCs w:val="1"/>
          <w:color w:val="29378D"/>
        </w:rPr>
      </w:pPr>
      <w:r>
        <w:rPr>
          <w:rFonts w:ascii="Arial" w:cs="Arial" w:eastAsia="Arial" w:hAnsi="Arial"/>
          <w:sz w:val="16"/>
          <w:szCs w:val="16"/>
          <w:color w:val="auto"/>
        </w:rPr>
        <w:t>The Company conducts an annual employee experience survey, which gives our employees the opportunity to provide feedback on our Company culture and the environment that enables their success. This survey is managed by a third-party vendor to encourage candor and solicit feedback on many aspects of the employee experience, including career development, enablement, team culture, manager effectiveness, belonging and well-being. The results of this survey are reported to and discussed with the full Board annually.</w:t>
      </w:r>
    </w:p>
    <w:p>
      <w:pPr>
        <w:spacing w:after="0" w:line="37" w:lineRule="exact"/>
        <w:rPr>
          <w:rFonts w:ascii="Arial" w:cs="Arial" w:eastAsia="Arial" w:hAnsi="Arial"/>
          <w:sz w:val="16"/>
          <w:szCs w:val="16"/>
          <w:b w:val="1"/>
          <w:bCs w:val="1"/>
          <w:color w:val="29378D"/>
        </w:rPr>
      </w:pPr>
    </w:p>
    <w:p>
      <w:pPr>
        <w:ind w:left="200" w:right="240" w:hanging="192"/>
        <w:spacing w:after="0" w:line="286" w:lineRule="auto"/>
        <w:tabs>
          <w:tab w:leader="none" w:pos="143" w:val="left"/>
        </w:tabs>
        <w:numPr>
          <w:ilvl w:val="0"/>
          <w:numId w:val="81"/>
        </w:numPr>
        <w:rPr>
          <w:rFonts w:ascii="Arial" w:cs="Arial" w:eastAsia="Arial" w:hAnsi="Arial"/>
          <w:sz w:val="16"/>
          <w:szCs w:val="16"/>
          <w:b w:val="1"/>
          <w:bCs w:val="1"/>
          <w:color w:val="29378D"/>
        </w:rPr>
      </w:pPr>
      <w:r>
        <w:rPr>
          <w:rFonts w:ascii="Arial" w:cs="Arial" w:eastAsia="Arial" w:hAnsi="Arial"/>
          <w:sz w:val="16"/>
          <w:szCs w:val="16"/>
          <w:color w:val="auto"/>
        </w:rPr>
        <w:t>The Board meets regularly with employees at all levels to reaffirm the health of our culture. The Board meets with employees during site visits that are a critical part of Board meetings, and also during “Sector Days,” when our directors visit the operations across our four business sectors.</w:t>
      </w:r>
    </w:p>
    <w:p>
      <w:pPr>
        <w:spacing w:after="0" w:line="20" w:lineRule="exact"/>
        <w:rPr>
          <w:rFonts w:ascii="Arial" w:cs="Arial" w:eastAsia="Arial" w:hAnsi="Arial"/>
          <w:sz w:val="16"/>
          <w:szCs w:val="16"/>
          <w:b w:val="1"/>
          <w:bCs w:val="1"/>
          <w:color w:val="29378D"/>
        </w:rPr>
      </w:pPr>
    </w:p>
    <w:p>
      <w:pPr>
        <w:ind w:left="140" w:hanging="132"/>
        <w:spacing w:after="0"/>
        <w:tabs>
          <w:tab w:leader="none" w:pos="140" w:val="left"/>
        </w:tabs>
        <w:numPr>
          <w:ilvl w:val="0"/>
          <w:numId w:val="81"/>
        </w:numPr>
        <w:rPr>
          <w:rFonts w:ascii="Arial" w:cs="Arial" w:eastAsia="Arial" w:hAnsi="Arial"/>
          <w:sz w:val="16"/>
          <w:szCs w:val="16"/>
          <w:b w:val="1"/>
          <w:bCs w:val="1"/>
          <w:color w:val="29378D"/>
        </w:rPr>
      </w:pPr>
      <w:r>
        <w:rPr>
          <w:rFonts w:ascii="Arial" w:cs="Arial" w:eastAsia="Arial" w:hAnsi="Arial"/>
          <w:sz w:val="16"/>
          <w:szCs w:val="16"/>
          <w:color w:val="auto"/>
        </w:rPr>
        <w:t>Members of our Board often share their time by generously participating as speakers in Company leadership programs.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Board’s Committees oversee elements of the Company’s culture associated with their respective area of responsibility.</w:t>
      </w:r>
    </w:p>
    <w:p>
      <w:pPr>
        <w:spacing w:after="0" w:line="127" w:lineRule="exact"/>
        <w:rPr>
          <w:sz w:val="20"/>
          <w:szCs w:val="20"/>
          <w:color w:val="auto"/>
        </w:rPr>
      </w:pPr>
    </w:p>
    <w:p>
      <w:pPr>
        <w:ind w:left="200" w:right="20" w:hanging="192"/>
        <w:spacing w:after="0" w:line="275" w:lineRule="auto"/>
        <w:tabs>
          <w:tab w:leader="none" w:pos="143" w:val="left"/>
        </w:tabs>
        <w:numPr>
          <w:ilvl w:val="0"/>
          <w:numId w:val="82"/>
        </w:numPr>
        <w:rPr>
          <w:rFonts w:ascii="Arial" w:cs="Arial" w:eastAsia="Arial" w:hAnsi="Arial"/>
          <w:sz w:val="16"/>
          <w:szCs w:val="16"/>
          <w:b w:val="1"/>
          <w:bCs w:val="1"/>
          <w:color w:val="29378D"/>
        </w:rPr>
      </w:pPr>
      <w:r>
        <w:rPr>
          <w:rFonts w:ascii="Arial" w:cs="Arial" w:eastAsia="Arial" w:hAnsi="Arial"/>
          <w:sz w:val="16"/>
          <w:szCs w:val="16"/>
          <w:color w:val="auto"/>
        </w:rPr>
        <w:t>The Audit and Risk Committee reviews and discusses the Company’s global compliance programs with our General Counsel and CECO, including the tone set by leaders throughout the organization, and they meet quarterly with our CECO to receive a report on matters that are communicated through the OpenLine reporting system.</w:t>
      </w:r>
    </w:p>
    <w:p>
      <w:pPr>
        <w:spacing w:after="0" w:line="56" w:lineRule="exact"/>
        <w:rPr>
          <w:rFonts w:ascii="Arial" w:cs="Arial" w:eastAsia="Arial" w:hAnsi="Arial"/>
          <w:sz w:val="16"/>
          <w:szCs w:val="16"/>
          <w:b w:val="1"/>
          <w:bCs w:val="1"/>
          <w:color w:val="29378D"/>
        </w:rPr>
      </w:pPr>
    </w:p>
    <w:p>
      <w:pPr>
        <w:ind w:left="200" w:right="60" w:hanging="192"/>
        <w:spacing w:after="0" w:line="286" w:lineRule="auto"/>
        <w:tabs>
          <w:tab w:leader="none" w:pos="143" w:val="left"/>
        </w:tabs>
        <w:numPr>
          <w:ilvl w:val="0"/>
          <w:numId w:val="82"/>
        </w:numPr>
        <w:rPr>
          <w:rFonts w:ascii="Arial" w:cs="Arial" w:eastAsia="Arial" w:hAnsi="Arial"/>
          <w:sz w:val="16"/>
          <w:szCs w:val="16"/>
          <w:b w:val="1"/>
          <w:bCs w:val="1"/>
          <w:color w:val="29378D"/>
        </w:rPr>
      </w:pPr>
      <w:r>
        <w:rPr>
          <w:rFonts w:ascii="Arial" w:cs="Arial" w:eastAsia="Arial" w:hAnsi="Arial"/>
          <w:sz w:val="16"/>
          <w:szCs w:val="16"/>
          <w:color w:val="auto"/>
        </w:rPr>
        <w:t>The Compensation and Human Capital Committee reviews with the Chief Human Resources Officer the Company’s human capital management, monitors policies and practices with respect to diversity, equity and inclusion, and reviews a risk assessment of the Company’s compensation programs.</w:t>
      </w:r>
    </w:p>
    <w:p>
      <w:pPr>
        <w:spacing w:after="0" w:line="61" w:lineRule="exact"/>
        <w:rPr>
          <w:rFonts w:ascii="Arial" w:cs="Arial" w:eastAsia="Arial" w:hAnsi="Arial"/>
          <w:sz w:val="16"/>
          <w:szCs w:val="16"/>
          <w:b w:val="1"/>
          <w:bCs w:val="1"/>
          <w:color w:val="29378D"/>
        </w:rPr>
      </w:pPr>
    </w:p>
    <w:p>
      <w:pPr>
        <w:ind w:left="140" w:hanging="132"/>
        <w:spacing w:after="0"/>
        <w:tabs>
          <w:tab w:leader="none" w:pos="140" w:val="left"/>
        </w:tabs>
        <w:numPr>
          <w:ilvl w:val="0"/>
          <w:numId w:val="82"/>
        </w:numPr>
        <w:rPr>
          <w:rFonts w:ascii="Arial" w:cs="Arial" w:eastAsia="Arial" w:hAnsi="Arial"/>
          <w:sz w:val="16"/>
          <w:szCs w:val="16"/>
          <w:b w:val="1"/>
          <w:bCs w:val="1"/>
          <w:color w:val="29378D"/>
        </w:rPr>
      </w:pPr>
      <w:r>
        <w:rPr>
          <w:rFonts w:ascii="Arial" w:cs="Arial" w:eastAsia="Arial" w:hAnsi="Arial"/>
          <w:sz w:val="16"/>
          <w:szCs w:val="16"/>
          <w:color w:val="auto"/>
        </w:rPr>
        <w:t>The Nominating and Corporate Governance Committee provides the Board oversight of the Company’s corporate culture and governance-related risks.</w:t>
      </w:r>
    </w:p>
    <w:p>
      <w:pPr>
        <w:spacing w:after="0" w:line="86" w:lineRule="exact"/>
        <w:rPr>
          <w:rFonts w:ascii="Arial" w:cs="Arial" w:eastAsia="Arial" w:hAnsi="Arial"/>
          <w:sz w:val="16"/>
          <w:szCs w:val="16"/>
          <w:b w:val="1"/>
          <w:bCs w:val="1"/>
          <w:color w:val="29378D"/>
        </w:rPr>
      </w:pPr>
    </w:p>
    <w:p>
      <w:pPr>
        <w:ind w:left="200" w:right="100" w:hanging="192"/>
        <w:spacing w:after="0" w:line="266" w:lineRule="auto"/>
        <w:tabs>
          <w:tab w:leader="none" w:pos="143" w:val="left"/>
        </w:tabs>
        <w:numPr>
          <w:ilvl w:val="0"/>
          <w:numId w:val="82"/>
        </w:numPr>
        <w:rPr>
          <w:rFonts w:ascii="Arial" w:cs="Arial" w:eastAsia="Arial" w:hAnsi="Arial"/>
          <w:sz w:val="16"/>
          <w:szCs w:val="16"/>
          <w:b w:val="1"/>
          <w:bCs w:val="1"/>
          <w:color w:val="29378D"/>
        </w:rPr>
      </w:pPr>
      <w:r>
        <w:rPr>
          <w:rFonts w:ascii="Arial" w:cs="Arial" w:eastAsia="Arial" w:hAnsi="Arial"/>
          <w:sz w:val="16"/>
          <w:szCs w:val="16"/>
          <w:color w:val="auto"/>
        </w:rPr>
        <w:t>The Policy Committee receives at least annually a report from the officers responsible for our ethics and compliance programs, including our Standards of Business Conduct, and reviews and monitors practices with respect to sustainability and environmental matters, human rights, health and safety, and charitable organizations.</w:t>
      </w:r>
    </w:p>
    <w:p>
      <w:pPr>
        <w:spacing w:after="0" w:line="237"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Sustainability</w:t>
      </w:r>
    </w:p>
    <w:p>
      <w:pPr>
        <w:spacing w:after="0" w:line="110"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Our strong environmental, social and governance (ESG) programs and practices reflect and enhance our culture and are designed to promote the long-term interests of our shareholders and other stakeholders and the communities in which we operate. They help us attract and retain the best talent, perform for our customers, serve as responsible corporate citizens in the communities where we live and operate and create long-term value for our stakeholders.</w:t>
      </w:r>
    </w:p>
    <w:p>
      <w:pPr>
        <w:spacing w:after="0" w:line="7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Our annual Sustainability Report provides our stakeholders with detailed information on various ESG programs and our related goals and achievements. The Sustainability Report, our ESG Performance Data Matrix and other ESG-related disclosures, including reporting aligned with the Task Force on Climate-related Financial Disclosures, are available at </w:t>
      </w:r>
      <w:r>
        <w:rPr>
          <w:rFonts w:ascii="Arial" w:cs="Arial" w:eastAsia="Arial" w:hAnsi="Arial"/>
          <w:sz w:val="16"/>
          <w:szCs w:val="16"/>
          <w:i w:val="1"/>
          <w:iCs w:val="1"/>
          <w:color w:val="auto"/>
        </w:rPr>
        <w:t>www.northropgrumman.com/corporate-responsibility/esg-reports</w:t>
      </w:r>
      <w:r>
        <w:rPr>
          <w:rFonts w:ascii="Arial" w:cs="Arial" w:eastAsia="Arial" w:hAnsi="Arial"/>
          <w:sz w:val="16"/>
          <w:szCs w:val="16"/>
          <w:color w:val="auto"/>
        </w:rPr>
        <w:t xml:space="preserve">. Our Human Rights Report is available on the Investor Relations section of our website at </w:t>
      </w:r>
      <w:r>
        <w:rPr>
          <w:rFonts w:ascii="Arial" w:cs="Arial" w:eastAsia="Arial" w:hAnsi="Arial"/>
          <w:sz w:val="16"/>
          <w:szCs w:val="16"/>
          <w:i w:val="1"/>
          <w:iCs w:val="1"/>
          <w:color w:val="auto"/>
        </w:rPr>
        <w:t>www.northropgrumman.com</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3"/>
          <w:szCs w:val="23"/>
          <w:color w:val="auto"/>
        </w:rPr>
        <w:t>Environmental</w:t>
      </w:r>
    </w:p>
    <w:p>
      <w:pPr>
        <w:spacing w:after="0" w:line="13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are proud of our long-standing commitment to environmental stewardship, and our record of setting and achieving robust goals. As described in our 2023 Sustainability Report, our next generation of environmental sustainability goals focus on the Company’s facilities, as well as supply chain partners and customers:</w:t>
      </w:r>
    </w:p>
    <w:p>
      <w:pPr>
        <w:spacing w:after="0" w:line="56" w:lineRule="exact"/>
        <w:rPr>
          <w:sz w:val="20"/>
          <w:szCs w:val="20"/>
          <w:color w:val="auto"/>
        </w:rPr>
      </w:pPr>
    </w:p>
    <w:p>
      <w:pPr>
        <w:ind w:left="160" w:hanging="152"/>
        <w:spacing w:after="0"/>
        <w:tabs>
          <w:tab w:leader="none" w:pos="160" w:val="left"/>
        </w:tabs>
        <w:numPr>
          <w:ilvl w:val="0"/>
          <w:numId w:val="83"/>
        </w:numPr>
        <w:rPr>
          <w:rFonts w:ascii="Arial" w:cs="Arial" w:eastAsia="Arial" w:hAnsi="Arial"/>
          <w:sz w:val="16"/>
          <w:szCs w:val="16"/>
          <w:color w:val="29378D"/>
        </w:rPr>
      </w:pPr>
      <w:r>
        <w:rPr>
          <w:rFonts w:ascii="Arial" w:cs="Arial" w:eastAsia="Arial" w:hAnsi="Arial"/>
          <w:sz w:val="16"/>
          <w:szCs w:val="16"/>
          <w:color w:val="auto"/>
        </w:rPr>
        <w:t>Net zero greenhouse gas emissions in our operations by 2035.</w:t>
      </w:r>
    </w:p>
    <w:p>
      <w:pPr>
        <w:spacing w:after="0" w:line="86" w:lineRule="exact"/>
        <w:rPr>
          <w:rFonts w:ascii="Arial" w:cs="Arial" w:eastAsia="Arial" w:hAnsi="Arial"/>
          <w:sz w:val="16"/>
          <w:szCs w:val="16"/>
          <w:color w:val="29378D"/>
        </w:rPr>
      </w:pPr>
    </w:p>
    <w:p>
      <w:pPr>
        <w:ind w:left="140" w:hanging="132"/>
        <w:spacing w:after="0"/>
        <w:tabs>
          <w:tab w:leader="none" w:pos="140" w:val="left"/>
        </w:tabs>
        <w:numPr>
          <w:ilvl w:val="0"/>
          <w:numId w:val="83"/>
        </w:numPr>
        <w:rPr>
          <w:rFonts w:ascii="Arial" w:cs="Arial" w:eastAsia="Arial" w:hAnsi="Arial"/>
          <w:sz w:val="16"/>
          <w:szCs w:val="16"/>
          <w:b w:val="1"/>
          <w:bCs w:val="1"/>
          <w:color w:val="29378D"/>
        </w:rPr>
      </w:pPr>
      <w:r>
        <w:rPr>
          <w:rFonts w:ascii="Arial" w:cs="Arial" w:eastAsia="Arial" w:hAnsi="Arial"/>
          <w:sz w:val="16"/>
          <w:szCs w:val="16"/>
          <w:color w:val="auto"/>
        </w:rPr>
        <w:t>Source 50% of total electricity from renewable sources by 2030.</w:t>
      </w:r>
    </w:p>
    <w:p>
      <w:pPr>
        <w:spacing w:after="0" w:line="72" w:lineRule="exact"/>
        <w:rPr>
          <w:rFonts w:ascii="Arial" w:cs="Arial" w:eastAsia="Arial" w:hAnsi="Arial"/>
          <w:sz w:val="16"/>
          <w:szCs w:val="16"/>
          <w:b w:val="1"/>
          <w:bCs w:val="1"/>
          <w:color w:val="29378D"/>
        </w:rPr>
      </w:pPr>
    </w:p>
    <w:p>
      <w:pPr>
        <w:ind w:left="140" w:hanging="132"/>
        <w:spacing w:after="0"/>
        <w:tabs>
          <w:tab w:leader="none" w:pos="140" w:val="left"/>
        </w:tabs>
        <w:numPr>
          <w:ilvl w:val="0"/>
          <w:numId w:val="83"/>
        </w:numPr>
        <w:rPr>
          <w:rFonts w:ascii="Arial" w:cs="Arial" w:eastAsia="Arial" w:hAnsi="Arial"/>
          <w:sz w:val="16"/>
          <w:szCs w:val="16"/>
          <w:b w:val="1"/>
          <w:bCs w:val="1"/>
          <w:color w:val="29378D"/>
        </w:rPr>
      </w:pPr>
      <w:r>
        <w:rPr>
          <w:rFonts w:ascii="Arial" w:cs="Arial" w:eastAsia="Arial" w:hAnsi="Arial"/>
          <w:sz w:val="16"/>
          <w:szCs w:val="16"/>
          <w:color w:val="auto"/>
        </w:rPr>
        <w:t>Reduce 10% of absolute water withdrawals, reuse 10% of water withdrawals and replenish 10% of water withdrawals, focusing in water-stressed regions</w:t>
      </w:r>
    </w:p>
    <w:p>
      <w:pPr>
        <w:spacing w:after="0" w:line="34" w:lineRule="exact"/>
        <w:rPr>
          <w:rFonts w:ascii="Arial" w:cs="Arial" w:eastAsia="Arial" w:hAnsi="Arial"/>
          <w:sz w:val="16"/>
          <w:szCs w:val="16"/>
          <w:b w:val="1"/>
          <w:bCs w:val="1"/>
          <w:color w:val="29378D"/>
        </w:rPr>
      </w:pPr>
    </w:p>
    <w:p>
      <w:pPr>
        <w:ind w:left="200"/>
        <w:spacing w:after="0"/>
        <w:rPr>
          <w:rFonts w:ascii="Arial" w:cs="Arial" w:eastAsia="Arial" w:hAnsi="Arial"/>
          <w:sz w:val="16"/>
          <w:szCs w:val="16"/>
          <w:b w:val="1"/>
          <w:bCs w:val="1"/>
          <w:color w:val="29378D"/>
        </w:rPr>
      </w:pPr>
      <w:r>
        <w:rPr>
          <w:rFonts w:ascii="Arial" w:cs="Arial" w:eastAsia="Arial" w:hAnsi="Arial"/>
          <w:sz w:val="16"/>
          <w:szCs w:val="16"/>
          <w:color w:val="auto"/>
        </w:rPr>
        <w:t>— all by 2030.</w:t>
      </w:r>
    </w:p>
    <w:p>
      <w:pPr>
        <w:spacing w:after="0" w:line="70" w:lineRule="exact"/>
        <w:rPr>
          <w:rFonts w:ascii="Arial" w:cs="Arial" w:eastAsia="Arial" w:hAnsi="Arial"/>
          <w:sz w:val="16"/>
          <w:szCs w:val="16"/>
          <w:b w:val="1"/>
          <w:bCs w:val="1"/>
          <w:color w:val="29378D"/>
        </w:rPr>
      </w:pPr>
    </w:p>
    <w:p>
      <w:pPr>
        <w:ind w:left="160" w:hanging="152"/>
        <w:spacing w:after="0"/>
        <w:tabs>
          <w:tab w:leader="none" w:pos="160" w:val="left"/>
        </w:tabs>
        <w:numPr>
          <w:ilvl w:val="0"/>
          <w:numId w:val="83"/>
        </w:numPr>
        <w:rPr>
          <w:rFonts w:ascii="Arial" w:cs="Arial" w:eastAsia="Arial" w:hAnsi="Arial"/>
          <w:sz w:val="16"/>
          <w:szCs w:val="16"/>
          <w:color w:val="29378D"/>
        </w:rPr>
      </w:pPr>
      <w:r>
        <w:rPr>
          <w:rFonts w:ascii="Arial" w:cs="Arial" w:eastAsia="Arial" w:hAnsi="Arial"/>
          <w:sz w:val="16"/>
          <w:szCs w:val="16"/>
          <w:color w:val="auto"/>
        </w:rPr>
        <w:t>Reduce solid waste sent to landfill and incineration by 10% by 2030.</w:t>
      </w:r>
    </w:p>
    <w:p>
      <w:pPr>
        <w:spacing w:after="0" w:line="72" w:lineRule="exact"/>
        <w:rPr>
          <w:rFonts w:ascii="Arial" w:cs="Arial" w:eastAsia="Arial" w:hAnsi="Arial"/>
          <w:sz w:val="16"/>
          <w:szCs w:val="16"/>
          <w:color w:val="29378D"/>
        </w:rPr>
      </w:pPr>
    </w:p>
    <w:p>
      <w:pPr>
        <w:ind w:left="200" w:right="360" w:hanging="192"/>
        <w:spacing w:after="0" w:line="304" w:lineRule="auto"/>
        <w:tabs>
          <w:tab w:leader="none" w:pos="143" w:val="left"/>
        </w:tabs>
        <w:numPr>
          <w:ilvl w:val="0"/>
          <w:numId w:val="83"/>
        </w:numPr>
        <w:rPr>
          <w:rFonts w:ascii="Arial" w:cs="Arial" w:eastAsia="Arial" w:hAnsi="Arial"/>
          <w:sz w:val="16"/>
          <w:szCs w:val="16"/>
          <w:b w:val="1"/>
          <w:bCs w:val="1"/>
          <w:color w:val="29378D"/>
        </w:rPr>
      </w:pPr>
      <w:r>
        <w:rPr>
          <w:rFonts w:ascii="Arial" w:cs="Arial" w:eastAsia="Arial" w:hAnsi="Arial"/>
          <w:sz w:val="16"/>
          <w:szCs w:val="16"/>
          <w:color w:val="auto"/>
        </w:rPr>
        <w:t>In collaboration with key customers, work to develop a pioneering product stewardship program focused on material efficiency, product design and life cycle assessment.</w:t>
      </w:r>
    </w:p>
    <w:p>
      <w:pPr>
        <w:spacing w:after="0" w:line="33" w:lineRule="exact"/>
        <w:rPr>
          <w:rFonts w:ascii="Arial" w:cs="Arial" w:eastAsia="Arial" w:hAnsi="Arial"/>
          <w:sz w:val="16"/>
          <w:szCs w:val="16"/>
          <w:b w:val="1"/>
          <w:bCs w:val="1"/>
          <w:color w:val="29378D"/>
        </w:rPr>
      </w:pPr>
    </w:p>
    <w:p>
      <w:pPr>
        <w:ind w:left="140" w:hanging="132"/>
        <w:spacing w:after="0"/>
        <w:tabs>
          <w:tab w:leader="none" w:pos="140" w:val="left"/>
        </w:tabs>
        <w:numPr>
          <w:ilvl w:val="0"/>
          <w:numId w:val="83"/>
        </w:numPr>
        <w:rPr>
          <w:rFonts w:ascii="Arial" w:cs="Arial" w:eastAsia="Arial" w:hAnsi="Arial"/>
          <w:sz w:val="16"/>
          <w:szCs w:val="16"/>
          <w:b w:val="1"/>
          <w:bCs w:val="1"/>
          <w:color w:val="29378D"/>
        </w:rPr>
      </w:pPr>
      <w:r>
        <w:rPr>
          <w:rFonts w:ascii="Arial" w:cs="Arial" w:eastAsia="Arial" w:hAnsi="Arial"/>
          <w:sz w:val="16"/>
          <w:szCs w:val="16"/>
          <w:color w:val="auto"/>
        </w:rPr>
        <w:t>Expand Technology for Conservation initiatives in proximity to Northrop Grumman’s U.S. locations by 2030, in collaboration with external partners.</w:t>
      </w:r>
    </w:p>
    <w:p>
      <w:pPr>
        <w:spacing w:after="0" w:line="11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See our 2023 Sustainability Report for discussion of the progress we made on our goals this year. Further, as described in our 2023 Sustainability Report, our Board of Directors, and its committees, are involved in the oversight of our environmental sustainability strategy, the management of environmental risks, including climate-change, and reviewing environmental policies and goals (including Net Zero operations, water and waste reductions and other footprint plans).</w:t>
      </w:r>
    </w:p>
    <w:p>
      <w:pPr>
        <w:spacing w:after="0" w:line="178" w:lineRule="exact"/>
        <w:rPr>
          <w:sz w:val="20"/>
          <w:szCs w:val="20"/>
          <w:color w:val="auto"/>
        </w:rPr>
      </w:pPr>
    </w:p>
    <w:p>
      <w:pPr>
        <w:spacing w:after="0"/>
        <w:rPr>
          <w:sz w:val="20"/>
          <w:szCs w:val="20"/>
          <w:color w:val="auto"/>
        </w:rPr>
      </w:pPr>
      <w:r>
        <w:rPr>
          <w:rFonts w:ascii="Arial" w:cs="Arial" w:eastAsia="Arial" w:hAnsi="Arial"/>
          <w:sz w:val="23"/>
          <w:szCs w:val="23"/>
          <w:color w:val="auto"/>
        </w:rPr>
        <w:t>Social</w:t>
      </w:r>
    </w:p>
    <w:p>
      <w:pPr>
        <w:spacing w:after="0" w:line="13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People are our most valued resource. We work hard to provide an environment in which our employees belong and can thrive and stay safe. Indeed, we believe that our success depends on our ability to provide an environment in which our employees are not only enabled, but expected to bring their differing perspectives to work, challenging us all to think more broadly and enhancing outcomes. Among many other initiatives, the Company maintains 14 employee resource groups, including over 30,000 diverse colleagues, which meet regularly to identify and address concerns and opportunities. These networks are an industry-leading example of workforce inclusion and contribute to our overarching DEI strategy.</w:t>
      </w:r>
    </w:p>
    <w:p>
      <w:pPr>
        <w:spacing w:after="0" w:line="6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described in our 2023 Sustainability Report and our Human Rights Report, our Board of Directors, and the Compensation and Human Capital Committee in particular, are deeply engaged in our strategy for enhancing DEI, and understanding the outcome of our employee engagement surveys.</w:t>
      </w:r>
    </w:p>
    <w:p>
      <w:pPr>
        <w:spacing w:after="0" w:line="6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are proud that our employees continue to volunteer their time and talents to help those most in need. The Company, our Northrop Grumman Foundation and our employees contributed to global, national and local efforts addressing food insecurity, advancing opportunity for all, increasing student access to technology, and providing disaster relief to help some of our most vulnerable populations. During 2023, our Company and the Company’s Foundation contributed a total of approximately $31 million in philanthropic giving.</w:t>
      </w:r>
    </w:p>
    <w:p>
      <w:pPr>
        <w:spacing w:after="0" w:line="196" w:lineRule="exact"/>
        <w:rPr>
          <w:sz w:val="20"/>
          <w:szCs w:val="20"/>
          <w:color w:val="auto"/>
        </w:rPr>
      </w:pPr>
    </w:p>
    <w:p>
      <w:pPr>
        <w:spacing w:after="0"/>
        <w:rPr>
          <w:sz w:val="20"/>
          <w:szCs w:val="20"/>
          <w:color w:val="auto"/>
        </w:rPr>
      </w:pPr>
      <w:r>
        <w:rPr>
          <w:rFonts w:ascii="Arial" w:cs="Arial" w:eastAsia="Arial" w:hAnsi="Arial"/>
          <w:sz w:val="23"/>
          <w:szCs w:val="23"/>
          <w:color w:val="auto"/>
        </w:rPr>
        <w:t>Governance</w:t>
      </w:r>
    </w:p>
    <w:p>
      <w:pPr>
        <w:spacing w:after="0" w:line="13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have benefited from a robust and progressive governance regime, carefully designed to promote the long-term success of our Company by providing for effective and efficient oversight by a strong board of directors engaged with and informed by our shareholders. We are committed to continuing to maintain these high standards of corporate governance, in service to our shareholders, employees and customers.</w:t>
      </w:r>
    </w:p>
    <w:p>
      <w:pPr>
        <w:spacing w:after="0" w:line="77"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Our governance policies include our Principles of Corporate Governance, our corporate Bylaws, Policy and Procedure Regarding Company Transactions with Related Persons and our Standards of Business Conduct, among others. As discussed in our 2023 Sustainability Report, our exemplary governance practices include:</w:t>
      </w:r>
    </w:p>
    <w:p>
      <w:pPr>
        <w:spacing w:after="0" w:line="77" w:lineRule="exact"/>
        <w:rPr>
          <w:sz w:val="20"/>
          <w:szCs w:val="20"/>
          <w:color w:val="auto"/>
        </w:rPr>
      </w:pPr>
    </w:p>
    <w:p>
      <w:pPr>
        <w:ind w:left="140" w:hanging="132"/>
        <w:spacing w:after="0"/>
        <w:tabs>
          <w:tab w:leader="none" w:pos="140" w:val="left"/>
        </w:tabs>
        <w:numPr>
          <w:ilvl w:val="0"/>
          <w:numId w:val="84"/>
        </w:numPr>
        <w:rPr>
          <w:rFonts w:ascii="Arial" w:cs="Arial" w:eastAsia="Arial" w:hAnsi="Arial"/>
          <w:sz w:val="16"/>
          <w:szCs w:val="16"/>
          <w:b w:val="1"/>
          <w:bCs w:val="1"/>
          <w:color w:val="29378D"/>
        </w:rPr>
      </w:pPr>
      <w:r>
        <w:rPr>
          <w:rFonts w:ascii="Arial" w:cs="Arial" w:eastAsia="Arial" w:hAnsi="Arial"/>
          <w:sz w:val="16"/>
          <w:szCs w:val="16"/>
          <w:color w:val="auto"/>
        </w:rPr>
        <w:t>A diverse, informed and engaged Board of Directors who are committed to thoughtful debate and collaboration;</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84"/>
        </w:numPr>
        <w:rPr>
          <w:rFonts w:ascii="Arial" w:cs="Arial" w:eastAsia="Arial" w:hAnsi="Arial"/>
          <w:sz w:val="16"/>
          <w:szCs w:val="16"/>
          <w:b w:val="1"/>
          <w:bCs w:val="1"/>
          <w:color w:val="29378D"/>
        </w:rPr>
      </w:pPr>
      <w:r>
        <w:rPr>
          <w:rFonts w:ascii="Arial" w:cs="Arial" w:eastAsia="Arial" w:hAnsi="Arial"/>
          <w:sz w:val="16"/>
          <w:szCs w:val="16"/>
          <w:color w:val="auto"/>
        </w:rPr>
        <w:t>All Board committees are fully comprised of independent members;</w:t>
      </w:r>
    </w:p>
    <w:p>
      <w:pPr>
        <w:spacing w:after="0" w:line="72" w:lineRule="exact"/>
        <w:rPr>
          <w:rFonts w:ascii="Arial" w:cs="Arial" w:eastAsia="Arial" w:hAnsi="Arial"/>
          <w:sz w:val="16"/>
          <w:szCs w:val="16"/>
          <w:b w:val="1"/>
          <w:bCs w:val="1"/>
          <w:color w:val="29378D"/>
        </w:rPr>
      </w:pPr>
    </w:p>
    <w:p>
      <w:pPr>
        <w:ind w:left="200" w:right="200" w:hanging="192"/>
        <w:spacing w:after="0" w:line="299" w:lineRule="auto"/>
        <w:tabs>
          <w:tab w:leader="none" w:pos="143" w:val="left"/>
        </w:tabs>
        <w:numPr>
          <w:ilvl w:val="0"/>
          <w:numId w:val="84"/>
        </w:numPr>
        <w:rPr>
          <w:rFonts w:ascii="Arial" w:cs="Arial" w:eastAsia="Arial" w:hAnsi="Arial"/>
          <w:sz w:val="16"/>
          <w:szCs w:val="16"/>
          <w:b w:val="1"/>
          <w:bCs w:val="1"/>
          <w:color w:val="29378D"/>
        </w:rPr>
      </w:pPr>
      <w:r>
        <w:rPr>
          <w:rFonts w:ascii="Arial" w:cs="Arial" w:eastAsia="Arial" w:hAnsi="Arial"/>
          <w:sz w:val="16"/>
          <w:szCs w:val="16"/>
          <w:color w:val="auto"/>
        </w:rPr>
        <w:t>A Lead Independent Director with significant and clearly established responsibilities, who also serves as a resource for our CEO, other directors and our shareholders;</w:t>
      </w:r>
    </w:p>
    <w:p>
      <w:pPr>
        <w:ind w:left="140" w:hanging="132"/>
        <w:spacing w:after="0"/>
        <w:tabs>
          <w:tab w:leader="none" w:pos="140" w:val="left"/>
        </w:tabs>
        <w:numPr>
          <w:ilvl w:val="0"/>
          <w:numId w:val="84"/>
        </w:numPr>
        <w:rPr>
          <w:rFonts w:ascii="Arial" w:cs="Arial" w:eastAsia="Arial" w:hAnsi="Arial"/>
          <w:sz w:val="16"/>
          <w:szCs w:val="16"/>
          <w:b w:val="1"/>
          <w:bCs w:val="1"/>
          <w:color w:val="29378D"/>
        </w:rPr>
      </w:pPr>
      <w:r>
        <w:rPr>
          <w:rFonts w:ascii="Arial" w:cs="Arial" w:eastAsia="Arial" w:hAnsi="Arial"/>
          <w:sz w:val="16"/>
          <w:szCs w:val="16"/>
          <w:color w:val="auto"/>
        </w:rPr>
        <w:t>Deliberate and effective ongoing Board refreshment and succession planning, with mandatory retirement at age 75;</w:t>
      </w:r>
    </w:p>
    <w:p>
      <w:pPr>
        <w:spacing w:after="0" w:line="86" w:lineRule="exact"/>
        <w:rPr>
          <w:rFonts w:ascii="Arial" w:cs="Arial" w:eastAsia="Arial" w:hAnsi="Arial"/>
          <w:sz w:val="16"/>
          <w:szCs w:val="16"/>
          <w:b w:val="1"/>
          <w:bCs w:val="1"/>
          <w:color w:val="29378D"/>
        </w:rPr>
      </w:pPr>
    </w:p>
    <w:p>
      <w:pPr>
        <w:ind w:left="200" w:right="260" w:hanging="192"/>
        <w:spacing w:after="0" w:line="304" w:lineRule="auto"/>
        <w:tabs>
          <w:tab w:leader="none" w:pos="143" w:val="left"/>
        </w:tabs>
        <w:numPr>
          <w:ilvl w:val="0"/>
          <w:numId w:val="84"/>
        </w:numPr>
        <w:rPr>
          <w:rFonts w:ascii="Arial" w:cs="Arial" w:eastAsia="Arial" w:hAnsi="Arial"/>
          <w:sz w:val="16"/>
          <w:szCs w:val="16"/>
          <w:b w:val="1"/>
          <w:bCs w:val="1"/>
          <w:color w:val="29378D"/>
        </w:rPr>
      </w:pPr>
      <w:r>
        <w:rPr>
          <w:rFonts w:ascii="Arial" w:cs="Arial" w:eastAsia="Arial" w:hAnsi="Arial"/>
          <w:sz w:val="16"/>
          <w:szCs w:val="16"/>
          <w:color w:val="auto"/>
        </w:rPr>
        <w:t>Multiple and varied opportunities for shareholder engagement, including: right to act by written consent, right to call a special meeting at 15% threshold, and right to nominate through proxy access, as well as less formal opportunities to meet with management and directors throughout the year;</w:t>
      </w:r>
    </w:p>
    <w:p>
      <w:pPr>
        <w:spacing w:after="0" w:line="200" w:lineRule="exact"/>
        <w:rPr>
          <w:sz w:val="20"/>
          <w:szCs w:val="20"/>
          <w:color w:val="auto"/>
        </w:rPr>
      </w:pPr>
    </w:p>
    <w:p>
      <w:pPr>
        <w:spacing w:after="0" w:line="392" w:lineRule="exact"/>
        <w:rPr>
          <w:sz w:val="20"/>
          <w:szCs w:val="20"/>
          <w:color w:val="auto"/>
        </w:rPr>
      </w:pPr>
    </w:p>
    <w:p>
      <w:pPr>
        <w:ind w:left="520" w:hanging="494"/>
        <w:spacing w:after="0"/>
        <w:tabs>
          <w:tab w:leader="none" w:pos="520" w:val="left"/>
        </w:tabs>
        <w:numPr>
          <w:ilvl w:val="0"/>
          <w:numId w:val="85"/>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0" w:hanging="132"/>
        <w:spacing w:after="0"/>
        <w:tabs>
          <w:tab w:leader="none" w:pos="140" w:val="left"/>
        </w:tabs>
        <w:numPr>
          <w:ilvl w:val="0"/>
          <w:numId w:val="86"/>
        </w:numPr>
        <w:rPr>
          <w:rFonts w:ascii="Arial" w:cs="Arial" w:eastAsia="Arial" w:hAnsi="Arial"/>
          <w:sz w:val="16"/>
          <w:szCs w:val="16"/>
          <w:b w:val="1"/>
          <w:bCs w:val="1"/>
          <w:color w:val="29378D"/>
        </w:rPr>
      </w:pPr>
      <w:r>
        <w:rPr>
          <w:rFonts w:ascii="Arial" w:cs="Arial" w:eastAsia="Arial" w:hAnsi="Arial"/>
          <w:sz w:val="16"/>
          <w:szCs w:val="16"/>
          <w:color w:val="auto"/>
        </w:rPr>
        <w:t>Annual re-assessments of the effectiveness of the full Board, each committee and each director, with a focus on opportunities for further improvement;</w:t>
      </w:r>
    </w:p>
    <w:p>
      <w:pPr>
        <w:spacing w:after="0" w:line="86" w:lineRule="exact"/>
        <w:rPr>
          <w:rFonts w:ascii="Arial" w:cs="Arial" w:eastAsia="Arial" w:hAnsi="Arial"/>
          <w:sz w:val="16"/>
          <w:szCs w:val="16"/>
          <w:b w:val="1"/>
          <w:bCs w:val="1"/>
          <w:color w:val="29378D"/>
        </w:rPr>
      </w:pPr>
    </w:p>
    <w:p>
      <w:pPr>
        <w:ind w:left="200" w:right="120" w:hanging="192"/>
        <w:spacing w:after="0" w:line="275" w:lineRule="auto"/>
        <w:tabs>
          <w:tab w:leader="none" w:pos="143" w:val="left"/>
        </w:tabs>
        <w:numPr>
          <w:ilvl w:val="0"/>
          <w:numId w:val="86"/>
        </w:numPr>
        <w:rPr>
          <w:rFonts w:ascii="Arial" w:cs="Arial" w:eastAsia="Arial" w:hAnsi="Arial"/>
          <w:sz w:val="16"/>
          <w:szCs w:val="16"/>
          <w:b w:val="1"/>
          <w:bCs w:val="1"/>
          <w:color w:val="29378D"/>
        </w:rPr>
      </w:pPr>
      <w:r>
        <w:rPr>
          <w:rFonts w:ascii="Arial" w:cs="Arial" w:eastAsia="Arial" w:hAnsi="Arial"/>
          <w:sz w:val="16"/>
          <w:szCs w:val="16"/>
          <w:color w:val="auto"/>
        </w:rPr>
        <w:t>Overboarding policy limiting service on more than three other public company boards and limiting service on other audit committees to no more than two other public company audit committees, unless the Board determines that such service does not impair the ability of such member to serve effectively on the audit committee;</w:t>
      </w:r>
    </w:p>
    <w:p>
      <w:pPr>
        <w:spacing w:after="0" w:line="15" w:lineRule="exact"/>
        <w:rPr>
          <w:rFonts w:ascii="Arial" w:cs="Arial" w:eastAsia="Arial" w:hAnsi="Arial"/>
          <w:sz w:val="16"/>
          <w:szCs w:val="16"/>
          <w:b w:val="1"/>
          <w:bCs w:val="1"/>
          <w:color w:val="29378D"/>
        </w:rPr>
      </w:pPr>
    </w:p>
    <w:p>
      <w:pPr>
        <w:ind w:left="140" w:hanging="132"/>
        <w:spacing w:after="0"/>
        <w:tabs>
          <w:tab w:leader="none" w:pos="140" w:val="left"/>
        </w:tabs>
        <w:numPr>
          <w:ilvl w:val="0"/>
          <w:numId w:val="86"/>
        </w:numPr>
        <w:rPr>
          <w:rFonts w:ascii="Arial" w:cs="Arial" w:eastAsia="Arial" w:hAnsi="Arial"/>
          <w:sz w:val="16"/>
          <w:szCs w:val="16"/>
          <w:b w:val="1"/>
          <w:bCs w:val="1"/>
          <w:color w:val="29378D"/>
        </w:rPr>
      </w:pPr>
      <w:r>
        <w:rPr>
          <w:rFonts w:ascii="Arial" w:cs="Arial" w:eastAsia="Arial" w:hAnsi="Arial"/>
          <w:sz w:val="16"/>
          <w:szCs w:val="16"/>
          <w:color w:val="auto"/>
        </w:rPr>
        <w:t>Robust recoupment policy for incentive compensation;</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86"/>
        </w:numPr>
        <w:rPr>
          <w:rFonts w:ascii="Arial" w:cs="Arial" w:eastAsia="Arial" w:hAnsi="Arial"/>
          <w:sz w:val="16"/>
          <w:szCs w:val="16"/>
          <w:b w:val="1"/>
          <w:bCs w:val="1"/>
          <w:color w:val="29378D"/>
        </w:rPr>
      </w:pPr>
      <w:r>
        <w:rPr>
          <w:rFonts w:ascii="Arial" w:cs="Arial" w:eastAsia="Arial" w:hAnsi="Arial"/>
          <w:sz w:val="16"/>
          <w:szCs w:val="16"/>
          <w:color w:val="auto"/>
        </w:rPr>
        <w:t>Stock ownership requirements for directors and executive officers; and</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86"/>
        </w:numPr>
        <w:rPr>
          <w:rFonts w:ascii="Arial" w:cs="Arial" w:eastAsia="Arial" w:hAnsi="Arial"/>
          <w:sz w:val="16"/>
          <w:szCs w:val="16"/>
          <w:b w:val="1"/>
          <w:bCs w:val="1"/>
          <w:color w:val="29378D"/>
        </w:rPr>
      </w:pPr>
      <w:r>
        <w:rPr>
          <w:rFonts w:ascii="Arial" w:cs="Arial" w:eastAsia="Arial" w:hAnsi="Arial"/>
          <w:sz w:val="16"/>
          <w:szCs w:val="16"/>
          <w:color w:val="auto"/>
        </w:rPr>
        <w:t>Policy prohibiting hedging, pledging and other related actions related to Company stock.</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Oversight</w:t>
      </w:r>
    </w:p>
    <w:p>
      <w:pPr>
        <w:spacing w:after="0" w:line="131"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Our Board of Directors provides leadership and oversight with respect to ESG practices, and regularly receives reports from management on these varied issues.</w:t>
      </w:r>
    </w:p>
    <w:p>
      <w:pPr>
        <w:spacing w:after="0" w:line="33" w:lineRule="exact"/>
        <w:rPr>
          <w:sz w:val="20"/>
          <w:szCs w:val="20"/>
          <w:color w:val="auto"/>
        </w:rPr>
      </w:pPr>
    </w:p>
    <w:p>
      <w:pPr>
        <w:ind w:left="200" w:right="320" w:hanging="192"/>
        <w:spacing w:after="0" w:line="286" w:lineRule="auto"/>
        <w:tabs>
          <w:tab w:leader="none" w:pos="143" w:val="left"/>
        </w:tabs>
        <w:numPr>
          <w:ilvl w:val="0"/>
          <w:numId w:val="87"/>
        </w:numPr>
        <w:rPr>
          <w:rFonts w:ascii="Arial" w:cs="Arial" w:eastAsia="Arial" w:hAnsi="Arial"/>
          <w:sz w:val="16"/>
          <w:szCs w:val="16"/>
          <w:b w:val="1"/>
          <w:bCs w:val="1"/>
          <w:color w:val="29378D"/>
        </w:rPr>
      </w:pPr>
      <w:r>
        <w:rPr>
          <w:rFonts w:ascii="Arial" w:cs="Arial" w:eastAsia="Arial" w:hAnsi="Arial"/>
          <w:sz w:val="16"/>
          <w:szCs w:val="16"/>
          <w:color w:val="auto"/>
        </w:rPr>
        <w:t>The Audit and Risk Committee assists the Board of Directors in its oversight of effective internal controls; approves auditors; reviews and, if applicable, approves publicly filed data in annual and quarterly reports and earnings releases.</w:t>
      </w:r>
    </w:p>
    <w:p>
      <w:pPr>
        <w:spacing w:after="0" w:line="20" w:lineRule="exact"/>
        <w:rPr>
          <w:rFonts w:ascii="Arial" w:cs="Arial" w:eastAsia="Arial" w:hAnsi="Arial"/>
          <w:sz w:val="16"/>
          <w:szCs w:val="16"/>
          <w:b w:val="1"/>
          <w:bCs w:val="1"/>
          <w:color w:val="29378D"/>
        </w:rPr>
      </w:pPr>
    </w:p>
    <w:p>
      <w:pPr>
        <w:ind w:left="200" w:right="180" w:hanging="192"/>
        <w:spacing w:after="0" w:line="275" w:lineRule="auto"/>
        <w:tabs>
          <w:tab w:leader="none" w:pos="143" w:val="left"/>
        </w:tabs>
        <w:numPr>
          <w:ilvl w:val="0"/>
          <w:numId w:val="87"/>
        </w:numPr>
        <w:rPr>
          <w:rFonts w:ascii="Arial" w:cs="Arial" w:eastAsia="Arial" w:hAnsi="Arial"/>
          <w:sz w:val="16"/>
          <w:szCs w:val="16"/>
          <w:b w:val="1"/>
          <w:bCs w:val="1"/>
          <w:color w:val="29378D"/>
        </w:rPr>
      </w:pPr>
      <w:r>
        <w:rPr>
          <w:rFonts w:ascii="Arial" w:cs="Arial" w:eastAsia="Arial" w:hAnsi="Arial"/>
          <w:sz w:val="16"/>
          <w:szCs w:val="16"/>
          <w:color w:val="auto"/>
        </w:rPr>
        <w:t>The Compensation and Human Capital Committee provides oversight of compensation programs, including approving environmental goals and diversity, equity and inclusion goals; and the Company’s management of its human capital and talent, including the Company’s focus on diversity, equity and inclusion.</w:t>
      </w:r>
    </w:p>
    <w:p>
      <w:pPr>
        <w:spacing w:after="0" w:line="29" w:lineRule="exact"/>
        <w:rPr>
          <w:rFonts w:ascii="Arial" w:cs="Arial" w:eastAsia="Arial" w:hAnsi="Arial"/>
          <w:sz w:val="16"/>
          <w:szCs w:val="16"/>
          <w:b w:val="1"/>
          <w:bCs w:val="1"/>
          <w:color w:val="29378D"/>
        </w:rPr>
      </w:pPr>
    </w:p>
    <w:p>
      <w:pPr>
        <w:ind w:left="200" w:right="480" w:hanging="192"/>
        <w:spacing w:after="0" w:line="286" w:lineRule="auto"/>
        <w:tabs>
          <w:tab w:leader="none" w:pos="143" w:val="left"/>
        </w:tabs>
        <w:numPr>
          <w:ilvl w:val="0"/>
          <w:numId w:val="87"/>
        </w:numPr>
        <w:rPr>
          <w:rFonts w:ascii="Arial" w:cs="Arial" w:eastAsia="Arial" w:hAnsi="Arial"/>
          <w:sz w:val="16"/>
          <w:szCs w:val="16"/>
          <w:b w:val="1"/>
          <w:bCs w:val="1"/>
          <w:color w:val="29378D"/>
        </w:rPr>
      </w:pPr>
      <w:r>
        <w:rPr>
          <w:rFonts w:ascii="Arial" w:cs="Arial" w:eastAsia="Arial" w:hAnsi="Arial"/>
          <w:sz w:val="16"/>
          <w:szCs w:val="16"/>
          <w:color w:val="auto"/>
        </w:rPr>
        <w:t>The Nominating and Corporate Governance Committee oversees matters related to corporate governance, the Board (including diversity, equity and inclusion for Board members), shareholder rights, and our corporate culture.</w:t>
      </w:r>
    </w:p>
    <w:p>
      <w:pPr>
        <w:spacing w:after="0" w:line="20" w:lineRule="exact"/>
        <w:rPr>
          <w:rFonts w:ascii="Arial" w:cs="Arial" w:eastAsia="Arial" w:hAnsi="Arial"/>
          <w:sz w:val="16"/>
          <w:szCs w:val="16"/>
          <w:b w:val="1"/>
          <w:bCs w:val="1"/>
          <w:color w:val="29378D"/>
        </w:rPr>
      </w:pPr>
    </w:p>
    <w:p>
      <w:pPr>
        <w:ind w:left="200" w:right="220" w:hanging="192"/>
        <w:spacing w:after="0" w:line="265" w:lineRule="auto"/>
        <w:tabs>
          <w:tab w:leader="none" w:pos="143" w:val="left"/>
        </w:tabs>
        <w:numPr>
          <w:ilvl w:val="0"/>
          <w:numId w:val="87"/>
        </w:numPr>
        <w:rPr>
          <w:rFonts w:ascii="Arial" w:cs="Arial" w:eastAsia="Arial" w:hAnsi="Arial"/>
          <w:sz w:val="16"/>
          <w:szCs w:val="16"/>
          <w:b w:val="1"/>
          <w:bCs w:val="1"/>
          <w:color w:val="29378D"/>
        </w:rPr>
      </w:pPr>
      <w:r>
        <w:rPr>
          <w:rFonts w:ascii="Arial" w:cs="Arial" w:eastAsia="Arial" w:hAnsi="Arial"/>
          <w:sz w:val="16"/>
          <w:szCs w:val="16"/>
          <w:color w:val="auto"/>
        </w:rPr>
        <w:t>The Policy Committee provides oversight of the Company’s policies and programs for environmental matters and climate change-related risks (including among other things, Scope 1 and 2 greenhouse gas emissions, and targets for emissions reductions); ethics and standards of business conduct, corporate responsibility, human rights, employee health and safety and corporate citizenship, political contributions and charitable programs. The Committee receives periodic updates from the Chief Sustainability Officer, CECO and Vice President, Global Corporate Responsibility.</w:t>
      </w:r>
    </w:p>
    <w:p>
      <w:pPr>
        <w:spacing w:after="0" w:line="65"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 Enterprise Risk Management Council also reviews risks related to sustainability, including risks related to climate change and natural disasters that may affect operations, especially in regions prone to hurricanes, earthquakes, damaging storms and other natural disasters.</w:t>
      </w:r>
    </w:p>
    <w:p>
      <w:pPr>
        <w:spacing w:after="0" w:line="3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commitment to strong corporate responsibility and sustainability is demonstrated by the incorporation of non-financial ESG performance metrics into our annual incentive compensation program. See page 62 in the Compensation Discussion and Analysis section. We engage with a variety of stakeholders — including shareholders, employees, customers and community advocates — and regularly obtain feedback on our performance against our sustainability goals and objectives.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3"/>
          <w:szCs w:val="23"/>
          <w:color w:val="auto"/>
        </w:rPr>
        <w:t>Awards and Recognitions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We are proud that our corporate responsibility and sustainability programs received various notable recognitions in 2023. They include:</w:t>
      </w:r>
    </w:p>
    <w:p>
      <w:pPr>
        <w:sectPr>
          <w:pgSz w:w="11900" w:h="16838" w:orient="portrait"/>
          <w:cols w:equalWidth="0" w:num="1">
            <w:col w:w="11200"/>
          </w:cols>
          <w:pgMar w:left="320" w:top="238" w:right="379" w:bottom="1440" w:gutter="0" w:footer="0" w:header="0"/>
        </w:sectPr>
      </w:pPr>
    </w:p>
    <w:p>
      <w:pPr>
        <w:spacing w:after="0" w:line="172" w:lineRule="exact"/>
        <w:rPr>
          <w:sz w:val="20"/>
          <w:szCs w:val="20"/>
          <w:color w:val="auto"/>
        </w:rPr>
      </w:pPr>
    </w:p>
    <w:p>
      <w:pPr>
        <w:ind w:left="3540"/>
        <w:spacing w:after="0" w:line="283" w:lineRule="auto"/>
        <w:rPr>
          <w:sz w:val="20"/>
          <w:szCs w:val="20"/>
          <w:color w:val="auto"/>
        </w:rPr>
      </w:pPr>
      <w:r>
        <w:rPr>
          <w:rFonts w:ascii="Arial" w:cs="Arial" w:eastAsia="Arial" w:hAnsi="Arial"/>
          <w:sz w:val="14"/>
          <w:szCs w:val="14"/>
          <w:color w:val="auto"/>
        </w:rPr>
        <w:t>Dow Jones Sustainability North America Index for the eighth consecutive year and member of the Global Index for the second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-286385</wp:posOffset>
            </wp:positionV>
            <wp:extent cx="1645920" cy="28460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645920" cy="2846070"/>
                    </a:xfrm>
                    <a:prstGeom prst="rect">
                      <a:avLst/>
                    </a:prstGeom>
                    <a:noFill/>
                  </pic:spPr>
                </pic:pic>
              </a:graphicData>
            </a:graphic>
          </wp:anchor>
        </w:drawing>
      </w:r>
    </w:p>
    <w:p>
      <w:pPr>
        <w:spacing w:after="0" w:line="45"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_____</w:t>
      </w:r>
    </w:p>
    <w:p>
      <w:pPr>
        <w:spacing w:after="0" w:line="109" w:lineRule="exact"/>
        <w:rPr>
          <w:sz w:val="20"/>
          <w:szCs w:val="20"/>
          <w:color w:val="auto"/>
        </w:rPr>
      </w:pPr>
    </w:p>
    <w:p>
      <w:pPr>
        <w:ind w:left="3540" w:right="200"/>
        <w:spacing w:after="0" w:line="305" w:lineRule="auto"/>
        <w:rPr>
          <w:sz w:val="20"/>
          <w:szCs w:val="20"/>
          <w:color w:val="auto"/>
        </w:rPr>
      </w:pPr>
      <w:r>
        <w:rPr>
          <w:rFonts w:ascii="Arial" w:cs="Arial" w:eastAsia="Arial" w:hAnsi="Arial"/>
          <w:sz w:val="14"/>
          <w:szCs w:val="14"/>
          <w:color w:val="auto"/>
        </w:rPr>
        <w:t>an AA rating from MSCI for environmental, social and governance management and performance</w:t>
      </w:r>
    </w:p>
    <w:p>
      <w:pPr>
        <w:spacing w:after="0" w:line="50"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_____</w:t>
      </w:r>
    </w:p>
    <w:p>
      <w:pPr>
        <w:spacing w:after="0" w:line="123" w:lineRule="exact"/>
        <w:rPr>
          <w:sz w:val="20"/>
          <w:szCs w:val="20"/>
          <w:color w:val="auto"/>
        </w:rPr>
      </w:pPr>
    </w:p>
    <w:p>
      <w:pPr>
        <w:ind w:left="3540" w:right="260"/>
        <w:spacing w:after="0" w:line="305" w:lineRule="auto"/>
        <w:rPr>
          <w:sz w:val="20"/>
          <w:szCs w:val="20"/>
          <w:color w:val="auto"/>
        </w:rPr>
      </w:pPr>
      <w:r>
        <w:rPr>
          <w:rFonts w:ascii="Arial" w:cs="Arial" w:eastAsia="Arial" w:hAnsi="Arial"/>
          <w:sz w:val="14"/>
          <w:szCs w:val="14"/>
          <w:color w:val="auto"/>
        </w:rPr>
        <w:t>achieved a perfect score on the CPA-Zicklin Index of Corporate Political Disclosure and Accountability</w:t>
      </w:r>
    </w:p>
    <w:p>
      <w:pPr>
        <w:spacing w:after="0" w:line="36"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_____</w:t>
      </w:r>
    </w:p>
    <w:p>
      <w:pPr>
        <w:spacing w:after="0" w:line="123" w:lineRule="exact"/>
        <w:rPr>
          <w:sz w:val="20"/>
          <w:szCs w:val="20"/>
          <w:color w:val="auto"/>
        </w:rPr>
      </w:pPr>
    </w:p>
    <w:p>
      <w:pPr>
        <w:ind w:left="3540" w:right="600"/>
        <w:spacing w:after="0" w:line="305" w:lineRule="auto"/>
        <w:rPr>
          <w:sz w:val="20"/>
          <w:szCs w:val="20"/>
          <w:color w:val="auto"/>
        </w:rPr>
      </w:pPr>
      <w:r>
        <w:rPr>
          <w:rFonts w:ascii="Arial" w:cs="Arial" w:eastAsia="Arial" w:hAnsi="Arial"/>
          <w:sz w:val="14"/>
          <w:szCs w:val="14"/>
          <w:color w:val="auto"/>
        </w:rPr>
        <w:t>named as one of JUST Capital’s 100 Most Just Companies for the second consecutive year</w:t>
      </w:r>
    </w:p>
    <w:p>
      <w:pPr>
        <w:spacing w:after="0" w:line="50"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_____</w:t>
      </w:r>
    </w:p>
    <w:p>
      <w:pPr>
        <w:spacing w:after="0" w:line="123" w:lineRule="exact"/>
        <w:rPr>
          <w:sz w:val="20"/>
          <w:szCs w:val="20"/>
          <w:color w:val="auto"/>
        </w:rPr>
      </w:pPr>
    </w:p>
    <w:p>
      <w:pPr>
        <w:ind w:left="3540" w:right="20"/>
        <w:spacing w:after="0" w:line="266" w:lineRule="auto"/>
        <w:rPr>
          <w:sz w:val="20"/>
          <w:szCs w:val="20"/>
          <w:color w:val="auto"/>
        </w:rPr>
      </w:pPr>
      <w:r>
        <w:rPr>
          <w:rFonts w:ascii="Arial" w:cs="Arial" w:eastAsia="Arial" w:hAnsi="Arial"/>
          <w:sz w:val="14"/>
          <w:szCs w:val="14"/>
          <w:color w:val="auto"/>
        </w:rPr>
        <w:t>one of DiversityInc’s Top 50 Companies for Diversity for the 14th year in a row as well as a top company for Veterans, employee resource groups, people with disabilities, executive diversity councils, Black executives, LGBTQ employees, Native American/Pacific Islander executives and Latino executives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440"/>
        <w:spacing w:after="0" w:line="273" w:lineRule="auto"/>
        <w:rPr>
          <w:sz w:val="20"/>
          <w:szCs w:val="20"/>
          <w:color w:val="auto"/>
        </w:rPr>
      </w:pPr>
      <w:r>
        <w:rPr>
          <w:rFonts w:ascii="Arial" w:cs="Arial" w:eastAsia="Arial" w:hAnsi="Arial"/>
          <w:sz w:val="14"/>
          <w:szCs w:val="14"/>
          <w:color w:val="auto"/>
        </w:rPr>
        <w:t>named as one of the top 15 industry supporters for engineering programs at HBCUs by Career Communications Group, Inc.</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w:t>
      </w:r>
    </w:p>
    <w:p>
      <w:pPr>
        <w:spacing w:after="0" w:line="123"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received the highest ranking for the ninth year in a row on the Disability Equality Index and named a “Best Place to Work For Disability Inclusion”</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w:t>
      </w:r>
    </w:p>
    <w:p>
      <w:pPr>
        <w:spacing w:after="0" w:line="123" w:lineRule="exact"/>
        <w:rPr>
          <w:sz w:val="20"/>
          <w:szCs w:val="20"/>
          <w:color w:val="auto"/>
        </w:rPr>
      </w:pPr>
    </w:p>
    <w:p>
      <w:pPr>
        <w:ind w:right="300"/>
        <w:spacing w:after="0" w:line="305" w:lineRule="auto"/>
        <w:rPr>
          <w:sz w:val="20"/>
          <w:szCs w:val="20"/>
          <w:color w:val="auto"/>
        </w:rPr>
      </w:pPr>
      <w:r>
        <w:rPr>
          <w:rFonts w:ascii="Arial" w:cs="Arial" w:eastAsia="Arial" w:hAnsi="Arial"/>
          <w:sz w:val="14"/>
          <w:szCs w:val="14"/>
          <w:color w:val="auto"/>
        </w:rPr>
        <w:t>Received the Human Rights Campaign “Equality 100 Award” as a leader in LGBTQ+ Workplace Inclusion</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_____</w:t>
      </w:r>
    </w:p>
    <w:p>
      <w:pPr>
        <w:spacing w:after="0" w:line="109" w:lineRule="exact"/>
        <w:rPr>
          <w:sz w:val="20"/>
          <w:szCs w:val="20"/>
          <w:color w:val="auto"/>
        </w:rPr>
      </w:pPr>
    </w:p>
    <w:p>
      <w:pPr>
        <w:ind w:right="240"/>
        <w:spacing w:after="0" w:line="305" w:lineRule="auto"/>
        <w:rPr>
          <w:sz w:val="20"/>
          <w:szCs w:val="20"/>
          <w:color w:val="auto"/>
        </w:rPr>
      </w:pPr>
      <w:r>
        <w:rPr>
          <w:rFonts w:ascii="Arial" w:cs="Arial" w:eastAsia="Arial" w:hAnsi="Arial"/>
          <w:sz w:val="14"/>
          <w:szCs w:val="14"/>
          <w:color w:val="auto"/>
        </w:rPr>
        <w:t>named as a 2023 VETS Indexes 5-Star Employer and received a Military Friendly Employers Gold Award</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_____</w:t>
      </w:r>
    </w:p>
    <w:p>
      <w:pPr>
        <w:spacing w:after="0" w:line="123" w:lineRule="exact"/>
        <w:rPr>
          <w:sz w:val="20"/>
          <w:szCs w:val="20"/>
          <w:color w:val="auto"/>
        </w:rPr>
      </w:pPr>
    </w:p>
    <w:p>
      <w:pPr>
        <w:ind w:right="400"/>
        <w:spacing w:after="0" w:line="305" w:lineRule="auto"/>
        <w:rPr>
          <w:sz w:val="20"/>
          <w:szCs w:val="20"/>
          <w:color w:val="auto"/>
        </w:rPr>
      </w:pPr>
      <w:r>
        <w:rPr>
          <w:rFonts w:ascii="Arial" w:cs="Arial" w:eastAsia="Arial" w:hAnsi="Arial"/>
          <w:sz w:val="14"/>
          <w:szCs w:val="14"/>
          <w:color w:val="auto"/>
        </w:rPr>
        <w:t>participated in the CDP Climate Survey for the 12th consecutive year, receiving a B score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_____</w:t>
      </w:r>
    </w:p>
    <w:p>
      <w:pPr>
        <w:spacing w:after="0" w:line="123" w:lineRule="exact"/>
        <w:rPr>
          <w:sz w:val="20"/>
          <w:szCs w:val="20"/>
          <w:color w:val="auto"/>
        </w:rPr>
      </w:pPr>
    </w:p>
    <w:p>
      <w:pPr>
        <w:ind w:right="300"/>
        <w:spacing w:after="0" w:line="305" w:lineRule="auto"/>
        <w:rPr>
          <w:sz w:val="20"/>
          <w:szCs w:val="20"/>
          <w:color w:val="auto"/>
        </w:rPr>
      </w:pPr>
      <w:r>
        <w:rPr>
          <w:rFonts w:ascii="Arial" w:cs="Arial" w:eastAsia="Arial" w:hAnsi="Arial"/>
          <w:sz w:val="14"/>
          <w:szCs w:val="14"/>
          <w:color w:val="auto"/>
        </w:rPr>
        <w:t>Named as one of the best places to grow a career by LinkedIn</w:t>
      </w:r>
    </w:p>
    <w:p>
      <w:pPr>
        <w:spacing w:after="0" w:line="200" w:lineRule="exact"/>
        <w:rPr>
          <w:sz w:val="20"/>
          <w:szCs w:val="20"/>
          <w:color w:val="auto"/>
        </w:rPr>
      </w:pPr>
    </w:p>
    <w:p>
      <w:pPr>
        <w:sectPr>
          <w:pgSz w:w="11900" w:h="16838" w:orient="portrait"/>
          <w:cols w:equalWidth="0" w:num="2">
            <w:col w:w="7140" w:space="400"/>
            <w:col w:w="3660"/>
          </w:cols>
          <w:pgMar w:left="320" w:top="23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0" w:hanging="494"/>
        <w:spacing w:after="0"/>
        <w:tabs>
          <w:tab w:leader="none" w:pos="520" w:val="left"/>
        </w:tabs>
        <w:numPr>
          <w:ilvl w:val="0"/>
          <w:numId w:val="88"/>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color w:val="auto"/>
        </w:rPr>
        <w:t>Human Rights</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 xml:space="preserve">Northrop Grumman is committed to maintaining a strong culture with a deep respect for individuals and human rights. The Company has a robust and wide-reaching Human Rights Policy that reflects this commitment. (The Policy is available on the Company’s website at </w:t>
      </w:r>
      <w:r>
        <w:rPr>
          <w:rFonts w:ascii="Arial" w:cs="Arial" w:eastAsia="Arial" w:hAnsi="Arial"/>
          <w:sz w:val="16"/>
          <w:szCs w:val="16"/>
          <w:i w:val="1"/>
          <w:iCs w:val="1"/>
          <w:color w:val="auto"/>
        </w:rPr>
        <w:t>www.northropgrumman.com/corporate-responsibility/northrop-grumman-human-rights-policy/</w:t>
      </w:r>
      <w:r>
        <w:rPr>
          <w:rFonts w:ascii="Arial" w:cs="Arial" w:eastAsia="Arial" w:hAnsi="Arial"/>
          <w:sz w:val="16"/>
          <w:szCs w:val="16"/>
          <w:color w:val="auto"/>
        </w:rPr>
        <w:t>). The Company has also established a Human Rights Working Group to help ensure our human rights</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is being implemented effectively and achieving our goals. The Working Group is led by the Company’s General Counsel (or her designee) and includes senior representatives from, among others, the Office of Global Corporate Responsibility, Global Supply Chain, Investor Relations, Treasury, Contracts, Environmental, Health and Safety, Global Business Development Office, Government Relations, Communications and each of our Sectors. Among other things our Human Rights Policy:</w:t>
      </w:r>
    </w:p>
    <w:p>
      <w:pPr>
        <w:spacing w:after="0" w:line="82" w:lineRule="exact"/>
        <w:rPr>
          <w:sz w:val="20"/>
          <w:szCs w:val="20"/>
          <w:color w:val="auto"/>
        </w:rPr>
      </w:pPr>
    </w:p>
    <w:p>
      <w:pPr>
        <w:ind w:left="200" w:right="40" w:hanging="192"/>
        <w:spacing w:after="0" w:line="286" w:lineRule="auto"/>
        <w:tabs>
          <w:tab w:leader="none" w:pos="143" w:val="left"/>
        </w:tabs>
        <w:numPr>
          <w:ilvl w:val="0"/>
          <w:numId w:val="89"/>
        </w:numPr>
        <w:rPr>
          <w:rFonts w:ascii="Arial" w:cs="Arial" w:eastAsia="Arial" w:hAnsi="Arial"/>
          <w:sz w:val="16"/>
          <w:szCs w:val="16"/>
          <w:b w:val="1"/>
          <w:bCs w:val="1"/>
          <w:color w:val="29378D"/>
        </w:rPr>
      </w:pPr>
      <w:r>
        <w:rPr>
          <w:rFonts w:ascii="Arial" w:cs="Arial" w:eastAsia="Arial" w:hAnsi="Arial"/>
          <w:sz w:val="16"/>
          <w:szCs w:val="16"/>
          <w:color w:val="auto"/>
        </w:rPr>
        <w:t>Makes clear our commitment to people, including our respect for the rights of employees to work in a positive work environment that treats employees with respect and dignity.</w:t>
      </w:r>
    </w:p>
    <w:p>
      <w:pPr>
        <w:spacing w:after="0" w:line="20" w:lineRule="exact"/>
        <w:rPr>
          <w:rFonts w:ascii="Arial" w:cs="Arial" w:eastAsia="Arial" w:hAnsi="Arial"/>
          <w:sz w:val="16"/>
          <w:szCs w:val="16"/>
          <w:b w:val="1"/>
          <w:bCs w:val="1"/>
          <w:color w:val="29378D"/>
        </w:rPr>
      </w:pPr>
    </w:p>
    <w:p>
      <w:pPr>
        <w:ind w:left="200" w:right="160" w:hanging="192"/>
        <w:spacing w:after="0" w:line="286" w:lineRule="auto"/>
        <w:tabs>
          <w:tab w:leader="none" w:pos="143" w:val="left"/>
        </w:tabs>
        <w:numPr>
          <w:ilvl w:val="0"/>
          <w:numId w:val="89"/>
        </w:numPr>
        <w:rPr>
          <w:rFonts w:ascii="Arial" w:cs="Arial" w:eastAsia="Arial" w:hAnsi="Arial"/>
          <w:sz w:val="16"/>
          <w:szCs w:val="16"/>
          <w:b w:val="1"/>
          <w:bCs w:val="1"/>
          <w:color w:val="29378D"/>
        </w:rPr>
      </w:pPr>
      <w:r>
        <w:rPr>
          <w:rFonts w:ascii="Arial" w:cs="Arial" w:eastAsia="Arial" w:hAnsi="Arial"/>
          <w:sz w:val="16"/>
          <w:szCs w:val="16"/>
          <w:color w:val="auto"/>
        </w:rPr>
        <w:t>Addresses explicitly the Company’s supply chain, making clear both that we treat our suppliers with respect and dignity, and that we require our suppliers to follow our Standards of Business Conduct for Suppliers and Other Trading Partners</w:t>
      </w:r>
    </w:p>
    <w:p>
      <w:pPr>
        <w:spacing w:after="0" w:line="20" w:lineRule="exact"/>
        <w:rPr>
          <w:rFonts w:ascii="Arial" w:cs="Arial" w:eastAsia="Arial" w:hAnsi="Arial"/>
          <w:sz w:val="16"/>
          <w:szCs w:val="16"/>
          <w:b w:val="1"/>
          <w:bCs w:val="1"/>
          <w:color w:val="29378D"/>
        </w:rPr>
      </w:pPr>
    </w:p>
    <w:p>
      <w:pPr>
        <w:ind w:left="200" w:right="60" w:hanging="192"/>
        <w:spacing w:after="0" w:line="275" w:lineRule="auto"/>
        <w:tabs>
          <w:tab w:leader="none" w:pos="143" w:val="left"/>
        </w:tabs>
        <w:numPr>
          <w:ilvl w:val="0"/>
          <w:numId w:val="89"/>
        </w:numPr>
        <w:rPr>
          <w:rFonts w:ascii="Arial" w:cs="Arial" w:eastAsia="Arial" w:hAnsi="Arial"/>
          <w:sz w:val="16"/>
          <w:szCs w:val="16"/>
          <w:b w:val="1"/>
          <w:bCs w:val="1"/>
          <w:color w:val="29378D"/>
        </w:rPr>
      </w:pPr>
      <w:r>
        <w:rPr>
          <w:rFonts w:ascii="Arial" w:cs="Arial" w:eastAsia="Arial" w:hAnsi="Arial"/>
          <w:sz w:val="16"/>
          <w:szCs w:val="16"/>
          <w:color w:val="auto"/>
        </w:rPr>
        <w:t>Addresses various processes the Company follows to consider a wide range of potential risks — including risks to human rights — as it develops products and determines whether to undertake certain business opportunities. In recent years, for example, the Company has exited legacy programs related to cluster munitions and depleted uranium.</w:t>
      </w:r>
    </w:p>
    <w:p>
      <w:pPr>
        <w:spacing w:after="0" w:line="56"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Board of Directors oversees the Company’s commitment to human rights. The Policy Committee has specific responsibility to provide oversight of the Company’s human rights program, including reviewing and making recommendations for enhancements, as appropriate. The Policy Committee receives regular reports from our Vice President, Global Corporate Responsibility, and our Corporate Vice President and General Counsel (or her designee), who is chair of the Human Rights Working Group, on how we are implementing our Human Rights Policy and to discuss any areas of concern.</w:t>
      </w:r>
    </w:p>
    <w:p>
      <w:pPr>
        <w:spacing w:after="0" w:line="7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 xml:space="preserve">In 2023, we published our 2022 Human Rights Report and have updated the report for 2023. This report provides a review of our human rights policies and practices and provides insights into our program for our shareholders and other stakeholders. Our latest Human Rights Report is available on the Company’s Investor Relations section on our website at </w:t>
      </w:r>
      <w:r>
        <w:rPr>
          <w:rFonts w:ascii="Arial" w:cs="Arial" w:eastAsia="Arial" w:hAnsi="Arial"/>
          <w:sz w:val="16"/>
          <w:szCs w:val="16"/>
          <w:i w:val="1"/>
          <w:iCs w:val="1"/>
          <w:color w:val="auto"/>
        </w:rPr>
        <w:t>www.northropgrumman.com</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Orientation and Continuing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9378D"/>
        </w:rPr>
        <w:t>NEW DIRECTOR</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9378D"/>
        </w:rPr>
        <w:t>ORIENTATION</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left="194" w:right="140" w:hanging="194"/>
        <w:spacing w:after="0" w:line="265" w:lineRule="auto"/>
        <w:tabs>
          <w:tab w:leader="none" w:pos="137" w:val="left"/>
        </w:tabs>
        <w:numPr>
          <w:ilvl w:val="0"/>
          <w:numId w:val="90"/>
        </w:numPr>
        <w:rPr>
          <w:rFonts w:ascii="Arial" w:cs="Arial" w:eastAsia="Arial" w:hAnsi="Arial"/>
          <w:sz w:val="16"/>
          <w:szCs w:val="16"/>
          <w:b w:val="1"/>
          <w:bCs w:val="1"/>
          <w:color w:val="29378D"/>
        </w:rPr>
      </w:pPr>
      <w:r>
        <w:rPr>
          <w:rFonts w:ascii="Arial" w:cs="Arial" w:eastAsia="Arial" w:hAnsi="Arial"/>
          <w:sz w:val="16"/>
          <w:szCs w:val="16"/>
          <w:color w:val="auto"/>
        </w:rPr>
        <w:t>All new directors to the Board receive in-person orientation and training that is individually tailored, taking into account the director’s experience, background, education and committee assignments. The orientation program is led by members of senior management and covers a review of our strategy and operating plans, financial statements, corporate governance and key policies and practices, as well as the roles and responsibilities of our directors.</w:t>
      </w:r>
    </w:p>
    <w:p>
      <w:pPr>
        <w:spacing w:after="0" w:line="23" w:lineRule="exact"/>
        <w:rPr>
          <w:rFonts w:ascii="Arial" w:cs="Arial" w:eastAsia="Arial" w:hAnsi="Arial"/>
          <w:sz w:val="16"/>
          <w:szCs w:val="16"/>
          <w:b w:val="1"/>
          <w:bCs w:val="1"/>
          <w:color w:val="29378D"/>
        </w:rPr>
      </w:pPr>
    </w:p>
    <w:p>
      <w:pPr>
        <w:ind w:left="194" w:right="400" w:hanging="194"/>
        <w:spacing w:after="0" w:line="271" w:lineRule="auto"/>
        <w:tabs>
          <w:tab w:leader="none" w:pos="137" w:val="left"/>
        </w:tabs>
        <w:numPr>
          <w:ilvl w:val="0"/>
          <w:numId w:val="90"/>
        </w:numPr>
        <w:rPr>
          <w:rFonts w:ascii="Arial" w:cs="Arial" w:eastAsia="Arial" w:hAnsi="Arial"/>
          <w:sz w:val="16"/>
          <w:szCs w:val="16"/>
          <w:b w:val="1"/>
          <w:bCs w:val="1"/>
          <w:color w:val="29378D"/>
        </w:rPr>
      </w:pPr>
      <w:r>
        <w:rPr>
          <w:rFonts w:ascii="Arial" w:cs="Arial" w:eastAsia="Arial" w:hAnsi="Arial"/>
          <w:sz w:val="16"/>
          <w:szCs w:val="16"/>
          <w:color w:val="auto"/>
        </w:rPr>
        <w:t>All directors receive regular in-person training regarding our Company policies and procedures, including the Standards of Business Conduct, and broad exposure to our operations and the teams. Members of senior management review with the Board the operating plan for each of our business sectors and the Company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-1725295</wp:posOffset>
            </wp:positionH>
            <wp:positionV relativeFrom="paragraph">
              <wp:posOffset>81280</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2006" w:space="720"/>
            <w:col w:w="8494"/>
          </w:cols>
          <w:pgMar w:left="320" w:top="238" w:right="359" w:bottom="1440" w:gutter="0" w:footer="0" w:header="0"/>
          <w:type w:val="continuous"/>
        </w:sectPr>
      </w:pPr>
    </w:p>
    <w:p>
      <w:pPr>
        <w:ind w:left="20" w:right="146"/>
        <w:spacing w:after="0" w:line="280" w:lineRule="auto"/>
        <w:rPr>
          <w:sz w:val="20"/>
          <w:szCs w:val="20"/>
          <w:color w:val="auto"/>
        </w:rPr>
      </w:pPr>
      <w:r>
        <w:rPr>
          <w:rFonts w:ascii="Arial" w:cs="Arial" w:eastAsia="Arial" w:hAnsi="Arial"/>
          <w:sz w:val="16"/>
          <w:szCs w:val="16"/>
          <w:b w:val="1"/>
          <w:bCs w:val="1"/>
          <w:color w:val="29378D"/>
        </w:rPr>
        <w:t>CONTINUING DIRECTOR EDUCATION AND SITE VISITS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94" w:right="180" w:hanging="194"/>
        <w:spacing w:after="0" w:line="275" w:lineRule="auto"/>
        <w:tabs>
          <w:tab w:leader="none" w:pos="137" w:val="left"/>
        </w:tabs>
        <w:numPr>
          <w:ilvl w:val="0"/>
          <w:numId w:val="91"/>
        </w:numPr>
        <w:rPr>
          <w:rFonts w:ascii="Arial" w:cs="Arial" w:eastAsia="Arial" w:hAnsi="Arial"/>
          <w:sz w:val="16"/>
          <w:szCs w:val="16"/>
          <w:b w:val="1"/>
          <w:bCs w:val="1"/>
          <w:color w:val="29378D"/>
        </w:rPr>
      </w:pPr>
      <w:r>
        <w:rPr>
          <w:rFonts w:ascii="Arial" w:cs="Arial" w:eastAsia="Arial" w:hAnsi="Arial"/>
          <w:sz w:val="16"/>
          <w:szCs w:val="16"/>
          <w:color w:val="auto"/>
        </w:rPr>
        <w:t>Directors attend outside director and other continuing education programs to assist them in staying current on developments in corporate governance, our industry, the global environment and issues critical to the operation of public company boards.</w:t>
      </w:r>
    </w:p>
    <w:p>
      <w:pPr>
        <w:spacing w:after="0" w:line="29" w:lineRule="exact"/>
        <w:rPr>
          <w:rFonts w:ascii="Arial" w:cs="Arial" w:eastAsia="Arial" w:hAnsi="Arial"/>
          <w:sz w:val="16"/>
          <w:szCs w:val="16"/>
          <w:b w:val="1"/>
          <w:bCs w:val="1"/>
          <w:color w:val="29378D"/>
        </w:rPr>
      </w:pPr>
    </w:p>
    <w:p>
      <w:pPr>
        <w:ind w:left="194" w:right="240" w:hanging="194"/>
        <w:spacing w:after="0" w:line="265" w:lineRule="auto"/>
        <w:tabs>
          <w:tab w:leader="none" w:pos="151" w:val="left"/>
        </w:tabs>
        <w:numPr>
          <w:ilvl w:val="0"/>
          <w:numId w:val="91"/>
        </w:numPr>
        <w:rPr>
          <w:rFonts w:ascii="Arial" w:cs="Arial" w:eastAsia="Arial" w:hAnsi="Arial"/>
          <w:sz w:val="16"/>
          <w:szCs w:val="16"/>
          <w:color w:val="29378D"/>
        </w:rPr>
      </w:pPr>
      <w:r>
        <w:rPr>
          <w:rFonts w:ascii="Arial" w:cs="Arial" w:eastAsia="Arial" w:hAnsi="Arial"/>
          <w:sz w:val="16"/>
          <w:szCs w:val="16"/>
          <w:color w:val="auto"/>
        </w:rPr>
        <w:t>The Board also conducts periodic site visits to our facilities as part of its regularly scheduled Board meetings, and during “Sector Days,” when our directors visit our business operations to meet with local employees and management. These visits allow directors to interact with a broader group of our executives and employees and gain firsthand insights into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-1725295</wp:posOffset>
            </wp:positionH>
            <wp:positionV relativeFrom="paragraph">
              <wp:posOffset>84455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6" w:space="720"/>
            <w:col w:w="8494"/>
          </w:cols>
          <w:pgMar w:left="320" w:top="238" w:right="35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Memberships and External Relationships</w:t>
      </w:r>
    </w:p>
    <w:p>
      <w:pPr>
        <w:spacing w:after="0" w:line="148"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Directors are required to ensure that their other commitments, including for example, other board memberships, employment, partnerships and consulting arrangements, do not interfere with their duties and responsibilities as members of the Board. Directors provide notice to the General Counsel prior to accepting an invitation to serve on the board of any other organization or agreeing to other new commitments that could interfere with their duties and responsibilities as a member of the Board, and the General Counsel advises the Chair of the Nominating and Corporate Governance Committee (or the Chair of the Board, if notice is from the Chair of the Nominating and Corporate Governance Committee). A director should not accept the new commitment until advised by the Chair of the Nominating and Corporate Governance Committee (or Chair of the Board, as appropriate) that such engagement will not unacceptably create conflicts of interest or regulatory issues, conflict with Company policies or otherwise interfere with the director’s duties and responsibilities as a member of the Board. Directors are also required promptly to inform the General Counsel if a conflict of interest arises, or they are concerned that a conflict may arise or circumstances could otherwise interfere with their duties and responsibilities as a director. Directors are required to seek to avoid even an appearance of an improper conflict of interest.</w:t>
      </w:r>
    </w:p>
    <w:p>
      <w:pPr>
        <w:spacing w:after="0" w:line="7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When a director’s principal occupation or business association changes substantially during his or her tenure as a director, the Board expects the director to tender his or her resignation for consideration by the Nominating and Corporate Governance Committee, which subsequently will recommend to the Board what action to 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18516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Director Overboarding</w:t>
      </w:r>
    </w:p>
    <w:p>
      <w:pPr>
        <w:spacing w:after="0" w:line="275" w:lineRule="exact"/>
        <w:rPr>
          <w:sz w:val="20"/>
          <w:szCs w:val="20"/>
          <w:color w:val="auto"/>
        </w:rPr>
      </w:pPr>
    </w:p>
    <w:p>
      <w:pPr>
        <w:ind w:left="100" w:right="160"/>
        <w:spacing w:after="0" w:line="275" w:lineRule="auto"/>
        <w:rPr>
          <w:sz w:val="20"/>
          <w:szCs w:val="20"/>
          <w:color w:val="auto"/>
        </w:rPr>
      </w:pPr>
      <w:r>
        <w:rPr>
          <w:rFonts w:ascii="Arial" w:cs="Arial" w:eastAsia="Arial" w:hAnsi="Arial"/>
          <w:sz w:val="16"/>
          <w:szCs w:val="16"/>
          <w:color w:val="auto"/>
        </w:rPr>
        <w:t>The Board regularly reviews the ability of our directors to devote the necessary time and resources to their service on the Board. At least annually, the Board considers the outside time commitments of all directors, including their service on other public company boards, as well as committee assignments and any leadership roles on those boards.</w:t>
      </w:r>
    </w:p>
    <w:p>
      <w:pPr>
        <w:spacing w:after="0" w:line="70" w:lineRule="exact"/>
        <w:rPr>
          <w:sz w:val="20"/>
          <w:szCs w:val="20"/>
          <w:color w:val="auto"/>
        </w:rPr>
      </w:pPr>
    </w:p>
    <w:p>
      <w:pPr>
        <w:ind w:left="100"/>
        <w:spacing w:after="0" w:line="258" w:lineRule="auto"/>
        <w:rPr>
          <w:sz w:val="20"/>
          <w:szCs w:val="20"/>
          <w:color w:val="auto"/>
        </w:rPr>
      </w:pPr>
      <w:r>
        <w:rPr>
          <w:rFonts w:ascii="Arial" w:cs="Arial" w:eastAsia="Arial" w:hAnsi="Arial"/>
          <w:sz w:val="16"/>
          <w:szCs w:val="16"/>
          <w:color w:val="auto"/>
        </w:rPr>
        <w:t>Our board seeks to ensure each director has the time and ability to engage fully to fulfill their responsibilities, provide effective oversight and advance the long-term interests of our shareholders. Independent directors may not serve on more than three other boards of publicly traded companies in addition to our Board, and a director who is a full-time employee of our Company may not serve on the board of more than one other public company, absent special approval. As discussed above, the Board and the Nominating and Corporate Governance Committee also have a robust process for assessing whether a director’s service on another board could create conflicts or otherwise potentially interfere with their responsibilities as a Northrop Grumman director, before the director accepts service on such other board.</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 2023, the Board conducted its regular review of directors’ other commitments and determined each director was in compliance with applicable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494"/>
        <w:spacing w:after="0"/>
        <w:tabs>
          <w:tab w:leader="none" w:pos="520" w:val="left"/>
        </w:tabs>
        <w:numPr>
          <w:ilvl w:val="0"/>
          <w:numId w:val="92"/>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Annual Self-Assessment Process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Board conducts annually thorough self-assessment processes at each of the full Board level, within each committee, and at the individual director level.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These processes are intended to ensure and enhance the effective operation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9378D"/>
        </w:rPr>
        <w:t>BOARD</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9378D"/>
        </w:rPr>
        <w:t>EVALUATION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self-assessment of the full Board is overseen by the Nominating and Corporate Governance Committee. As part of this assessment, the Lead Independent Director and Chair of the Nominating and Corporate Governance Committee facilitate a broad discussion of Board performance, held in executive session. Among other topics, the Board considers:</w:t>
      </w:r>
    </w:p>
    <w:p>
      <w:pPr>
        <w:spacing w:after="0" w:line="34" w:lineRule="exact"/>
        <w:rPr>
          <w:sz w:val="20"/>
          <w:szCs w:val="20"/>
          <w:color w:val="auto"/>
        </w:rPr>
      </w:pPr>
    </w:p>
    <w:p>
      <w:pPr>
        <w:ind w:left="140" w:hanging="134"/>
        <w:spacing w:after="0"/>
        <w:tabs>
          <w:tab w:leader="none" w:pos="140" w:val="left"/>
        </w:tabs>
        <w:numPr>
          <w:ilvl w:val="0"/>
          <w:numId w:val="93"/>
        </w:numPr>
        <w:rPr>
          <w:rFonts w:ascii="Arial" w:cs="Arial" w:eastAsia="Arial" w:hAnsi="Arial"/>
          <w:sz w:val="16"/>
          <w:szCs w:val="16"/>
          <w:b w:val="1"/>
          <w:bCs w:val="1"/>
          <w:color w:val="29378D"/>
        </w:rPr>
      </w:pPr>
      <w:r>
        <w:rPr>
          <w:rFonts w:ascii="Arial" w:cs="Arial" w:eastAsia="Arial" w:hAnsi="Arial"/>
          <w:sz w:val="16"/>
          <w:szCs w:val="16"/>
          <w:color w:val="auto"/>
        </w:rPr>
        <w:t>the Board’s effectiveness in evaluating and monitoring the Company’s business plan, long-term strategy and risks;</w:t>
      </w:r>
    </w:p>
    <w:p>
      <w:pPr>
        <w:spacing w:after="0" w:line="72" w:lineRule="exact"/>
        <w:rPr>
          <w:rFonts w:ascii="Arial" w:cs="Arial" w:eastAsia="Arial" w:hAnsi="Arial"/>
          <w:sz w:val="16"/>
          <w:szCs w:val="16"/>
          <w:b w:val="1"/>
          <w:bCs w:val="1"/>
          <w:color w:val="29378D"/>
        </w:rPr>
      </w:pPr>
    </w:p>
    <w:p>
      <w:pPr>
        <w:ind w:left="140" w:hanging="134"/>
        <w:spacing w:after="0"/>
        <w:tabs>
          <w:tab w:leader="none" w:pos="140" w:val="left"/>
        </w:tabs>
        <w:numPr>
          <w:ilvl w:val="0"/>
          <w:numId w:val="93"/>
        </w:numPr>
        <w:rPr>
          <w:rFonts w:ascii="Arial" w:cs="Arial" w:eastAsia="Arial" w:hAnsi="Arial"/>
          <w:sz w:val="16"/>
          <w:szCs w:val="16"/>
          <w:b w:val="1"/>
          <w:bCs w:val="1"/>
          <w:color w:val="29378D"/>
        </w:rPr>
      </w:pPr>
      <w:r>
        <w:rPr>
          <w:rFonts w:ascii="Arial" w:cs="Arial" w:eastAsia="Arial" w:hAnsi="Arial"/>
          <w:sz w:val="16"/>
          <w:szCs w:val="16"/>
          <w:color w:val="auto"/>
        </w:rPr>
        <w:t>whether strategic and critical issues are being addressed by the Board in a timely manner;</w:t>
      </w:r>
    </w:p>
    <w:p>
      <w:pPr>
        <w:spacing w:after="0" w:line="72" w:lineRule="exact"/>
        <w:rPr>
          <w:rFonts w:ascii="Arial" w:cs="Arial" w:eastAsia="Arial" w:hAnsi="Arial"/>
          <w:sz w:val="16"/>
          <w:szCs w:val="16"/>
          <w:b w:val="1"/>
          <w:bCs w:val="1"/>
          <w:color w:val="29378D"/>
        </w:rPr>
      </w:pPr>
    </w:p>
    <w:p>
      <w:pPr>
        <w:ind w:left="200" w:right="40" w:hanging="194"/>
        <w:spacing w:after="0" w:line="286" w:lineRule="auto"/>
        <w:tabs>
          <w:tab w:leader="none" w:pos="143" w:val="left"/>
        </w:tabs>
        <w:numPr>
          <w:ilvl w:val="0"/>
          <w:numId w:val="93"/>
        </w:numPr>
        <w:rPr>
          <w:rFonts w:ascii="Arial" w:cs="Arial" w:eastAsia="Arial" w:hAnsi="Arial"/>
          <w:sz w:val="16"/>
          <w:szCs w:val="16"/>
          <w:b w:val="1"/>
          <w:bCs w:val="1"/>
          <w:color w:val="29378D"/>
        </w:rPr>
      </w:pPr>
      <w:r>
        <w:rPr>
          <w:rFonts w:ascii="Arial" w:cs="Arial" w:eastAsia="Arial" w:hAnsi="Arial"/>
          <w:sz w:val="16"/>
          <w:szCs w:val="16"/>
          <w:color w:val="auto"/>
        </w:rPr>
        <w:t>whether the Board’s expectations and concerns are openly communicated to and discussed with the Chief Executive Officer;</w:t>
      </w:r>
    </w:p>
    <w:p>
      <w:pPr>
        <w:spacing w:after="0" w:line="7" w:lineRule="exact"/>
        <w:rPr>
          <w:rFonts w:ascii="Arial" w:cs="Arial" w:eastAsia="Arial" w:hAnsi="Arial"/>
          <w:sz w:val="16"/>
          <w:szCs w:val="16"/>
          <w:b w:val="1"/>
          <w:bCs w:val="1"/>
          <w:color w:val="29378D"/>
        </w:rPr>
      </w:pPr>
    </w:p>
    <w:p>
      <w:pPr>
        <w:ind w:left="140" w:hanging="134"/>
        <w:spacing w:after="0"/>
        <w:tabs>
          <w:tab w:leader="none" w:pos="140" w:val="left"/>
        </w:tabs>
        <w:numPr>
          <w:ilvl w:val="0"/>
          <w:numId w:val="93"/>
        </w:numPr>
        <w:rPr>
          <w:rFonts w:ascii="Arial" w:cs="Arial" w:eastAsia="Arial" w:hAnsi="Arial"/>
          <w:sz w:val="16"/>
          <w:szCs w:val="16"/>
          <w:b w:val="1"/>
          <w:bCs w:val="1"/>
          <w:color w:val="29378D"/>
        </w:rPr>
      </w:pPr>
      <w:r>
        <w:rPr>
          <w:rFonts w:ascii="Arial" w:cs="Arial" w:eastAsia="Arial" w:hAnsi="Arial"/>
          <w:sz w:val="16"/>
          <w:szCs w:val="16"/>
          <w:color w:val="auto"/>
        </w:rPr>
        <w:t>whether there is adequate contact between the Board and members of senior management;</w:t>
      </w:r>
    </w:p>
    <w:p>
      <w:pPr>
        <w:spacing w:after="0" w:line="72" w:lineRule="exact"/>
        <w:rPr>
          <w:rFonts w:ascii="Arial" w:cs="Arial" w:eastAsia="Arial" w:hAnsi="Arial"/>
          <w:sz w:val="16"/>
          <w:szCs w:val="16"/>
          <w:b w:val="1"/>
          <w:bCs w:val="1"/>
          <w:color w:val="29378D"/>
        </w:rPr>
      </w:pPr>
    </w:p>
    <w:p>
      <w:pPr>
        <w:ind w:left="140" w:hanging="134"/>
        <w:spacing w:after="0"/>
        <w:tabs>
          <w:tab w:leader="none" w:pos="140" w:val="left"/>
        </w:tabs>
        <w:numPr>
          <w:ilvl w:val="0"/>
          <w:numId w:val="93"/>
        </w:numPr>
        <w:rPr>
          <w:rFonts w:ascii="Arial" w:cs="Arial" w:eastAsia="Arial" w:hAnsi="Arial"/>
          <w:sz w:val="16"/>
          <w:szCs w:val="16"/>
          <w:b w:val="1"/>
          <w:bCs w:val="1"/>
          <w:color w:val="29378D"/>
        </w:rPr>
      </w:pPr>
      <w:r>
        <w:rPr>
          <w:rFonts w:ascii="Arial" w:cs="Arial" w:eastAsia="Arial" w:hAnsi="Arial"/>
          <w:sz w:val="16"/>
          <w:szCs w:val="16"/>
          <w:color w:val="auto"/>
        </w:rPr>
        <w:t>whether the directors collectively operate effectively as a Board;</w:t>
      </w:r>
    </w:p>
    <w:p>
      <w:pPr>
        <w:spacing w:after="0" w:line="72" w:lineRule="exact"/>
        <w:rPr>
          <w:rFonts w:ascii="Arial" w:cs="Arial" w:eastAsia="Arial" w:hAnsi="Arial"/>
          <w:sz w:val="16"/>
          <w:szCs w:val="16"/>
          <w:b w:val="1"/>
          <w:bCs w:val="1"/>
          <w:color w:val="29378D"/>
        </w:rPr>
      </w:pPr>
    </w:p>
    <w:p>
      <w:pPr>
        <w:ind w:left="200" w:right="260" w:hanging="194"/>
        <w:spacing w:after="0" w:line="286" w:lineRule="auto"/>
        <w:tabs>
          <w:tab w:leader="none" w:pos="143" w:val="left"/>
        </w:tabs>
        <w:numPr>
          <w:ilvl w:val="0"/>
          <w:numId w:val="93"/>
        </w:numPr>
        <w:rPr>
          <w:rFonts w:ascii="Arial" w:cs="Arial" w:eastAsia="Arial" w:hAnsi="Arial"/>
          <w:sz w:val="16"/>
          <w:szCs w:val="16"/>
          <w:b w:val="1"/>
          <w:bCs w:val="1"/>
          <w:color w:val="29378D"/>
        </w:rPr>
      </w:pPr>
      <w:r>
        <w:rPr>
          <w:rFonts w:ascii="Arial" w:cs="Arial" w:eastAsia="Arial" w:hAnsi="Arial"/>
          <w:sz w:val="16"/>
          <w:szCs w:val="16"/>
          <w:color w:val="auto"/>
        </w:rPr>
        <w:t>whether the individual directors have the appropriate mix of attributes and skills to fulfill their duties as directors of the Company;</w:t>
      </w:r>
    </w:p>
    <w:p>
      <w:pPr>
        <w:spacing w:after="0" w:line="7" w:lineRule="exact"/>
        <w:rPr>
          <w:rFonts w:ascii="Arial" w:cs="Arial" w:eastAsia="Arial" w:hAnsi="Arial"/>
          <w:sz w:val="16"/>
          <w:szCs w:val="16"/>
          <w:b w:val="1"/>
          <w:bCs w:val="1"/>
          <w:color w:val="29378D"/>
        </w:rPr>
      </w:pPr>
    </w:p>
    <w:p>
      <w:pPr>
        <w:ind w:left="200" w:right="320" w:hanging="194"/>
        <w:spacing w:after="0" w:line="268" w:lineRule="auto"/>
        <w:tabs>
          <w:tab w:leader="none" w:pos="143" w:val="left"/>
        </w:tabs>
        <w:numPr>
          <w:ilvl w:val="0"/>
          <w:numId w:val="93"/>
        </w:numPr>
        <w:rPr>
          <w:rFonts w:ascii="Arial" w:cs="Arial" w:eastAsia="Arial" w:hAnsi="Arial"/>
          <w:sz w:val="16"/>
          <w:szCs w:val="16"/>
          <w:b w:val="1"/>
          <w:bCs w:val="1"/>
          <w:color w:val="29378D"/>
        </w:rPr>
      </w:pPr>
      <w:r>
        <w:rPr>
          <w:rFonts w:ascii="Arial" w:cs="Arial" w:eastAsia="Arial" w:hAnsi="Arial"/>
          <w:sz w:val="16"/>
          <w:szCs w:val="16"/>
          <w:color w:val="auto"/>
        </w:rPr>
        <w:t>whether there are adequate opportunities to raise questions and comments on issues, both inside and outside of Board meetings;</w:t>
      </w:r>
    </w:p>
    <w:p>
      <w:pPr>
        <w:spacing w:after="0" w:line="21" w:lineRule="exact"/>
        <w:rPr>
          <w:rFonts w:ascii="Arial" w:cs="Arial" w:eastAsia="Arial" w:hAnsi="Arial"/>
          <w:sz w:val="16"/>
          <w:szCs w:val="16"/>
          <w:b w:val="1"/>
          <w:bCs w:val="1"/>
          <w:color w:val="29378D"/>
        </w:rPr>
      </w:pPr>
    </w:p>
    <w:p>
      <w:pPr>
        <w:ind w:left="140" w:hanging="134"/>
        <w:spacing w:after="0"/>
        <w:tabs>
          <w:tab w:leader="none" w:pos="140" w:val="left"/>
        </w:tabs>
        <w:numPr>
          <w:ilvl w:val="0"/>
          <w:numId w:val="93"/>
        </w:numPr>
        <w:rPr>
          <w:rFonts w:ascii="Arial" w:cs="Arial" w:eastAsia="Arial" w:hAnsi="Arial"/>
          <w:sz w:val="16"/>
          <w:szCs w:val="16"/>
          <w:b w:val="1"/>
          <w:bCs w:val="1"/>
          <w:color w:val="29378D"/>
        </w:rPr>
      </w:pPr>
      <w:r>
        <w:rPr>
          <w:rFonts w:ascii="Arial" w:cs="Arial" w:eastAsia="Arial" w:hAnsi="Arial"/>
          <w:sz w:val="16"/>
          <w:szCs w:val="16"/>
          <w:color w:val="auto"/>
        </w:rPr>
        <w:t>whether the Board has focused adequately on succession planning; and</w:t>
      </w:r>
    </w:p>
    <w:p>
      <w:pPr>
        <w:spacing w:after="0" w:line="72" w:lineRule="exact"/>
        <w:rPr>
          <w:rFonts w:ascii="Arial" w:cs="Arial" w:eastAsia="Arial" w:hAnsi="Arial"/>
          <w:sz w:val="16"/>
          <w:szCs w:val="16"/>
          <w:b w:val="1"/>
          <w:bCs w:val="1"/>
          <w:color w:val="29378D"/>
        </w:rPr>
      </w:pPr>
    </w:p>
    <w:p>
      <w:pPr>
        <w:ind w:left="140" w:hanging="134"/>
        <w:spacing w:after="0"/>
        <w:tabs>
          <w:tab w:leader="none" w:pos="140" w:val="left"/>
        </w:tabs>
        <w:numPr>
          <w:ilvl w:val="0"/>
          <w:numId w:val="93"/>
        </w:numPr>
        <w:rPr>
          <w:rFonts w:ascii="Arial" w:cs="Arial" w:eastAsia="Arial" w:hAnsi="Arial"/>
          <w:sz w:val="16"/>
          <w:szCs w:val="16"/>
          <w:b w:val="1"/>
          <w:bCs w:val="1"/>
          <w:color w:val="29378D"/>
        </w:rPr>
      </w:pPr>
      <w:r>
        <w:rPr>
          <w:rFonts w:ascii="Arial" w:cs="Arial" w:eastAsia="Arial" w:hAnsi="Arial"/>
          <w:sz w:val="16"/>
          <w:szCs w:val="16"/>
          <w:color w:val="auto"/>
        </w:rPr>
        <w:t>whether the Board is adequately responsive to shareholder communication.</w:t>
      </w:r>
    </w:p>
    <w:p>
      <w:pPr>
        <w:spacing w:after="0" w:line="73"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Following this review, the Board discusses the results and identifies opportunities for improvement, including any necessary steps to implement such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73660</wp:posOffset>
            </wp:positionV>
            <wp:extent cx="71323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2000" w:space="720"/>
            <w:col w:w="8520"/>
          </w:cols>
          <w:pgMar w:left="320" w:top="238"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900" w:type="dxa"/>
            <w:vAlign w:val="bottom"/>
          </w:tcPr>
          <w:p>
            <w:pPr>
              <w:ind w:left="20"/>
              <w:spacing w:after="0"/>
              <w:rPr>
                <w:sz w:val="20"/>
                <w:szCs w:val="20"/>
                <w:color w:val="auto"/>
              </w:rPr>
            </w:pPr>
            <w:r>
              <w:rPr>
                <w:rFonts w:ascii="Arial" w:cs="Arial" w:eastAsia="Arial" w:hAnsi="Arial"/>
                <w:sz w:val="16"/>
                <w:szCs w:val="16"/>
                <w:b w:val="1"/>
                <w:bCs w:val="1"/>
                <w:color w:val="29378D"/>
              </w:rPr>
              <w:t>COMMITTEE</w:t>
            </w:r>
          </w:p>
        </w:tc>
        <w:tc>
          <w:tcPr>
            <w:tcW w:w="9340" w:type="dxa"/>
            <w:vAlign w:val="bottom"/>
            <w:gridSpan w:val="2"/>
          </w:tcPr>
          <w:p>
            <w:pPr>
              <w:ind w:left="820"/>
              <w:spacing w:after="0"/>
              <w:rPr>
                <w:sz w:val="20"/>
                <w:szCs w:val="20"/>
                <w:color w:val="auto"/>
              </w:rPr>
            </w:pPr>
            <w:r>
              <w:rPr>
                <w:rFonts w:ascii="Arial" w:cs="Arial" w:eastAsia="Arial" w:hAnsi="Arial"/>
                <w:sz w:val="16"/>
                <w:szCs w:val="16"/>
                <w:color w:val="auto"/>
              </w:rPr>
              <w:t>Each of the Committees also conducts an annual self-assessment. During an executive session led by the Committee</w:t>
            </w:r>
          </w:p>
        </w:tc>
      </w:tr>
      <w:tr>
        <w:trPr>
          <w:trHeight w:val="190"/>
        </w:trPr>
        <w:tc>
          <w:tcPr>
            <w:tcW w:w="1900" w:type="dxa"/>
            <w:vAlign w:val="bottom"/>
          </w:tcPr>
          <w:p>
            <w:pPr>
              <w:ind w:left="20"/>
              <w:spacing w:after="0"/>
              <w:rPr>
                <w:sz w:val="20"/>
                <w:szCs w:val="20"/>
                <w:color w:val="auto"/>
              </w:rPr>
            </w:pPr>
            <w:r>
              <w:rPr>
                <w:rFonts w:ascii="Arial" w:cs="Arial" w:eastAsia="Arial" w:hAnsi="Arial"/>
                <w:sz w:val="16"/>
                <w:szCs w:val="16"/>
                <w:b w:val="1"/>
                <w:bCs w:val="1"/>
                <w:color w:val="29378D"/>
              </w:rPr>
              <w:t>EVALUATION</w:t>
            </w:r>
          </w:p>
        </w:tc>
        <w:tc>
          <w:tcPr>
            <w:tcW w:w="9340" w:type="dxa"/>
            <w:vAlign w:val="bottom"/>
            <w:gridSpan w:val="2"/>
          </w:tcPr>
          <w:p>
            <w:pPr>
              <w:ind w:left="820"/>
              <w:spacing w:after="0"/>
              <w:rPr>
                <w:sz w:val="20"/>
                <w:szCs w:val="20"/>
                <w:color w:val="auto"/>
              </w:rPr>
            </w:pPr>
            <w:r>
              <w:rPr>
                <w:rFonts w:ascii="Arial" w:cs="Arial" w:eastAsia="Arial" w:hAnsi="Arial"/>
                <w:sz w:val="16"/>
                <w:szCs w:val="16"/>
                <w:color w:val="auto"/>
              </w:rPr>
              <w:t>chair, each Committee considers, among other topics: whether the quality of participation and discussion at the</w:t>
            </w:r>
          </w:p>
        </w:tc>
      </w:tr>
      <w:tr>
        <w:trPr>
          <w:trHeight w:val="175"/>
        </w:trPr>
        <w:tc>
          <w:tcPr>
            <w:tcW w:w="1900" w:type="dxa"/>
            <w:vAlign w:val="bottom"/>
          </w:tcPr>
          <w:p>
            <w:pPr>
              <w:spacing w:after="0"/>
              <w:rPr>
                <w:sz w:val="15"/>
                <w:szCs w:val="15"/>
                <w:color w:val="auto"/>
              </w:rPr>
            </w:pPr>
          </w:p>
        </w:tc>
        <w:tc>
          <w:tcPr>
            <w:tcW w:w="9340" w:type="dxa"/>
            <w:vAlign w:val="bottom"/>
            <w:gridSpan w:val="2"/>
          </w:tcPr>
          <w:p>
            <w:pPr>
              <w:ind w:left="820"/>
              <w:spacing w:after="0" w:line="175" w:lineRule="exact"/>
              <w:rPr>
                <w:sz w:val="20"/>
                <w:szCs w:val="20"/>
                <w:color w:val="auto"/>
              </w:rPr>
            </w:pPr>
            <w:r>
              <w:rPr>
                <w:rFonts w:ascii="Arial" w:cs="Arial" w:eastAsia="Arial" w:hAnsi="Arial"/>
                <w:sz w:val="16"/>
                <w:szCs w:val="16"/>
                <w:color w:val="auto"/>
              </w:rPr>
              <w:t>Committee meetings is effective in facilitating the Committee’s obligations under its charter; whether the Committee</w:t>
            </w:r>
          </w:p>
        </w:tc>
      </w:tr>
      <w:tr>
        <w:trPr>
          <w:trHeight w:val="189"/>
        </w:trPr>
        <w:tc>
          <w:tcPr>
            <w:tcW w:w="1900" w:type="dxa"/>
            <w:vAlign w:val="bottom"/>
          </w:tcPr>
          <w:p>
            <w:pPr>
              <w:spacing w:after="0"/>
              <w:rPr>
                <w:sz w:val="16"/>
                <w:szCs w:val="16"/>
                <w:color w:val="auto"/>
              </w:rPr>
            </w:pPr>
          </w:p>
        </w:tc>
        <w:tc>
          <w:tcPr>
            <w:tcW w:w="9340" w:type="dxa"/>
            <w:vAlign w:val="bottom"/>
            <w:gridSpan w:val="2"/>
          </w:tcPr>
          <w:p>
            <w:pPr>
              <w:ind w:left="820"/>
              <w:spacing w:after="0"/>
              <w:rPr>
                <w:sz w:val="20"/>
                <w:szCs w:val="20"/>
                <w:color w:val="auto"/>
              </w:rPr>
            </w:pPr>
            <w:r>
              <w:rPr>
                <w:rFonts w:ascii="Arial" w:cs="Arial" w:eastAsia="Arial" w:hAnsi="Arial"/>
                <w:sz w:val="16"/>
                <w:szCs w:val="16"/>
                <w:color w:val="auto"/>
              </w:rPr>
              <w:t>has sufficient opportunity to engage in strategic discussion; and whether the Committee is covering the right topics in</w:t>
            </w:r>
          </w:p>
        </w:tc>
      </w:tr>
      <w:tr>
        <w:trPr>
          <w:trHeight w:val="189"/>
        </w:trPr>
        <w:tc>
          <w:tcPr>
            <w:tcW w:w="1900" w:type="dxa"/>
            <w:vAlign w:val="bottom"/>
          </w:tcPr>
          <w:p>
            <w:pPr>
              <w:spacing w:after="0"/>
              <w:rPr>
                <w:sz w:val="16"/>
                <w:szCs w:val="16"/>
                <w:color w:val="auto"/>
              </w:rPr>
            </w:pPr>
          </w:p>
        </w:tc>
        <w:tc>
          <w:tcPr>
            <w:tcW w:w="9340" w:type="dxa"/>
            <w:vAlign w:val="bottom"/>
            <w:gridSpan w:val="2"/>
          </w:tcPr>
          <w:p>
            <w:pPr>
              <w:ind w:left="820"/>
              <w:spacing w:after="0"/>
              <w:rPr>
                <w:sz w:val="20"/>
                <w:szCs w:val="20"/>
                <w:color w:val="auto"/>
              </w:rPr>
            </w:pPr>
            <w:r>
              <w:rPr>
                <w:rFonts w:ascii="Arial" w:cs="Arial" w:eastAsia="Arial" w:hAnsi="Arial"/>
                <w:sz w:val="16"/>
                <w:szCs w:val="16"/>
                <w:color w:val="auto"/>
              </w:rPr>
              <w:t>the right amount of detail. Following this discussion, the Committee develops and implements a list of action items, as</w:t>
            </w:r>
          </w:p>
        </w:tc>
      </w:tr>
      <w:tr>
        <w:trPr>
          <w:trHeight w:val="215"/>
        </w:trPr>
        <w:tc>
          <w:tcPr>
            <w:tcW w:w="1900" w:type="dxa"/>
            <w:vAlign w:val="bottom"/>
          </w:tcPr>
          <w:p>
            <w:pPr>
              <w:spacing w:after="0"/>
              <w:rPr>
                <w:sz w:val="18"/>
                <w:szCs w:val="18"/>
                <w:color w:val="auto"/>
              </w:rPr>
            </w:pPr>
          </w:p>
        </w:tc>
        <w:tc>
          <w:tcPr>
            <w:tcW w:w="9340" w:type="dxa"/>
            <w:vAlign w:val="bottom"/>
            <w:gridSpan w:val="2"/>
          </w:tcPr>
          <w:p>
            <w:pPr>
              <w:ind w:left="820"/>
              <w:spacing w:after="0"/>
              <w:rPr>
                <w:sz w:val="20"/>
                <w:szCs w:val="20"/>
                <w:color w:val="auto"/>
              </w:rPr>
            </w:pPr>
            <w:r>
              <w:rPr>
                <w:rFonts w:ascii="Arial" w:cs="Arial" w:eastAsia="Arial" w:hAnsi="Arial"/>
                <w:sz w:val="16"/>
                <w:szCs w:val="16"/>
                <w:color w:val="auto"/>
              </w:rPr>
              <w:t>appropriate.</w:t>
            </w:r>
          </w:p>
        </w:tc>
      </w:tr>
      <w:tr>
        <w:trPr>
          <w:trHeight w:val="70"/>
        </w:trPr>
        <w:tc>
          <w:tcPr>
            <w:tcW w:w="1900" w:type="dxa"/>
            <w:vAlign w:val="bottom"/>
            <w:tcBorders>
              <w:bottom w:val="single" w:sz="8" w:color="BCBEC0"/>
            </w:tcBorders>
          </w:tcPr>
          <w:p>
            <w:pPr>
              <w:spacing w:after="0"/>
              <w:rPr>
                <w:sz w:val="6"/>
                <w:szCs w:val="6"/>
                <w:color w:val="auto"/>
              </w:rPr>
            </w:pPr>
          </w:p>
        </w:tc>
        <w:tc>
          <w:tcPr>
            <w:tcW w:w="9340" w:type="dxa"/>
            <w:vAlign w:val="bottom"/>
            <w:tcBorders>
              <w:bottom w:val="single" w:sz="8" w:color="BCBEC0"/>
            </w:tcBorders>
            <w:gridSpan w:val="2"/>
          </w:tcPr>
          <w:p>
            <w:pPr>
              <w:spacing w:after="0"/>
              <w:rPr>
                <w:sz w:val="6"/>
                <w:szCs w:val="6"/>
                <w:color w:val="auto"/>
              </w:rPr>
            </w:pPr>
          </w:p>
        </w:tc>
      </w:tr>
      <w:tr>
        <w:trPr>
          <w:trHeight w:val="222"/>
        </w:trPr>
        <w:tc>
          <w:tcPr>
            <w:tcW w:w="1900" w:type="dxa"/>
            <w:vAlign w:val="bottom"/>
          </w:tcPr>
          <w:p>
            <w:pPr>
              <w:ind w:left="20"/>
              <w:spacing w:after="0"/>
              <w:rPr>
                <w:sz w:val="20"/>
                <w:szCs w:val="20"/>
                <w:color w:val="auto"/>
              </w:rPr>
            </w:pPr>
            <w:r>
              <w:rPr>
                <w:rFonts w:ascii="Arial" w:cs="Arial" w:eastAsia="Arial" w:hAnsi="Arial"/>
                <w:sz w:val="16"/>
                <w:szCs w:val="16"/>
                <w:b w:val="1"/>
                <w:bCs w:val="1"/>
                <w:color w:val="29378D"/>
              </w:rPr>
              <w:t>INDIVIDUAL</w:t>
            </w:r>
          </w:p>
        </w:tc>
        <w:tc>
          <w:tcPr>
            <w:tcW w:w="9340" w:type="dxa"/>
            <w:vAlign w:val="bottom"/>
            <w:gridSpan w:val="2"/>
          </w:tcPr>
          <w:p>
            <w:pPr>
              <w:ind w:left="820"/>
              <w:spacing w:after="0"/>
              <w:rPr>
                <w:sz w:val="20"/>
                <w:szCs w:val="20"/>
                <w:color w:val="auto"/>
              </w:rPr>
            </w:pPr>
            <w:r>
              <w:rPr>
                <w:rFonts w:ascii="Arial" w:cs="Arial" w:eastAsia="Arial" w:hAnsi="Arial"/>
                <w:sz w:val="16"/>
                <w:szCs w:val="16"/>
                <w:color w:val="auto"/>
              </w:rPr>
              <w:t>Also as part of the annual self-assessment process, each non-employee director completes an individual director</w:t>
            </w:r>
          </w:p>
        </w:tc>
      </w:tr>
      <w:tr>
        <w:trPr>
          <w:trHeight w:val="190"/>
        </w:trPr>
        <w:tc>
          <w:tcPr>
            <w:tcW w:w="1900" w:type="dxa"/>
            <w:vAlign w:val="bottom"/>
          </w:tcPr>
          <w:p>
            <w:pPr>
              <w:ind w:left="20"/>
              <w:spacing w:after="0"/>
              <w:rPr>
                <w:sz w:val="20"/>
                <w:szCs w:val="20"/>
                <w:color w:val="auto"/>
              </w:rPr>
            </w:pPr>
            <w:r>
              <w:rPr>
                <w:rFonts w:ascii="Arial" w:cs="Arial" w:eastAsia="Arial" w:hAnsi="Arial"/>
                <w:sz w:val="16"/>
                <w:szCs w:val="16"/>
                <w:b w:val="1"/>
                <w:bCs w:val="1"/>
                <w:color w:val="29378D"/>
              </w:rPr>
              <w:t>DIRECTOR</w:t>
            </w:r>
          </w:p>
        </w:tc>
        <w:tc>
          <w:tcPr>
            <w:tcW w:w="9340" w:type="dxa"/>
            <w:vAlign w:val="bottom"/>
            <w:gridSpan w:val="2"/>
          </w:tcPr>
          <w:p>
            <w:pPr>
              <w:ind w:left="820"/>
              <w:spacing w:after="0"/>
              <w:rPr>
                <w:sz w:val="20"/>
                <w:szCs w:val="20"/>
                <w:color w:val="auto"/>
              </w:rPr>
            </w:pPr>
            <w:r>
              <w:rPr>
                <w:rFonts w:ascii="Arial" w:cs="Arial" w:eastAsia="Arial" w:hAnsi="Arial"/>
                <w:sz w:val="16"/>
                <w:szCs w:val="16"/>
                <w:color w:val="auto"/>
              </w:rPr>
              <w:t>evaluation for each of the other non-employee directors. These evaluations address various aspects of how each</w:t>
            </w:r>
          </w:p>
        </w:tc>
      </w:tr>
      <w:tr>
        <w:trPr>
          <w:trHeight w:val="189"/>
        </w:trPr>
        <w:tc>
          <w:tcPr>
            <w:tcW w:w="1900" w:type="dxa"/>
            <w:vAlign w:val="bottom"/>
          </w:tcPr>
          <w:p>
            <w:pPr>
              <w:ind w:left="20"/>
              <w:spacing w:after="0"/>
              <w:rPr>
                <w:sz w:val="20"/>
                <w:szCs w:val="20"/>
                <w:color w:val="auto"/>
              </w:rPr>
            </w:pPr>
            <w:r>
              <w:rPr>
                <w:rFonts w:ascii="Arial" w:cs="Arial" w:eastAsia="Arial" w:hAnsi="Arial"/>
                <w:sz w:val="16"/>
                <w:szCs w:val="16"/>
                <w:b w:val="1"/>
                <w:bCs w:val="1"/>
                <w:color w:val="29378D"/>
              </w:rPr>
              <w:t>EVALUATION</w:t>
            </w:r>
          </w:p>
        </w:tc>
        <w:tc>
          <w:tcPr>
            <w:tcW w:w="9340" w:type="dxa"/>
            <w:vAlign w:val="bottom"/>
            <w:gridSpan w:val="2"/>
          </w:tcPr>
          <w:p>
            <w:pPr>
              <w:ind w:left="820"/>
              <w:spacing w:after="0"/>
              <w:rPr>
                <w:sz w:val="20"/>
                <w:szCs w:val="20"/>
                <w:color w:val="auto"/>
              </w:rPr>
            </w:pPr>
            <w:r>
              <w:rPr>
                <w:rFonts w:ascii="Arial" w:cs="Arial" w:eastAsia="Arial" w:hAnsi="Arial"/>
                <w:sz w:val="16"/>
                <w:szCs w:val="16"/>
                <w:color w:val="auto"/>
              </w:rPr>
              <w:t>director contributes to the Board and serves our shareholders. The evaluation results are compiled and provided</w:t>
            </w:r>
          </w:p>
        </w:tc>
      </w:tr>
      <w:tr>
        <w:trPr>
          <w:trHeight w:val="175"/>
        </w:trPr>
        <w:tc>
          <w:tcPr>
            <w:tcW w:w="1900" w:type="dxa"/>
            <w:vAlign w:val="bottom"/>
          </w:tcPr>
          <w:p>
            <w:pPr>
              <w:spacing w:after="0"/>
              <w:rPr>
                <w:sz w:val="15"/>
                <w:szCs w:val="15"/>
                <w:color w:val="auto"/>
              </w:rPr>
            </w:pPr>
          </w:p>
        </w:tc>
        <w:tc>
          <w:tcPr>
            <w:tcW w:w="9340" w:type="dxa"/>
            <w:vAlign w:val="bottom"/>
            <w:gridSpan w:val="2"/>
          </w:tcPr>
          <w:p>
            <w:pPr>
              <w:ind w:left="820"/>
              <w:spacing w:after="0" w:line="175" w:lineRule="exact"/>
              <w:rPr>
                <w:sz w:val="20"/>
                <w:szCs w:val="20"/>
                <w:color w:val="auto"/>
              </w:rPr>
            </w:pPr>
            <w:r>
              <w:rPr>
                <w:rFonts w:ascii="Arial" w:cs="Arial" w:eastAsia="Arial" w:hAnsi="Arial"/>
                <w:sz w:val="16"/>
                <w:szCs w:val="16"/>
                <w:color w:val="auto"/>
              </w:rPr>
              <w:t>directly to the Chair, the Lead Independent Director and the Chair of the Nominating and Corporate Governance</w:t>
            </w:r>
          </w:p>
        </w:tc>
      </w:tr>
      <w:tr>
        <w:trPr>
          <w:trHeight w:val="215"/>
        </w:trPr>
        <w:tc>
          <w:tcPr>
            <w:tcW w:w="1900" w:type="dxa"/>
            <w:vAlign w:val="bottom"/>
          </w:tcPr>
          <w:p>
            <w:pPr>
              <w:spacing w:after="0"/>
              <w:rPr>
                <w:sz w:val="18"/>
                <w:szCs w:val="18"/>
                <w:color w:val="auto"/>
              </w:rPr>
            </w:pPr>
          </w:p>
        </w:tc>
        <w:tc>
          <w:tcPr>
            <w:tcW w:w="9340" w:type="dxa"/>
            <w:vAlign w:val="bottom"/>
            <w:gridSpan w:val="2"/>
          </w:tcPr>
          <w:p>
            <w:pPr>
              <w:ind w:left="820"/>
              <w:spacing w:after="0"/>
              <w:rPr>
                <w:sz w:val="20"/>
                <w:szCs w:val="20"/>
                <w:color w:val="auto"/>
              </w:rPr>
            </w:pPr>
            <w:r>
              <w:rPr>
                <w:rFonts w:ascii="Arial" w:cs="Arial" w:eastAsia="Arial" w:hAnsi="Arial"/>
                <w:sz w:val="16"/>
                <w:szCs w:val="16"/>
                <w:color w:val="auto"/>
              </w:rPr>
              <w:t>Committee. These assessments include, among other topics, each non-employee director’s:</w:t>
            </w:r>
          </w:p>
        </w:tc>
      </w:tr>
      <w:tr>
        <w:trPr>
          <w:trHeight w:val="265"/>
        </w:trPr>
        <w:tc>
          <w:tcPr>
            <w:tcW w:w="1900" w:type="dxa"/>
            <w:vAlign w:val="bottom"/>
          </w:tcPr>
          <w:p>
            <w:pPr>
              <w:spacing w:after="0"/>
              <w:rPr>
                <w:sz w:val="23"/>
                <w:szCs w:val="23"/>
                <w:color w:val="auto"/>
              </w:rPr>
            </w:pPr>
          </w:p>
        </w:tc>
        <w:tc>
          <w:tcPr>
            <w:tcW w:w="920" w:type="dxa"/>
            <w:vAlign w:val="bottom"/>
          </w:tcPr>
          <w:p>
            <w:pPr>
              <w:ind w:left="820"/>
              <w:spacing w:after="0"/>
              <w:rPr>
                <w:sz w:val="20"/>
                <w:szCs w:val="20"/>
                <w:color w:val="auto"/>
              </w:rPr>
            </w:pPr>
            <w:r>
              <w:rPr>
                <w:rFonts w:ascii="Arial" w:cs="Arial" w:eastAsia="Arial" w:hAnsi="Arial"/>
                <w:sz w:val="16"/>
                <w:szCs w:val="16"/>
                <w:b w:val="1"/>
                <w:bCs w:val="1"/>
                <w:color w:val="29378D"/>
              </w:rPr>
              <w:t>•</w:t>
            </w:r>
          </w:p>
        </w:tc>
        <w:tc>
          <w:tcPr>
            <w:tcW w:w="8420" w:type="dxa"/>
            <w:vAlign w:val="bottom"/>
          </w:tcPr>
          <w:p>
            <w:pPr>
              <w:ind w:left="40"/>
              <w:spacing w:after="0"/>
              <w:rPr>
                <w:sz w:val="20"/>
                <w:szCs w:val="20"/>
                <w:color w:val="auto"/>
              </w:rPr>
            </w:pPr>
            <w:r>
              <w:rPr>
                <w:rFonts w:ascii="Arial" w:cs="Arial" w:eastAsia="Arial" w:hAnsi="Arial"/>
                <w:sz w:val="16"/>
                <w:szCs w:val="16"/>
                <w:color w:val="auto"/>
              </w:rPr>
              <w:t>understanding of the Company’s overall business and risk profile and its significant financial opportunities and plans;</w:t>
            </w:r>
          </w:p>
        </w:tc>
      </w:tr>
      <w:tr>
        <w:trPr>
          <w:trHeight w:val="256"/>
        </w:trPr>
        <w:tc>
          <w:tcPr>
            <w:tcW w:w="1900" w:type="dxa"/>
            <w:vAlign w:val="bottom"/>
          </w:tcPr>
          <w:p>
            <w:pPr>
              <w:spacing w:after="0"/>
              <w:rPr>
                <w:sz w:val="22"/>
                <w:szCs w:val="22"/>
                <w:color w:val="auto"/>
              </w:rPr>
            </w:pPr>
          </w:p>
        </w:tc>
        <w:tc>
          <w:tcPr>
            <w:tcW w:w="920" w:type="dxa"/>
            <w:vAlign w:val="bottom"/>
          </w:tcPr>
          <w:p>
            <w:pPr>
              <w:ind w:left="820"/>
              <w:spacing w:after="0"/>
              <w:rPr>
                <w:sz w:val="20"/>
                <w:szCs w:val="20"/>
                <w:color w:val="auto"/>
              </w:rPr>
            </w:pPr>
            <w:r>
              <w:rPr>
                <w:rFonts w:ascii="Arial" w:cs="Arial" w:eastAsia="Arial" w:hAnsi="Arial"/>
                <w:sz w:val="16"/>
                <w:szCs w:val="16"/>
                <w:b w:val="1"/>
                <w:bCs w:val="1"/>
                <w:color w:val="29378D"/>
              </w:rPr>
              <w:t>•</w:t>
            </w:r>
          </w:p>
        </w:tc>
        <w:tc>
          <w:tcPr>
            <w:tcW w:w="8420" w:type="dxa"/>
            <w:vAlign w:val="bottom"/>
          </w:tcPr>
          <w:p>
            <w:pPr>
              <w:ind w:left="40"/>
              <w:spacing w:after="0"/>
              <w:rPr>
                <w:sz w:val="20"/>
                <w:szCs w:val="20"/>
                <w:color w:val="auto"/>
              </w:rPr>
            </w:pPr>
            <w:r>
              <w:rPr>
                <w:rFonts w:ascii="Arial" w:cs="Arial" w:eastAsia="Arial" w:hAnsi="Arial"/>
                <w:sz w:val="16"/>
                <w:szCs w:val="16"/>
                <w:color w:val="auto"/>
              </w:rPr>
              <w:t>engagement during meetings and other Board functions;</w:t>
            </w:r>
          </w:p>
        </w:tc>
      </w:tr>
      <w:tr>
        <w:trPr>
          <w:trHeight w:val="257"/>
        </w:trPr>
        <w:tc>
          <w:tcPr>
            <w:tcW w:w="1900" w:type="dxa"/>
            <w:vAlign w:val="bottom"/>
          </w:tcPr>
          <w:p>
            <w:pPr>
              <w:spacing w:after="0"/>
              <w:rPr>
                <w:sz w:val="22"/>
                <w:szCs w:val="22"/>
                <w:color w:val="auto"/>
              </w:rPr>
            </w:pPr>
          </w:p>
        </w:tc>
        <w:tc>
          <w:tcPr>
            <w:tcW w:w="920" w:type="dxa"/>
            <w:vAlign w:val="bottom"/>
          </w:tcPr>
          <w:p>
            <w:pPr>
              <w:ind w:left="820"/>
              <w:spacing w:after="0"/>
              <w:rPr>
                <w:sz w:val="20"/>
                <w:szCs w:val="20"/>
                <w:color w:val="auto"/>
              </w:rPr>
            </w:pPr>
            <w:r>
              <w:rPr>
                <w:rFonts w:ascii="Arial" w:cs="Arial" w:eastAsia="Arial" w:hAnsi="Arial"/>
                <w:sz w:val="16"/>
                <w:szCs w:val="16"/>
                <w:b w:val="1"/>
                <w:bCs w:val="1"/>
                <w:color w:val="29378D"/>
              </w:rPr>
              <w:t>•</w:t>
            </w:r>
          </w:p>
        </w:tc>
        <w:tc>
          <w:tcPr>
            <w:tcW w:w="8420" w:type="dxa"/>
            <w:vAlign w:val="bottom"/>
          </w:tcPr>
          <w:p>
            <w:pPr>
              <w:ind w:left="40"/>
              <w:spacing w:after="0"/>
              <w:rPr>
                <w:sz w:val="20"/>
                <w:szCs w:val="20"/>
                <w:color w:val="auto"/>
              </w:rPr>
            </w:pPr>
            <w:r>
              <w:rPr>
                <w:rFonts w:ascii="Arial" w:cs="Arial" w:eastAsia="Arial" w:hAnsi="Arial"/>
                <w:sz w:val="16"/>
                <w:szCs w:val="16"/>
                <w:color w:val="auto"/>
              </w:rPr>
              <w:t>analysis of benefits and risks of courses of action considered by the Board; and</w:t>
            </w:r>
          </w:p>
        </w:tc>
      </w:tr>
      <w:tr>
        <w:trPr>
          <w:trHeight w:val="256"/>
        </w:trPr>
        <w:tc>
          <w:tcPr>
            <w:tcW w:w="1900" w:type="dxa"/>
            <w:vAlign w:val="bottom"/>
          </w:tcPr>
          <w:p>
            <w:pPr>
              <w:spacing w:after="0"/>
              <w:rPr>
                <w:sz w:val="22"/>
                <w:szCs w:val="22"/>
                <w:color w:val="auto"/>
              </w:rPr>
            </w:pPr>
          </w:p>
        </w:tc>
        <w:tc>
          <w:tcPr>
            <w:tcW w:w="920" w:type="dxa"/>
            <w:vAlign w:val="bottom"/>
          </w:tcPr>
          <w:p>
            <w:pPr>
              <w:ind w:left="820"/>
              <w:spacing w:after="0"/>
              <w:rPr>
                <w:sz w:val="20"/>
                <w:szCs w:val="20"/>
                <w:color w:val="auto"/>
              </w:rPr>
            </w:pPr>
            <w:r>
              <w:rPr>
                <w:rFonts w:ascii="Arial" w:cs="Arial" w:eastAsia="Arial" w:hAnsi="Arial"/>
                <w:sz w:val="16"/>
                <w:szCs w:val="16"/>
                <w:b w:val="1"/>
                <w:bCs w:val="1"/>
                <w:color w:val="29378D"/>
              </w:rPr>
              <w:t>•</w:t>
            </w:r>
          </w:p>
        </w:tc>
        <w:tc>
          <w:tcPr>
            <w:tcW w:w="8420" w:type="dxa"/>
            <w:vAlign w:val="bottom"/>
          </w:tcPr>
          <w:p>
            <w:pPr>
              <w:ind w:left="40"/>
              <w:spacing w:after="0"/>
              <w:rPr>
                <w:sz w:val="20"/>
                <w:szCs w:val="20"/>
                <w:color w:val="auto"/>
              </w:rPr>
            </w:pPr>
            <w:r>
              <w:rPr>
                <w:rFonts w:ascii="Arial" w:cs="Arial" w:eastAsia="Arial" w:hAnsi="Arial"/>
                <w:sz w:val="16"/>
                <w:szCs w:val="16"/>
                <w:color w:val="auto"/>
              </w:rPr>
              <w:t>appropriate respect for the views of other Board members.</w:t>
            </w:r>
          </w:p>
        </w:tc>
      </w:tr>
    </w:tbl>
    <w:p>
      <w:pPr>
        <w:spacing w:after="0" w:line="34" w:lineRule="exact"/>
        <w:rPr>
          <w:sz w:val="20"/>
          <w:szCs w:val="20"/>
          <w:color w:val="auto"/>
        </w:rPr>
      </w:pPr>
    </w:p>
    <w:p>
      <w:pPr>
        <w:ind w:left="2720" w:right="120"/>
        <w:spacing w:after="0" w:line="257" w:lineRule="auto"/>
        <w:rPr>
          <w:sz w:val="20"/>
          <w:szCs w:val="20"/>
          <w:color w:val="auto"/>
        </w:rPr>
      </w:pPr>
      <w:r>
        <w:rPr>
          <w:rFonts w:ascii="Arial" w:cs="Arial" w:eastAsia="Arial" w:hAnsi="Arial"/>
          <w:sz w:val="16"/>
          <w:szCs w:val="16"/>
          <w:color w:val="auto"/>
        </w:rPr>
        <w:t>The Lead Independent Director or the Chair of the Nominating and Corporate Governance Committee meets with each non-employee director individually to discuss the results of his or her assessment, including comments provided by other non-employee directors, and opportunities for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259" w:lineRule="exact"/>
        <w:rPr>
          <w:sz w:val="20"/>
          <w:szCs w:val="20"/>
          <w:color w:val="auto"/>
        </w:rPr>
      </w:pPr>
    </w:p>
    <w:p>
      <w:pPr>
        <w:ind w:left="20" w:right="380"/>
        <w:spacing w:after="0" w:line="314" w:lineRule="auto"/>
        <w:rPr>
          <w:sz w:val="20"/>
          <w:szCs w:val="20"/>
          <w:color w:val="auto"/>
        </w:rPr>
      </w:pPr>
      <w:r>
        <w:rPr>
          <w:rFonts w:ascii="Arial" w:cs="Arial" w:eastAsia="Arial" w:hAnsi="Arial"/>
          <w:sz w:val="16"/>
          <w:szCs w:val="16"/>
          <w:b w:val="1"/>
          <w:bCs w:val="1"/>
          <w:color w:val="29378D"/>
        </w:rPr>
        <w:t>SELF-ASSESSMENT FEEDBACK</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Lead Independent Director or the Chair of the Nominating and Corporate Governance Committee reports generally on the overall results of these discussions to the Board in executive session. These evaluations also assist the Nominating and Corporate Governance Committee with its recommendation for directors to be renominated for election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47625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720"/>
            <w:col w:w="852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b w:val="1"/>
          <w:bCs w:val="1"/>
          <w:color w:val="auto"/>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Succession Planning</w:t>
      </w:r>
    </w:p>
    <w:p>
      <w:pPr>
        <w:spacing w:after="0" w:line="14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Board believes that providing for strong and effective continuity of leadership is critical to the success of our Company. The Board commits significant resources to ongoing succession planning, with processes in place for the Board:</w:t>
      </w:r>
    </w:p>
    <w:p>
      <w:pPr>
        <w:spacing w:after="0" w:line="61" w:lineRule="exact"/>
        <w:rPr>
          <w:sz w:val="20"/>
          <w:szCs w:val="20"/>
          <w:color w:val="auto"/>
        </w:rPr>
      </w:pPr>
    </w:p>
    <w:p>
      <w:pPr>
        <w:ind w:left="140" w:hanging="132"/>
        <w:spacing w:after="0"/>
        <w:tabs>
          <w:tab w:leader="none" w:pos="140" w:val="left"/>
        </w:tabs>
        <w:numPr>
          <w:ilvl w:val="0"/>
          <w:numId w:val="94"/>
        </w:numPr>
        <w:rPr>
          <w:rFonts w:ascii="Arial" w:cs="Arial" w:eastAsia="Arial" w:hAnsi="Arial"/>
          <w:sz w:val="16"/>
          <w:szCs w:val="16"/>
          <w:b w:val="1"/>
          <w:bCs w:val="1"/>
          <w:color w:val="29378D"/>
        </w:rPr>
      </w:pPr>
      <w:r>
        <w:rPr>
          <w:rFonts w:ascii="Arial" w:cs="Arial" w:eastAsia="Arial" w:hAnsi="Arial"/>
          <w:sz w:val="16"/>
          <w:szCs w:val="16"/>
          <w:color w:val="auto"/>
        </w:rPr>
        <w:t>to evaluate the Chief Executive Officer annually based on a specific set of performance objectives;</w:t>
      </w:r>
    </w:p>
    <w:p>
      <w:pPr>
        <w:spacing w:after="0" w:line="72" w:lineRule="exact"/>
        <w:rPr>
          <w:rFonts w:ascii="Arial" w:cs="Arial" w:eastAsia="Arial" w:hAnsi="Arial"/>
          <w:sz w:val="16"/>
          <w:szCs w:val="16"/>
          <w:b w:val="1"/>
          <w:bCs w:val="1"/>
          <w:color w:val="29378D"/>
        </w:rPr>
      </w:pPr>
    </w:p>
    <w:p>
      <w:pPr>
        <w:ind w:left="200" w:right="320" w:hanging="192"/>
        <w:spacing w:after="0" w:line="299" w:lineRule="auto"/>
        <w:tabs>
          <w:tab w:leader="none" w:pos="143" w:val="left"/>
        </w:tabs>
        <w:numPr>
          <w:ilvl w:val="0"/>
          <w:numId w:val="94"/>
        </w:numPr>
        <w:rPr>
          <w:rFonts w:ascii="Arial" w:cs="Arial" w:eastAsia="Arial" w:hAnsi="Arial"/>
          <w:sz w:val="16"/>
          <w:szCs w:val="16"/>
          <w:b w:val="1"/>
          <w:bCs w:val="1"/>
          <w:color w:val="29378D"/>
        </w:rPr>
      </w:pPr>
      <w:r>
        <w:rPr>
          <w:rFonts w:ascii="Arial" w:cs="Arial" w:eastAsia="Arial" w:hAnsi="Arial"/>
          <w:sz w:val="16"/>
          <w:szCs w:val="16"/>
          <w:color w:val="auto"/>
        </w:rPr>
        <w:t>to work with the Chief Executive Officer to support and ensure the development of potential succession candidates for the Chief Executive Officer and other leadership positions;</w:t>
      </w:r>
    </w:p>
    <w:p>
      <w:pPr>
        <w:ind w:left="200" w:right="120" w:hanging="192"/>
        <w:spacing w:after="0" w:line="304" w:lineRule="auto"/>
        <w:tabs>
          <w:tab w:leader="none" w:pos="143" w:val="left"/>
        </w:tabs>
        <w:numPr>
          <w:ilvl w:val="0"/>
          <w:numId w:val="94"/>
        </w:numPr>
        <w:rPr>
          <w:rFonts w:ascii="Arial" w:cs="Arial" w:eastAsia="Arial" w:hAnsi="Arial"/>
          <w:sz w:val="16"/>
          <w:szCs w:val="16"/>
          <w:b w:val="1"/>
          <w:bCs w:val="1"/>
          <w:color w:val="29378D"/>
        </w:rPr>
      </w:pPr>
      <w:r>
        <w:rPr>
          <w:rFonts w:ascii="Arial" w:cs="Arial" w:eastAsia="Arial" w:hAnsi="Arial"/>
          <w:sz w:val="16"/>
          <w:szCs w:val="16"/>
          <w:color w:val="auto"/>
        </w:rPr>
        <w:t>to discuss with the Chief Executive Officer annually an assessment of persons considered potential successors to various senior management positions; and</w:t>
      </w:r>
    </w:p>
    <w:p>
      <w:pPr>
        <w:spacing w:after="0" w:line="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94"/>
        </w:numPr>
        <w:rPr>
          <w:rFonts w:ascii="Arial" w:cs="Arial" w:eastAsia="Arial" w:hAnsi="Arial"/>
          <w:sz w:val="16"/>
          <w:szCs w:val="16"/>
          <w:b w:val="1"/>
          <w:bCs w:val="1"/>
          <w:color w:val="29378D"/>
        </w:rPr>
      </w:pPr>
      <w:r>
        <w:rPr>
          <w:rFonts w:ascii="Arial" w:cs="Arial" w:eastAsia="Arial" w:hAnsi="Arial"/>
          <w:sz w:val="16"/>
          <w:szCs w:val="16"/>
          <w:color w:val="auto"/>
        </w:rPr>
        <w:t>robustly to consider, plan for and ensure successful transitions of leadership.</w:t>
      </w:r>
    </w:p>
    <w:p>
      <w:pPr>
        <w:spacing w:after="0" w:line="3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Communications with the Board of Directors</w:t>
      </w:r>
    </w:p>
    <w:p>
      <w:pPr>
        <w:spacing w:after="0" w:line="14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Any interested person may communicate with any of our directors, our Board as a group, our non-employee directors as a group or our Lead Independent Director through the Corporate Secretary by writing to the following address: Office of the Corporate Secretary, Northrop Grumman Corporation, 2980 Fairview Park Drive, Falls Church, Virginia 22042. The Corporate Secretary will forward correspondence to the director or directors to whom it is addressed, except for job inquiries, surveys, business solicitations or advertisements and other inappropriate material. The Corporate Secretary may forward certain correspondence elsewhere within our Company for review and possible response.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Board has met with, and looks forward to the opportunity to meet with, interested shareholders to address concerns and to receive input.</w:t>
      </w:r>
    </w:p>
    <w:p>
      <w:pPr>
        <w:spacing w:after="0" w:line="113"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Interested persons may also report any concerns relating to accounting matters, internal accounting controls or auditing matters to non-management directors (including anonymously) by writing to the Chair of the Audit and Risk Committee, Northrop Grumman Board of Directors c/o Corporate Ethics and Compliance Office, 2980 Fairview Park Drive, Falls Church, Virginia 22042.</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0" w:hanging="494"/>
        <w:spacing w:after="0"/>
        <w:tabs>
          <w:tab w:leader="none" w:pos="520" w:val="left"/>
        </w:tabs>
        <w:numPr>
          <w:ilvl w:val="0"/>
          <w:numId w:val="95"/>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8" w:right="419" w:bottom="1440" w:gutter="0" w:footer="0" w:header="0"/>
        </w:sectPr>
      </w:pPr>
    </w:p>
    <w:bookmarkStart w:id="47" w:name="page48"/>
    <w:bookmarkEnd w:id="47"/>
    <w:p>
      <w:pPr>
        <w:spacing w:after="0"/>
        <w:rPr>
          <w:sz w:val="20"/>
          <w:szCs w:val="20"/>
          <w:color w:val="auto"/>
        </w:rPr>
      </w:pPr>
      <w:r>
        <w:rPr>
          <w:rFonts w:ascii="Arial" w:cs="Arial" w:eastAsia="Arial" w:hAnsi="Arial"/>
          <w:sz w:val="43"/>
          <w:szCs w:val="43"/>
          <w:b w:val="1"/>
          <w:bCs w:val="1"/>
          <w:color w:val="29378D"/>
        </w:rPr>
        <w:t>Compensation of Directors</w:t>
      </w:r>
    </w:p>
    <w:p>
      <w:pPr>
        <w:spacing w:after="0" w:line="200" w:lineRule="exact"/>
        <w:rPr>
          <w:sz w:val="20"/>
          <w:szCs w:val="20"/>
          <w:color w:val="auto"/>
        </w:rPr>
      </w:pPr>
    </w:p>
    <w:p>
      <w:pPr>
        <w:spacing w:after="0" w:line="26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In May 2023, the Compensation and Human Capital Committee recommended to the Board, and the Board approved, the current non-employee director fee structure, effective May 17, 2023. The current fee structure is the same as was approved in May 2022. The table below lists the annual fees payable to our non-employee directors from January 1, 2023 to December 31, 2023.</w:t>
      </w:r>
    </w:p>
    <w:tbl>
      <w:tblPr>
        <w:tblLayout w:type="fixed"/>
        <w:tblInd w:w="1080" w:type="dxa"/>
        <w:tblCellMar>
          <w:top w:w="0" w:type="dxa"/>
          <w:left w:w="0" w:type="dxa"/>
          <w:bottom w:w="0" w:type="dxa"/>
          <w:right w:w="0" w:type="dxa"/>
        </w:tblCellMar>
      </w:tblPr>
      <w:tr>
        <w:trPr>
          <w:trHeight w:val="147"/>
        </w:trPr>
        <w:tc>
          <w:tcPr>
            <w:tcW w:w="5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3760" w:type="dxa"/>
            <w:vAlign w:val="bottom"/>
          </w:tcPr>
          <w:p>
            <w:pPr>
              <w:jc w:val="right"/>
              <w:spacing w:after="0" w:line="147" w:lineRule="exact"/>
              <w:rPr>
                <w:sz w:val="20"/>
                <w:szCs w:val="20"/>
                <w:color w:val="auto"/>
              </w:rPr>
            </w:pPr>
            <w:r>
              <w:rPr>
                <w:rFonts w:ascii="Arial" w:cs="Arial" w:eastAsia="Arial" w:hAnsi="Arial"/>
                <w:sz w:val="13"/>
                <w:szCs w:val="13"/>
                <w:b w:val="1"/>
                <w:bCs w:val="1"/>
                <w:color w:val="auto"/>
              </w:rPr>
              <w:t>Amount ($)</w:t>
            </w:r>
          </w:p>
        </w:tc>
        <w:tc>
          <w:tcPr>
            <w:tcW w:w="0" w:type="dxa"/>
            <w:vAlign w:val="bottom"/>
          </w:tcPr>
          <w:p>
            <w:pPr>
              <w:spacing w:after="0"/>
              <w:rPr>
                <w:sz w:val="1"/>
                <w:szCs w:val="1"/>
                <w:color w:val="auto"/>
              </w:rPr>
            </w:pPr>
          </w:p>
        </w:tc>
      </w:tr>
      <w:tr>
        <w:trPr>
          <w:trHeight w:val="172"/>
        </w:trPr>
        <w:tc>
          <w:tcPr>
            <w:tcW w:w="5320" w:type="dxa"/>
            <w:vAlign w:val="bottom"/>
            <w:vMerge w:val="continue"/>
          </w:tcPr>
          <w:p>
            <w:pPr>
              <w:spacing w:after="0"/>
              <w:rPr>
                <w:sz w:val="14"/>
                <w:szCs w:val="14"/>
                <w:color w:val="auto"/>
              </w:rPr>
            </w:pPr>
          </w:p>
        </w:tc>
        <w:tc>
          <w:tcPr>
            <w:tcW w:w="3760" w:type="dxa"/>
            <w:vAlign w:val="bottom"/>
          </w:tcPr>
          <w:p>
            <w:pPr>
              <w:jc w:val="right"/>
              <w:spacing w:after="0"/>
              <w:rPr>
                <w:sz w:val="20"/>
                <w:szCs w:val="20"/>
                <w:color w:val="auto"/>
              </w:rPr>
            </w:pPr>
            <w:r>
              <w:rPr>
                <w:rFonts w:ascii="Arial" w:cs="Arial" w:eastAsia="Arial" w:hAnsi="Arial"/>
                <w:sz w:val="13"/>
                <w:szCs w:val="13"/>
                <w:b w:val="1"/>
                <w:bCs w:val="1"/>
                <w:color w:val="auto"/>
              </w:rPr>
              <w:t>(1/1/23 - 12/31/23)</w:t>
            </w:r>
          </w:p>
        </w:tc>
        <w:tc>
          <w:tcPr>
            <w:tcW w:w="0" w:type="dxa"/>
            <w:vAlign w:val="bottom"/>
          </w:tcPr>
          <w:p>
            <w:pPr>
              <w:spacing w:after="0"/>
              <w:rPr>
                <w:sz w:val="1"/>
                <w:szCs w:val="1"/>
                <w:color w:val="auto"/>
              </w:rPr>
            </w:pPr>
          </w:p>
        </w:tc>
      </w:tr>
      <w:tr>
        <w:trPr>
          <w:trHeight w:val="22"/>
        </w:trPr>
        <w:tc>
          <w:tcPr>
            <w:tcW w:w="5320" w:type="dxa"/>
            <w:vAlign w:val="bottom"/>
            <w:tcBorders>
              <w:bottom w:val="single" w:sz="8" w:color="29378D"/>
            </w:tcBorders>
          </w:tcPr>
          <w:p>
            <w:pPr>
              <w:spacing w:after="0" w:line="20" w:lineRule="exact"/>
              <w:rPr>
                <w:sz w:val="1"/>
                <w:szCs w:val="1"/>
                <w:color w:val="auto"/>
              </w:rPr>
            </w:pPr>
          </w:p>
        </w:tc>
        <w:tc>
          <w:tcPr>
            <w:tcW w:w="376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5320" w:type="dxa"/>
            <w:vAlign w:val="bottom"/>
          </w:tcPr>
          <w:p>
            <w:pPr>
              <w:ind w:left="20"/>
              <w:spacing w:after="0"/>
              <w:rPr>
                <w:sz w:val="20"/>
                <w:szCs w:val="20"/>
                <w:color w:val="auto"/>
              </w:rPr>
            </w:pPr>
            <w:r>
              <w:rPr>
                <w:rFonts w:ascii="Arial" w:cs="Arial" w:eastAsia="Arial" w:hAnsi="Arial"/>
                <w:sz w:val="16"/>
                <w:szCs w:val="16"/>
                <w:color w:val="auto"/>
              </w:rPr>
              <w:t>Annual Cash Retainer</w:t>
            </w:r>
          </w:p>
        </w:tc>
        <w:tc>
          <w:tcPr>
            <w:tcW w:w="3760" w:type="dxa"/>
            <w:vAlign w:val="bottom"/>
          </w:tcPr>
          <w:p>
            <w:pPr>
              <w:jc w:val="right"/>
              <w:spacing w:after="0"/>
              <w:rPr>
                <w:sz w:val="20"/>
                <w:szCs w:val="20"/>
                <w:color w:val="auto"/>
              </w:rPr>
            </w:pPr>
            <w:r>
              <w:rPr>
                <w:rFonts w:ascii="Arial" w:cs="Arial" w:eastAsia="Arial" w:hAnsi="Arial"/>
                <w:sz w:val="16"/>
                <w:szCs w:val="16"/>
                <w:color w:val="auto"/>
              </w:rPr>
              <w:t>140,000</w:t>
            </w:r>
          </w:p>
        </w:tc>
        <w:tc>
          <w:tcPr>
            <w:tcW w:w="0" w:type="dxa"/>
            <w:vAlign w:val="bottom"/>
          </w:tcPr>
          <w:p>
            <w:pPr>
              <w:spacing w:after="0"/>
              <w:rPr>
                <w:sz w:val="1"/>
                <w:szCs w:val="1"/>
                <w:color w:val="auto"/>
              </w:rPr>
            </w:pPr>
          </w:p>
        </w:tc>
      </w:tr>
      <w:tr>
        <w:trPr>
          <w:trHeight w:val="28"/>
        </w:trPr>
        <w:tc>
          <w:tcPr>
            <w:tcW w:w="5320" w:type="dxa"/>
            <w:vAlign w:val="bottom"/>
            <w:tcBorders>
              <w:bottom w:val="single" w:sz="8" w:color="BCBEC0"/>
            </w:tcBorders>
          </w:tcPr>
          <w:p>
            <w:pPr>
              <w:spacing w:after="0"/>
              <w:rPr>
                <w:sz w:val="2"/>
                <w:szCs w:val="2"/>
                <w:color w:val="auto"/>
              </w:rPr>
            </w:pPr>
          </w:p>
        </w:tc>
        <w:tc>
          <w:tcPr>
            <w:tcW w:w="37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320" w:type="dxa"/>
            <w:vAlign w:val="bottom"/>
          </w:tcPr>
          <w:p>
            <w:pPr>
              <w:ind w:left="20"/>
              <w:spacing w:after="0"/>
              <w:rPr>
                <w:sz w:val="20"/>
                <w:szCs w:val="20"/>
                <w:color w:val="auto"/>
              </w:rPr>
            </w:pPr>
            <w:r>
              <w:rPr>
                <w:rFonts w:ascii="Arial" w:cs="Arial" w:eastAsia="Arial" w:hAnsi="Arial"/>
                <w:sz w:val="16"/>
                <w:szCs w:val="16"/>
                <w:color w:val="auto"/>
              </w:rPr>
              <w:t>Lead Independent Director Retainer</w:t>
            </w:r>
          </w:p>
        </w:tc>
        <w:tc>
          <w:tcPr>
            <w:tcW w:w="3760" w:type="dxa"/>
            <w:vAlign w:val="bottom"/>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8"/>
        </w:trPr>
        <w:tc>
          <w:tcPr>
            <w:tcW w:w="5320" w:type="dxa"/>
            <w:vAlign w:val="bottom"/>
            <w:tcBorders>
              <w:bottom w:val="single" w:sz="8" w:color="BCBEC0"/>
            </w:tcBorders>
          </w:tcPr>
          <w:p>
            <w:pPr>
              <w:spacing w:after="0"/>
              <w:rPr>
                <w:sz w:val="2"/>
                <w:szCs w:val="2"/>
                <w:color w:val="auto"/>
              </w:rPr>
            </w:pPr>
          </w:p>
        </w:tc>
        <w:tc>
          <w:tcPr>
            <w:tcW w:w="37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320" w:type="dxa"/>
            <w:vAlign w:val="bottom"/>
          </w:tcPr>
          <w:p>
            <w:pPr>
              <w:ind w:left="20"/>
              <w:spacing w:after="0"/>
              <w:rPr>
                <w:sz w:val="20"/>
                <w:szCs w:val="20"/>
                <w:color w:val="auto"/>
              </w:rPr>
            </w:pPr>
            <w:r>
              <w:rPr>
                <w:rFonts w:ascii="Arial" w:cs="Arial" w:eastAsia="Arial" w:hAnsi="Arial"/>
                <w:sz w:val="16"/>
                <w:szCs w:val="16"/>
                <w:color w:val="auto"/>
              </w:rPr>
              <w:t>Committee Chair Retainer</w:t>
            </w:r>
          </w:p>
        </w:tc>
        <w:tc>
          <w:tcPr>
            <w:tcW w:w="376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8"/>
        </w:trPr>
        <w:tc>
          <w:tcPr>
            <w:tcW w:w="5320" w:type="dxa"/>
            <w:vAlign w:val="bottom"/>
            <w:tcBorders>
              <w:bottom w:val="single" w:sz="8" w:color="BCBEC0"/>
            </w:tcBorders>
          </w:tcPr>
          <w:p>
            <w:pPr>
              <w:spacing w:after="0"/>
              <w:rPr>
                <w:sz w:val="2"/>
                <w:szCs w:val="2"/>
                <w:color w:val="auto"/>
              </w:rPr>
            </w:pPr>
          </w:p>
        </w:tc>
        <w:tc>
          <w:tcPr>
            <w:tcW w:w="37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320" w:type="dxa"/>
            <w:vAlign w:val="bottom"/>
          </w:tcPr>
          <w:p>
            <w:pPr>
              <w:ind w:left="20"/>
              <w:spacing w:after="0"/>
              <w:rPr>
                <w:sz w:val="20"/>
                <w:szCs w:val="20"/>
                <w:color w:val="auto"/>
              </w:rPr>
            </w:pPr>
            <w:r>
              <w:rPr>
                <w:rFonts w:ascii="Arial" w:cs="Arial" w:eastAsia="Arial" w:hAnsi="Arial"/>
                <w:sz w:val="16"/>
                <w:szCs w:val="16"/>
                <w:color w:val="auto"/>
              </w:rPr>
              <w:t>Audit and Risk Committee Retainer</w:t>
            </w:r>
          </w:p>
        </w:tc>
        <w:tc>
          <w:tcPr>
            <w:tcW w:w="3760" w:type="dxa"/>
            <w:vAlign w:val="bottom"/>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8"/>
        </w:trPr>
        <w:tc>
          <w:tcPr>
            <w:tcW w:w="5320" w:type="dxa"/>
            <w:vAlign w:val="bottom"/>
            <w:tcBorders>
              <w:bottom w:val="single" w:sz="8" w:color="BCBEC0"/>
            </w:tcBorders>
          </w:tcPr>
          <w:p>
            <w:pPr>
              <w:spacing w:after="0"/>
              <w:rPr>
                <w:sz w:val="2"/>
                <w:szCs w:val="2"/>
                <w:color w:val="auto"/>
              </w:rPr>
            </w:pPr>
          </w:p>
        </w:tc>
        <w:tc>
          <w:tcPr>
            <w:tcW w:w="37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tcBorders>
              <w:bottom w:val="single" w:sz="8" w:color="BCBEC0"/>
            </w:tcBorders>
          </w:tcPr>
          <w:p>
            <w:pPr>
              <w:ind w:left="20"/>
              <w:spacing w:after="0" w:line="237" w:lineRule="exact"/>
              <w:rPr>
                <w:sz w:val="20"/>
                <w:szCs w:val="20"/>
                <w:color w:val="auto"/>
              </w:rPr>
            </w:pPr>
            <w:r>
              <w:rPr>
                <w:rFonts w:ascii="Arial" w:cs="Arial" w:eastAsia="Arial" w:hAnsi="Arial"/>
                <w:sz w:val="16"/>
                <w:szCs w:val="16"/>
                <w:color w:val="auto"/>
              </w:rPr>
              <w:t>Annual Equity Grant</w:t>
            </w:r>
            <w:r>
              <w:rPr>
                <w:rFonts w:ascii="Arial" w:cs="Arial" w:eastAsia="Arial" w:hAnsi="Arial"/>
                <w:sz w:val="21"/>
                <w:szCs w:val="21"/>
                <w:color w:val="auto"/>
                <w:vertAlign w:val="superscript"/>
              </w:rPr>
              <w:t>(1)</w:t>
            </w:r>
          </w:p>
        </w:tc>
        <w:tc>
          <w:tcPr>
            <w:tcW w:w="37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175,000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140" w:right="120" w:hanging="322"/>
        <w:spacing w:after="0" w:line="273" w:lineRule="auto"/>
        <w:tabs>
          <w:tab w:leader="none" w:pos="11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annual equity grant is deferred into a stock unit account pursuant to the 2011 Long-Term Incentive Stock Plan (2011 Plan) as described below. The Northrop Grumman Equity Grant Program for Non-Employee Directors (Director Program) sets forth the terms and conditions of the equity awards granted to non-employee directors under the 2011 Plan.</w:t>
      </w:r>
    </w:p>
    <w:p>
      <w:pPr>
        <w:spacing w:after="0" w:line="75"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8"/>
          <w:szCs w:val="18"/>
          <w:b w:val="1"/>
          <w:bCs w:val="1"/>
          <w:color w:val="auto"/>
        </w:rPr>
        <w:t>Current Non-Employee Director Fees</w:t>
      </w:r>
      <w:r>
        <w:rPr>
          <w:sz w:val="20"/>
          <w:szCs w:val="20"/>
          <w:color w:val="auto"/>
        </w:rPr>
        <w:tab/>
      </w:r>
      <w:r>
        <w:rPr>
          <w:rFonts w:ascii="Arial" w:cs="Arial" w:eastAsia="Arial" w:hAnsi="Arial"/>
          <w:sz w:val="17"/>
          <w:szCs w:val="17"/>
          <w:b w:val="1"/>
          <w:bCs w:val="1"/>
          <w:color w:val="auto"/>
        </w:rPr>
        <w:t>Current Additional Annual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60325</wp:posOffset>
            </wp:positionV>
            <wp:extent cx="5400675" cy="15601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400675"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Retainer fees are paid in arrears on a quarterly basis at the end of each quarter.</w:t>
      </w:r>
    </w:p>
    <w:p>
      <w:pPr>
        <w:spacing w:after="0" w:line="12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To encourage directors to have a direct and material investment in shares of our common stock, non-employee directors are awarded an annual equity grant of $175,000 in the form of deferred stock units (Automatic Stock Units).</w:t>
      </w:r>
    </w:p>
    <w:p>
      <w:pPr>
        <w:spacing w:after="0" w:line="61"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Compensation and Human Capital Committee, with the assistance of its independent compensation consultant, is responsible for reviewing and recommending for Board approval the compensation of the non-employee directors. At the request of the Compensation and Human Capital Committee, the independent compensation consultant prepares annually a comprehensive benchmarking of our non-employee director compensation program against the compensation programs offered by our Target Industry Peer Group (the same peer group against which executive compensation is compared). Consistent with this benchmarking, the overarching approach for non-employee director compensation is to target approximately the 50th percentile of the Target Industry Peer Group and to align our director compensation with our shareholders’ interests.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color w:val="auto"/>
        </w:rPr>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Director Program was amended and restated effective January 1, 2016 (the Amended Director Program). Non-employee directors other than Mr. Krishna, Ms. Ross and Ms. Winston received an annual equity grant of Automatic Stock Units on May 18, 2022 which vested on May 18, 2023. Mr. Krishna, Ms. Ross and Ms. Winston each received a pro-rated annual equity grant upon their elections to the Board in November 2022 and March 2023, respectively, which also vested on May 18, 2023. Non-employee directors received an annual equity grant of Automatic Stock Units on May 17, 2023 which will vest on May 17, 2024. Under the Amended Director Program, directors may elect to have all or any portion of their Automatic Stock Units paid on (A) the earlier of (i) the beginning of a specified calendar year after the vesting date or (ii) their separation from service as a member of the Board, or (B) the vesting date. Directors may elect to defer to a later year all or a portion of their remaining cash retainer or committee retainer fees into a stock unit account as Elective Stock Units or in alternative investment options. Elective Stock Units are awarded on a calendar quarterly basis. Directors may elect to have all or a portion of their Elective Stock Units paid on the earlier of (i) the beginning of a specified calendar year or (ii) their separation from service as a member of the Board. Stock units awarded under the Amended Director Program will be paid out in an equivalent number of shares of our common stock. Deferral elections are made prior to the beginning of the year for which the retainer fees will be paid. Directors are credited with dividend equivalents in connection with the accumulated stock units until the shares of common stock related to such stock units are issued.</w:t>
      </w:r>
    </w:p>
    <w:p>
      <w:pPr>
        <w:spacing w:after="0" w:line="88"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Non-employee directors are eligible to participate in our Matching Gifts Program for Education. Under this program, the Northrop Grumman Foundation matches director contributions, up to $10,000 per year per director, to eligible educational programs in accordance with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8256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825625"/>
                    </a:xfrm>
                    <a:prstGeom prst="rect">
                      <a:avLst/>
                    </a:prstGeom>
                    <a:noFill/>
                  </pic:spPr>
                </pic:pic>
              </a:graphicData>
            </a:graphic>
          </wp:anchor>
        </w:drawing>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Stock Ownership Requirements</w:t>
      </w:r>
    </w:p>
    <w:p>
      <w:pPr>
        <w:spacing w:after="0" w:line="127" w:lineRule="exact"/>
        <w:rPr>
          <w:sz w:val="20"/>
          <w:szCs w:val="20"/>
          <w:color w:val="auto"/>
        </w:rPr>
      </w:pPr>
    </w:p>
    <w:p>
      <w:pPr>
        <w:ind w:left="100" w:right="200"/>
        <w:spacing w:after="0" w:line="275" w:lineRule="auto"/>
        <w:rPr>
          <w:sz w:val="20"/>
          <w:szCs w:val="20"/>
          <w:color w:val="auto"/>
        </w:rPr>
      </w:pPr>
      <w:r>
        <w:rPr>
          <w:rFonts w:ascii="Arial" w:cs="Arial" w:eastAsia="Arial" w:hAnsi="Arial"/>
          <w:sz w:val="16"/>
          <w:szCs w:val="16"/>
          <w:color w:val="auto"/>
        </w:rPr>
        <w:t>Non-employee directors are required to own common stock of the Company in an amount equal to five times the annual cash retainer, with such ownership to be achieved within five years of the director’s election to the Board. Deferred stock units and Company stock owned outright by the director count towards this requirement.</w:t>
      </w:r>
    </w:p>
    <w:p>
      <w:pPr>
        <w:spacing w:after="0" w:line="5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Anti-Hedging and Pledging Policy</w:t>
      </w:r>
    </w:p>
    <w:p>
      <w:pPr>
        <w:spacing w:after="0" w:line="113" w:lineRule="exact"/>
        <w:rPr>
          <w:sz w:val="20"/>
          <w:szCs w:val="20"/>
          <w:color w:val="auto"/>
        </w:rPr>
      </w:pPr>
    </w:p>
    <w:p>
      <w:pPr>
        <w:ind w:left="100" w:right="80"/>
        <w:spacing w:after="0" w:line="261" w:lineRule="auto"/>
        <w:rPr>
          <w:sz w:val="20"/>
          <w:szCs w:val="20"/>
          <w:color w:val="auto"/>
        </w:rPr>
      </w:pPr>
      <w:r>
        <w:rPr>
          <w:rFonts w:ascii="Arial" w:cs="Arial" w:eastAsia="Arial" w:hAnsi="Arial"/>
          <w:sz w:val="16"/>
          <w:szCs w:val="16"/>
          <w:color w:val="auto"/>
        </w:rPr>
        <w:t>Company policy prohibits our directors, NEOs, other elected and appointed officers, designated employees who are subject to specific preclearance procedures under the Company’s insider trading policy and any other employees who receive performance-based compensation, from engaging in hedging, pledging or other specified transactions. Specifically, this policy prohibits such persons from: engaging in hedging or derivative transactions, such as “cashless” collars, forward contracts, equity swaps or other similar or related transactions; entering into margin transactions involving Company stock; pledging Company securities as collateral for loans or other transactions; trading in puts, calls, options, warrants or other similar derivative instruments involving Company securities; or engaging in short sales of Company securities.</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None of the shares of Company common stock held by our directors are pledged or subject to any hedging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hanging="494"/>
        <w:spacing w:after="0"/>
        <w:tabs>
          <w:tab w:leader="none" w:pos="520" w:val="left"/>
        </w:tabs>
        <w:numPr>
          <w:ilvl w:val="0"/>
          <w:numId w:val="97"/>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49" w:name="page50"/>
    <w:bookmarkEnd w:id="49"/>
    <w:p>
      <w:pPr>
        <w:jc w:val="right"/>
        <w:spacing w:after="0"/>
        <w:rPr>
          <w:sz w:val="20"/>
          <w:szCs w:val="20"/>
          <w:color w:val="auto"/>
        </w:rPr>
      </w:pPr>
      <w:r>
        <w:rPr>
          <w:rFonts w:ascii="Arial" w:cs="Arial" w:eastAsia="Arial" w:hAnsi="Arial"/>
          <w:sz w:val="14"/>
          <w:szCs w:val="14"/>
          <w:b w:val="1"/>
          <w:bCs w:val="1"/>
          <w:color w:val="auto"/>
        </w:rPr>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2023 Director Compensation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gridSpan w:val="2"/>
          </w:tcPr>
          <w:p>
            <w:pPr>
              <w:spacing w:after="0"/>
              <w:rPr>
                <w:sz w:val="20"/>
                <w:szCs w:val="20"/>
                <w:color w:val="auto"/>
              </w:rPr>
            </w:pPr>
            <w:r>
              <w:rPr>
                <w:rFonts w:ascii="Arial" w:cs="Arial" w:eastAsia="Arial" w:hAnsi="Arial"/>
                <w:sz w:val="16"/>
                <w:szCs w:val="16"/>
                <w:color w:val="auto"/>
              </w:rPr>
              <w:t>The table below provides information on the compensation of our non-employee directors for the year ended</w:t>
            </w:r>
          </w:p>
        </w:tc>
        <w:tc>
          <w:tcPr>
            <w:tcW w:w="2460" w:type="dxa"/>
            <w:vAlign w:val="bottom"/>
            <w:gridSpan w:val="2"/>
          </w:tcPr>
          <w:p>
            <w:pPr>
              <w:jc w:val="right"/>
              <w:ind w:right="602"/>
              <w:spacing w:after="0"/>
              <w:rPr>
                <w:sz w:val="20"/>
                <w:szCs w:val="20"/>
                <w:color w:val="auto"/>
              </w:rPr>
            </w:pPr>
            <w:r>
              <w:rPr>
                <w:rFonts w:ascii="Arial" w:cs="Arial" w:eastAsia="Arial" w:hAnsi="Arial"/>
                <w:sz w:val="16"/>
                <w:szCs w:val="16"/>
                <w:color w:val="auto"/>
              </w:rPr>
              <w:t>December 31, 2023.</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4140" w:type="dxa"/>
            <w:vAlign w:val="bottom"/>
          </w:tcPr>
          <w:p>
            <w:pPr>
              <w:spacing w:after="0"/>
              <w:rPr>
                <w:sz w:val="24"/>
                <w:szCs w:val="24"/>
                <w:color w:val="auto"/>
              </w:rPr>
            </w:pPr>
          </w:p>
        </w:tc>
        <w:tc>
          <w:tcPr>
            <w:tcW w:w="3760" w:type="dxa"/>
            <w:vAlign w:val="bottom"/>
          </w:tcPr>
          <w:p>
            <w:pPr>
              <w:jc w:val="right"/>
              <w:ind w:right="442"/>
              <w:spacing w:after="0"/>
              <w:rPr>
                <w:sz w:val="20"/>
                <w:szCs w:val="20"/>
                <w:color w:val="auto"/>
              </w:rPr>
            </w:pPr>
            <w:r>
              <w:rPr>
                <w:rFonts w:ascii="Arial" w:cs="Arial" w:eastAsia="Arial" w:hAnsi="Arial"/>
                <w:sz w:val="13"/>
                <w:szCs w:val="13"/>
                <w:b w:val="1"/>
                <w:bCs w:val="1"/>
                <w:color w:val="auto"/>
              </w:rPr>
              <w:t>Fees Earned or</w:t>
            </w:r>
          </w:p>
        </w:tc>
        <w:tc>
          <w:tcPr>
            <w:tcW w:w="1020" w:type="dxa"/>
            <w:vAlign w:val="bottom"/>
          </w:tcPr>
          <w:p>
            <w:pPr>
              <w:jc w:val="right"/>
              <w:ind w:right="162"/>
              <w:spacing w:after="0"/>
              <w:rPr>
                <w:sz w:val="20"/>
                <w:szCs w:val="20"/>
                <w:color w:val="auto"/>
              </w:rPr>
            </w:pPr>
            <w:r>
              <w:rPr>
                <w:rFonts w:ascii="Arial" w:cs="Arial" w:eastAsia="Arial" w:hAnsi="Arial"/>
                <w:sz w:val="13"/>
                <w:szCs w:val="13"/>
                <w:b w:val="1"/>
                <w:bCs w:val="1"/>
                <w:color w:val="auto"/>
              </w:rPr>
              <w:t>Stock</w:t>
            </w:r>
          </w:p>
        </w:tc>
        <w:tc>
          <w:tcPr>
            <w:tcW w:w="1440" w:type="dxa"/>
            <w:vAlign w:val="bottom"/>
          </w:tcPr>
          <w:p>
            <w:pPr>
              <w:jc w:val="right"/>
              <w:ind w:right="142"/>
              <w:spacing w:after="0"/>
              <w:rPr>
                <w:sz w:val="20"/>
                <w:szCs w:val="20"/>
                <w:color w:val="auto"/>
              </w:rPr>
            </w:pPr>
            <w:r>
              <w:rPr>
                <w:rFonts w:ascii="Arial" w:cs="Arial" w:eastAsia="Arial" w:hAnsi="Arial"/>
                <w:sz w:val="13"/>
                <w:szCs w:val="13"/>
                <w:b w:val="1"/>
                <w:bCs w:val="1"/>
                <w:color w:val="auto"/>
              </w:rPr>
              <w:t>All Other</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1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3760" w:type="dxa"/>
            <w:vAlign w:val="bottom"/>
          </w:tcPr>
          <w:p>
            <w:pPr>
              <w:jc w:val="right"/>
              <w:ind w:right="442"/>
              <w:spacing w:after="0" w:line="148" w:lineRule="exact"/>
              <w:rPr>
                <w:sz w:val="20"/>
                <w:szCs w:val="20"/>
                <w:color w:val="auto"/>
              </w:rPr>
            </w:pPr>
            <w:r>
              <w:rPr>
                <w:rFonts w:ascii="Arial" w:cs="Arial" w:eastAsia="Arial" w:hAnsi="Arial"/>
                <w:sz w:val="13"/>
                <w:szCs w:val="13"/>
                <w:b w:val="1"/>
                <w:bCs w:val="1"/>
                <w:color w:val="auto"/>
              </w:rPr>
              <w:t>Paid in Cash</w:t>
            </w:r>
            <w:r>
              <w:rPr>
                <w:rFonts w:ascii="Arial" w:cs="Arial" w:eastAsia="Arial" w:hAnsi="Arial"/>
                <w:sz w:val="16"/>
                <w:szCs w:val="16"/>
                <w:b w:val="1"/>
                <w:bCs w:val="1"/>
                <w:color w:val="auto"/>
                <w:vertAlign w:val="superscript"/>
              </w:rPr>
              <w:t>(1)</w:t>
            </w:r>
          </w:p>
        </w:tc>
        <w:tc>
          <w:tcPr>
            <w:tcW w:w="1020" w:type="dxa"/>
            <w:vAlign w:val="bottom"/>
          </w:tcPr>
          <w:p>
            <w:pPr>
              <w:jc w:val="right"/>
              <w:ind w:right="162"/>
              <w:spacing w:after="0" w:line="148"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16"/>
                <w:szCs w:val="16"/>
                <w:b w:val="1"/>
                <w:bCs w:val="1"/>
                <w:color w:val="auto"/>
                <w:vertAlign w:val="superscript"/>
              </w:rPr>
              <w:t>(2)</w:t>
            </w:r>
          </w:p>
        </w:tc>
        <w:tc>
          <w:tcPr>
            <w:tcW w:w="1440" w:type="dxa"/>
            <w:vAlign w:val="bottom"/>
          </w:tcPr>
          <w:p>
            <w:pPr>
              <w:jc w:val="right"/>
              <w:ind w:right="142"/>
              <w:spacing w:after="0" w:line="148"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16"/>
                <w:szCs w:val="16"/>
                <w:b w:val="1"/>
                <w:bCs w:val="1"/>
                <w:color w:val="auto"/>
                <w:vertAlign w:val="superscript"/>
              </w:rPr>
              <w:t>(3)</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4140" w:type="dxa"/>
            <w:vAlign w:val="bottom"/>
            <w:tcBorders>
              <w:bottom w:val="single" w:sz="8" w:color="29378D"/>
            </w:tcBorders>
            <w:vMerge w:val="continue"/>
          </w:tcPr>
          <w:p>
            <w:pPr>
              <w:spacing w:after="0"/>
              <w:rPr>
                <w:sz w:val="15"/>
                <w:szCs w:val="15"/>
                <w:color w:val="auto"/>
              </w:rPr>
            </w:pPr>
          </w:p>
        </w:tc>
        <w:tc>
          <w:tcPr>
            <w:tcW w:w="3760" w:type="dxa"/>
            <w:vAlign w:val="bottom"/>
            <w:tcBorders>
              <w:bottom w:val="single" w:sz="8" w:color="29378D"/>
            </w:tcBorders>
          </w:tcPr>
          <w:p>
            <w:pPr>
              <w:jc w:val="right"/>
              <w:ind w:right="442"/>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29378D"/>
            </w:tcBorders>
          </w:tcPr>
          <w:p>
            <w:pPr>
              <w:jc w:val="right"/>
              <w:ind w:right="162"/>
              <w:spacing w:after="0"/>
              <w:rPr>
                <w:sz w:val="20"/>
                <w:szCs w:val="20"/>
                <w:color w:val="auto"/>
              </w:rPr>
            </w:pPr>
            <w:r>
              <w:rPr>
                <w:rFonts w:ascii="Arial" w:cs="Arial" w:eastAsia="Arial" w:hAnsi="Arial"/>
                <w:sz w:val="13"/>
                <w:szCs w:val="13"/>
                <w:b w:val="1"/>
                <w:bCs w:val="1"/>
                <w:color w:val="auto"/>
              </w:rPr>
              <w:t>($)</w:t>
            </w:r>
          </w:p>
        </w:tc>
        <w:tc>
          <w:tcPr>
            <w:tcW w:w="1440" w:type="dxa"/>
            <w:vAlign w:val="bottom"/>
            <w:tcBorders>
              <w:bottom w:val="single" w:sz="8" w:color="29378D"/>
            </w:tcBorders>
          </w:tcPr>
          <w:p>
            <w:pPr>
              <w:jc w:val="right"/>
              <w:ind w:right="142"/>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29378D"/>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20"/>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David P. Abney</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165,000</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175,000</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16</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340,016</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Marianne C. Brown</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180,000</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175,000</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14,412</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369,412</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140" w:type="dxa"/>
            <w:vAlign w:val="bottom"/>
            <w:tcBorders>
              <w:bottom w:val="single" w:sz="8" w:color="BCBEC0"/>
            </w:tcBorders>
          </w:tcPr>
          <w:p>
            <w:pPr>
              <w:ind w:left="20"/>
              <w:spacing w:after="0" w:line="237" w:lineRule="exact"/>
              <w:rPr>
                <w:sz w:val="20"/>
                <w:szCs w:val="20"/>
                <w:color w:val="auto"/>
              </w:rPr>
            </w:pPr>
            <w:r>
              <w:rPr>
                <w:rFonts w:ascii="Arial" w:cs="Arial" w:eastAsia="Arial" w:hAnsi="Arial"/>
                <w:sz w:val="16"/>
                <w:szCs w:val="16"/>
                <w:b w:val="1"/>
                <w:bCs w:val="1"/>
                <w:color w:val="29378D"/>
              </w:rPr>
              <w:t>Donald E. Felsinger</w:t>
            </w:r>
            <w:r>
              <w:rPr>
                <w:rFonts w:ascii="Arial" w:cs="Arial" w:eastAsia="Arial" w:hAnsi="Arial"/>
                <w:sz w:val="21"/>
                <w:szCs w:val="21"/>
                <w:b w:val="1"/>
                <w:bCs w:val="1"/>
                <w:color w:val="29378D"/>
                <w:vertAlign w:val="superscript"/>
              </w:rPr>
              <w:t>(4)</w:t>
            </w:r>
          </w:p>
        </w:tc>
        <w:tc>
          <w:tcPr>
            <w:tcW w:w="3760" w:type="dxa"/>
            <w:vAlign w:val="bottom"/>
            <w:tcBorders>
              <w:bottom w:val="single" w:sz="8" w:color="BCBEC0"/>
            </w:tcBorders>
          </w:tcPr>
          <w:p>
            <w:pPr>
              <w:jc w:val="right"/>
              <w:ind w:right="482"/>
              <w:spacing w:after="0"/>
              <w:rPr>
                <w:sz w:val="20"/>
                <w:szCs w:val="20"/>
                <w:color w:val="auto"/>
              </w:rPr>
            </w:pPr>
            <w:r>
              <w:rPr>
                <w:rFonts w:ascii="Arial" w:cs="Arial" w:eastAsia="Arial" w:hAnsi="Arial"/>
                <w:sz w:val="16"/>
                <w:szCs w:val="16"/>
                <w:color w:val="auto"/>
              </w:rPr>
              <w:t>53,200</w:t>
            </w:r>
          </w:p>
        </w:tc>
        <w:tc>
          <w:tcPr>
            <w:tcW w:w="1020" w:type="dxa"/>
            <w:vAlign w:val="bottom"/>
            <w:tcBorders>
              <w:bottom w:val="single" w:sz="8" w:color="BCBEC0"/>
            </w:tcBorders>
          </w:tcPr>
          <w:p>
            <w:pPr>
              <w:jc w:val="right"/>
              <w:ind w:right="222"/>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BCBEC0"/>
            </w:tcBorders>
          </w:tcPr>
          <w:p>
            <w:pPr>
              <w:jc w:val="right"/>
              <w:ind w:right="202"/>
              <w:spacing w:after="0"/>
              <w:rPr>
                <w:sz w:val="20"/>
                <w:szCs w:val="20"/>
                <w:color w:val="auto"/>
              </w:rPr>
            </w:pPr>
            <w:r>
              <w:rPr>
                <w:rFonts w:ascii="Arial" w:cs="Arial" w:eastAsia="Arial" w:hAnsi="Arial"/>
                <w:sz w:val="16"/>
                <w:szCs w:val="16"/>
                <w:color w:val="auto"/>
              </w:rPr>
              <w:t>13,381</w:t>
            </w:r>
          </w:p>
        </w:tc>
        <w:tc>
          <w:tcPr>
            <w:tcW w:w="88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66,581</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Ann M. Fudge</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155,000</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175,000</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11,136</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341,136</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140" w:type="dxa"/>
            <w:vAlign w:val="bottom"/>
            <w:tcBorders>
              <w:bottom w:val="single" w:sz="8" w:color="BCBEC0"/>
            </w:tcBorders>
          </w:tcPr>
          <w:p>
            <w:pPr>
              <w:ind w:left="20"/>
              <w:spacing w:after="0" w:line="237" w:lineRule="exact"/>
              <w:rPr>
                <w:sz w:val="20"/>
                <w:szCs w:val="20"/>
                <w:color w:val="auto"/>
              </w:rPr>
            </w:pPr>
            <w:r>
              <w:rPr>
                <w:rFonts w:ascii="Arial" w:cs="Arial" w:eastAsia="Arial" w:hAnsi="Arial"/>
                <w:sz w:val="16"/>
                <w:szCs w:val="16"/>
                <w:b w:val="1"/>
                <w:bCs w:val="1"/>
                <w:color w:val="29378D"/>
              </w:rPr>
              <w:t>William H. Hernandez</w:t>
            </w:r>
            <w:r>
              <w:rPr>
                <w:rFonts w:ascii="Arial" w:cs="Arial" w:eastAsia="Arial" w:hAnsi="Arial"/>
                <w:sz w:val="21"/>
                <w:szCs w:val="21"/>
                <w:b w:val="1"/>
                <w:bCs w:val="1"/>
                <w:color w:val="29378D"/>
                <w:vertAlign w:val="superscript"/>
              </w:rPr>
              <w:t>(5)</w:t>
            </w:r>
          </w:p>
        </w:tc>
        <w:tc>
          <w:tcPr>
            <w:tcW w:w="3760" w:type="dxa"/>
            <w:vAlign w:val="bottom"/>
            <w:tcBorders>
              <w:bottom w:val="single" w:sz="8" w:color="BCBEC0"/>
            </w:tcBorders>
          </w:tcPr>
          <w:p>
            <w:pPr>
              <w:jc w:val="right"/>
              <w:ind w:right="482"/>
              <w:spacing w:after="0"/>
              <w:rPr>
                <w:sz w:val="20"/>
                <w:szCs w:val="20"/>
                <w:color w:val="auto"/>
              </w:rPr>
            </w:pPr>
            <w:r>
              <w:rPr>
                <w:rFonts w:ascii="Arial" w:cs="Arial" w:eastAsia="Arial" w:hAnsi="Arial"/>
                <w:sz w:val="16"/>
                <w:szCs w:val="16"/>
                <w:color w:val="auto"/>
              </w:rPr>
              <w:t>5,813</w:t>
            </w:r>
          </w:p>
        </w:tc>
        <w:tc>
          <w:tcPr>
            <w:tcW w:w="1020" w:type="dxa"/>
            <w:vAlign w:val="bottom"/>
            <w:tcBorders>
              <w:bottom w:val="single" w:sz="8" w:color="BCBEC0"/>
            </w:tcBorders>
          </w:tcPr>
          <w:p>
            <w:pPr>
              <w:jc w:val="right"/>
              <w:ind w:right="222"/>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BCBEC0"/>
            </w:tcBorders>
          </w:tcPr>
          <w:p>
            <w:pPr>
              <w:jc w:val="right"/>
              <w:ind w:right="20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5,813</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Madeleine A. Kleiner</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190,000</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175,000</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35,304</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400,304</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140" w:type="dxa"/>
            <w:vAlign w:val="bottom"/>
            <w:tcBorders>
              <w:bottom w:val="single" w:sz="8" w:color="BCBEC0"/>
            </w:tcBorders>
          </w:tcPr>
          <w:p>
            <w:pPr>
              <w:ind w:left="20"/>
              <w:spacing w:after="0" w:line="237" w:lineRule="exact"/>
              <w:rPr>
                <w:sz w:val="20"/>
                <w:szCs w:val="20"/>
                <w:color w:val="auto"/>
              </w:rPr>
            </w:pPr>
            <w:r>
              <w:rPr>
                <w:rFonts w:ascii="Arial" w:cs="Arial" w:eastAsia="Arial" w:hAnsi="Arial"/>
                <w:sz w:val="16"/>
                <w:szCs w:val="16"/>
                <w:b w:val="1"/>
                <w:bCs w:val="1"/>
                <w:color w:val="29378D"/>
              </w:rPr>
              <w:t>Karl J. Krapek</w:t>
            </w:r>
            <w:r>
              <w:rPr>
                <w:rFonts w:ascii="Arial" w:cs="Arial" w:eastAsia="Arial" w:hAnsi="Arial"/>
                <w:sz w:val="21"/>
                <w:szCs w:val="21"/>
                <w:b w:val="1"/>
                <w:bCs w:val="1"/>
                <w:color w:val="29378D"/>
                <w:vertAlign w:val="superscript"/>
              </w:rPr>
              <w:t>(6)</w:t>
            </w:r>
          </w:p>
        </w:tc>
        <w:tc>
          <w:tcPr>
            <w:tcW w:w="3760" w:type="dxa"/>
            <w:vAlign w:val="bottom"/>
            <w:tcBorders>
              <w:bottom w:val="single" w:sz="8" w:color="BCBEC0"/>
            </w:tcBorders>
          </w:tcPr>
          <w:p>
            <w:pPr>
              <w:jc w:val="right"/>
              <w:ind w:right="482"/>
              <w:spacing w:after="0"/>
              <w:rPr>
                <w:sz w:val="20"/>
                <w:szCs w:val="20"/>
                <w:color w:val="auto"/>
              </w:rPr>
            </w:pPr>
            <w:r>
              <w:rPr>
                <w:rFonts w:ascii="Arial" w:cs="Arial" w:eastAsia="Arial" w:hAnsi="Arial"/>
                <w:sz w:val="16"/>
                <w:szCs w:val="16"/>
                <w:color w:val="auto"/>
              </w:rPr>
              <w:t>53,200</w:t>
            </w:r>
          </w:p>
        </w:tc>
        <w:tc>
          <w:tcPr>
            <w:tcW w:w="1020" w:type="dxa"/>
            <w:vAlign w:val="bottom"/>
            <w:tcBorders>
              <w:bottom w:val="single" w:sz="8" w:color="BCBEC0"/>
            </w:tcBorders>
          </w:tcPr>
          <w:p>
            <w:pPr>
              <w:jc w:val="right"/>
              <w:ind w:right="222"/>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BCBEC0"/>
            </w:tcBorders>
          </w:tcPr>
          <w:p>
            <w:pPr>
              <w:jc w:val="right"/>
              <w:ind w:right="202"/>
              <w:spacing w:after="0"/>
              <w:rPr>
                <w:sz w:val="20"/>
                <w:szCs w:val="20"/>
                <w:color w:val="auto"/>
              </w:rPr>
            </w:pPr>
            <w:r>
              <w:rPr>
                <w:rFonts w:ascii="Arial" w:cs="Arial" w:eastAsia="Arial" w:hAnsi="Arial"/>
                <w:sz w:val="16"/>
                <w:szCs w:val="16"/>
                <w:color w:val="auto"/>
              </w:rPr>
              <w:t>6,851</w:t>
            </w:r>
          </w:p>
        </w:tc>
        <w:tc>
          <w:tcPr>
            <w:tcW w:w="88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60,051</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Arvind Krishna</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140,000</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175,000</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24</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315,024</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Graham N. Robinson</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143,076</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175,000</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135</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318,211</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Kimberly A. Ross</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123,216</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205,685</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10,011</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338,912</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Gary Roughead</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165,000</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175,000</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18,891</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358,891</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Thomas M. Schoewe</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180,000</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175,000</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10,754</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365,754</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James S. Turley</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155,000</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175,000</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2,465</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332,465</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Mark A. Welsh III</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155,000</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175,000</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1,615</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331,615</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b w:val="1"/>
                <w:bCs w:val="1"/>
                <w:color w:val="29378D"/>
              </w:rPr>
              <w:t>Mary A. Winston</w:t>
            </w:r>
          </w:p>
        </w:tc>
        <w:tc>
          <w:tcPr>
            <w:tcW w:w="3760" w:type="dxa"/>
            <w:vAlign w:val="bottom"/>
          </w:tcPr>
          <w:p>
            <w:pPr>
              <w:jc w:val="right"/>
              <w:ind w:right="482"/>
              <w:spacing w:after="0"/>
              <w:rPr>
                <w:sz w:val="20"/>
                <w:szCs w:val="20"/>
                <w:color w:val="auto"/>
              </w:rPr>
            </w:pPr>
            <w:r>
              <w:rPr>
                <w:rFonts w:ascii="Arial" w:cs="Arial" w:eastAsia="Arial" w:hAnsi="Arial"/>
                <w:sz w:val="16"/>
                <w:szCs w:val="16"/>
                <w:color w:val="auto"/>
              </w:rPr>
              <w:t>111,292</w:t>
            </w:r>
          </w:p>
        </w:tc>
        <w:tc>
          <w:tcPr>
            <w:tcW w:w="1020" w:type="dxa"/>
            <w:vAlign w:val="bottom"/>
          </w:tcPr>
          <w:p>
            <w:pPr>
              <w:jc w:val="right"/>
              <w:ind w:right="222"/>
              <w:spacing w:after="0"/>
              <w:rPr>
                <w:sz w:val="20"/>
                <w:szCs w:val="20"/>
                <w:color w:val="auto"/>
              </w:rPr>
            </w:pPr>
            <w:r>
              <w:rPr>
                <w:rFonts w:ascii="Arial" w:cs="Arial" w:eastAsia="Arial" w:hAnsi="Arial"/>
                <w:sz w:val="16"/>
                <w:szCs w:val="16"/>
                <w:color w:val="auto"/>
              </w:rPr>
              <w:t>205,685</w:t>
            </w:r>
          </w:p>
        </w:tc>
        <w:tc>
          <w:tcPr>
            <w:tcW w:w="1440" w:type="dxa"/>
            <w:vAlign w:val="bottom"/>
          </w:tcPr>
          <w:p>
            <w:pPr>
              <w:jc w:val="right"/>
              <w:ind w:right="202"/>
              <w:spacing w:after="0"/>
              <w:rPr>
                <w:sz w:val="20"/>
                <w:szCs w:val="20"/>
                <w:color w:val="auto"/>
              </w:rPr>
            </w:pPr>
            <w:r>
              <w:rPr>
                <w:rFonts w:ascii="Arial" w:cs="Arial" w:eastAsia="Arial" w:hAnsi="Arial"/>
                <w:sz w:val="16"/>
                <w:szCs w:val="16"/>
                <w:color w:val="auto"/>
              </w:rPr>
              <w:t>9</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316,986</w:t>
            </w:r>
          </w:p>
        </w:tc>
        <w:tc>
          <w:tcPr>
            <w:tcW w:w="0" w:type="dxa"/>
            <w:vAlign w:val="bottom"/>
          </w:tcPr>
          <w:p>
            <w:pPr>
              <w:spacing w:after="0"/>
              <w:rPr>
                <w:sz w:val="1"/>
                <w:szCs w:val="1"/>
                <w:color w:val="auto"/>
              </w:rPr>
            </w:pPr>
          </w:p>
        </w:tc>
      </w:tr>
      <w:tr>
        <w:trPr>
          <w:trHeight w:val="20"/>
        </w:trPr>
        <w:tc>
          <w:tcPr>
            <w:tcW w:w="4140" w:type="dxa"/>
            <w:vAlign w:val="bottom"/>
            <w:tcBorders>
              <w:bottom w:val="single" w:sz="8" w:color="BCBEC0"/>
            </w:tcBorders>
          </w:tcPr>
          <w:p>
            <w:pPr>
              <w:spacing w:after="0" w:line="20" w:lineRule="exact"/>
              <w:rPr>
                <w:sz w:val="1"/>
                <w:szCs w:val="1"/>
                <w:color w:val="auto"/>
              </w:rPr>
            </w:pPr>
          </w:p>
        </w:tc>
        <w:tc>
          <w:tcPr>
            <w:tcW w:w="376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8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right="100" w:hanging="252"/>
        <w:spacing w:after="0" w:line="283" w:lineRule="auto"/>
        <w:tabs>
          <w:tab w:leader="none" w:pos="258" w:val="left"/>
        </w:tabs>
        <w:numPr>
          <w:ilvl w:val="0"/>
          <w:numId w:val="98"/>
        </w:numPr>
        <w:rPr>
          <w:rFonts w:ascii="Arial" w:cs="Arial" w:eastAsia="Arial" w:hAnsi="Arial"/>
          <w:sz w:val="14"/>
          <w:szCs w:val="14"/>
          <w:color w:val="auto"/>
        </w:rPr>
      </w:pPr>
      <w:r>
        <w:rPr>
          <w:rFonts w:ascii="Arial" w:cs="Arial" w:eastAsia="Arial" w:hAnsi="Arial"/>
          <w:sz w:val="14"/>
          <w:szCs w:val="14"/>
          <w:color w:val="auto"/>
        </w:rPr>
        <w:t>Amounts reflect the annual cash retainer paid to each director, including any applicable annual committee and committee chair retainers and any applicable Lead Independent Director or Chair retainer. As described above, a director may elect to defer all or a portion of his or her annual cash retainer into a deferred stock unit account or alternative investment options. Amounts deferred as Elective Stock Units or deferred into alternative investment options are reflected in this column.</w:t>
      </w:r>
    </w:p>
    <w:p>
      <w:pPr>
        <w:spacing w:after="0" w:line="24" w:lineRule="exact"/>
        <w:rPr>
          <w:rFonts w:ascii="Arial" w:cs="Arial" w:eastAsia="Arial" w:hAnsi="Arial"/>
          <w:sz w:val="14"/>
          <w:szCs w:val="14"/>
          <w:color w:val="auto"/>
        </w:rPr>
      </w:pPr>
    </w:p>
    <w:p>
      <w:pPr>
        <w:ind w:left="260" w:right="40" w:hanging="252"/>
        <w:spacing w:after="0" w:line="267" w:lineRule="auto"/>
        <w:tabs>
          <w:tab w:leader="none" w:pos="258" w:val="left"/>
        </w:tabs>
        <w:numPr>
          <w:ilvl w:val="0"/>
          <w:numId w:val="98"/>
        </w:numPr>
        <w:rPr>
          <w:rFonts w:ascii="Arial" w:cs="Arial" w:eastAsia="Arial" w:hAnsi="Arial"/>
          <w:sz w:val="14"/>
          <w:szCs w:val="14"/>
          <w:color w:val="auto"/>
        </w:rPr>
      </w:pPr>
      <w:r>
        <w:rPr>
          <w:rFonts w:ascii="Arial" w:cs="Arial" w:eastAsia="Arial" w:hAnsi="Arial"/>
          <w:sz w:val="14"/>
          <w:szCs w:val="14"/>
          <w:color w:val="auto"/>
        </w:rPr>
        <w:t>Amounts represent the target value of Automatic Stock Units awarded to each of our non-employee directors in 2023 under the 2011 Plan pursuant to the Amended Director Program. The amount reported for each director reflects the aggregate fair value of the Automatic Stock Units on the grant date, as determined under Financial Accounting Standards Board Accounting Standards Codification Topic 718, Stock Compensation, excluding any assumed forfeitures. The grant date fair value assumes the value of dividend equivalents accrued directly on the awarded units. The aggregate number of Automatic Stock Units and Elective Stock Units held by each director as of December 31, 2023 is provided in the Deferred Stock Units table below.</w:t>
      </w:r>
    </w:p>
    <w:p>
      <w:pPr>
        <w:spacing w:after="0" w:line="35" w:lineRule="exact"/>
        <w:rPr>
          <w:rFonts w:ascii="Arial" w:cs="Arial" w:eastAsia="Arial" w:hAnsi="Arial"/>
          <w:sz w:val="14"/>
          <w:szCs w:val="14"/>
          <w:color w:val="auto"/>
        </w:rPr>
      </w:pPr>
    </w:p>
    <w:p>
      <w:pPr>
        <w:ind w:left="260" w:right="20" w:hanging="252"/>
        <w:spacing w:after="0" w:line="276" w:lineRule="auto"/>
        <w:tabs>
          <w:tab w:leader="none" w:pos="258" w:val="left"/>
        </w:tabs>
        <w:numPr>
          <w:ilvl w:val="0"/>
          <w:numId w:val="98"/>
        </w:numPr>
        <w:rPr>
          <w:rFonts w:ascii="Arial" w:cs="Arial" w:eastAsia="Arial" w:hAnsi="Arial"/>
          <w:sz w:val="14"/>
          <w:szCs w:val="14"/>
          <w:color w:val="auto"/>
        </w:rPr>
      </w:pPr>
      <w:r>
        <w:rPr>
          <w:rFonts w:ascii="Arial" w:cs="Arial" w:eastAsia="Arial" w:hAnsi="Arial"/>
          <w:sz w:val="14"/>
          <w:szCs w:val="14"/>
          <w:color w:val="auto"/>
        </w:rPr>
        <w:t>Amounts reflect (i) the estimated dollar value of additional stock units credited to each non-employee director as a result of dividend equivalents earned, directly or indirectly, on reinvested dividend equivalents as such amounts are not assumed in the grant date fair value of the Automatic Stock Units shown in the “Stock Awards” column, and (ii) matching contributions made through our Matching Gifts Program for Education discussed above as follows: Ms. Brown, $10,000; Ms. Fudge, $9,225; Ms. Kleiner, $10,000; Ms. Ross, $10,000 and Mr. Roughead, $10,000.</w:t>
      </w:r>
    </w:p>
    <w:p>
      <w:pPr>
        <w:spacing w:after="0" w:line="28" w:lineRule="exact"/>
        <w:rPr>
          <w:rFonts w:ascii="Arial" w:cs="Arial" w:eastAsia="Arial" w:hAnsi="Arial"/>
          <w:sz w:val="14"/>
          <w:szCs w:val="14"/>
          <w:color w:val="auto"/>
        </w:rPr>
      </w:pPr>
    </w:p>
    <w:p>
      <w:pPr>
        <w:ind w:left="260" w:right="100" w:hanging="252"/>
        <w:spacing w:after="0" w:line="305" w:lineRule="auto"/>
        <w:tabs>
          <w:tab w:leader="none" w:pos="258" w:val="left"/>
        </w:tabs>
        <w:numPr>
          <w:ilvl w:val="0"/>
          <w:numId w:val="98"/>
        </w:numPr>
        <w:rPr>
          <w:rFonts w:ascii="Arial" w:cs="Arial" w:eastAsia="Arial" w:hAnsi="Arial"/>
          <w:sz w:val="14"/>
          <w:szCs w:val="14"/>
          <w:color w:val="auto"/>
        </w:rPr>
      </w:pPr>
      <w:r>
        <w:rPr>
          <w:rFonts w:ascii="Arial" w:cs="Arial" w:eastAsia="Arial" w:hAnsi="Arial"/>
          <w:sz w:val="14"/>
          <w:szCs w:val="14"/>
          <w:color w:val="auto"/>
        </w:rPr>
        <w:t>Mr. Felsinger reached the age of 75 prior to the 2023 Annual Meeting and, in accordance with our director retirement policy, did not stand for re-election at the 2023 Annual Meeting.</w:t>
      </w:r>
    </w:p>
    <w:p>
      <w:pPr>
        <w:spacing w:after="0" w:line="9" w:lineRule="exact"/>
        <w:rPr>
          <w:rFonts w:ascii="Arial" w:cs="Arial" w:eastAsia="Arial" w:hAnsi="Arial"/>
          <w:sz w:val="14"/>
          <w:szCs w:val="14"/>
          <w:color w:val="auto"/>
        </w:rPr>
      </w:pPr>
    </w:p>
    <w:p>
      <w:pPr>
        <w:ind w:left="260" w:hanging="252"/>
        <w:spacing w:after="0"/>
        <w:tabs>
          <w:tab w:leader="none" w:pos="2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Mr. Hernandez, who had served as a director since 2013, died in January 2023.</w:t>
      </w:r>
    </w:p>
    <w:p>
      <w:pPr>
        <w:spacing w:after="0" w:line="82" w:lineRule="exact"/>
        <w:rPr>
          <w:rFonts w:ascii="Arial" w:cs="Arial" w:eastAsia="Arial" w:hAnsi="Arial"/>
          <w:sz w:val="14"/>
          <w:szCs w:val="14"/>
          <w:color w:val="auto"/>
        </w:rPr>
      </w:pPr>
    </w:p>
    <w:p>
      <w:pPr>
        <w:ind w:left="260" w:hanging="252"/>
        <w:spacing w:after="0"/>
        <w:tabs>
          <w:tab w:leader="none" w:pos="2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Mr. Krapek, who had served as a director since 2008 did not stand for re-election at the 2023 Annual Meeting.</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color w:val="auto"/>
        </w:rPr>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Deferred Stock Units</w:t>
      </w:r>
    </w:p>
    <w:p>
      <w:pPr>
        <w:spacing w:after="0" w:line="14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As of December 31, 2023, the non-employee directors had the following aggregate number of deferred stock units accumulated in their deferral accounts for all years of service as a director, including additional stock units credited as a result of dividend equivalents earned on the stock units.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4280" w:type="dxa"/>
            <w:vAlign w:val="bottom"/>
          </w:tcPr>
          <w:p>
            <w:pPr>
              <w:jc w:val="right"/>
              <w:ind w:right="121"/>
              <w:spacing w:after="0"/>
              <w:rPr>
                <w:sz w:val="20"/>
                <w:szCs w:val="20"/>
                <w:color w:val="auto"/>
              </w:rPr>
            </w:pPr>
            <w:r>
              <w:rPr>
                <w:rFonts w:ascii="Arial" w:cs="Arial" w:eastAsia="Arial" w:hAnsi="Arial"/>
                <w:sz w:val="13"/>
                <w:szCs w:val="13"/>
                <w:b w:val="1"/>
                <w:bCs w:val="1"/>
                <w:color w:val="auto"/>
              </w:rPr>
              <w:t>Automatic Stock</w:t>
            </w:r>
          </w:p>
        </w:tc>
        <w:tc>
          <w:tcPr>
            <w:tcW w:w="1280" w:type="dxa"/>
            <w:vAlign w:val="bottom"/>
          </w:tcPr>
          <w:p>
            <w:pPr>
              <w:jc w:val="right"/>
              <w:ind w:right="121"/>
              <w:spacing w:after="0"/>
              <w:rPr>
                <w:sz w:val="20"/>
                <w:szCs w:val="20"/>
                <w:color w:val="auto"/>
              </w:rPr>
            </w:pPr>
            <w:r>
              <w:rPr>
                <w:rFonts w:ascii="Arial" w:cs="Arial" w:eastAsia="Arial" w:hAnsi="Arial"/>
                <w:sz w:val="13"/>
                <w:szCs w:val="13"/>
                <w:b w:val="1"/>
                <w:bCs w:val="1"/>
                <w:color w:val="auto"/>
              </w:rPr>
              <w:t>Elective Stock</w:t>
            </w: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2"/>
        </w:trPr>
        <w:tc>
          <w:tcPr>
            <w:tcW w:w="4900" w:type="dxa"/>
            <w:vAlign w:val="bottom"/>
            <w:vMerge w:val="continue"/>
          </w:tcPr>
          <w:p>
            <w:pPr>
              <w:spacing w:after="0"/>
              <w:rPr>
                <w:sz w:val="14"/>
                <w:szCs w:val="14"/>
                <w:color w:val="auto"/>
              </w:rPr>
            </w:pPr>
          </w:p>
        </w:tc>
        <w:tc>
          <w:tcPr>
            <w:tcW w:w="4280" w:type="dxa"/>
            <w:vAlign w:val="bottom"/>
          </w:tcPr>
          <w:p>
            <w:pPr>
              <w:jc w:val="right"/>
              <w:ind w:right="121"/>
              <w:spacing w:after="0"/>
              <w:rPr>
                <w:sz w:val="20"/>
                <w:szCs w:val="20"/>
                <w:color w:val="auto"/>
              </w:rPr>
            </w:pPr>
            <w:r>
              <w:rPr>
                <w:rFonts w:ascii="Arial" w:cs="Arial" w:eastAsia="Arial" w:hAnsi="Arial"/>
                <w:sz w:val="13"/>
                <w:szCs w:val="13"/>
                <w:b w:val="1"/>
                <w:bCs w:val="1"/>
                <w:color w:val="auto"/>
              </w:rPr>
              <w:t>Units</w:t>
            </w:r>
          </w:p>
        </w:tc>
        <w:tc>
          <w:tcPr>
            <w:tcW w:w="1280" w:type="dxa"/>
            <w:vAlign w:val="bottom"/>
          </w:tcPr>
          <w:p>
            <w:pPr>
              <w:jc w:val="right"/>
              <w:ind w:right="121"/>
              <w:spacing w:after="0"/>
              <w:rPr>
                <w:sz w:val="20"/>
                <w:szCs w:val="20"/>
                <w:color w:val="auto"/>
              </w:rPr>
            </w:pPr>
            <w:r>
              <w:rPr>
                <w:rFonts w:ascii="Arial" w:cs="Arial" w:eastAsia="Arial" w:hAnsi="Arial"/>
                <w:sz w:val="13"/>
                <w:szCs w:val="13"/>
                <w:b w:val="1"/>
                <w:bCs w:val="1"/>
                <w:color w:val="auto"/>
              </w:rPr>
              <w:t>Units</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900" w:type="dxa"/>
            <w:vAlign w:val="bottom"/>
            <w:tcBorders>
              <w:bottom w:val="single" w:sz="8" w:color="29378D"/>
            </w:tcBorders>
          </w:tcPr>
          <w:p>
            <w:pPr>
              <w:spacing w:after="0" w:line="20" w:lineRule="exact"/>
              <w:rPr>
                <w:sz w:val="1"/>
                <w:szCs w:val="1"/>
                <w:color w:val="auto"/>
              </w:rPr>
            </w:pPr>
          </w:p>
        </w:tc>
        <w:tc>
          <w:tcPr>
            <w:tcW w:w="4280" w:type="dxa"/>
            <w:vAlign w:val="bottom"/>
            <w:tcBorders>
              <w:bottom w:val="single" w:sz="8" w:color="29378D"/>
            </w:tcBorders>
          </w:tcPr>
          <w:p>
            <w:pPr>
              <w:spacing w:after="0" w:line="20" w:lineRule="exact"/>
              <w:rPr>
                <w:sz w:val="1"/>
                <w:szCs w:val="1"/>
                <w:color w:val="auto"/>
              </w:rPr>
            </w:pPr>
          </w:p>
        </w:tc>
        <w:tc>
          <w:tcPr>
            <w:tcW w:w="1280" w:type="dxa"/>
            <w:vAlign w:val="bottom"/>
            <w:tcBorders>
              <w:bottom w:val="single" w:sz="8" w:color="29378D"/>
            </w:tcBorders>
          </w:tcPr>
          <w:p>
            <w:pPr>
              <w:spacing w:after="0" w:line="20" w:lineRule="exact"/>
              <w:rPr>
                <w:sz w:val="1"/>
                <w:szCs w:val="1"/>
                <w:color w:val="auto"/>
              </w:rPr>
            </w:pPr>
          </w:p>
        </w:tc>
        <w:tc>
          <w:tcPr>
            <w:tcW w:w="78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David P. Abney</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397</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Marianne C. Brown</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5,396</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3,749</w:t>
            </w:r>
          </w:p>
        </w:tc>
        <w:tc>
          <w:tcPr>
            <w:tcW w:w="780" w:type="dxa"/>
            <w:vAlign w:val="bottom"/>
          </w:tcPr>
          <w:p>
            <w:pPr>
              <w:jc w:val="right"/>
              <w:spacing w:after="0"/>
              <w:rPr>
                <w:sz w:val="20"/>
                <w:szCs w:val="20"/>
                <w:color w:val="auto"/>
              </w:rPr>
            </w:pPr>
            <w:r>
              <w:rPr>
                <w:rFonts w:ascii="Arial" w:cs="Arial" w:eastAsia="Arial" w:hAnsi="Arial"/>
                <w:sz w:val="16"/>
                <w:szCs w:val="16"/>
                <w:color w:val="auto"/>
              </w:rPr>
              <w:t>9,145</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900" w:type="dxa"/>
            <w:vAlign w:val="bottom"/>
            <w:tcBorders>
              <w:bottom w:val="single" w:sz="8" w:color="BCBEC0"/>
            </w:tcBorders>
          </w:tcPr>
          <w:p>
            <w:pPr>
              <w:ind w:left="20"/>
              <w:spacing w:after="0" w:line="237" w:lineRule="exact"/>
              <w:rPr>
                <w:sz w:val="20"/>
                <w:szCs w:val="20"/>
                <w:color w:val="auto"/>
              </w:rPr>
            </w:pPr>
            <w:r>
              <w:rPr>
                <w:rFonts w:ascii="Arial" w:cs="Arial" w:eastAsia="Arial" w:hAnsi="Arial"/>
                <w:sz w:val="16"/>
                <w:szCs w:val="16"/>
                <w:b w:val="1"/>
                <w:bCs w:val="1"/>
                <w:color w:val="29378D"/>
              </w:rPr>
              <w:t>Donald E. Felsinger</w:t>
            </w:r>
            <w:r>
              <w:rPr>
                <w:rFonts w:ascii="Arial" w:cs="Arial" w:eastAsia="Arial" w:hAnsi="Arial"/>
                <w:sz w:val="21"/>
                <w:szCs w:val="21"/>
                <w:b w:val="1"/>
                <w:bCs w:val="1"/>
                <w:color w:val="29378D"/>
                <w:vertAlign w:val="superscript"/>
              </w:rPr>
              <w:t>(1)</w:t>
            </w:r>
          </w:p>
        </w:tc>
        <w:tc>
          <w:tcPr>
            <w:tcW w:w="4280" w:type="dxa"/>
            <w:vAlign w:val="bottom"/>
            <w:tcBorders>
              <w:bottom w:val="single" w:sz="8" w:color="BCBEC0"/>
            </w:tcBorders>
          </w:tcPr>
          <w:p>
            <w:pPr>
              <w:jc w:val="right"/>
              <w:ind w:right="18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CBEC0"/>
            </w:tcBorders>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Ann M. Fudge</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3,244</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523</w:t>
            </w:r>
          </w:p>
        </w:tc>
        <w:tc>
          <w:tcPr>
            <w:tcW w:w="780" w:type="dxa"/>
            <w:vAlign w:val="bottom"/>
          </w:tcPr>
          <w:p>
            <w:pPr>
              <w:jc w:val="right"/>
              <w:spacing w:after="0"/>
              <w:rPr>
                <w:sz w:val="20"/>
                <w:szCs w:val="20"/>
                <w:color w:val="auto"/>
              </w:rPr>
            </w:pPr>
            <w:r>
              <w:rPr>
                <w:rFonts w:ascii="Arial" w:cs="Arial" w:eastAsia="Arial" w:hAnsi="Arial"/>
                <w:sz w:val="16"/>
                <w:szCs w:val="16"/>
                <w:color w:val="auto"/>
              </w:rPr>
              <w:t>3,767</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BCBEC0"/>
            </w:tcBorders>
          </w:tcPr>
          <w:p>
            <w:pPr>
              <w:ind w:left="20"/>
              <w:spacing w:after="0" w:line="237" w:lineRule="exact"/>
              <w:rPr>
                <w:sz w:val="20"/>
                <w:szCs w:val="20"/>
                <w:color w:val="auto"/>
              </w:rPr>
            </w:pPr>
            <w:r>
              <w:rPr>
                <w:rFonts w:ascii="Arial" w:cs="Arial" w:eastAsia="Arial" w:hAnsi="Arial"/>
                <w:sz w:val="16"/>
                <w:szCs w:val="16"/>
                <w:b w:val="1"/>
                <w:bCs w:val="1"/>
                <w:color w:val="29378D"/>
              </w:rPr>
              <w:t>William H. Hernandez</w:t>
            </w:r>
            <w:r>
              <w:rPr>
                <w:rFonts w:ascii="Arial" w:cs="Arial" w:eastAsia="Arial" w:hAnsi="Arial"/>
                <w:sz w:val="21"/>
                <w:szCs w:val="21"/>
                <w:b w:val="1"/>
                <w:bCs w:val="1"/>
                <w:color w:val="29378D"/>
                <w:vertAlign w:val="superscript"/>
              </w:rPr>
              <w:t>(2)</w:t>
            </w:r>
          </w:p>
        </w:tc>
        <w:tc>
          <w:tcPr>
            <w:tcW w:w="4280" w:type="dxa"/>
            <w:vAlign w:val="bottom"/>
            <w:tcBorders>
              <w:bottom w:val="single" w:sz="8" w:color="BCBEC0"/>
            </w:tcBorders>
          </w:tcPr>
          <w:p>
            <w:pPr>
              <w:jc w:val="right"/>
              <w:ind w:right="18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CBEC0"/>
            </w:tcBorders>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Madeleine A. Kleiner</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19,813</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19,813</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BCBEC0"/>
            </w:tcBorders>
          </w:tcPr>
          <w:p>
            <w:pPr>
              <w:ind w:left="20"/>
              <w:spacing w:after="0" w:line="237" w:lineRule="exact"/>
              <w:rPr>
                <w:sz w:val="20"/>
                <w:szCs w:val="20"/>
                <w:color w:val="auto"/>
              </w:rPr>
            </w:pPr>
            <w:r>
              <w:rPr>
                <w:rFonts w:ascii="Arial" w:cs="Arial" w:eastAsia="Arial" w:hAnsi="Arial"/>
                <w:sz w:val="16"/>
                <w:szCs w:val="16"/>
                <w:b w:val="1"/>
                <w:bCs w:val="1"/>
                <w:color w:val="29378D"/>
              </w:rPr>
              <w:t>Karl J. Krapek</w:t>
            </w:r>
            <w:r>
              <w:rPr>
                <w:rFonts w:ascii="Arial" w:cs="Arial" w:eastAsia="Arial" w:hAnsi="Arial"/>
                <w:sz w:val="21"/>
                <w:szCs w:val="21"/>
                <w:b w:val="1"/>
                <w:bCs w:val="1"/>
                <w:color w:val="29378D"/>
                <w:vertAlign w:val="superscript"/>
              </w:rPr>
              <w:t>(1)</w:t>
            </w:r>
          </w:p>
        </w:tc>
        <w:tc>
          <w:tcPr>
            <w:tcW w:w="4280" w:type="dxa"/>
            <w:vAlign w:val="bottom"/>
            <w:tcBorders>
              <w:bottom w:val="single" w:sz="8" w:color="BCBEC0"/>
            </w:tcBorders>
          </w:tcPr>
          <w:p>
            <w:pPr>
              <w:jc w:val="right"/>
              <w:ind w:right="18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CBEC0"/>
            </w:tcBorders>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Arvind Krishna</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573</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309</w:t>
            </w:r>
          </w:p>
        </w:tc>
        <w:tc>
          <w:tcPr>
            <w:tcW w:w="780" w:type="dxa"/>
            <w:vAlign w:val="bottom"/>
          </w:tcPr>
          <w:p>
            <w:pPr>
              <w:jc w:val="right"/>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Graham N. Robinson</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1,164</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189</w:t>
            </w:r>
          </w:p>
        </w:tc>
        <w:tc>
          <w:tcPr>
            <w:tcW w:w="780" w:type="dxa"/>
            <w:vAlign w:val="bottom"/>
          </w:tcPr>
          <w:p>
            <w:pPr>
              <w:jc w:val="right"/>
              <w:spacing w:after="0"/>
              <w:rPr>
                <w:sz w:val="20"/>
                <w:szCs w:val="20"/>
                <w:color w:val="auto"/>
              </w:rPr>
            </w:pPr>
            <w:r>
              <w:rPr>
                <w:rFonts w:ascii="Arial" w:cs="Arial" w:eastAsia="Arial" w:hAnsi="Arial"/>
                <w:sz w:val="16"/>
                <w:szCs w:val="16"/>
                <w:color w:val="auto"/>
              </w:rPr>
              <w:t>1,353</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Kimberly A. Ross</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466</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49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29378D"/>
              </w:rPr>
              <w:t>Gary Roughead</w:t>
            </w:r>
          </w:p>
        </w:tc>
        <w:tc>
          <w:tcPr>
            <w:tcW w:w="4280" w:type="dxa"/>
            <w:vAlign w:val="bottom"/>
            <w:tcBorders>
              <w:bottom w:val="single" w:sz="8" w:color="BCBEC0"/>
            </w:tcBorders>
          </w:tcPr>
          <w:p>
            <w:pPr>
              <w:jc w:val="right"/>
              <w:ind w:right="181"/>
              <w:spacing w:after="0"/>
              <w:rPr>
                <w:sz w:val="20"/>
                <w:szCs w:val="20"/>
                <w:color w:val="auto"/>
              </w:rPr>
            </w:pPr>
            <w:r>
              <w:rPr>
                <w:rFonts w:ascii="Arial" w:cs="Arial" w:eastAsia="Arial" w:hAnsi="Arial"/>
                <w:sz w:val="16"/>
                <w:szCs w:val="16"/>
                <w:color w:val="auto"/>
              </w:rPr>
              <w:t>10,677</w:t>
            </w:r>
          </w:p>
        </w:tc>
        <w:tc>
          <w:tcPr>
            <w:tcW w:w="1280" w:type="dxa"/>
            <w:vAlign w:val="bottom"/>
            <w:tcBorders>
              <w:bottom w:val="single" w:sz="8" w:color="BCBEC0"/>
            </w:tcBorders>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10,677</w:t>
            </w:r>
          </w:p>
        </w:tc>
        <w:tc>
          <w:tcPr>
            <w:tcW w:w="0" w:type="dxa"/>
            <w:vAlign w:val="bottom"/>
          </w:tcPr>
          <w:p>
            <w:pPr>
              <w:spacing w:after="0"/>
              <w:rPr>
                <w:sz w:val="1"/>
                <w:szCs w:val="1"/>
                <w:color w:val="auto"/>
              </w:rPr>
            </w:pPr>
          </w:p>
        </w:tc>
      </w:tr>
      <w:tr>
        <w:trPr>
          <w:trHeight w:val="220"/>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Thomas M. Schoewe</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11,995</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11,995</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James S. Turley</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4,793</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4,793</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Mark A. Welsh III</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3,897</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3,897</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29378D"/>
              </w:rPr>
              <w:t>Mary A. Winston</w:t>
            </w:r>
          </w:p>
        </w:tc>
        <w:tc>
          <w:tcPr>
            <w:tcW w:w="4280" w:type="dxa"/>
            <w:vAlign w:val="bottom"/>
          </w:tcPr>
          <w:p>
            <w:pPr>
              <w:jc w:val="right"/>
              <w:ind w:right="181"/>
              <w:spacing w:after="0"/>
              <w:rPr>
                <w:sz w:val="20"/>
                <w:szCs w:val="20"/>
                <w:color w:val="auto"/>
              </w:rPr>
            </w:pPr>
            <w:r>
              <w:rPr>
                <w:rFonts w:ascii="Arial" w:cs="Arial" w:eastAsia="Arial" w:hAnsi="Arial"/>
                <w:sz w:val="16"/>
                <w:szCs w:val="16"/>
                <w:color w:val="auto"/>
              </w:rPr>
              <w:t>397</w:t>
            </w:r>
          </w:p>
        </w:tc>
        <w:tc>
          <w:tcPr>
            <w:tcW w:w="12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0"/>
        </w:trPr>
        <w:tc>
          <w:tcPr>
            <w:tcW w:w="4900" w:type="dxa"/>
            <w:vAlign w:val="bottom"/>
            <w:tcBorders>
              <w:bottom w:val="single" w:sz="8" w:color="BCBEC0"/>
            </w:tcBorders>
          </w:tcPr>
          <w:p>
            <w:pPr>
              <w:spacing w:after="0" w:line="20" w:lineRule="exact"/>
              <w:rPr>
                <w:sz w:val="1"/>
                <w:szCs w:val="1"/>
                <w:color w:val="auto"/>
              </w:rPr>
            </w:pPr>
          </w:p>
        </w:tc>
        <w:tc>
          <w:tcPr>
            <w:tcW w:w="4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7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right="600" w:hanging="252"/>
        <w:spacing w:after="0" w:line="285" w:lineRule="auto"/>
        <w:tabs>
          <w:tab w:leader="none" w:pos="258" w:val="left"/>
        </w:tabs>
        <w:numPr>
          <w:ilvl w:val="0"/>
          <w:numId w:val="99"/>
        </w:numPr>
        <w:rPr>
          <w:rFonts w:ascii="Arial" w:cs="Arial" w:eastAsia="Arial" w:hAnsi="Arial"/>
          <w:sz w:val="14"/>
          <w:szCs w:val="14"/>
          <w:color w:val="auto"/>
        </w:rPr>
      </w:pPr>
      <w:r>
        <w:rPr>
          <w:rFonts w:ascii="Arial" w:cs="Arial" w:eastAsia="Arial" w:hAnsi="Arial"/>
          <w:sz w:val="14"/>
          <w:szCs w:val="14"/>
          <w:color w:val="auto"/>
        </w:rPr>
        <w:t>Messrs. Felsinger and Krapek did not stand for re-election at the 2023 Annual Meeting. All stock units were paid out to them in the form of common stock after their retirement from the Board in May 2023.</w:t>
      </w:r>
    </w:p>
    <w:p>
      <w:pPr>
        <w:spacing w:after="0" w:line="22" w:lineRule="exact"/>
        <w:rPr>
          <w:rFonts w:ascii="Arial" w:cs="Arial" w:eastAsia="Arial" w:hAnsi="Arial"/>
          <w:sz w:val="14"/>
          <w:szCs w:val="14"/>
          <w:color w:val="auto"/>
        </w:rPr>
      </w:pPr>
    </w:p>
    <w:p>
      <w:pPr>
        <w:ind w:left="260" w:hanging="252"/>
        <w:spacing w:after="0"/>
        <w:tabs>
          <w:tab w:leader="none" w:pos="2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Mr. Hernandez died in January 2023. All stock units were paid out to his estate in the form of common stock.</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 w:hanging="494"/>
        <w:spacing w:after="0"/>
        <w:tabs>
          <w:tab w:leader="none" w:pos="520" w:val="left"/>
        </w:tabs>
        <w:numPr>
          <w:ilvl w:val="0"/>
          <w:numId w:val="100"/>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1" w:name="page52"/>
    <w:bookmarkEnd w:id="51"/>
    <w:p>
      <w:pPr>
        <w:ind w:right="1600"/>
        <w:spacing w:after="0" w:line="297" w:lineRule="auto"/>
        <w:rPr>
          <w:sz w:val="20"/>
          <w:szCs w:val="20"/>
          <w:color w:val="auto"/>
        </w:rPr>
      </w:pPr>
      <w:r>
        <w:rPr>
          <w:rFonts w:ascii="Arial" w:cs="Arial" w:eastAsia="Arial" w:hAnsi="Arial"/>
          <w:sz w:val="43"/>
          <w:szCs w:val="43"/>
          <w:b w:val="1"/>
          <w:bCs w:val="1"/>
          <w:color w:val="29378D"/>
        </w:rPr>
        <w:t>Proposal 2: Advisory Vote on Compensation of Named Executive Officers</w:t>
      </w:r>
    </w:p>
    <w:p>
      <w:pPr>
        <w:spacing w:after="0" w:line="26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Consistent with Section 14A of the Exchange Act, we are providing our shareholders with the opportunity to cast a non-binding, advisory vote on the compensation of our NEOs. This advisory vote, commonly known as “say-on-pay,” gives our shareholders the opportunity to express their views on our 2023 executive compensation programs and policies for our NEOs. The vote does not address any specific item of compensation and is not binding on the Board; however, as an expression of our shareholders’ views, the Compensation and Human Capital Committee seriously considers the vote when making future executive compensation decisions. The Board has adopted a policy of providing for annual advisory votes on the compensation of our NEOs.</w:t>
      </w:r>
    </w:p>
    <w:p>
      <w:pPr>
        <w:spacing w:after="0" w:line="83"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We believe our compensation programs reflect responsible, measured practices that effectively incentivize our executives to dedicate themselves fully to value creation for our shareholders, customers and employees. Our pay practices are aligned with our shareholders’ interests and with leading industry practice and are governed by a set of strong policies. Examples include:</w:t>
      </w:r>
    </w:p>
    <w:p>
      <w:pPr>
        <w:spacing w:after="0" w:line="56" w:lineRule="exact"/>
        <w:rPr>
          <w:sz w:val="20"/>
          <w:szCs w:val="20"/>
          <w:color w:val="auto"/>
        </w:rPr>
      </w:pPr>
    </w:p>
    <w:p>
      <w:pPr>
        <w:ind w:left="140" w:hanging="132"/>
        <w:spacing w:after="0"/>
        <w:tabs>
          <w:tab w:leader="none" w:pos="140" w:val="left"/>
        </w:tabs>
        <w:numPr>
          <w:ilvl w:val="0"/>
          <w:numId w:val="101"/>
        </w:numPr>
        <w:rPr>
          <w:rFonts w:ascii="Arial" w:cs="Arial" w:eastAsia="Arial" w:hAnsi="Arial"/>
          <w:sz w:val="16"/>
          <w:szCs w:val="16"/>
          <w:b w:val="1"/>
          <w:bCs w:val="1"/>
          <w:color w:val="29378D"/>
        </w:rPr>
      </w:pPr>
      <w:r>
        <w:rPr>
          <w:rFonts w:ascii="Arial" w:cs="Arial" w:eastAsia="Arial" w:hAnsi="Arial"/>
          <w:sz w:val="16"/>
          <w:szCs w:val="16"/>
          <w:color w:val="auto"/>
        </w:rPr>
        <w:t>Double-trigger provisions for change in control situations, and no excise tax gross-ups for payments upon termination after a change in control;</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101"/>
        </w:numPr>
        <w:rPr>
          <w:rFonts w:ascii="Arial" w:cs="Arial" w:eastAsia="Arial" w:hAnsi="Arial"/>
          <w:sz w:val="16"/>
          <w:szCs w:val="16"/>
          <w:b w:val="1"/>
          <w:bCs w:val="1"/>
          <w:color w:val="29378D"/>
        </w:rPr>
      </w:pPr>
      <w:r>
        <w:rPr>
          <w:rFonts w:ascii="Arial" w:cs="Arial" w:eastAsia="Arial" w:hAnsi="Arial"/>
          <w:sz w:val="16"/>
          <w:szCs w:val="16"/>
          <w:color w:val="auto"/>
        </w:rPr>
        <w:t>A recoupment policy applicable to cash and equity incentive compensation payments;</w:t>
      </w:r>
    </w:p>
    <w:p>
      <w:pPr>
        <w:spacing w:after="0" w:line="72" w:lineRule="exact"/>
        <w:rPr>
          <w:rFonts w:ascii="Arial" w:cs="Arial" w:eastAsia="Arial" w:hAnsi="Arial"/>
          <w:sz w:val="16"/>
          <w:szCs w:val="16"/>
          <w:b w:val="1"/>
          <w:bCs w:val="1"/>
          <w:color w:val="29378D"/>
        </w:rPr>
      </w:pPr>
    </w:p>
    <w:p>
      <w:pPr>
        <w:ind w:left="200" w:right="420" w:hanging="192"/>
        <w:spacing w:after="0" w:line="299" w:lineRule="auto"/>
        <w:tabs>
          <w:tab w:leader="none" w:pos="143" w:val="left"/>
        </w:tabs>
        <w:numPr>
          <w:ilvl w:val="0"/>
          <w:numId w:val="101"/>
        </w:numPr>
        <w:rPr>
          <w:rFonts w:ascii="Arial" w:cs="Arial" w:eastAsia="Arial" w:hAnsi="Arial"/>
          <w:sz w:val="16"/>
          <w:szCs w:val="16"/>
          <w:b w:val="1"/>
          <w:bCs w:val="1"/>
          <w:color w:val="29378D"/>
        </w:rPr>
      </w:pPr>
      <w:r>
        <w:rPr>
          <w:rFonts w:ascii="Arial" w:cs="Arial" w:eastAsia="Arial" w:hAnsi="Arial"/>
          <w:sz w:val="16"/>
          <w:szCs w:val="16"/>
          <w:color w:val="auto"/>
        </w:rPr>
        <w:t>Stock ownership guidelines of 7x base salary for the CEO and 3x base salary for other NEOs, and stock holding requirements of three years from the vesting date for equity awards; and</w:t>
      </w:r>
    </w:p>
    <w:p>
      <w:pPr>
        <w:ind w:left="140" w:hanging="132"/>
        <w:spacing w:after="0"/>
        <w:tabs>
          <w:tab w:leader="none" w:pos="140" w:val="left"/>
        </w:tabs>
        <w:numPr>
          <w:ilvl w:val="0"/>
          <w:numId w:val="101"/>
        </w:numPr>
        <w:rPr>
          <w:rFonts w:ascii="Arial" w:cs="Arial" w:eastAsia="Arial" w:hAnsi="Arial"/>
          <w:sz w:val="16"/>
          <w:szCs w:val="16"/>
          <w:b w:val="1"/>
          <w:bCs w:val="1"/>
          <w:color w:val="29378D"/>
        </w:rPr>
      </w:pPr>
      <w:r>
        <w:rPr>
          <w:rFonts w:ascii="Arial" w:cs="Arial" w:eastAsia="Arial" w:hAnsi="Arial"/>
          <w:sz w:val="16"/>
          <w:szCs w:val="16"/>
          <w:color w:val="auto"/>
        </w:rPr>
        <w:t>Prohibitions on hedging or pledging of Company stock.</w:t>
      </w:r>
    </w:p>
    <w:p>
      <w:pPr>
        <w:spacing w:after="0" w:line="12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For a more extensive list of our best practices, refer to page 54 of this Proxy Statement. In addition, our Compensation Discussion and Analysis (CD&amp;A) provides a detailed discussion of our performance-based approach to executive compensation. We encourage you to read the CD&amp;A, the rest of this Proxy Statement and our 2023 Form 10-K, which describes our business and 2023 results in more detail.</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Recommendation</w:t>
      </w:r>
    </w:p>
    <w:p>
      <w:pPr>
        <w:spacing w:after="0" w:line="12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compensation of our executives is aligned to performance, is sensitive to shareholder returns, appropriately motivates and retains our executives, and is a competitive advantage in attracting and retaining the high caliber talent necessary to drive our business forward and build sustainable value for our shareholders. Accordingly, the Board recommends that shareholders approve the following resolution:</w:t>
      </w:r>
    </w:p>
    <w:p>
      <w:pPr>
        <w:spacing w:after="0" w:line="56"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“RESOLVED, that, as an advisory matter, the shareholders of Northrop Grumman Corporation approve the compensation paid to the Company’s named executive officers as disclosed in this Proxy Statement pursuant to Item 402 of Regulation S-K, including the Compensation Discussion and Analysis, compensation tables and narrative discussion.”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2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149465" cy="419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419735"/>
                    </a:xfrm>
                    <a:prstGeom prst="rect">
                      <a:avLst/>
                    </a:prstGeom>
                    <a:noFill/>
                  </pic:spPr>
                </pic:pic>
              </a:graphicData>
            </a:graphic>
          </wp:anchor>
        </w:drawing>
      </w:r>
    </w:p>
    <w:p>
      <w:pPr>
        <w:spacing w:after="0" w:line="316"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 xml:space="preserve">THE BOARD OF DIRECTORS UNANIMOUSLY RECOMMENDS THAT YOU VOTE </w:t>
      </w:r>
      <w:r>
        <w:rPr>
          <w:rFonts w:ascii="Arial" w:cs="Arial" w:eastAsia="Arial" w:hAnsi="Arial"/>
          <w:sz w:val="14"/>
          <w:szCs w:val="14"/>
          <w:b w:val="1"/>
          <w:bCs w:val="1"/>
          <w:color w:val="29378D"/>
        </w:rPr>
        <w:t>“FOR”</w:t>
      </w:r>
      <w:r>
        <w:rPr>
          <w:rFonts w:ascii="Arial" w:cs="Arial" w:eastAsia="Arial" w:hAnsi="Arial"/>
          <w:sz w:val="14"/>
          <w:szCs w:val="14"/>
          <w:b w:val="1"/>
          <w:bCs w:val="1"/>
          <w:color w:val="auto"/>
        </w:rPr>
        <w:t xml:space="preserve"> 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49</w:t>
            </w:r>
          </w:p>
        </w:tc>
      </w:tr>
      <w:tr>
        <w:trPr>
          <w:trHeight w:val="30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52" w:name="page53"/>
    <w:bookmarkEnd w:id="52"/>
    <w:p>
      <w:pPr>
        <w:spacing w:after="0"/>
        <w:rPr>
          <w:sz w:val="20"/>
          <w:szCs w:val="20"/>
          <w:color w:val="auto"/>
        </w:rPr>
      </w:pPr>
      <w:r>
        <w:rPr>
          <w:rFonts w:ascii="Arial" w:cs="Arial" w:eastAsia="Arial" w:hAnsi="Arial"/>
          <w:sz w:val="43"/>
          <w:szCs w:val="43"/>
          <w:b w:val="1"/>
          <w:bCs w:val="1"/>
          <w:color w:val="29378D"/>
        </w:rPr>
        <w:t>Executive Compensation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Discussion &amp; Analysis</w:t>
      </w:r>
    </w:p>
    <w:p>
      <w:pPr>
        <w:spacing w:after="0" w:line="279" w:lineRule="exact"/>
        <w:rPr>
          <w:sz w:val="20"/>
          <w:szCs w:val="20"/>
          <w:color w:val="auto"/>
        </w:rPr>
      </w:pPr>
    </w:p>
    <w:p>
      <w:pPr>
        <w:spacing w:after="0"/>
        <w:rPr>
          <w:sz w:val="20"/>
          <w:szCs w:val="20"/>
          <w:color w:val="auto"/>
        </w:rPr>
      </w:pPr>
      <w:r>
        <w:rPr>
          <w:rFonts w:ascii="Arial" w:cs="Arial" w:eastAsia="Arial" w:hAnsi="Arial"/>
          <w:sz w:val="23"/>
          <w:szCs w:val="23"/>
          <w:color w:val="auto"/>
        </w:rPr>
        <w:t>2023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565785" cy="5829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65785" cy="58293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109220</wp:posOffset>
            </wp:positionV>
            <wp:extent cx="565785" cy="5657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65785" cy="56578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109220</wp:posOffset>
            </wp:positionV>
            <wp:extent cx="565785" cy="5657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65785" cy="56578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3200" w:type="dxa"/>
            <w:vAlign w:val="bottom"/>
          </w:tcPr>
          <w:p>
            <w:pPr>
              <w:spacing w:after="0"/>
              <w:rPr>
                <w:sz w:val="20"/>
                <w:szCs w:val="20"/>
                <w:color w:val="auto"/>
              </w:rPr>
            </w:pPr>
            <w:r>
              <w:rPr>
                <w:rFonts w:ascii="Arial" w:cs="Arial" w:eastAsia="Arial" w:hAnsi="Arial"/>
                <w:sz w:val="16"/>
                <w:szCs w:val="16"/>
                <w:b w:val="1"/>
                <w:bCs w:val="1"/>
                <w:color w:val="00249C"/>
              </w:rPr>
              <w:t>Kathy J. Warden</w:t>
            </w:r>
          </w:p>
        </w:tc>
        <w:tc>
          <w:tcPr>
            <w:tcW w:w="3600" w:type="dxa"/>
            <w:vAlign w:val="bottom"/>
          </w:tcPr>
          <w:p>
            <w:pPr>
              <w:ind w:left="620"/>
              <w:spacing w:after="0"/>
              <w:rPr>
                <w:sz w:val="20"/>
                <w:szCs w:val="20"/>
                <w:color w:val="auto"/>
              </w:rPr>
            </w:pPr>
            <w:r>
              <w:rPr>
                <w:rFonts w:ascii="Arial" w:cs="Arial" w:eastAsia="Arial" w:hAnsi="Arial"/>
                <w:sz w:val="16"/>
                <w:szCs w:val="16"/>
                <w:b w:val="1"/>
                <w:bCs w:val="1"/>
                <w:color w:val="00249C"/>
              </w:rPr>
              <w:t>David F. Keffer</w:t>
            </w:r>
          </w:p>
        </w:tc>
        <w:tc>
          <w:tcPr>
            <w:tcW w:w="2620" w:type="dxa"/>
            <w:vAlign w:val="bottom"/>
          </w:tcPr>
          <w:p>
            <w:pPr>
              <w:ind w:left="720"/>
              <w:spacing w:after="0"/>
              <w:rPr>
                <w:sz w:val="20"/>
                <w:szCs w:val="20"/>
                <w:color w:val="auto"/>
              </w:rPr>
            </w:pPr>
            <w:r>
              <w:rPr>
                <w:rFonts w:ascii="Arial" w:cs="Arial" w:eastAsia="Arial" w:hAnsi="Arial"/>
                <w:sz w:val="16"/>
                <w:szCs w:val="16"/>
                <w:b w:val="1"/>
                <w:bCs w:val="1"/>
                <w:color w:val="00249C"/>
              </w:rPr>
              <w:t>Mark A. Caylor</w:t>
            </w: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Chair, Chief Executive Officer and</w:t>
            </w:r>
          </w:p>
        </w:tc>
        <w:tc>
          <w:tcPr>
            <w:tcW w:w="3600" w:type="dxa"/>
            <w:vAlign w:val="bottom"/>
          </w:tcPr>
          <w:p>
            <w:pPr>
              <w:ind w:left="620"/>
              <w:spacing w:after="0"/>
              <w:rPr>
                <w:sz w:val="20"/>
                <w:szCs w:val="20"/>
                <w:color w:val="auto"/>
              </w:rPr>
            </w:pPr>
            <w:r>
              <w:rPr>
                <w:rFonts w:ascii="Arial" w:cs="Arial" w:eastAsia="Arial" w:hAnsi="Arial"/>
                <w:sz w:val="14"/>
                <w:szCs w:val="14"/>
                <w:color w:val="auto"/>
              </w:rPr>
              <w:t>Corporate Vice President and Chief</w:t>
            </w:r>
          </w:p>
        </w:tc>
        <w:tc>
          <w:tcPr>
            <w:tcW w:w="2620" w:type="dxa"/>
            <w:vAlign w:val="bottom"/>
          </w:tcPr>
          <w:p>
            <w:pPr>
              <w:ind w:left="720"/>
              <w:spacing w:after="0"/>
              <w:rPr>
                <w:sz w:val="20"/>
                <w:szCs w:val="20"/>
                <w:color w:val="auto"/>
              </w:rPr>
            </w:pPr>
            <w:r>
              <w:rPr>
                <w:rFonts w:ascii="Arial" w:cs="Arial" w:eastAsia="Arial" w:hAnsi="Arial"/>
                <w:sz w:val="14"/>
                <w:szCs w:val="14"/>
                <w:color w:val="auto"/>
              </w:rPr>
              <w:t>Corporate Vice President and</w:t>
            </w:r>
          </w:p>
        </w:tc>
      </w:tr>
      <w:tr>
        <w:trPr>
          <w:trHeight w:val="190"/>
        </w:trPr>
        <w:tc>
          <w:tcPr>
            <w:tcW w:w="3200" w:type="dxa"/>
            <w:vAlign w:val="bottom"/>
          </w:tcPr>
          <w:p>
            <w:pPr>
              <w:spacing w:after="0"/>
              <w:rPr>
                <w:sz w:val="20"/>
                <w:szCs w:val="20"/>
                <w:color w:val="auto"/>
              </w:rPr>
            </w:pPr>
            <w:r>
              <w:rPr>
                <w:rFonts w:ascii="Arial" w:cs="Arial" w:eastAsia="Arial" w:hAnsi="Arial"/>
                <w:sz w:val="14"/>
                <w:szCs w:val="14"/>
                <w:color w:val="auto"/>
              </w:rPr>
              <w:t>President</w:t>
            </w:r>
          </w:p>
        </w:tc>
        <w:tc>
          <w:tcPr>
            <w:tcW w:w="3600" w:type="dxa"/>
            <w:vAlign w:val="bottom"/>
          </w:tcPr>
          <w:p>
            <w:pPr>
              <w:ind w:left="620"/>
              <w:spacing w:after="0"/>
              <w:rPr>
                <w:sz w:val="20"/>
                <w:szCs w:val="20"/>
                <w:color w:val="auto"/>
              </w:rPr>
            </w:pPr>
            <w:r>
              <w:rPr>
                <w:rFonts w:ascii="Arial" w:cs="Arial" w:eastAsia="Arial" w:hAnsi="Arial"/>
                <w:sz w:val="14"/>
                <w:szCs w:val="14"/>
                <w:color w:val="auto"/>
              </w:rPr>
              <w:t>Financial Officer</w:t>
            </w:r>
          </w:p>
        </w:tc>
        <w:tc>
          <w:tcPr>
            <w:tcW w:w="2620" w:type="dxa"/>
            <w:vAlign w:val="bottom"/>
          </w:tcPr>
          <w:p>
            <w:pPr>
              <w:ind w:left="720"/>
              <w:spacing w:after="0"/>
              <w:rPr>
                <w:sz w:val="20"/>
                <w:szCs w:val="20"/>
                <w:color w:val="auto"/>
              </w:rPr>
            </w:pPr>
            <w:r>
              <w:rPr>
                <w:rFonts w:ascii="Arial" w:cs="Arial" w:eastAsia="Arial" w:hAnsi="Arial"/>
                <w:sz w:val="14"/>
                <w:szCs w:val="14"/>
                <w:color w:val="auto"/>
              </w:rPr>
              <w:t>President, Mission Systems</w:t>
            </w:r>
          </w:p>
        </w:tc>
      </w:tr>
      <w:tr>
        <w:trPr>
          <w:trHeight w:val="890"/>
        </w:trPr>
        <w:tc>
          <w:tcPr>
            <w:tcW w:w="3200" w:type="dxa"/>
            <w:vAlign w:val="bottom"/>
          </w:tcPr>
          <w:p>
            <w:pPr>
              <w:spacing w:after="0"/>
              <w:rPr>
                <w:sz w:val="20"/>
                <w:szCs w:val="20"/>
                <w:color w:val="auto"/>
              </w:rPr>
            </w:pPr>
            <w:r>
              <w:rPr>
                <w:rFonts w:ascii="Arial" w:cs="Arial" w:eastAsia="Arial" w:hAnsi="Arial"/>
                <w:sz w:val="16"/>
                <w:szCs w:val="16"/>
                <w:b w:val="1"/>
                <w:bCs w:val="1"/>
                <w:color w:val="00249C"/>
              </w:rPr>
              <w:t>Thomas H. Jones</w:t>
            </w:r>
          </w:p>
        </w:tc>
        <w:tc>
          <w:tcPr>
            <w:tcW w:w="3600" w:type="dxa"/>
            <w:vAlign w:val="bottom"/>
          </w:tcPr>
          <w:p>
            <w:pPr>
              <w:ind w:left="620"/>
              <w:spacing w:after="0"/>
              <w:rPr>
                <w:sz w:val="20"/>
                <w:szCs w:val="20"/>
                <w:color w:val="auto"/>
              </w:rPr>
            </w:pPr>
            <w:r>
              <w:rPr>
                <w:rFonts w:ascii="Arial" w:cs="Arial" w:eastAsia="Arial" w:hAnsi="Arial"/>
                <w:sz w:val="16"/>
                <w:szCs w:val="16"/>
                <w:b w:val="1"/>
                <w:bCs w:val="1"/>
                <w:color w:val="00249C"/>
              </w:rPr>
              <w:t>Roshan S. Roeder</w:t>
            </w:r>
          </w:p>
        </w:tc>
        <w:tc>
          <w:tcPr>
            <w:tcW w:w="2620" w:type="dxa"/>
            <w:vAlign w:val="bottom"/>
          </w:tcPr>
          <w:p>
            <w:pPr>
              <w:spacing w:after="0"/>
              <w:rPr>
                <w:sz w:val="24"/>
                <w:szCs w:val="24"/>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Corporate Vice President and President,</w:t>
            </w:r>
          </w:p>
        </w:tc>
        <w:tc>
          <w:tcPr>
            <w:tcW w:w="3600" w:type="dxa"/>
            <w:vAlign w:val="bottom"/>
          </w:tcPr>
          <w:p>
            <w:pPr>
              <w:ind w:left="620"/>
              <w:spacing w:after="0"/>
              <w:rPr>
                <w:sz w:val="20"/>
                <w:szCs w:val="20"/>
                <w:color w:val="auto"/>
              </w:rPr>
            </w:pPr>
            <w:r>
              <w:rPr>
                <w:rFonts w:ascii="Arial" w:cs="Arial" w:eastAsia="Arial" w:hAnsi="Arial"/>
                <w:sz w:val="14"/>
                <w:szCs w:val="14"/>
                <w:color w:val="auto"/>
              </w:rPr>
              <w:t>Corporate Vice President and</w:t>
            </w:r>
          </w:p>
        </w:tc>
        <w:tc>
          <w:tcPr>
            <w:tcW w:w="2620" w:type="dxa"/>
            <w:vAlign w:val="bottom"/>
          </w:tcPr>
          <w:p>
            <w:pPr>
              <w:spacing w:after="0"/>
              <w:rPr>
                <w:sz w:val="14"/>
                <w:szCs w:val="14"/>
                <w:color w:val="auto"/>
              </w:rPr>
            </w:pPr>
          </w:p>
        </w:tc>
      </w:tr>
      <w:tr>
        <w:trPr>
          <w:trHeight w:val="190"/>
        </w:trPr>
        <w:tc>
          <w:tcPr>
            <w:tcW w:w="3200" w:type="dxa"/>
            <w:vAlign w:val="bottom"/>
          </w:tcPr>
          <w:p>
            <w:pPr>
              <w:spacing w:after="0"/>
              <w:rPr>
                <w:sz w:val="20"/>
                <w:szCs w:val="20"/>
                <w:color w:val="auto"/>
              </w:rPr>
            </w:pPr>
            <w:r>
              <w:rPr>
                <w:rFonts w:ascii="Arial" w:cs="Arial" w:eastAsia="Arial" w:hAnsi="Arial"/>
                <w:sz w:val="14"/>
                <w:szCs w:val="14"/>
                <w:color w:val="auto"/>
              </w:rPr>
              <w:t>Aeronautics Systems</w:t>
            </w:r>
          </w:p>
        </w:tc>
        <w:tc>
          <w:tcPr>
            <w:tcW w:w="3600" w:type="dxa"/>
            <w:vAlign w:val="bottom"/>
          </w:tcPr>
          <w:p>
            <w:pPr>
              <w:ind w:left="620"/>
              <w:spacing w:after="0"/>
              <w:rPr>
                <w:sz w:val="20"/>
                <w:szCs w:val="20"/>
                <w:color w:val="auto"/>
              </w:rPr>
            </w:pPr>
            <w:r>
              <w:rPr>
                <w:rFonts w:ascii="Arial" w:cs="Arial" w:eastAsia="Arial" w:hAnsi="Arial"/>
                <w:sz w:val="14"/>
                <w:szCs w:val="14"/>
                <w:color w:val="auto"/>
              </w:rPr>
              <w:t>President, Defense Systems</w:t>
            </w:r>
          </w:p>
        </w:tc>
        <w:tc>
          <w:tcPr>
            <w:tcW w:w="26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-620395</wp:posOffset>
            </wp:positionV>
            <wp:extent cx="565785" cy="5657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65785" cy="56578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-620395</wp:posOffset>
            </wp:positionV>
            <wp:extent cx="565785" cy="5657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65785" cy="565785"/>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Compensation Philosophy and Objectives</w:t>
      </w:r>
    </w:p>
    <w:p>
      <w:pPr>
        <w:spacing w:after="0" w:line="123"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We provide attractive, flexible and market-based total compensation programs tied to performance and aligned with the interests of our shareholders. Our objective is to recruit and retain the caliber of executives and other key employees capable of achieving top performance and generating value for our shareholders, customers and employees.</w:t>
      </w:r>
    </w:p>
    <w:p>
      <w:pPr>
        <w:spacing w:after="0" w:line="56"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Our goal is to lead our industry in sustainable performance and build on our strong, enduring values. For our performance-based plans, we select metrics that drive shareholder value and benchmark our performance against peers, the market and our long-range strategic plan (LRSP). Our executive compensation and benefit programs are guided by the following principles:</w:t>
      </w:r>
    </w:p>
    <w:p>
      <w:pPr>
        <w:spacing w:after="0" w:line="200" w:lineRule="exact"/>
        <w:rPr>
          <w:sz w:val="20"/>
          <w:szCs w:val="20"/>
          <w:color w:val="auto"/>
        </w:rPr>
      </w:pPr>
    </w:p>
    <w:p>
      <w:pPr>
        <w:spacing w:after="0" w:line="267" w:lineRule="exact"/>
        <w:rPr>
          <w:sz w:val="20"/>
          <w:szCs w:val="20"/>
          <w:color w:val="auto"/>
        </w:rPr>
      </w:pPr>
    </w:p>
    <w:p>
      <w:pPr>
        <w:ind w:left="1720"/>
        <w:spacing w:after="0"/>
        <w:rPr>
          <w:sz w:val="20"/>
          <w:szCs w:val="20"/>
          <w:color w:val="auto"/>
        </w:rPr>
      </w:pPr>
      <w:r>
        <w:rPr>
          <w:rFonts w:ascii="Arial" w:cs="Arial" w:eastAsia="Arial" w:hAnsi="Arial"/>
          <w:sz w:val="20"/>
          <w:szCs w:val="20"/>
          <w:color w:val="29378D"/>
        </w:rPr>
        <w:t>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-131445</wp:posOffset>
            </wp:positionV>
            <wp:extent cx="360045" cy="3600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60045" cy="360045"/>
                    </a:xfrm>
                    <a:prstGeom prst="rect">
                      <a:avLst/>
                    </a:prstGeom>
                    <a:noFill/>
                  </pic:spPr>
                </pic:pic>
              </a:graphicData>
            </a:graphic>
          </wp:anchor>
        </w:drawing>
      </w:r>
    </w:p>
    <w:p>
      <w:pPr>
        <w:spacing w:after="0" w:line="109" w:lineRule="exact"/>
        <w:rPr>
          <w:sz w:val="20"/>
          <w:szCs w:val="20"/>
          <w:color w:val="auto"/>
        </w:rPr>
      </w:pPr>
    </w:p>
    <w:p>
      <w:pPr>
        <w:ind w:left="1860" w:hanging="147"/>
        <w:spacing w:after="0"/>
        <w:tabs>
          <w:tab w:leader="none" w:pos="1860" w:val="left"/>
        </w:tabs>
        <w:numPr>
          <w:ilvl w:val="0"/>
          <w:numId w:val="102"/>
        </w:numPr>
        <w:rPr>
          <w:rFonts w:ascii="Arial" w:cs="Arial" w:eastAsia="Arial" w:hAnsi="Arial"/>
          <w:sz w:val="16"/>
          <w:szCs w:val="16"/>
          <w:b w:val="1"/>
          <w:bCs w:val="1"/>
          <w:color w:val="29378D"/>
        </w:rPr>
      </w:pPr>
      <w:r>
        <w:rPr>
          <w:rFonts w:ascii="Arial" w:cs="Arial" w:eastAsia="Arial" w:hAnsi="Arial"/>
          <w:sz w:val="16"/>
          <w:szCs w:val="16"/>
          <w:color w:val="auto"/>
        </w:rPr>
        <w:t>Our incentive plans are based on peer performance and benchmarks, the market and our LRSP.</w:t>
      </w:r>
    </w:p>
    <w:p>
      <w:pPr>
        <w:spacing w:after="0" w:line="72" w:lineRule="exact"/>
        <w:rPr>
          <w:rFonts w:ascii="Arial" w:cs="Arial" w:eastAsia="Arial" w:hAnsi="Arial"/>
          <w:sz w:val="16"/>
          <w:szCs w:val="16"/>
          <w:b w:val="1"/>
          <w:bCs w:val="1"/>
          <w:color w:val="29378D"/>
        </w:rPr>
      </w:pPr>
    </w:p>
    <w:p>
      <w:pPr>
        <w:ind w:left="1860" w:hanging="147"/>
        <w:spacing w:after="0"/>
        <w:tabs>
          <w:tab w:leader="none" w:pos="1860" w:val="left"/>
        </w:tabs>
        <w:numPr>
          <w:ilvl w:val="0"/>
          <w:numId w:val="102"/>
        </w:numPr>
        <w:rPr>
          <w:rFonts w:ascii="Arial" w:cs="Arial" w:eastAsia="Arial" w:hAnsi="Arial"/>
          <w:sz w:val="16"/>
          <w:szCs w:val="16"/>
          <w:b w:val="1"/>
          <w:bCs w:val="1"/>
          <w:color w:val="29378D"/>
        </w:rPr>
      </w:pPr>
      <w:r>
        <w:rPr>
          <w:rFonts w:ascii="Arial" w:cs="Arial" w:eastAsia="Arial" w:hAnsi="Arial"/>
          <w:sz w:val="16"/>
          <w:szCs w:val="16"/>
          <w:color w:val="auto"/>
        </w:rPr>
        <w:t>Above-target incentive payouts are awarded when we outperform our peers, market and LRSP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720"/>
        <w:spacing w:after="0"/>
        <w:rPr>
          <w:sz w:val="20"/>
          <w:szCs w:val="20"/>
          <w:color w:val="auto"/>
        </w:rPr>
      </w:pPr>
      <w:r>
        <w:rPr>
          <w:rFonts w:ascii="Arial" w:cs="Arial" w:eastAsia="Arial" w:hAnsi="Arial"/>
          <w:sz w:val="20"/>
          <w:szCs w:val="20"/>
          <w:color w:val="29378D"/>
        </w:rPr>
        <w:t>Leadership Recruitment, Retention and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-140335</wp:posOffset>
            </wp:positionV>
            <wp:extent cx="377190" cy="3771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spacing w:after="0" w:line="109" w:lineRule="exact"/>
        <w:rPr>
          <w:sz w:val="20"/>
          <w:szCs w:val="20"/>
          <w:color w:val="auto"/>
        </w:rPr>
      </w:pPr>
    </w:p>
    <w:p>
      <w:pPr>
        <w:ind w:left="1860" w:hanging="147"/>
        <w:spacing w:after="0"/>
        <w:tabs>
          <w:tab w:leader="none" w:pos="1860" w:val="left"/>
        </w:tabs>
        <w:numPr>
          <w:ilvl w:val="0"/>
          <w:numId w:val="103"/>
        </w:numPr>
        <w:rPr>
          <w:rFonts w:ascii="Arial" w:cs="Arial" w:eastAsia="Arial" w:hAnsi="Arial"/>
          <w:sz w:val="16"/>
          <w:szCs w:val="16"/>
          <w:b w:val="1"/>
          <w:bCs w:val="1"/>
          <w:color w:val="00249C"/>
        </w:rPr>
      </w:pPr>
      <w:r>
        <w:rPr>
          <w:rFonts w:ascii="Arial" w:cs="Arial" w:eastAsia="Arial" w:hAnsi="Arial"/>
          <w:sz w:val="16"/>
          <w:szCs w:val="16"/>
          <w:color w:val="auto"/>
        </w:rPr>
        <w:t>Compensation is designed to be competitive with our peers and retain top talent.</w:t>
      </w:r>
    </w:p>
    <w:p>
      <w:pPr>
        <w:spacing w:after="0" w:line="72" w:lineRule="exact"/>
        <w:rPr>
          <w:rFonts w:ascii="Arial" w:cs="Arial" w:eastAsia="Arial" w:hAnsi="Arial"/>
          <w:sz w:val="16"/>
          <w:szCs w:val="16"/>
          <w:b w:val="1"/>
          <w:bCs w:val="1"/>
          <w:color w:val="00249C"/>
        </w:rPr>
      </w:pPr>
    </w:p>
    <w:p>
      <w:pPr>
        <w:ind w:left="1860" w:hanging="147"/>
        <w:spacing w:after="0"/>
        <w:tabs>
          <w:tab w:leader="none" w:pos="1860" w:val="left"/>
        </w:tabs>
        <w:numPr>
          <w:ilvl w:val="0"/>
          <w:numId w:val="103"/>
        </w:numPr>
        <w:rPr>
          <w:rFonts w:ascii="Arial" w:cs="Arial" w:eastAsia="Arial" w:hAnsi="Arial"/>
          <w:sz w:val="16"/>
          <w:szCs w:val="16"/>
          <w:b w:val="1"/>
          <w:bCs w:val="1"/>
          <w:color w:val="00249C"/>
        </w:rPr>
      </w:pPr>
      <w:r>
        <w:rPr>
          <w:rFonts w:ascii="Arial" w:cs="Arial" w:eastAsia="Arial" w:hAnsi="Arial"/>
          <w:sz w:val="16"/>
          <w:szCs w:val="16"/>
          <w:color w:val="auto"/>
        </w:rPr>
        <w:t>Programs are structured to attract, motivate and reward NEOs for delivering operational and strategic performance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9" w:lineRule="exact"/>
        <w:rPr>
          <w:sz w:val="20"/>
          <w:szCs w:val="20"/>
          <w:color w:val="auto"/>
        </w:rPr>
      </w:pPr>
    </w:p>
    <w:p>
      <w:pPr>
        <w:ind w:left="1720"/>
        <w:spacing w:after="0"/>
        <w:rPr>
          <w:sz w:val="20"/>
          <w:szCs w:val="20"/>
          <w:color w:val="auto"/>
        </w:rPr>
      </w:pPr>
      <w:r>
        <w:rPr>
          <w:rFonts w:ascii="Arial" w:cs="Arial" w:eastAsia="Arial" w:hAnsi="Arial"/>
          <w:sz w:val="20"/>
          <w:szCs w:val="20"/>
          <w:color w:val="29378D"/>
        </w:rPr>
        <w:t>Sustainable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-62865</wp:posOffset>
            </wp:positionV>
            <wp:extent cx="394335" cy="3943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109" w:lineRule="exact"/>
        <w:rPr>
          <w:sz w:val="20"/>
          <w:szCs w:val="20"/>
          <w:color w:val="auto"/>
        </w:rPr>
      </w:pPr>
    </w:p>
    <w:p>
      <w:pPr>
        <w:ind w:left="1900" w:hanging="187"/>
        <w:spacing w:after="0" w:line="275" w:lineRule="auto"/>
        <w:tabs>
          <w:tab w:leader="none" w:pos="1843" w:val="left"/>
        </w:tabs>
        <w:numPr>
          <w:ilvl w:val="0"/>
          <w:numId w:val="104"/>
        </w:numPr>
        <w:rPr>
          <w:rFonts w:ascii="Arial" w:cs="Arial" w:eastAsia="Arial" w:hAnsi="Arial"/>
          <w:sz w:val="16"/>
          <w:szCs w:val="16"/>
          <w:b w:val="1"/>
          <w:bCs w:val="1"/>
          <w:color w:val="29378D"/>
        </w:rPr>
      </w:pPr>
      <w:r>
        <w:rPr>
          <w:rFonts w:ascii="Arial" w:cs="Arial" w:eastAsia="Arial" w:hAnsi="Arial"/>
          <w:sz w:val="16"/>
          <w:szCs w:val="16"/>
          <w:color w:val="auto"/>
        </w:rPr>
        <w:t>Our Annual Incentive Plan includes both financial and non-financial metrics to ensure we are building a strong foundation for long-term sustainable performance and shareholder value creation, and we are consistent with our commitment to environmental, social and governance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 w:hanging="494"/>
        <w:spacing w:after="0"/>
        <w:tabs>
          <w:tab w:leader="none" w:pos="520" w:val="left"/>
        </w:tabs>
        <w:numPr>
          <w:ilvl w:val="0"/>
          <w:numId w:val="105"/>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98" w:right="439" w:bottom="1440" w:gutter="0" w:footer="0" w:header="0"/>
        </w:sectPr>
      </w:pPr>
    </w:p>
    <w:bookmarkStart w:id="53" w:name="page54"/>
    <w:bookmarkEnd w:id="53"/>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720"/>
        <w:spacing w:after="0"/>
        <w:rPr>
          <w:sz w:val="20"/>
          <w:szCs w:val="20"/>
          <w:color w:val="auto"/>
        </w:rPr>
      </w:pPr>
      <w:r>
        <w:rPr>
          <w:rFonts w:ascii="Arial" w:cs="Arial" w:eastAsia="Arial" w:hAnsi="Arial"/>
          <w:sz w:val="20"/>
          <w:szCs w:val="20"/>
          <w:color w:val="29378D"/>
        </w:rPr>
        <w:t>Alignment with Shareholder Interests</w:t>
      </w:r>
    </w:p>
    <w:p>
      <w:pPr>
        <w:spacing w:after="0" w:line="129" w:lineRule="exact"/>
        <w:rPr>
          <w:sz w:val="20"/>
          <w:szCs w:val="20"/>
          <w:color w:val="auto"/>
        </w:rPr>
      </w:pPr>
    </w:p>
    <w:p>
      <w:pPr>
        <w:ind w:left="1860" w:hanging="147"/>
        <w:spacing w:after="0"/>
        <w:tabs>
          <w:tab w:leader="none" w:pos="1860" w:val="left"/>
        </w:tabs>
        <w:numPr>
          <w:ilvl w:val="0"/>
          <w:numId w:val="106"/>
        </w:numPr>
        <w:rPr>
          <w:rFonts w:ascii="Arial" w:cs="Arial" w:eastAsia="Arial" w:hAnsi="Arial"/>
          <w:sz w:val="16"/>
          <w:szCs w:val="16"/>
          <w:b w:val="1"/>
          <w:bCs w:val="1"/>
          <w:color w:val="29378D"/>
        </w:rPr>
      </w:pPr>
      <w:r>
        <w:rPr>
          <w:rFonts w:ascii="Arial" w:cs="Arial" w:eastAsia="Arial" w:hAnsi="Arial"/>
          <w:sz w:val="16"/>
          <w:szCs w:val="16"/>
          <w:color w:val="auto"/>
        </w:rPr>
        <w:t>Our compensation structure places an appropriate amount of compensation at risk based on annual and long-term results.</w:t>
      </w:r>
    </w:p>
    <w:p>
      <w:pPr>
        <w:spacing w:after="0" w:line="72" w:lineRule="exact"/>
        <w:rPr>
          <w:rFonts w:ascii="Arial" w:cs="Arial" w:eastAsia="Arial" w:hAnsi="Arial"/>
          <w:sz w:val="16"/>
          <w:szCs w:val="16"/>
          <w:b w:val="1"/>
          <w:bCs w:val="1"/>
          <w:color w:val="29378D"/>
        </w:rPr>
      </w:pPr>
    </w:p>
    <w:p>
      <w:pPr>
        <w:ind w:left="1900" w:right="60" w:hanging="187"/>
        <w:spacing w:after="0" w:line="275" w:lineRule="auto"/>
        <w:tabs>
          <w:tab w:leader="none" w:pos="1843" w:val="left"/>
        </w:tabs>
        <w:numPr>
          <w:ilvl w:val="0"/>
          <w:numId w:val="106"/>
        </w:numPr>
        <w:rPr>
          <w:rFonts w:ascii="Arial" w:cs="Arial" w:eastAsia="Arial" w:hAnsi="Arial"/>
          <w:sz w:val="16"/>
          <w:szCs w:val="16"/>
          <w:b w:val="1"/>
          <w:bCs w:val="1"/>
          <w:color w:val="29378D"/>
        </w:rPr>
      </w:pPr>
      <w:r>
        <w:rPr>
          <w:rFonts w:ascii="Arial" w:cs="Arial" w:eastAsia="Arial" w:hAnsi="Arial"/>
          <w:sz w:val="16"/>
          <w:szCs w:val="16"/>
          <w:color w:val="auto"/>
        </w:rPr>
        <w:t>At-risk compensation is based on financial and non-financial performance measures and relative Total Shareholder Return (rTSR). Payouts under the rTSR portion of the plan are capped at target if the Company’s TSR is negative over the three-year performance period.</w:t>
      </w:r>
    </w:p>
    <w:p>
      <w:pPr>
        <w:spacing w:after="0" w:line="29" w:lineRule="exact"/>
        <w:rPr>
          <w:rFonts w:ascii="Arial" w:cs="Arial" w:eastAsia="Arial" w:hAnsi="Arial"/>
          <w:sz w:val="16"/>
          <w:szCs w:val="16"/>
          <w:b w:val="1"/>
          <w:bCs w:val="1"/>
          <w:color w:val="29378D"/>
        </w:rPr>
      </w:pPr>
    </w:p>
    <w:p>
      <w:pPr>
        <w:ind w:left="1900" w:right="340" w:hanging="187"/>
        <w:spacing w:after="0" w:line="286" w:lineRule="auto"/>
        <w:tabs>
          <w:tab w:leader="none" w:pos="1843" w:val="left"/>
        </w:tabs>
        <w:numPr>
          <w:ilvl w:val="0"/>
          <w:numId w:val="106"/>
        </w:numPr>
        <w:rPr>
          <w:rFonts w:ascii="Arial" w:cs="Arial" w:eastAsia="Arial" w:hAnsi="Arial"/>
          <w:sz w:val="16"/>
          <w:szCs w:val="16"/>
          <w:b w:val="1"/>
          <w:bCs w:val="1"/>
          <w:color w:val="29378D"/>
        </w:rPr>
      </w:pPr>
      <w:r>
        <w:rPr>
          <w:rFonts w:ascii="Arial" w:cs="Arial" w:eastAsia="Arial" w:hAnsi="Arial"/>
          <w:sz w:val="16"/>
          <w:szCs w:val="16"/>
          <w:color w:val="auto"/>
        </w:rPr>
        <w:t>A significant portion of compensation is delivered in equity, the vesting and value of which provides alignment with shareholder returns.</w:t>
      </w:r>
    </w:p>
    <w:p>
      <w:pPr>
        <w:spacing w:after="0" w:line="20" w:lineRule="exact"/>
        <w:rPr>
          <w:rFonts w:ascii="Arial" w:cs="Arial" w:eastAsia="Arial" w:hAnsi="Arial"/>
          <w:sz w:val="16"/>
          <w:szCs w:val="16"/>
          <w:b w:val="1"/>
          <w:bCs w:val="1"/>
          <w:color w:val="29378D"/>
        </w:rPr>
      </w:pPr>
    </w:p>
    <w:p>
      <w:pPr>
        <w:ind w:left="1900" w:right="120" w:hanging="187"/>
        <w:spacing w:after="0" w:line="286" w:lineRule="auto"/>
        <w:tabs>
          <w:tab w:leader="none" w:pos="1843" w:val="left"/>
        </w:tabs>
        <w:numPr>
          <w:ilvl w:val="0"/>
          <w:numId w:val="106"/>
        </w:numPr>
        <w:rPr>
          <w:rFonts w:ascii="Arial" w:cs="Arial" w:eastAsia="Arial" w:hAnsi="Arial"/>
          <w:sz w:val="16"/>
          <w:szCs w:val="16"/>
          <w:b w:val="1"/>
          <w:bCs w:val="1"/>
          <w:color w:val="29378D"/>
        </w:rPr>
      </w:pPr>
      <w:r>
        <w:rPr>
          <w:rFonts w:ascii="Arial" w:cs="Arial" w:eastAsia="Arial" w:hAnsi="Arial"/>
          <w:sz w:val="16"/>
          <w:szCs w:val="16"/>
          <w:color w:val="auto"/>
        </w:rPr>
        <w:t>Stock ownership guidelines, holding requirements for vested equity awards and our recoupment policy further align executive and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-920115</wp:posOffset>
            </wp:positionV>
            <wp:extent cx="394335" cy="3943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196" w:lineRule="exact"/>
        <w:rPr>
          <w:sz w:val="20"/>
          <w:szCs w:val="20"/>
          <w:color w:val="auto"/>
        </w:rPr>
      </w:pPr>
    </w:p>
    <w:p>
      <w:pPr>
        <w:ind w:left="1720"/>
        <w:spacing w:after="0"/>
        <w:rPr>
          <w:sz w:val="20"/>
          <w:szCs w:val="20"/>
          <w:color w:val="auto"/>
        </w:rPr>
      </w:pPr>
      <w:r>
        <w:rPr>
          <w:rFonts w:ascii="Arial" w:cs="Arial" w:eastAsia="Arial" w:hAnsi="Arial"/>
          <w:sz w:val="20"/>
          <w:szCs w:val="20"/>
          <w:color w:val="29378D"/>
        </w:rPr>
        <w:t>Benchmarking</w:t>
      </w:r>
    </w:p>
    <w:p>
      <w:pPr>
        <w:spacing w:after="0" w:line="142" w:lineRule="exact"/>
        <w:rPr>
          <w:sz w:val="20"/>
          <w:szCs w:val="20"/>
          <w:color w:val="auto"/>
        </w:rPr>
      </w:pPr>
    </w:p>
    <w:p>
      <w:pPr>
        <w:ind w:left="1900" w:right="340" w:hanging="187"/>
        <w:spacing w:after="0" w:line="299" w:lineRule="auto"/>
        <w:tabs>
          <w:tab w:leader="none" w:pos="1843" w:val="left"/>
        </w:tabs>
        <w:numPr>
          <w:ilvl w:val="0"/>
          <w:numId w:val="107"/>
        </w:numPr>
        <w:rPr>
          <w:rFonts w:ascii="Arial" w:cs="Arial" w:eastAsia="Arial" w:hAnsi="Arial"/>
          <w:sz w:val="16"/>
          <w:szCs w:val="16"/>
          <w:b w:val="1"/>
          <w:bCs w:val="1"/>
          <w:color w:val="29378D"/>
        </w:rPr>
      </w:pPr>
      <w:r>
        <w:rPr>
          <w:rFonts w:ascii="Arial" w:cs="Arial" w:eastAsia="Arial" w:hAnsi="Arial"/>
          <w:sz w:val="16"/>
          <w:szCs w:val="16"/>
          <w:color w:val="auto"/>
        </w:rPr>
        <w:t>Our compensation programs’ provisions and financial objectives are evaluated on an annual basis and modified in accordance with industry and business conditions (e.g., divestitures, unforeseen impacts, etc.).</w:t>
      </w:r>
    </w:p>
    <w:p>
      <w:pPr>
        <w:ind w:left="1860" w:hanging="147"/>
        <w:spacing w:after="0"/>
        <w:tabs>
          <w:tab w:leader="none" w:pos="1860" w:val="left"/>
        </w:tabs>
        <w:numPr>
          <w:ilvl w:val="0"/>
          <w:numId w:val="107"/>
        </w:numPr>
        <w:rPr>
          <w:rFonts w:ascii="Arial" w:cs="Arial" w:eastAsia="Arial" w:hAnsi="Arial"/>
          <w:sz w:val="16"/>
          <w:szCs w:val="16"/>
          <w:color w:val="00249C"/>
        </w:rPr>
      </w:pPr>
      <w:r>
        <w:rPr>
          <w:rFonts w:ascii="Arial" w:cs="Arial" w:eastAsia="Arial" w:hAnsi="Arial"/>
          <w:sz w:val="16"/>
          <w:szCs w:val="16"/>
          <w:color w:val="auto"/>
        </w:rPr>
        <w:t>Benchmarks are set using a hybrid approach of peer, market and LRSP data.</w:t>
      </w:r>
    </w:p>
    <w:p>
      <w:pPr>
        <w:spacing w:after="0" w:line="86" w:lineRule="exact"/>
        <w:rPr>
          <w:rFonts w:ascii="Arial" w:cs="Arial" w:eastAsia="Arial" w:hAnsi="Arial"/>
          <w:sz w:val="16"/>
          <w:szCs w:val="16"/>
          <w:color w:val="00249C"/>
        </w:rPr>
      </w:pPr>
    </w:p>
    <w:p>
      <w:pPr>
        <w:ind w:left="1900" w:right="340" w:hanging="187"/>
        <w:spacing w:after="0" w:line="286" w:lineRule="auto"/>
        <w:tabs>
          <w:tab w:leader="none" w:pos="1843" w:val="left"/>
        </w:tabs>
        <w:numPr>
          <w:ilvl w:val="0"/>
          <w:numId w:val="107"/>
        </w:numPr>
        <w:rPr>
          <w:rFonts w:ascii="Arial" w:cs="Arial" w:eastAsia="Arial" w:hAnsi="Arial"/>
          <w:sz w:val="16"/>
          <w:szCs w:val="16"/>
          <w:b w:val="1"/>
          <w:bCs w:val="1"/>
          <w:color w:val="29378D"/>
        </w:rPr>
      </w:pPr>
      <w:r>
        <w:rPr>
          <w:rFonts w:ascii="Arial" w:cs="Arial" w:eastAsia="Arial" w:hAnsi="Arial"/>
          <w:sz w:val="16"/>
          <w:szCs w:val="16"/>
          <w:color w:val="auto"/>
        </w:rPr>
        <w:t>We seek to outperform our peers (a group of top global defense companies identified as the Performance Peer Group on page 56).</w:t>
      </w:r>
    </w:p>
    <w:p>
      <w:pPr>
        <w:spacing w:after="0" w:line="20" w:lineRule="exact"/>
        <w:rPr>
          <w:rFonts w:ascii="Arial" w:cs="Arial" w:eastAsia="Arial" w:hAnsi="Arial"/>
          <w:sz w:val="16"/>
          <w:szCs w:val="16"/>
          <w:b w:val="1"/>
          <w:bCs w:val="1"/>
          <w:color w:val="29378D"/>
        </w:rPr>
      </w:pPr>
    </w:p>
    <w:p>
      <w:pPr>
        <w:ind w:left="1900" w:right="360" w:hanging="187"/>
        <w:spacing w:after="0" w:line="304" w:lineRule="auto"/>
        <w:tabs>
          <w:tab w:leader="none" w:pos="1843" w:val="left"/>
        </w:tabs>
        <w:numPr>
          <w:ilvl w:val="0"/>
          <w:numId w:val="107"/>
        </w:numPr>
        <w:rPr>
          <w:rFonts w:ascii="Arial" w:cs="Arial" w:eastAsia="Arial" w:hAnsi="Arial"/>
          <w:sz w:val="16"/>
          <w:szCs w:val="16"/>
          <w:b w:val="1"/>
          <w:bCs w:val="1"/>
          <w:color w:val="29378D"/>
        </w:rPr>
      </w:pPr>
      <w:r>
        <w:rPr>
          <w:rFonts w:ascii="Arial" w:cs="Arial" w:eastAsia="Arial" w:hAnsi="Arial"/>
          <w:sz w:val="16"/>
          <w:szCs w:val="16"/>
          <w:color w:val="auto"/>
        </w:rPr>
        <w:t>We use a Target Industry Peer Group (TIPG) (identified on page 56) for broader market executive compensation analyses that includes comparisons to companies that reflect the labor market for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-878205</wp:posOffset>
            </wp:positionV>
            <wp:extent cx="377190" cy="3771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77190" cy="377190"/>
                    </a:xfrm>
                    <a:prstGeom prst="rect">
                      <a:avLst/>
                    </a:prstGeom>
                    <a:noFill/>
                  </pic:spPr>
                </pic:pic>
              </a:graphicData>
            </a:graphic>
          </wp:anchor>
        </w:drawing>
      </w:r>
    </w:p>
    <w:p>
      <w:pPr>
        <w:spacing w:after="0" w:line="256" w:lineRule="exact"/>
        <w:rPr>
          <w:sz w:val="20"/>
          <w:szCs w:val="20"/>
          <w:color w:val="auto"/>
        </w:rPr>
      </w:pPr>
    </w:p>
    <w:p>
      <w:pPr>
        <w:jc w:val="both"/>
        <w:ind w:right="400"/>
        <w:spacing w:after="0" w:line="266" w:lineRule="auto"/>
        <w:rPr>
          <w:sz w:val="20"/>
          <w:szCs w:val="20"/>
          <w:color w:val="auto"/>
        </w:rPr>
      </w:pPr>
      <w:r>
        <w:rPr>
          <w:rFonts w:ascii="Arial" w:cs="Arial" w:eastAsia="Arial" w:hAnsi="Arial"/>
          <w:sz w:val="16"/>
          <w:szCs w:val="16"/>
          <w:color w:val="auto"/>
        </w:rPr>
        <w:t>In the Compensation Discussion and Analysis (CD&amp;A), we provide an overview of our executive compensation programs and the underlying philosophy used to develop the programs. We describe the material components of our executive compensation programs for our 2023 Named Executive Officers (NEOs) and explain how and why our Board’s Compensation and Human Capital Committee determined certain compensation policies and decisions.</w:t>
      </w:r>
    </w:p>
    <w:p>
      <w:pPr>
        <w:spacing w:after="0" w:line="7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refer to certain non-GAAP financial measures, which are identified with asterisks. For more information, including definitions, reconciliations to the most directly comparable GAAP measure and why these measures may be useful to investors, see “Appendix A - Use of Non-GAAP Financial Measures.” The 2023 NEO compensation is in the Summary Compensation Table on page 71 and other compensation tables contained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51</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2023 Compensation Elements</w:t>
      </w:r>
    </w:p>
    <w:p>
      <w:pPr>
        <w:spacing w:after="0" w:line="12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executive compensation philosophy provides our NEOs with attractive, flexible and market-based total compensation tied to annual and long-term performance and aligned with the interests of our shareholders and our business objectives. The key elements of our compensation programs for our NEOs are summarized below.</w:t>
      </w:r>
    </w:p>
    <w:p>
      <w:pPr>
        <w:sectPr>
          <w:pgSz w:w="11900" w:h="16838" w:orient="portrait"/>
          <w:cols w:equalWidth="0" w:num="1">
            <w:col w:w="11140"/>
          </w:cols>
          <w:pgMar w:left="320" w:top="238" w:right="439" w:bottom="1440" w:gutter="0" w:footer="0" w:header="0"/>
        </w:sectPr>
      </w:pP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2120" w:type="dxa"/>
            <w:vAlign w:val="bottom"/>
          </w:tcPr>
          <w:p>
            <w:pPr>
              <w:spacing w:after="0"/>
              <w:rPr>
                <w:sz w:val="20"/>
                <w:szCs w:val="20"/>
                <w:color w:val="auto"/>
              </w:rPr>
            </w:pPr>
            <w:r>
              <w:rPr>
                <w:rFonts w:ascii="Arial" w:cs="Arial" w:eastAsia="Arial" w:hAnsi="Arial"/>
                <w:sz w:val="13"/>
                <w:szCs w:val="13"/>
                <w:b w:val="1"/>
                <w:bCs w:val="1"/>
                <w:color w:val="auto"/>
              </w:rPr>
              <w:t>Compensation Element</w:t>
            </w:r>
          </w:p>
        </w:tc>
        <w:tc>
          <w:tcPr>
            <w:tcW w:w="1480" w:type="dxa"/>
            <w:vAlign w:val="bottom"/>
            <w:vMerge w:val="restart"/>
          </w:tcPr>
          <w:p>
            <w:pPr>
              <w:jc w:val="center"/>
              <w:ind w:left="177"/>
              <w:spacing w:after="0"/>
              <w:rPr>
                <w:sz w:val="20"/>
                <w:szCs w:val="20"/>
                <w:color w:val="auto"/>
              </w:rPr>
            </w:pPr>
            <w:r>
              <w:rPr>
                <w:rFonts w:ascii="Arial" w:cs="Arial" w:eastAsia="Arial" w:hAnsi="Arial"/>
                <w:sz w:val="13"/>
                <w:szCs w:val="13"/>
                <w:b w:val="1"/>
                <w:bCs w:val="1"/>
                <w:color w:val="auto"/>
                <w:w w:val="99"/>
              </w:rPr>
              <w:t>CEO</w:t>
            </w:r>
          </w:p>
        </w:tc>
        <w:tc>
          <w:tcPr>
            <w:tcW w:w="1900" w:type="dxa"/>
            <w:vAlign w:val="bottom"/>
          </w:tcPr>
          <w:p>
            <w:pPr>
              <w:jc w:val="center"/>
              <w:ind w:right="137"/>
              <w:spacing w:after="0"/>
              <w:rPr>
                <w:sz w:val="20"/>
                <w:szCs w:val="20"/>
                <w:color w:val="auto"/>
              </w:rPr>
            </w:pPr>
            <w:r>
              <w:rPr>
                <w:rFonts w:ascii="Arial" w:cs="Arial" w:eastAsia="Arial" w:hAnsi="Arial"/>
                <w:sz w:val="13"/>
                <w:szCs w:val="13"/>
                <w:b w:val="1"/>
                <w:bCs w:val="1"/>
                <w:color w:val="auto"/>
                <w:w w:val="94"/>
              </w:rPr>
              <w:t>Other NEOs</w:t>
            </w:r>
          </w:p>
        </w:tc>
        <w:tc>
          <w:tcPr>
            <w:tcW w:w="1180" w:type="dxa"/>
            <w:vAlign w:val="bottom"/>
            <w:vMerge w:val="restart"/>
          </w:tcPr>
          <w:p>
            <w:pPr>
              <w:ind w:left="680"/>
              <w:spacing w:after="0"/>
              <w:rPr>
                <w:sz w:val="20"/>
                <w:szCs w:val="20"/>
                <w:color w:val="auto"/>
              </w:rPr>
            </w:pPr>
            <w:r>
              <w:rPr>
                <w:rFonts w:ascii="Arial" w:cs="Arial" w:eastAsia="Arial" w:hAnsi="Arial"/>
                <w:sz w:val="13"/>
                <w:szCs w:val="13"/>
                <w:b w:val="1"/>
                <w:bCs w:val="1"/>
                <w:color w:val="auto"/>
                <w:w w:val="92"/>
              </w:rPr>
              <w:t>Purpose</w:t>
            </w:r>
          </w:p>
        </w:tc>
        <w:tc>
          <w:tcPr>
            <w:tcW w:w="0" w:type="dxa"/>
            <w:vAlign w:val="bottom"/>
          </w:tcPr>
          <w:p>
            <w:pPr>
              <w:spacing w:after="0"/>
              <w:rPr>
                <w:sz w:val="1"/>
                <w:szCs w:val="1"/>
                <w:color w:val="auto"/>
              </w:rPr>
            </w:pPr>
          </w:p>
        </w:tc>
      </w:tr>
      <w:tr>
        <w:trPr>
          <w:trHeight w:val="172"/>
        </w:trPr>
        <w:tc>
          <w:tcPr>
            <w:tcW w:w="212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900" w:type="dxa"/>
            <w:vAlign w:val="bottom"/>
          </w:tcPr>
          <w:p>
            <w:pPr>
              <w:jc w:val="center"/>
              <w:ind w:right="137"/>
              <w:spacing w:after="0"/>
              <w:rPr>
                <w:sz w:val="20"/>
                <w:szCs w:val="20"/>
                <w:color w:val="auto"/>
              </w:rPr>
            </w:pPr>
            <w:r>
              <w:rPr>
                <w:rFonts w:ascii="Arial" w:cs="Arial" w:eastAsia="Arial" w:hAnsi="Arial"/>
                <w:sz w:val="13"/>
                <w:szCs w:val="13"/>
                <w:b w:val="1"/>
                <w:bCs w:val="1"/>
                <w:color w:val="auto"/>
                <w:w w:val="96"/>
              </w:rPr>
              <w:t>(Average)</w:t>
            </w: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20" w:type="dxa"/>
            <w:vAlign w:val="bottom"/>
          </w:tcPr>
          <w:p>
            <w:pPr>
              <w:ind w:left="120"/>
              <w:spacing w:after="0"/>
              <w:rPr>
                <w:sz w:val="20"/>
                <w:szCs w:val="20"/>
                <w:color w:val="auto"/>
              </w:rPr>
            </w:pPr>
            <w:r>
              <w:rPr>
                <w:rFonts w:ascii="Arial" w:cs="Arial" w:eastAsia="Arial" w:hAnsi="Arial"/>
                <w:sz w:val="13"/>
                <w:szCs w:val="13"/>
                <w:b w:val="1"/>
                <w:bCs w:val="1"/>
                <w:color w:val="FFFFFF"/>
              </w:rPr>
              <w:t>Fixed</w:t>
            </w:r>
          </w:p>
        </w:tc>
        <w:tc>
          <w:tcPr>
            <w:tcW w:w="1480" w:type="dxa"/>
            <w:vAlign w:val="bottom"/>
          </w:tcPr>
          <w:p>
            <w:pPr>
              <w:jc w:val="right"/>
              <w:ind w:right="477"/>
              <w:spacing w:after="0"/>
              <w:rPr>
                <w:sz w:val="20"/>
                <w:szCs w:val="20"/>
                <w:color w:val="auto"/>
              </w:rPr>
            </w:pPr>
            <w:r>
              <w:rPr>
                <w:rFonts w:ascii="Arial" w:cs="Arial" w:eastAsia="Arial" w:hAnsi="Arial"/>
                <w:sz w:val="13"/>
                <w:szCs w:val="13"/>
                <w:b w:val="1"/>
                <w:bCs w:val="1"/>
                <w:color w:val="FFFFFF"/>
              </w:rPr>
              <w:t>8%</w:t>
            </w:r>
          </w:p>
        </w:tc>
        <w:tc>
          <w:tcPr>
            <w:tcW w:w="1900" w:type="dxa"/>
            <w:vAlign w:val="bottom"/>
          </w:tcPr>
          <w:p>
            <w:pPr>
              <w:jc w:val="center"/>
              <w:ind w:right="137"/>
              <w:spacing w:after="0"/>
              <w:rPr>
                <w:sz w:val="20"/>
                <w:szCs w:val="20"/>
                <w:color w:val="auto"/>
              </w:rPr>
            </w:pPr>
            <w:r>
              <w:rPr>
                <w:rFonts w:ascii="Arial" w:cs="Arial" w:eastAsia="Arial" w:hAnsi="Arial"/>
                <w:sz w:val="13"/>
                <w:szCs w:val="13"/>
                <w:b w:val="1"/>
                <w:bCs w:val="1"/>
                <w:color w:val="FFFFFF"/>
                <w:w w:val="99"/>
              </w:rPr>
              <w:t>17%</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6797675" cy="5829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797675" cy="582930"/>
                    </a:xfrm>
                    <a:prstGeom prst="rect">
                      <a:avLst/>
                    </a:prstGeom>
                    <a:noFill/>
                  </pic:spPr>
                </pic:pic>
              </a:graphicData>
            </a:graphic>
          </wp:anchor>
        </w:drawing>
      </w:r>
    </w:p>
    <w:p>
      <w:pPr>
        <w:spacing w:after="0" w:line="14"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1800" w:type="dxa"/>
            <w:vAlign w:val="bottom"/>
          </w:tcPr>
          <w:p>
            <w:pPr>
              <w:spacing w:after="0"/>
              <w:rPr>
                <w:sz w:val="20"/>
                <w:szCs w:val="20"/>
                <w:color w:val="auto"/>
              </w:rPr>
            </w:pPr>
            <w:r>
              <w:rPr>
                <w:rFonts w:ascii="Arial" w:cs="Arial" w:eastAsia="Arial" w:hAnsi="Arial"/>
                <w:sz w:val="16"/>
                <w:szCs w:val="16"/>
                <w:color w:val="auto"/>
              </w:rPr>
              <w:t>Base Salary</w:t>
            </w:r>
          </w:p>
        </w:tc>
        <w:tc>
          <w:tcPr>
            <w:tcW w:w="1800" w:type="dxa"/>
            <w:vAlign w:val="bottom"/>
          </w:tcPr>
          <w:p>
            <w:pPr>
              <w:spacing w:after="0"/>
              <w:rPr>
                <w:sz w:val="17"/>
                <w:szCs w:val="17"/>
                <w:color w:val="auto"/>
              </w:rPr>
            </w:pPr>
          </w:p>
        </w:tc>
        <w:tc>
          <w:tcPr>
            <w:tcW w:w="3420" w:type="dxa"/>
            <w:vAlign w:val="bottom"/>
          </w:tcPr>
          <w:p>
            <w:pPr>
              <w:ind w:left="1480"/>
              <w:spacing w:after="0"/>
              <w:rPr>
                <w:sz w:val="20"/>
                <w:szCs w:val="20"/>
                <w:color w:val="auto"/>
              </w:rPr>
            </w:pPr>
            <w:r>
              <w:rPr>
                <w:rFonts w:ascii="Arial" w:cs="Arial" w:eastAsia="Arial" w:hAnsi="Arial"/>
                <w:sz w:val="16"/>
                <w:szCs w:val="16"/>
                <w:color w:val="auto"/>
              </w:rPr>
              <w:t>Compensate equitably and</w:t>
            </w:r>
          </w:p>
        </w:tc>
      </w:tr>
      <w:tr>
        <w:trPr>
          <w:trHeight w:val="215"/>
        </w:trPr>
        <w:tc>
          <w:tcPr>
            <w:tcW w:w="1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20" w:type="dxa"/>
            <w:vAlign w:val="bottom"/>
          </w:tcPr>
          <w:p>
            <w:pPr>
              <w:ind w:left="1480"/>
              <w:spacing w:after="0"/>
              <w:rPr>
                <w:sz w:val="20"/>
                <w:szCs w:val="20"/>
                <w:color w:val="auto"/>
              </w:rPr>
            </w:pPr>
            <w:r>
              <w:rPr>
                <w:rFonts w:ascii="Arial" w:cs="Arial" w:eastAsia="Arial" w:hAnsi="Arial"/>
                <w:sz w:val="16"/>
                <w:szCs w:val="16"/>
                <w:color w:val="auto"/>
              </w:rPr>
              <w:t>competitively</w:t>
            </w:r>
          </w:p>
        </w:tc>
      </w:tr>
      <w:tr>
        <w:trPr>
          <w:trHeight w:val="561"/>
        </w:trPr>
        <w:tc>
          <w:tcPr>
            <w:tcW w:w="1800" w:type="dxa"/>
            <w:vAlign w:val="bottom"/>
          </w:tcPr>
          <w:p>
            <w:pPr>
              <w:spacing w:after="0"/>
              <w:rPr>
                <w:sz w:val="20"/>
                <w:szCs w:val="20"/>
                <w:color w:val="auto"/>
              </w:rPr>
            </w:pPr>
            <w:r>
              <w:rPr>
                <w:rFonts w:ascii="Arial" w:cs="Arial" w:eastAsia="Arial" w:hAnsi="Arial"/>
                <w:sz w:val="13"/>
                <w:szCs w:val="13"/>
                <w:b w:val="1"/>
                <w:bCs w:val="1"/>
                <w:color w:val="FFFFFF"/>
              </w:rPr>
              <w:t>Variable</w:t>
            </w:r>
          </w:p>
        </w:tc>
        <w:tc>
          <w:tcPr>
            <w:tcW w:w="1800" w:type="dxa"/>
            <w:vAlign w:val="bottom"/>
          </w:tcPr>
          <w:p>
            <w:pPr>
              <w:jc w:val="right"/>
              <w:ind w:right="557"/>
              <w:spacing w:after="0"/>
              <w:rPr>
                <w:sz w:val="20"/>
                <w:szCs w:val="20"/>
                <w:color w:val="auto"/>
              </w:rPr>
            </w:pPr>
            <w:r>
              <w:rPr>
                <w:rFonts w:ascii="Arial" w:cs="Arial" w:eastAsia="Arial" w:hAnsi="Arial"/>
                <w:sz w:val="13"/>
                <w:szCs w:val="13"/>
                <w:b w:val="1"/>
                <w:bCs w:val="1"/>
                <w:color w:val="FFFFFF"/>
              </w:rPr>
              <w:t>92%</w:t>
            </w:r>
          </w:p>
        </w:tc>
        <w:tc>
          <w:tcPr>
            <w:tcW w:w="3420" w:type="dxa"/>
            <w:vAlign w:val="bottom"/>
          </w:tcPr>
          <w:p>
            <w:pPr>
              <w:jc w:val="right"/>
              <w:ind w:right="2485"/>
              <w:spacing w:after="0"/>
              <w:rPr>
                <w:sz w:val="20"/>
                <w:szCs w:val="20"/>
                <w:color w:val="auto"/>
              </w:rPr>
            </w:pPr>
            <w:r>
              <w:rPr>
                <w:rFonts w:ascii="Arial" w:cs="Arial" w:eastAsia="Arial" w:hAnsi="Arial"/>
                <w:sz w:val="13"/>
                <w:szCs w:val="13"/>
                <w:b w:val="1"/>
                <w:bCs w:val="1"/>
                <w:color w:val="FFFFFF"/>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6797675" cy="1371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79767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jc w:val="center"/>
        <w:ind w:right="441"/>
        <w:spacing w:after="0"/>
        <w:rPr>
          <w:sz w:val="20"/>
          <w:szCs w:val="20"/>
          <w:color w:val="auto"/>
        </w:rPr>
      </w:pPr>
      <w:r>
        <w:rPr>
          <w:rFonts w:ascii="Arial" w:cs="Arial" w:eastAsia="Arial" w:hAnsi="Arial"/>
          <w:sz w:val="13"/>
          <w:szCs w:val="13"/>
          <w:b w:val="1"/>
          <w:bCs w:val="1"/>
          <w:color w:val="auto"/>
        </w:rPr>
        <w:t>Key Characteristics</w:t>
      </w:r>
    </w:p>
    <w:p>
      <w:pPr>
        <w:spacing w:after="0" w:line="340" w:lineRule="exact"/>
        <w:rPr>
          <w:sz w:val="20"/>
          <w:szCs w:val="20"/>
          <w:color w:val="auto"/>
        </w:rPr>
      </w:pPr>
    </w:p>
    <w:p>
      <w:pPr>
        <w:jc w:val="both"/>
        <w:ind w:left="199" w:right="640" w:hanging="199"/>
        <w:spacing w:after="0" w:line="266" w:lineRule="auto"/>
        <w:tabs>
          <w:tab w:leader="none" w:pos="142" w:val="left"/>
        </w:tabs>
        <w:numPr>
          <w:ilvl w:val="0"/>
          <w:numId w:val="108"/>
        </w:numPr>
        <w:rPr>
          <w:rFonts w:ascii="Arial" w:cs="Arial" w:eastAsia="Arial" w:hAnsi="Arial"/>
          <w:sz w:val="16"/>
          <w:szCs w:val="16"/>
          <w:b w:val="1"/>
          <w:bCs w:val="1"/>
          <w:color w:val="29378D"/>
        </w:rPr>
      </w:pPr>
      <w:r>
        <w:rPr>
          <w:rFonts w:ascii="Arial" w:cs="Arial" w:eastAsia="Arial" w:hAnsi="Arial"/>
          <w:sz w:val="16"/>
          <w:szCs w:val="16"/>
          <w:color w:val="auto"/>
        </w:rPr>
        <w:t>Determined by level of responsibility, competitive market pay assessment and individual performance</w:t>
      </w:r>
    </w:p>
    <w:p>
      <w:pPr>
        <w:spacing w:after="0" w:line="333" w:lineRule="exact"/>
        <w:rPr>
          <w:sz w:val="20"/>
          <w:szCs w:val="20"/>
          <w:color w:val="auto"/>
        </w:rPr>
      </w:pPr>
    </w:p>
    <w:p>
      <w:pPr>
        <w:sectPr>
          <w:pgSz w:w="11900" w:h="16838" w:orient="portrait"/>
          <w:cols w:equalWidth="0" w:num="2">
            <w:col w:w="7160" w:space="561"/>
            <w:col w:w="3419"/>
          </w:cols>
          <w:pgMar w:left="320" w:top="238" w:right="4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720" w:type="dxa"/>
            <w:vAlign w:val="bottom"/>
            <w:vMerge w:val="restart"/>
          </w:tcPr>
          <w:p>
            <w:pPr>
              <w:ind w:left="140"/>
              <w:spacing w:after="0"/>
              <w:rPr>
                <w:sz w:val="20"/>
                <w:szCs w:val="20"/>
                <w:color w:val="auto"/>
              </w:rPr>
            </w:pPr>
            <w:r>
              <w:rPr>
                <w:rFonts w:ascii="Arial" w:cs="Arial" w:eastAsia="Arial" w:hAnsi="Arial"/>
                <w:sz w:val="16"/>
                <w:szCs w:val="16"/>
                <w:color w:val="auto"/>
              </w:rPr>
              <w:t>Annual Incentive Plan (AIP)</w:t>
            </w:r>
          </w:p>
        </w:tc>
        <w:tc>
          <w:tcPr>
            <w:tcW w:w="4100" w:type="dxa"/>
            <w:vAlign w:val="bottom"/>
            <w:gridSpan w:val="2"/>
          </w:tcPr>
          <w:p>
            <w:pPr>
              <w:ind w:left="1500"/>
              <w:spacing w:after="0"/>
              <w:rPr>
                <w:sz w:val="20"/>
                <w:szCs w:val="20"/>
                <w:color w:val="auto"/>
              </w:rPr>
            </w:pPr>
            <w:r>
              <w:rPr>
                <w:rFonts w:ascii="Arial" w:cs="Arial" w:eastAsia="Arial" w:hAnsi="Arial"/>
                <w:sz w:val="16"/>
                <w:szCs w:val="16"/>
                <w:color w:val="auto"/>
              </w:rPr>
              <w:t xml:space="preserve">Motivate and reward achievement </w:t>
            </w:r>
            <w:r>
              <w:rPr>
                <w:rFonts w:ascii="Arial" w:cs="Arial" w:eastAsia="Arial" w:hAnsi="Arial"/>
                <w:sz w:val="16"/>
                <w:szCs w:val="16"/>
                <w:b w:val="1"/>
                <w:bCs w:val="1"/>
                <w:color w:val="29378D"/>
              </w:rPr>
              <w:t>•</w:t>
            </w:r>
          </w:p>
        </w:tc>
        <w:tc>
          <w:tcPr>
            <w:tcW w:w="2900" w:type="dxa"/>
            <w:vAlign w:val="bottom"/>
            <w:gridSpan w:val="2"/>
          </w:tcPr>
          <w:p>
            <w:pPr>
              <w:ind w:left="40"/>
              <w:spacing w:after="0"/>
              <w:rPr>
                <w:sz w:val="20"/>
                <w:szCs w:val="20"/>
                <w:color w:val="auto"/>
              </w:rPr>
            </w:pPr>
            <w:r>
              <w:rPr>
                <w:rFonts w:ascii="Arial" w:cs="Arial" w:eastAsia="Arial" w:hAnsi="Arial"/>
                <w:sz w:val="16"/>
                <w:szCs w:val="16"/>
                <w:color w:val="auto"/>
              </w:rPr>
              <w:t>Financial Metrics</w:t>
            </w:r>
          </w:p>
        </w:tc>
        <w:tc>
          <w:tcPr>
            <w:tcW w:w="0" w:type="dxa"/>
            <w:vAlign w:val="bottom"/>
          </w:tcPr>
          <w:p>
            <w:pPr>
              <w:spacing w:after="0"/>
              <w:rPr>
                <w:sz w:val="1"/>
                <w:szCs w:val="1"/>
                <w:color w:val="auto"/>
              </w:rPr>
            </w:pPr>
          </w:p>
        </w:tc>
      </w:tr>
      <w:tr>
        <w:trPr>
          <w:trHeight w:val="120"/>
        </w:trPr>
        <w:tc>
          <w:tcPr>
            <w:tcW w:w="3720" w:type="dxa"/>
            <w:vAlign w:val="bottom"/>
            <w:vMerge w:val="continue"/>
          </w:tcPr>
          <w:p>
            <w:pPr>
              <w:spacing w:after="0"/>
              <w:rPr>
                <w:sz w:val="10"/>
                <w:szCs w:val="10"/>
                <w:color w:val="auto"/>
              </w:rPr>
            </w:pPr>
          </w:p>
        </w:tc>
        <w:tc>
          <w:tcPr>
            <w:tcW w:w="3960" w:type="dxa"/>
            <w:vAlign w:val="bottom"/>
            <w:vMerge w:val="restart"/>
          </w:tcPr>
          <w:p>
            <w:pPr>
              <w:ind w:left="1500"/>
              <w:spacing w:after="0"/>
              <w:rPr>
                <w:sz w:val="20"/>
                <w:szCs w:val="20"/>
                <w:color w:val="auto"/>
              </w:rPr>
            </w:pPr>
            <w:r>
              <w:rPr>
                <w:rFonts w:ascii="Arial" w:cs="Arial" w:eastAsia="Arial" w:hAnsi="Arial"/>
                <w:sz w:val="16"/>
                <w:szCs w:val="16"/>
                <w:color w:val="auto"/>
              </w:rPr>
              <w:t>of annual business objectives</w:t>
            </w:r>
          </w:p>
        </w:tc>
        <w:tc>
          <w:tcPr>
            <w:tcW w:w="140" w:type="dxa"/>
            <w:vAlign w:val="bottom"/>
          </w:tcPr>
          <w:p>
            <w:pPr>
              <w:spacing w:after="0"/>
              <w:rPr>
                <w:sz w:val="10"/>
                <w:szCs w:val="10"/>
                <w:color w:val="auto"/>
              </w:rPr>
            </w:pPr>
          </w:p>
        </w:tc>
        <w:tc>
          <w:tcPr>
            <w:tcW w:w="200" w:type="dxa"/>
            <w:vAlign w:val="bottom"/>
            <w:vMerge w:val="restart"/>
          </w:tcPr>
          <w:p>
            <w:pPr>
              <w:ind w:left="100"/>
              <w:spacing w:after="0"/>
              <w:rPr>
                <w:sz w:val="20"/>
                <w:szCs w:val="20"/>
                <w:color w:val="auto"/>
              </w:rPr>
            </w:pPr>
            <w:r>
              <w:rPr>
                <w:rFonts w:ascii="Arial" w:cs="Arial" w:eastAsia="Arial" w:hAnsi="Arial"/>
                <w:sz w:val="16"/>
                <w:szCs w:val="16"/>
                <w:b w:val="1"/>
                <w:bCs w:val="1"/>
                <w:color w:val="29378D"/>
              </w:rPr>
              <w:t>•</w:t>
            </w:r>
          </w:p>
        </w:tc>
        <w:tc>
          <w:tcPr>
            <w:tcW w:w="2700" w:type="dxa"/>
            <w:vAlign w:val="bottom"/>
            <w:vMerge w:val="restart"/>
          </w:tcPr>
          <w:p>
            <w:pPr>
              <w:ind w:left="40"/>
              <w:spacing w:after="0"/>
              <w:rPr>
                <w:sz w:val="20"/>
                <w:szCs w:val="20"/>
                <w:color w:val="auto"/>
              </w:rPr>
            </w:pPr>
            <w:r>
              <w:rPr>
                <w:rFonts w:ascii="Arial" w:cs="Arial" w:eastAsia="Arial" w:hAnsi="Arial"/>
                <w:sz w:val="16"/>
                <w:szCs w:val="16"/>
                <w:color w:val="auto"/>
              </w:rPr>
              <w:t>35% Adjusted Cash Flow from</w:t>
            </w:r>
          </w:p>
        </w:tc>
        <w:tc>
          <w:tcPr>
            <w:tcW w:w="0" w:type="dxa"/>
            <w:vAlign w:val="bottom"/>
          </w:tcPr>
          <w:p>
            <w:pPr>
              <w:spacing w:after="0"/>
              <w:rPr>
                <w:sz w:val="1"/>
                <w:szCs w:val="1"/>
                <w:color w:val="auto"/>
              </w:rPr>
            </w:pPr>
          </w:p>
        </w:tc>
      </w:tr>
      <w:tr>
        <w:trPr>
          <w:trHeight w:val="95"/>
        </w:trPr>
        <w:tc>
          <w:tcPr>
            <w:tcW w:w="3720" w:type="dxa"/>
            <w:vAlign w:val="bottom"/>
          </w:tcPr>
          <w:p>
            <w:pPr>
              <w:spacing w:after="0"/>
              <w:rPr>
                <w:sz w:val="8"/>
                <w:szCs w:val="8"/>
                <w:color w:val="auto"/>
              </w:rPr>
            </w:pPr>
          </w:p>
        </w:tc>
        <w:tc>
          <w:tcPr>
            <w:tcW w:w="39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2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37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2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ind w:left="80"/>
              <w:spacing w:after="0"/>
              <w:rPr>
                <w:sz w:val="20"/>
                <w:szCs w:val="20"/>
                <w:color w:val="auto"/>
              </w:rPr>
            </w:pPr>
            <w:r>
              <w:rPr>
                <w:rFonts w:ascii="Arial" w:cs="Arial" w:eastAsia="Arial" w:hAnsi="Arial"/>
                <w:sz w:val="16"/>
                <w:szCs w:val="16"/>
                <w:color w:val="auto"/>
              </w:rPr>
              <w:t>Operations*</w:t>
            </w:r>
          </w:p>
        </w:tc>
        <w:tc>
          <w:tcPr>
            <w:tcW w:w="0" w:type="dxa"/>
            <w:vAlign w:val="bottom"/>
          </w:tcPr>
          <w:p>
            <w:pPr>
              <w:spacing w:after="0"/>
              <w:rPr>
                <w:sz w:val="1"/>
                <w:szCs w:val="1"/>
                <w:color w:val="auto"/>
              </w:rPr>
            </w:pPr>
          </w:p>
        </w:tc>
      </w:tr>
      <w:tr>
        <w:trPr>
          <w:trHeight w:val="244"/>
        </w:trPr>
        <w:tc>
          <w:tcPr>
            <w:tcW w:w="37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2700" w:type="dxa"/>
            <w:vAlign w:val="bottom"/>
          </w:tcPr>
          <w:p>
            <w:pPr>
              <w:ind w:left="40"/>
              <w:spacing w:after="0"/>
              <w:rPr>
                <w:sz w:val="20"/>
                <w:szCs w:val="20"/>
                <w:color w:val="auto"/>
              </w:rPr>
            </w:pPr>
            <w:r>
              <w:rPr>
                <w:rFonts w:ascii="Arial" w:cs="Arial" w:eastAsia="Arial" w:hAnsi="Arial"/>
                <w:sz w:val="16"/>
                <w:szCs w:val="16"/>
                <w:color w:val="auto"/>
              </w:rPr>
              <w:t>35% Adjusted Segment Operating</w:t>
            </w: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ind w:left="80"/>
              <w:spacing w:after="0"/>
              <w:rPr>
                <w:sz w:val="20"/>
                <w:szCs w:val="20"/>
                <w:color w:val="auto"/>
              </w:rPr>
            </w:pPr>
            <w:r>
              <w:rPr>
                <w:rFonts w:ascii="Arial" w:cs="Arial" w:eastAsia="Arial" w:hAnsi="Arial"/>
                <w:sz w:val="16"/>
                <w:szCs w:val="16"/>
                <w:color w:val="auto"/>
              </w:rPr>
              <w:t>Income* Growth</w:t>
            </w:r>
          </w:p>
        </w:tc>
        <w:tc>
          <w:tcPr>
            <w:tcW w:w="0" w:type="dxa"/>
            <w:vAlign w:val="bottom"/>
          </w:tcPr>
          <w:p>
            <w:pPr>
              <w:spacing w:after="0"/>
              <w:rPr>
                <w:sz w:val="1"/>
                <w:szCs w:val="1"/>
                <w:color w:val="auto"/>
              </w:rPr>
            </w:pPr>
          </w:p>
        </w:tc>
      </w:tr>
      <w:tr>
        <w:trPr>
          <w:trHeight w:val="258"/>
        </w:trPr>
        <w:tc>
          <w:tcPr>
            <w:tcW w:w="37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ind w:left="100"/>
              <w:spacing w:after="0"/>
              <w:rPr>
                <w:sz w:val="20"/>
                <w:szCs w:val="20"/>
                <w:color w:val="auto"/>
              </w:rPr>
            </w:pPr>
            <w:r>
              <w:rPr>
                <w:rFonts w:ascii="Arial" w:cs="Arial" w:eastAsia="Arial" w:hAnsi="Arial"/>
                <w:sz w:val="16"/>
                <w:szCs w:val="16"/>
                <w:b w:val="1"/>
                <w:bCs w:val="1"/>
                <w:color w:val="29378D"/>
              </w:rPr>
              <w:t>•</w:t>
            </w:r>
          </w:p>
        </w:tc>
        <w:tc>
          <w:tcPr>
            <w:tcW w:w="2700" w:type="dxa"/>
            <w:vAlign w:val="bottom"/>
          </w:tcPr>
          <w:p>
            <w:pPr>
              <w:ind w:left="40"/>
              <w:spacing w:after="0"/>
              <w:rPr>
                <w:sz w:val="20"/>
                <w:szCs w:val="20"/>
                <w:color w:val="auto"/>
              </w:rPr>
            </w:pPr>
            <w:r>
              <w:rPr>
                <w:rFonts w:ascii="Arial" w:cs="Arial" w:eastAsia="Arial" w:hAnsi="Arial"/>
                <w:sz w:val="16"/>
                <w:szCs w:val="16"/>
                <w:color w:val="auto"/>
              </w:rPr>
              <w:t>20% Pension-Adjusted Operating</w:t>
            </w:r>
          </w:p>
        </w:tc>
        <w:tc>
          <w:tcPr>
            <w:tcW w:w="0" w:type="dxa"/>
            <w:vAlign w:val="bottom"/>
          </w:tcPr>
          <w:p>
            <w:pPr>
              <w:spacing w:after="0"/>
              <w:rPr>
                <w:sz w:val="1"/>
                <w:szCs w:val="1"/>
                <w:color w:val="auto"/>
              </w:rPr>
            </w:pPr>
          </w:p>
        </w:tc>
      </w:tr>
      <w:tr>
        <w:trPr>
          <w:trHeight w:val="215"/>
        </w:trPr>
        <w:tc>
          <w:tcPr>
            <w:tcW w:w="37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ind w:left="80"/>
              <w:spacing w:after="0"/>
              <w:rPr>
                <w:sz w:val="20"/>
                <w:szCs w:val="20"/>
                <w:color w:val="auto"/>
              </w:rPr>
            </w:pPr>
            <w:r>
              <w:rPr>
                <w:rFonts w:ascii="Arial" w:cs="Arial" w:eastAsia="Arial" w:hAnsi="Arial"/>
                <w:sz w:val="16"/>
                <w:szCs w:val="16"/>
                <w:color w:val="auto"/>
              </w:rPr>
              <w:t>Margin (OM) Rate*</w:t>
            </w:r>
          </w:p>
        </w:tc>
        <w:tc>
          <w:tcPr>
            <w:tcW w:w="0" w:type="dxa"/>
            <w:vAlign w:val="bottom"/>
          </w:tcPr>
          <w:p>
            <w:pPr>
              <w:spacing w:after="0"/>
              <w:rPr>
                <w:sz w:val="1"/>
                <w:szCs w:val="1"/>
                <w:color w:val="auto"/>
              </w:rPr>
            </w:pPr>
          </w:p>
        </w:tc>
      </w:tr>
      <w:tr>
        <w:trPr>
          <w:trHeight w:val="268"/>
        </w:trPr>
        <w:tc>
          <w:tcPr>
            <w:tcW w:w="3720" w:type="dxa"/>
            <w:vAlign w:val="bottom"/>
            <w:tcBorders>
              <w:bottom w:val="single" w:sz="8" w:color="BCBEC0"/>
            </w:tcBorders>
          </w:tcPr>
          <w:p>
            <w:pPr>
              <w:spacing w:after="0"/>
              <w:rPr>
                <w:sz w:val="23"/>
                <w:szCs w:val="23"/>
                <w:color w:val="auto"/>
              </w:rPr>
            </w:pPr>
          </w:p>
        </w:tc>
        <w:tc>
          <w:tcPr>
            <w:tcW w:w="3960" w:type="dxa"/>
            <w:vAlign w:val="bottom"/>
            <w:tcBorders>
              <w:bottom w:val="single" w:sz="8" w:color="BCBEC0"/>
            </w:tcBorders>
          </w:tcPr>
          <w:p>
            <w:pPr>
              <w:spacing w:after="0"/>
              <w:rPr>
                <w:sz w:val="23"/>
                <w:szCs w:val="23"/>
                <w:color w:val="auto"/>
              </w:rPr>
            </w:pPr>
          </w:p>
        </w:tc>
        <w:tc>
          <w:tcPr>
            <w:tcW w:w="140" w:type="dxa"/>
            <w:vAlign w:val="bottom"/>
            <w:tcBorders>
              <w:bottom w:val="single" w:sz="8" w:color="BCBEC0"/>
            </w:tcBorders>
          </w:tcPr>
          <w:p>
            <w:pPr>
              <w:spacing w:after="0"/>
              <w:rPr>
                <w:sz w:val="23"/>
                <w:szCs w:val="23"/>
                <w:color w:val="auto"/>
              </w:rPr>
            </w:pPr>
          </w:p>
        </w:tc>
        <w:tc>
          <w:tcPr>
            <w:tcW w:w="200" w:type="dxa"/>
            <w:vAlign w:val="bottom"/>
            <w:tcBorders>
              <w:bottom w:val="single" w:sz="8" w:color="BCBEC0"/>
            </w:tcBorders>
          </w:tcPr>
          <w:p>
            <w:pPr>
              <w:ind w:left="100"/>
              <w:spacing w:after="0"/>
              <w:rPr>
                <w:sz w:val="20"/>
                <w:szCs w:val="20"/>
                <w:color w:val="auto"/>
              </w:rPr>
            </w:pPr>
            <w:r>
              <w:rPr>
                <w:rFonts w:ascii="Arial" w:cs="Arial" w:eastAsia="Arial" w:hAnsi="Arial"/>
                <w:sz w:val="16"/>
                <w:szCs w:val="16"/>
                <w:b w:val="1"/>
                <w:bCs w:val="1"/>
                <w:color w:val="29378D"/>
              </w:rPr>
              <w:t>•</w:t>
            </w:r>
          </w:p>
        </w:tc>
        <w:tc>
          <w:tcPr>
            <w:tcW w:w="2700" w:type="dxa"/>
            <w:vAlign w:val="bottom"/>
            <w:tcBorders>
              <w:bottom w:val="single" w:sz="8" w:color="BCBEC0"/>
            </w:tcBorders>
          </w:tcPr>
          <w:p>
            <w:pPr>
              <w:ind w:left="40"/>
              <w:spacing w:after="0"/>
              <w:rPr>
                <w:sz w:val="20"/>
                <w:szCs w:val="20"/>
                <w:color w:val="auto"/>
              </w:rPr>
            </w:pPr>
            <w:r>
              <w:rPr>
                <w:rFonts w:ascii="Arial" w:cs="Arial" w:eastAsia="Arial" w:hAnsi="Arial"/>
                <w:sz w:val="16"/>
                <w:szCs w:val="16"/>
                <w:color w:val="auto"/>
              </w:rPr>
              <w:t>10% Non-financial Metrics</w:t>
            </w:r>
          </w:p>
        </w:tc>
        <w:tc>
          <w:tcPr>
            <w:tcW w:w="0" w:type="dxa"/>
            <w:vAlign w:val="bottom"/>
          </w:tcPr>
          <w:p>
            <w:pPr>
              <w:spacing w:after="0"/>
              <w:rPr>
                <w:sz w:val="1"/>
                <w:szCs w:val="1"/>
                <w:color w:val="auto"/>
              </w:rPr>
            </w:pPr>
          </w:p>
        </w:tc>
      </w:tr>
      <w:tr>
        <w:trPr>
          <w:trHeight w:val="213"/>
        </w:trPr>
        <w:tc>
          <w:tcPr>
            <w:tcW w:w="3720" w:type="dxa"/>
            <w:vAlign w:val="bottom"/>
          </w:tcPr>
          <w:p>
            <w:pPr>
              <w:ind w:left="140"/>
              <w:spacing w:after="0"/>
              <w:rPr>
                <w:sz w:val="20"/>
                <w:szCs w:val="20"/>
                <w:color w:val="auto"/>
              </w:rPr>
            </w:pPr>
            <w:r>
              <w:rPr>
                <w:rFonts w:ascii="Arial" w:cs="Arial" w:eastAsia="Arial" w:hAnsi="Arial"/>
                <w:sz w:val="16"/>
                <w:szCs w:val="16"/>
                <w:color w:val="auto"/>
              </w:rPr>
              <w:t>Long-Term Incentive Plan</w:t>
            </w:r>
          </w:p>
        </w:tc>
        <w:tc>
          <w:tcPr>
            <w:tcW w:w="3960" w:type="dxa"/>
            <w:vAlign w:val="bottom"/>
            <w:vMerge w:val="restart"/>
          </w:tcPr>
          <w:p>
            <w:pPr>
              <w:ind w:left="1500"/>
              <w:spacing w:after="0"/>
              <w:rPr>
                <w:sz w:val="20"/>
                <w:szCs w:val="20"/>
                <w:color w:val="auto"/>
              </w:rPr>
            </w:pPr>
            <w:r>
              <w:rPr>
                <w:rFonts w:ascii="Arial" w:cs="Arial" w:eastAsia="Arial" w:hAnsi="Arial"/>
                <w:sz w:val="16"/>
                <w:szCs w:val="16"/>
                <w:color w:val="auto"/>
              </w:rPr>
              <w:t>Tie our executive officers’</w:t>
            </w:r>
          </w:p>
        </w:tc>
        <w:tc>
          <w:tcPr>
            <w:tcW w:w="140" w:type="dxa"/>
            <w:vAlign w:val="bottom"/>
          </w:tcPr>
          <w:p>
            <w:pPr>
              <w:ind w:left="40"/>
              <w:spacing w:after="0"/>
              <w:rPr>
                <w:sz w:val="20"/>
                <w:szCs w:val="20"/>
                <w:color w:val="auto"/>
              </w:rPr>
            </w:pPr>
            <w:r>
              <w:rPr>
                <w:rFonts w:ascii="Arial" w:cs="Arial" w:eastAsia="Arial" w:hAnsi="Arial"/>
                <w:sz w:val="16"/>
                <w:szCs w:val="16"/>
                <w:b w:val="1"/>
                <w:bCs w:val="1"/>
                <w:color w:val="29378D"/>
              </w:rPr>
              <w:t>•</w:t>
            </w:r>
          </w:p>
        </w:tc>
        <w:tc>
          <w:tcPr>
            <w:tcW w:w="2900" w:type="dxa"/>
            <w:vAlign w:val="bottom"/>
            <w:gridSpan w:val="2"/>
          </w:tcPr>
          <w:p>
            <w:pPr>
              <w:ind w:left="40"/>
              <w:spacing w:after="0"/>
              <w:rPr>
                <w:sz w:val="20"/>
                <w:szCs w:val="20"/>
                <w:color w:val="auto"/>
              </w:rPr>
            </w:pPr>
            <w:r>
              <w:rPr>
                <w:rFonts w:ascii="Arial" w:cs="Arial" w:eastAsia="Arial" w:hAnsi="Arial"/>
                <w:sz w:val="16"/>
                <w:szCs w:val="16"/>
                <w:color w:val="auto"/>
              </w:rPr>
              <w:t>30% of annual LTIP grant</w:t>
            </w:r>
          </w:p>
        </w:tc>
        <w:tc>
          <w:tcPr>
            <w:tcW w:w="0" w:type="dxa"/>
            <w:vAlign w:val="bottom"/>
          </w:tcPr>
          <w:p>
            <w:pPr>
              <w:spacing w:after="0"/>
              <w:rPr>
                <w:sz w:val="1"/>
                <w:szCs w:val="1"/>
                <w:color w:val="auto"/>
              </w:rPr>
            </w:pPr>
          </w:p>
        </w:tc>
      </w:tr>
      <w:tr>
        <w:trPr>
          <w:trHeight w:val="108"/>
        </w:trPr>
        <w:tc>
          <w:tcPr>
            <w:tcW w:w="3720" w:type="dxa"/>
            <w:vAlign w:val="bottom"/>
            <w:vMerge w:val="restart"/>
          </w:tcPr>
          <w:p>
            <w:pPr>
              <w:ind w:left="140"/>
              <w:spacing w:after="0"/>
              <w:rPr>
                <w:sz w:val="20"/>
                <w:szCs w:val="20"/>
                <w:color w:val="auto"/>
              </w:rPr>
            </w:pPr>
            <w:r>
              <w:rPr>
                <w:rFonts w:ascii="Arial" w:cs="Arial" w:eastAsia="Arial" w:hAnsi="Arial"/>
                <w:sz w:val="16"/>
                <w:szCs w:val="16"/>
                <w:color w:val="auto"/>
              </w:rPr>
              <w:t>(LTIP) Restricted Stock</w:t>
            </w:r>
          </w:p>
        </w:tc>
        <w:tc>
          <w:tcPr>
            <w:tcW w:w="3960" w:type="dxa"/>
            <w:vAlign w:val="bottom"/>
            <w:vMerge w:val="continue"/>
          </w:tcPr>
          <w:p>
            <w:pPr>
              <w:spacing w:after="0"/>
              <w:rPr>
                <w:sz w:val="9"/>
                <w:szCs w:val="9"/>
                <w:color w:val="auto"/>
              </w:rPr>
            </w:pPr>
          </w:p>
        </w:tc>
        <w:tc>
          <w:tcPr>
            <w:tcW w:w="140" w:type="dxa"/>
            <w:vAlign w:val="bottom"/>
            <w:vMerge w:val="restart"/>
          </w:tcPr>
          <w:p>
            <w:pPr>
              <w:ind w:left="40"/>
              <w:spacing w:after="0"/>
              <w:rPr>
                <w:sz w:val="20"/>
                <w:szCs w:val="20"/>
                <w:color w:val="auto"/>
              </w:rPr>
            </w:pPr>
            <w:r>
              <w:rPr>
                <w:rFonts w:ascii="Arial" w:cs="Arial" w:eastAsia="Arial" w:hAnsi="Arial"/>
                <w:sz w:val="16"/>
                <w:szCs w:val="16"/>
                <w:b w:val="1"/>
                <w:bCs w:val="1"/>
                <w:color w:val="29378D"/>
              </w:rPr>
              <w:t>•</w:t>
            </w:r>
          </w:p>
        </w:tc>
        <w:tc>
          <w:tcPr>
            <w:tcW w:w="2900" w:type="dxa"/>
            <w:vAlign w:val="bottom"/>
            <w:gridSpan w:val="2"/>
            <w:vMerge w:val="restart"/>
          </w:tcPr>
          <w:p>
            <w:pPr>
              <w:ind w:left="40"/>
              <w:spacing w:after="0"/>
              <w:rPr>
                <w:sz w:val="20"/>
                <w:szCs w:val="20"/>
                <w:color w:val="auto"/>
              </w:rPr>
            </w:pPr>
            <w:r>
              <w:rPr>
                <w:rFonts w:ascii="Arial" w:cs="Arial" w:eastAsia="Arial" w:hAnsi="Arial"/>
                <w:sz w:val="16"/>
                <w:szCs w:val="16"/>
                <w:color w:val="auto"/>
              </w:rPr>
              <w:t>Three-year cliff vesting</w:t>
            </w:r>
          </w:p>
        </w:tc>
        <w:tc>
          <w:tcPr>
            <w:tcW w:w="0" w:type="dxa"/>
            <w:vAlign w:val="bottom"/>
          </w:tcPr>
          <w:p>
            <w:pPr>
              <w:spacing w:after="0"/>
              <w:rPr>
                <w:sz w:val="1"/>
                <w:szCs w:val="1"/>
                <w:color w:val="auto"/>
              </w:rPr>
            </w:pPr>
          </w:p>
        </w:tc>
      </w:tr>
      <w:tr>
        <w:trPr>
          <w:trHeight w:val="81"/>
        </w:trPr>
        <w:tc>
          <w:tcPr>
            <w:tcW w:w="3720" w:type="dxa"/>
            <w:vAlign w:val="bottom"/>
            <w:vMerge w:val="continue"/>
          </w:tcPr>
          <w:p>
            <w:pPr>
              <w:spacing w:after="0"/>
              <w:rPr>
                <w:sz w:val="7"/>
                <w:szCs w:val="7"/>
                <w:color w:val="auto"/>
              </w:rPr>
            </w:pPr>
          </w:p>
        </w:tc>
        <w:tc>
          <w:tcPr>
            <w:tcW w:w="3960" w:type="dxa"/>
            <w:vAlign w:val="bottom"/>
            <w:vMerge w:val="restart"/>
          </w:tcPr>
          <w:p>
            <w:pPr>
              <w:ind w:left="1500"/>
              <w:spacing w:after="0"/>
              <w:rPr>
                <w:sz w:val="20"/>
                <w:szCs w:val="20"/>
                <w:color w:val="auto"/>
              </w:rPr>
            </w:pPr>
            <w:r>
              <w:rPr>
                <w:rFonts w:ascii="Arial" w:cs="Arial" w:eastAsia="Arial" w:hAnsi="Arial"/>
                <w:sz w:val="16"/>
                <w:szCs w:val="16"/>
                <w:color w:val="auto"/>
              </w:rPr>
              <w:t>priorities to shareholders’ and</w:t>
            </w:r>
          </w:p>
        </w:tc>
        <w:tc>
          <w:tcPr>
            <w:tcW w:w="140" w:type="dxa"/>
            <w:vAlign w:val="bottom"/>
            <w:vMerge w:val="continue"/>
          </w:tcPr>
          <w:p>
            <w:pPr>
              <w:spacing w:after="0"/>
              <w:rPr>
                <w:sz w:val="7"/>
                <w:szCs w:val="7"/>
                <w:color w:val="auto"/>
              </w:rPr>
            </w:pPr>
          </w:p>
        </w:tc>
        <w:tc>
          <w:tcPr>
            <w:tcW w:w="2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720" w:type="dxa"/>
            <w:vAlign w:val="bottom"/>
            <w:vMerge w:val="restart"/>
          </w:tcPr>
          <w:p>
            <w:pPr>
              <w:ind w:left="140"/>
              <w:spacing w:after="0"/>
              <w:rPr>
                <w:sz w:val="20"/>
                <w:szCs w:val="20"/>
                <w:color w:val="auto"/>
              </w:rPr>
            </w:pPr>
            <w:r>
              <w:rPr>
                <w:rFonts w:ascii="Arial" w:cs="Arial" w:eastAsia="Arial" w:hAnsi="Arial"/>
                <w:sz w:val="16"/>
                <w:szCs w:val="16"/>
                <w:color w:val="auto"/>
              </w:rPr>
              <w:t>Rights (RSRs)</w:t>
            </w:r>
          </w:p>
        </w:tc>
        <w:tc>
          <w:tcPr>
            <w:tcW w:w="396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720" w:type="dxa"/>
            <w:vAlign w:val="bottom"/>
            <w:vMerge w:val="continue"/>
          </w:tcPr>
          <w:p>
            <w:pPr>
              <w:spacing w:after="0"/>
              <w:rPr>
                <w:sz w:val="9"/>
                <w:szCs w:val="9"/>
                <w:color w:val="auto"/>
              </w:rPr>
            </w:pPr>
          </w:p>
        </w:tc>
        <w:tc>
          <w:tcPr>
            <w:tcW w:w="3960" w:type="dxa"/>
            <w:vAlign w:val="bottom"/>
            <w:vMerge w:val="restart"/>
          </w:tcPr>
          <w:p>
            <w:pPr>
              <w:ind w:left="1500"/>
              <w:spacing w:after="0"/>
              <w:rPr>
                <w:sz w:val="20"/>
                <w:szCs w:val="20"/>
                <w:color w:val="auto"/>
              </w:rPr>
            </w:pPr>
            <w:r>
              <w:rPr>
                <w:rFonts w:ascii="Arial" w:cs="Arial" w:eastAsia="Arial" w:hAnsi="Arial"/>
                <w:sz w:val="16"/>
                <w:szCs w:val="16"/>
                <w:color w:val="auto"/>
              </w:rPr>
              <w:t>retain executive talent</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3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720" w:type="dxa"/>
            <w:vAlign w:val="bottom"/>
            <w:tcBorders>
              <w:bottom w:val="single" w:sz="8" w:color="BCBEC0"/>
            </w:tcBorders>
          </w:tcPr>
          <w:p>
            <w:pPr>
              <w:spacing w:after="0"/>
              <w:rPr>
                <w:sz w:val="10"/>
                <w:szCs w:val="10"/>
                <w:color w:val="auto"/>
              </w:rPr>
            </w:pPr>
          </w:p>
        </w:tc>
        <w:tc>
          <w:tcPr>
            <w:tcW w:w="3960" w:type="dxa"/>
            <w:vAlign w:val="bottom"/>
            <w:tcBorders>
              <w:bottom w:val="single" w:sz="8" w:color="BCBEC0"/>
            </w:tcBorders>
          </w:tcPr>
          <w:p>
            <w:pPr>
              <w:spacing w:after="0"/>
              <w:rPr>
                <w:sz w:val="10"/>
                <w:szCs w:val="10"/>
                <w:color w:val="auto"/>
              </w:rPr>
            </w:pPr>
          </w:p>
        </w:tc>
        <w:tc>
          <w:tcPr>
            <w:tcW w:w="140" w:type="dxa"/>
            <w:vAlign w:val="bottom"/>
            <w:tcBorders>
              <w:bottom w:val="single" w:sz="8" w:color="BCBEC0"/>
            </w:tcBorders>
          </w:tcPr>
          <w:p>
            <w:pPr>
              <w:spacing w:after="0"/>
              <w:rPr>
                <w:sz w:val="10"/>
                <w:szCs w:val="10"/>
                <w:color w:val="auto"/>
              </w:rPr>
            </w:pPr>
          </w:p>
        </w:tc>
        <w:tc>
          <w:tcPr>
            <w:tcW w:w="2900" w:type="dxa"/>
            <w:vAlign w:val="bottom"/>
            <w:tcBorders>
              <w:bottom w:val="single" w:sz="8" w:color="BCBEC0"/>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3720" w:type="dxa"/>
            <w:vAlign w:val="bottom"/>
          </w:tcPr>
          <w:p>
            <w:pPr>
              <w:ind w:left="140"/>
              <w:spacing w:after="0"/>
              <w:rPr>
                <w:sz w:val="20"/>
                <w:szCs w:val="20"/>
                <w:color w:val="auto"/>
              </w:rPr>
            </w:pPr>
            <w:r>
              <w:rPr>
                <w:rFonts w:ascii="Arial" w:cs="Arial" w:eastAsia="Arial" w:hAnsi="Arial"/>
                <w:sz w:val="16"/>
                <w:szCs w:val="16"/>
                <w:color w:val="auto"/>
              </w:rPr>
              <w:t>LTIP Restricted Performance</w:t>
            </w:r>
          </w:p>
        </w:tc>
        <w:tc>
          <w:tcPr>
            <w:tcW w:w="3960" w:type="dxa"/>
            <w:vAlign w:val="bottom"/>
          </w:tcPr>
          <w:p>
            <w:pPr>
              <w:ind w:left="1500"/>
              <w:spacing w:after="0"/>
              <w:rPr>
                <w:sz w:val="20"/>
                <w:szCs w:val="20"/>
                <w:color w:val="auto"/>
              </w:rPr>
            </w:pPr>
            <w:r>
              <w:rPr>
                <w:rFonts w:ascii="Arial" w:cs="Arial" w:eastAsia="Arial" w:hAnsi="Arial"/>
                <w:sz w:val="16"/>
                <w:szCs w:val="16"/>
                <w:color w:val="auto"/>
              </w:rPr>
              <w:t>Link the interests of our executive</w:t>
            </w:r>
          </w:p>
        </w:tc>
        <w:tc>
          <w:tcPr>
            <w:tcW w:w="140" w:type="dxa"/>
            <w:vAlign w:val="bottom"/>
          </w:tcPr>
          <w:p>
            <w:pPr>
              <w:ind w:left="40"/>
              <w:spacing w:after="0"/>
              <w:rPr>
                <w:sz w:val="20"/>
                <w:szCs w:val="20"/>
                <w:color w:val="auto"/>
              </w:rPr>
            </w:pPr>
            <w:r>
              <w:rPr>
                <w:rFonts w:ascii="Arial" w:cs="Arial" w:eastAsia="Arial" w:hAnsi="Arial"/>
                <w:sz w:val="16"/>
                <w:szCs w:val="16"/>
                <w:b w:val="1"/>
                <w:bCs w:val="1"/>
                <w:color w:val="29378D"/>
              </w:rPr>
              <w:t>•</w:t>
            </w:r>
          </w:p>
        </w:tc>
        <w:tc>
          <w:tcPr>
            <w:tcW w:w="2900" w:type="dxa"/>
            <w:vAlign w:val="bottom"/>
            <w:gridSpan w:val="2"/>
          </w:tcPr>
          <w:p>
            <w:pPr>
              <w:ind w:left="40"/>
              <w:spacing w:after="0"/>
              <w:rPr>
                <w:sz w:val="20"/>
                <w:szCs w:val="20"/>
                <w:color w:val="auto"/>
              </w:rPr>
            </w:pPr>
            <w:r>
              <w:rPr>
                <w:rFonts w:ascii="Arial" w:cs="Arial" w:eastAsia="Arial" w:hAnsi="Arial"/>
                <w:sz w:val="16"/>
                <w:szCs w:val="16"/>
                <w:color w:val="auto"/>
              </w:rPr>
              <w:t>70% of annual LTIP grant</w:t>
            </w:r>
          </w:p>
        </w:tc>
        <w:tc>
          <w:tcPr>
            <w:tcW w:w="0" w:type="dxa"/>
            <w:vAlign w:val="bottom"/>
          </w:tcPr>
          <w:p>
            <w:pPr>
              <w:spacing w:after="0"/>
              <w:rPr>
                <w:sz w:val="1"/>
                <w:szCs w:val="1"/>
                <w:color w:val="auto"/>
              </w:rPr>
            </w:pPr>
          </w:p>
        </w:tc>
      </w:tr>
      <w:tr>
        <w:trPr>
          <w:trHeight w:val="230"/>
        </w:trPr>
        <w:tc>
          <w:tcPr>
            <w:tcW w:w="3720" w:type="dxa"/>
            <w:vAlign w:val="bottom"/>
          </w:tcPr>
          <w:p>
            <w:pPr>
              <w:ind w:left="140"/>
              <w:spacing w:after="0"/>
              <w:rPr>
                <w:sz w:val="20"/>
                <w:szCs w:val="20"/>
                <w:color w:val="auto"/>
              </w:rPr>
            </w:pPr>
            <w:r>
              <w:rPr>
                <w:rFonts w:ascii="Arial" w:cs="Arial" w:eastAsia="Arial" w:hAnsi="Arial"/>
                <w:sz w:val="16"/>
                <w:szCs w:val="16"/>
                <w:color w:val="auto"/>
              </w:rPr>
              <w:t>Stock Rights (RPSRs)</w:t>
            </w:r>
          </w:p>
        </w:tc>
        <w:tc>
          <w:tcPr>
            <w:tcW w:w="3960" w:type="dxa"/>
            <w:vAlign w:val="bottom"/>
          </w:tcPr>
          <w:p>
            <w:pPr>
              <w:ind w:left="1500"/>
              <w:spacing w:after="0"/>
              <w:rPr>
                <w:sz w:val="20"/>
                <w:szCs w:val="20"/>
                <w:color w:val="auto"/>
              </w:rPr>
            </w:pPr>
            <w:r>
              <w:rPr>
                <w:rFonts w:ascii="Arial" w:cs="Arial" w:eastAsia="Arial" w:hAnsi="Arial"/>
                <w:sz w:val="16"/>
                <w:szCs w:val="16"/>
                <w:color w:val="auto"/>
              </w:rPr>
              <w:t>officers to shareholders, motivate</w:t>
            </w:r>
          </w:p>
        </w:tc>
        <w:tc>
          <w:tcPr>
            <w:tcW w:w="140" w:type="dxa"/>
            <w:vAlign w:val="bottom"/>
          </w:tcPr>
          <w:p>
            <w:pPr>
              <w:ind w:left="40"/>
              <w:spacing w:after="0"/>
              <w:rPr>
                <w:sz w:val="20"/>
                <w:szCs w:val="20"/>
                <w:color w:val="auto"/>
              </w:rPr>
            </w:pPr>
            <w:r>
              <w:rPr>
                <w:rFonts w:ascii="Arial" w:cs="Arial" w:eastAsia="Arial" w:hAnsi="Arial"/>
                <w:sz w:val="16"/>
                <w:szCs w:val="16"/>
                <w:b w:val="1"/>
                <w:bCs w:val="1"/>
                <w:color w:val="29378D"/>
              </w:rPr>
              <w:t>•</w:t>
            </w:r>
          </w:p>
        </w:tc>
        <w:tc>
          <w:tcPr>
            <w:tcW w:w="2900" w:type="dxa"/>
            <w:vAlign w:val="bottom"/>
            <w:gridSpan w:val="2"/>
          </w:tcPr>
          <w:p>
            <w:pPr>
              <w:ind w:left="40"/>
              <w:spacing w:after="0"/>
              <w:rPr>
                <w:sz w:val="20"/>
                <w:szCs w:val="20"/>
                <w:color w:val="auto"/>
              </w:rPr>
            </w:pPr>
            <w:r>
              <w:rPr>
                <w:rFonts w:ascii="Arial" w:cs="Arial" w:eastAsia="Arial" w:hAnsi="Arial"/>
                <w:sz w:val="16"/>
                <w:szCs w:val="16"/>
                <w:color w:val="auto"/>
              </w:rPr>
              <w:t>Three-year performance period</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3960" w:type="dxa"/>
            <w:vAlign w:val="bottom"/>
          </w:tcPr>
          <w:p>
            <w:pPr>
              <w:ind w:left="1500"/>
              <w:spacing w:after="0" w:line="148" w:lineRule="exact"/>
              <w:rPr>
                <w:sz w:val="20"/>
                <w:szCs w:val="20"/>
                <w:color w:val="auto"/>
              </w:rPr>
            </w:pPr>
            <w:r>
              <w:rPr>
                <w:rFonts w:ascii="Arial" w:cs="Arial" w:eastAsia="Arial" w:hAnsi="Arial"/>
                <w:sz w:val="16"/>
                <w:szCs w:val="16"/>
                <w:color w:val="auto"/>
              </w:rPr>
              <w:t>and reward achievement of long-</w:t>
            </w:r>
          </w:p>
        </w:tc>
        <w:tc>
          <w:tcPr>
            <w:tcW w:w="140" w:type="dxa"/>
            <w:vAlign w:val="bottom"/>
            <w:vMerge w:val="restart"/>
          </w:tcPr>
          <w:p>
            <w:pPr>
              <w:ind w:left="40"/>
              <w:spacing w:after="0"/>
              <w:rPr>
                <w:sz w:val="20"/>
                <w:szCs w:val="20"/>
                <w:color w:val="auto"/>
              </w:rPr>
            </w:pPr>
            <w:r>
              <w:rPr>
                <w:rFonts w:ascii="Arial" w:cs="Arial" w:eastAsia="Arial" w:hAnsi="Arial"/>
                <w:sz w:val="16"/>
                <w:szCs w:val="16"/>
                <w:b w:val="1"/>
                <w:bCs w:val="1"/>
                <w:color w:val="29378D"/>
              </w:rPr>
              <w:t>•</w:t>
            </w:r>
          </w:p>
        </w:tc>
        <w:tc>
          <w:tcPr>
            <w:tcW w:w="2900" w:type="dxa"/>
            <w:vAlign w:val="bottom"/>
            <w:gridSpan w:val="2"/>
            <w:vMerge w:val="restart"/>
          </w:tcPr>
          <w:p>
            <w:pPr>
              <w:ind w:left="40"/>
              <w:spacing w:after="0"/>
              <w:rPr>
                <w:sz w:val="20"/>
                <w:szCs w:val="20"/>
                <w:color w:val="auto"/>
              </w:rPr>
            </w:pPr>
            <w:r>
              <w:rPr>
                <w:rFonts w:ascii="Arial" w:cs="Arial" w:eastAsia="Arial" w:hAnsi="Arial"/>
                <w:sz w:val="16"/>
                <w:szCs w:val="16"/>
                <w:color w:val="auto"/>
              </w:rPr>
              <w:t>Equally weighted metrics of relative</w:t>
            </w:r>
          </w:p>
        </w:tc>
        <w:tc>
          <w:tcPr>
            <w:tcW w:w="0" w:type="dxa"/>
            <w:vAlign w:val="bottom"/>
          </w:tcPr>
          <w:p>
            <w:pPr>
              <w:spacing w:after="0"/>
              <w:rPr>
                <w:sz w:val="1"/>
                <w:szCs w:val="1"/>
                <w:color w:val="auto"/>
              </w:rPr>
            </w:pPr>
          </w:p>
        </w:tc>
      </w:tr>
      <w:tr>
        <w:trPr>
          <w:trHeight w:val="164"/>
        </w:trPr>
        <w:tc>
          <w:tcPr>
            <w:tcW w:w="3720" w:type="dxa"/>
            <w:vAlign w:val="bottom"/>
          </w:tcPr>
          <w:p>
            <w:pPr>
              <w:spacing w:after="0"/>
              <w:rPr>
                <w:sz w:val="14"/>
                <w:szCs w:val="14"/>
                <w:color w:val="auto"/>
              </w:rPr>
            </w:pPr>
          </w:p>
        </w:tc>
        <w:tc>
          <w:tcPr>
            <w:tcW w:w="3960" w:type="dxa"/>
            <w:vAlign w:val="bottom"/>
          </w:tcPr>
          <w:p>
            <w:pPr>
              <w:ind w:left="1500"/>
              <w:spacing w:after="0" w:line="165" w:lineRule="exact"/>
              <w:rPr>
                <w:sz w:val="20"/>
                <w:szCs w:val="20"/>
                <w:color w:val="auto"/>
              </w:rPr>
            </w:pPr>
            <w:r>
              <w:rPr>
                <w:rFonts w:ascii="Arial" w:cs="Arial" w:eastAsia="Arial" w:hAnsi="Arial"/>
                <w:sz w:val="16"/>
                <w:szCs w:val="16"/>
                <w:color w:val="auto"/>
              </w:rPr>
              <w:t>term strategic goals and retain</w:t>
            </w:r>
          </w:p>
        </w:tc>
        <w:tc>
          <w:tcPr>
            <w:tcW w:w="140" w:type="dxa"/>
            <w:vAlign w:val="bottom"/>
            <w:vMerge w:val="continue"/>
          </w:tcPr>
          <w:p>
            <w:pPr>
              <w:spacing w:after="0"/>
              <w:rPr>
                <w:sz w:val="14"/>
                <w:szCs w:val="14"/>
                <w:color w:val="auto"/>
              </w:rPr>
            </w:pPr>
          </w:p>
        </w:tc>
        <w:tc>
          <w:tcPr>
            <w:tcW w:w="2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-1894840</wp:posOffset>
            </wp:positionV>
            <wp:extent cx="454025" cy="4546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54025" cy="45466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-1894840</wp:posOffset>
            </wp:positionV>
            <wp:extent cx="454025" cy="4546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54025" cy="454660"/>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-1020445</wp:posOffset>
            </wp:positionV>
            <wp:extent cx="454025" cy="4540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54025" cy="45402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-1020445</wp:posOffset>
            </wp:positionV>
            <wp:extent cx="454025" cy="4540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54025" cy="454025"/>
                    </a:xfrm>
                    <a:prstGeom prst="rect">
                      <a:avLst/>
                    </a:prstGeom>
                    <a:noFill/>
                  </pic:spPr>
                </pic:pic>
              </a:graphicData>
            </a:graphic>
          </wp:anchor>
        </w:drawing>
        <w:drawing>
          <wp:anchor simplePos="0" relativeHeight="251657728" behindDoc="1" locked="0" layoutInCell="0" allowOverlap="1">
            <wp:simplePos x="0" y="0"/>
            <wp:positionH relativeFrom="column">
              <wp:posOffset>1676400</wp:posOffset>
            </wp:positionH>
            <wp:positionV relativeFrom="paragraph">
              <wp:posOffset>-248920</wp:posOffset>
            </wp:positionV>
            <wp:extent cx="454025" cy="4629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54025" cy="46291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-248920</wp:posOffset>
            </wp:positionV>
            <wp:extent cx="454025" cy="4540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54025" cy="4540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7140" w:type="dxa"/>
            <w:vAlign w:val="bottom"/>
            <w:vMerge w:val="restart"/>
          </w:tcPr>
          <w:p>
            <w:pPr>
              <w:ind w:left="5220"/>
              <w:spacing w:after="0"/>
              <w:rPr>
                <w:sz w:val="20"/>
                <w:szCs w:val="20"/>
                <w:color w:val="auto"/>
              </w:rPr>
            </w:pPr>
            <w:r>
              <w:rPr>
                <w:rFonts w:ascii="Arial" w:cs="Arial" w:eastAsia="Arial" w:hAnsi="Arial"/>
                <w:sz w:val="16"/>
                <w:szCs w:val="16"/>
                <w:color w:val="auto"/>
              </w:rPr>
              <w:t>executive talent</w:t>
            </w:r>
          </w:p>
        </w:tc>
        <w:tc>
          <w:tcPr>
            <w:tcW w:w="3580" w:type="dxa"/>
            <w:vAlign w:val="bottom"/>
          </w:tcPr>
          <w:p>
            <w:pPr>
              <w:ind w:left="780"/>
              <w:spacing w:after="0" w:line="173" w:lineRule="exact"/>
              <w:rPr>
                <w:sz w:val="20"/>
                <w:szCs w:val="20"/>
                <w:color w:val="auto"/>
              </w:rPr>
            </w:pPr>
            <w:r>
              <w:rPr>
                <w:rFonts w:ascii="Arial" w:cs="Arial" w:eastAsia="Arial" w:hAnsi="Arial"/>
                <w:sz w:val="16"/>
                <w:szCs w:val="16"/>
                <w:color w:val="auto"/>
              </w:rPr>
              <w:t>TSR, Adjusted Cumulative Free Cash</w:t>
            </w:r>
          </w:p>
        </w:tc>
        <w:tc>
          <w:tcPr>
            <w:tcW w:w="0" w:type="dxa"/>
            <w:vAlign w:val="bottom"/>
          </w:tcPr>
          <w:p>
            <w:pPr>
              <w:spacing w:after="0"/>
              <w:rPr>
                <w:sz w:val="1"/>
                <w:szCs w:val="1"/>
                <w:color w:val="auto"/>
              </w:rPr>
            </w:pPr>
          </w:p>
        </w:tc>
      </w:tr>
      <w:tr>
        <w:trPr>
          <w:trHeight w:val="80"/>
        </w:trPr>
        <w:tc>
          <w:tcPr>
            <w:tcW w:w="7140" w:type="dxa"/>
            <w:vAlign w:val="bottom"/>
            <w:vMerge w:val="continue"/>
          </w:tcPr>
          <w:p>
            <w:pPr>
              <w:spacing w:after="0"/>
              <w:rPr>
                <w:sz w:val="6"/>
                <w:szCs w:val="6"/>
                <w:color w:val="auto"/>
              </w:rPr>
            </w:pPr>
          </w:p>
        </w:tc>
        <w:tc>
          <w:tcPr>
            <w:tcW w:w="3580" w:type="dxa"/>
            <w:vAlign w:val="bottom"/>
            <w:vMerge w:val="restart"/>
          </w:tcPr>
          <w:p>
            <w:pPr>
              <w:ind w:left="780"/>
              <w:spacing w:after="0"/>
              <w:rPr>
                <w:sz w:val="20"/>
                <w:szCs w:val="20"/>
                <w:color w:val="auto"/>
              </w:rPr>
            </w:pPr>
            <w:r>
              <w:rPr>
                <w:rFonts w:ascii="Arial" w:cs="Arial" w:eastAsia="Arial" w:hAnsi="Arial"/>
                <w:sz w:val="16"/>
                <w:szCs w:val="16"/>
                <w:color w:val="auto"/>
              </w:rPr>
              <w:t>Flow* (Adjusted Cumulative FCF*)</w:t>
            </w:r>
          </w:p>
        </w:tc>
        <w:tc>
          <w:tcPr>
            <w:tcW w:w="0" w:type="dxa"/>
            <w:vAlign w:val="bottom"/>
          </w:tcPr>
          <w:p>
            <w:pPr>
              <w:spacing w:after="0"/>
              <w:rPr>
                <w:sz w:val="1"/>
                <w:szCs w:val="1"/>
                <w:color w:val="auto"/>
              </w:rPr>
            </w:pPr>
          </w:p>
        </w:tc>
      </w:tr>
      <w:tr>
        <w:trPr>
          <w:trHeight w:val="123"/>
        </w:trPr>
        <w:tc>
          <w:tcPr>
            <w:tcW w:w="7140" w:type="dxa"/>
            <w:vAlign w:val="bottom"/>
          </w:tcPr>
          <w:p>
            <w:pPr>
              <w:spacing w:after="0"/>
              <w:rPr>
                <w:sz w:val="10"/>
                <w:szCs w:val="10"/>
                <w:color w:val="auto"/>
              </w:rPr>
            </w:pPr>
          </w:p>
        </w:tc>
        <w:tc>
          <w:tcPr>
            <w:tcW w:w="3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40" w:type="dxa"/>
            <w:vAlign w:val="bottom"/>
          </w:tcPr>
          <w:p>
            <w:pPr>
              <w:spacing w:after="0"/>
              <w:rPr>
                <w:sz w:val="16"/>
                <w:szCs w:val="16"/>
                <w:color w:val="auto"/>
              </w:rPr>
            </w:pPr>
          </w:p>
        </w:tc>
        <w:tc>
          <w:tcPr>
            <w:tcW w:w="3580" w:type="dxa"/>
            <w:vAlign w:val="bottom"/>
          </w:tcPr>
          <w:p>
            <w:pPr>
              <w:ind w:left="780"/>
              <w:spacing w:after="0"/>
              <w:rPr>
                <w:sz w:val="20"/>
                <w:szCs w:val="20"/>
                <w:color w:val="auto"/>
              </w:rPr>
            </w:pPr>
            <w:r>
              <w:rPr>
                <w:rFonts w:ascii="Arial" w:cs="Arial" w:eastAsia="Arial" w:hAnsi="Arial"/>
                <w:sz w:val="16"/>
                <w:szCs w:val="16"/>
                <w:color w:val="auto"/>
              </w:rPr>
              <w:t>and Return on Invested Capital*</w:t>
            </w:r>
          </w:p>
        </w:tc>
        <w:tc>
          <w:tcPr>
            <w:tcW w:w="0" w:type="dxa"/>
            <w:vAlign w:val="bottom"/>
          </w:tcPr>
          <w:p>
            <w:pPr>
              <w:spacing w:after="0"/>
              <w:rPr>
                <w:sz w:val="1"/>
                <w:szCs w:val="1"/>
                <w:color w:val="auto"/>
              </w:rPr>
            </w:pPr>
          </w:p>
        </w:tc>
      </w:tr>
      <w:tr>
        <w:trPr>
          <w:trHeight w:val="224"/>
        </w:trPr>
        <w:tc>
          <w:tcPr>
            <w:tcW w:w="7140" w:type="dxa"/>
            <w:vAlign w:val="bottom"/>
            <w:tcBorders>
              <w:bottom w:val="single" w:sz="8" w:color="BCBEC0"/>
            </w:tcBorders>
          </w:tcPr>
          <w:p>
            <w:pPr>
              <w:spacing w:after="0"/>
              <w:rPr>
                <w:sz w:val="19"/>
                <w:szCs w:val="19"/>
                <w:color w:val="auto"/>
              </w:rPr>
            </w:pPr>
          </w:p>
        </w:tc>
        <w:tc>
          <w:tcPr>
            <w:tcW w:w="3580" w:type="dxa"/>
            <w:vAlign w:val="bottom"/>
            <w:tcBorders>
              <w:bottom w:val="single" w:sz="8" w:color="BCBEC0"/>
            </w:tcBorders>
          </w:tcPr>
          <w:p>
            <w:pPr>
              <w:ind w:left="780"/>
              <w:spacing w:after="0"/>
              <w:rPr>
                <w:sz w:val="20"/>
                <w:szCs w:val="20"/>
                <w:color w:val="auto"/>
              </w:rPr>
            </w:pPr>
            <w:r>
              <w:rPr>
                <w:rFonts w:ascii="Arial" w:cs="Arial" w:eastAsia="Arial" w:hAnsi="Arial"/>
                <w:sz w:val="16"/>
                <w:szCs w:val="16"/>
                <w:color w:val="auto"/>
              </w:rPr>
              <w:t>(ROIC)</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 This metric is a non-GAAP financial measure. For more information, see “Appendix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0" w:hanging="494"/>
        <w:spacing w:after="0"/>
        <w:tabs>
          <w:tab w:leader="none" w:pos="520" w:val="left"/>
        </w:tabs>
        <w:numPr>
          <w:ilvl w:val="0"/>
          <w:numId w:val="109"/>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38" w:right="439" w:bottom="1440" w:gutter="0" w:footer="0" w:header="0"/>
          <w:type w:val="continuous"/>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2023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3488690" cy="3683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88690" cy="368300"/>
                    </a:xfrm>
                    <a:prstGeom prst="rect">
                      <a:avLst/>
                    </a:prstGeom>
                    <a:noFill/>
                  </pic:spPr>
                </pic:pic>
              </a:graphicData>
            </a:graphic>
          </wp:anchor>
        </w:drawing>
      </w:r>
    </w:p>
    <w:p>
      <w:pPr>
        <w:spacing w:after="0" w:line="319" w:lineRule="exact"/>
        <w:rPr>
          <w:sz w:val="20"/>
          <w:szCs w:val="20"/>
          <w:color w:val="auto"/>
        </w:rPr>
      </w:pPr>
    </w:p>
    <w:p>
      <w:pPr>
        <w:jc w:val="right"/>
        <w:ind w:right="840"/>
        <w:spacing w:after="0"/>
        <w:rPr>
          <w:sz w:val="20"/>
          <w:szCs w:val="20"/>
          <w:color w:val="auto"/>
        </w:rPr>
      </w:pPr>
      <w:r>
        <w:rPr>
          <w:rFonts w:ascii="Arial" w:cs="Arial" w:eastAsia="Arial" w:hAnsi="Arial"/>
          <w:sz w:val="16"/>
          <w:szCs w:val="16"/>
          <w:color w:val="auto"/>
        </w:rPr>
        <w:t xml:space="preserve">Strong demand drove backlog of </w:t>
      </w:r>
      <w:r>
        <w:rPr>
          <w:rFonts w:ascii="Arial" w:cs="Arial" w:eastAsia="Arial" w:hAnsi="Arial"/>
          <w:sz w:val="16"/>
          <w:szCs w:val="16"/>
          <w:b w:val="1"/>
          <w:bCs w:val="1"/>
          <w:color w:val="auto"/>
        </w:rPr>
        <w:t>$84.2B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3488690" cy="3600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88690" cy="3600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 xml:space="preserve">Operating Cash Flow of </w:t>
      </w:r>
      <w:r>
        <w:rPr>
          <w:rFonts w:ascii="Arial" w:cs="Arial" w:eastAsia="Arial" w:hAnsi="Arial"/>
          <w:sz w:val="16"/>
          <w:szCs w:val="16"/>
          <w:b w:val="1"/>
          <w:bCs w:val="1"/>
          <w:color w:val="auto"/>
        </w:rPr>
        <w:t>$3.9B</w:t>
      </w:r>
    </w:p>
    <w:p>
      <w:pPr>
        <w:spacing w:after="0" w:line="21"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 xml:space="preserve">Adjusted Free Cash Flow* of </w:t>
      </w:r>
      <w:r>
        <w:rPr>
          <w:rFonts w:ascii="Arial" w:cs="Arial" w:eastAsia="Arial" w:hAnsi="Arial"/>
          <w:sz w:val="16"/>
          <w:szCs w:val="16"/>
          <w:b w:val="1"/>
          <w:bCs w:val="1"/>
          <w:color w:val="auto"/>
        </w:rPr>
        <w:t>$2.1B</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20"/>
          <w:szCs w:val="20"/>
          <w:color w:val="29378D"/>
        </w:rPr>
        <w:t>Adjusted Free Cash Flow*</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151765</wp:posOffset>
            </wp:positionV>
            <wp:extent cx="2708910" cy="15087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708910" cy="1508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880745</wp:posOffset>
            </wp:positionV>
            <wp:extent cx="3505835" cy="3683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50583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 xml:space="preserve">Sales grew 7% to </w:t>
      </w:r>
      <w:r>
        <w:rPr>
          <w:rFonts w:ascii="Arial" w:cs="Arial" w:eastAsia="Arial" w:hAnsi="Arial"/>
          <w:sz w:val="16"/>
          <w:szCs w:val="16"/>
          <w:b w:val="1"/>
          <w:bCs w:val="1"/>
          <w:color w:val="auto"/>
        </w:rPr>
        <w:t>$39.3B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312420</wp:posOffset>
            </wp:positionV>
            <wp:extent cx="3505835" cy="3600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505835" cy="3600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Delivered strong return to Shareholders of over </w:t>
      </w:r>
      <w:r>
        <w:rPr>
          <w:rFonts w:ascii="Arial" w:cs="Arial" w:eastAsia="Arial" w:hAnsi="Arial"/>
          <w:sz w:val="16"/>
          <w:szCs w:val="16"/>
          <w:b w:val="1"/>
          <w:bCs w:val="1"/>
          <w:color w:val="auto"/>
        </w:rPr>
        <w:t>$2.6B</w:t>
      </w:r>
      <w:r>
        <w:rPr>
          <w:rFonts w:ascii="Arial" w:cs="Arial" w:eastAsia="Arial" w:hAnsi="Arial"/>
          <w:sz w:val="16"/>
          <w:szCs w:val="16"/>
          <w:color w:val="auto"/>
        </w:rPr>
        <w:t xml:space="preserve"> in dividends &amp; share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repurchases</w:t>
      </w:r>
    </w:p>
    <w:p>
      <w:pPr>
        <w:spacing w:after="0" w:line="346" w:lineRule="exact"/>
        <w:rPr>
          <w:sz w:val="20"/>
          <w:szCs w:val="20"/>
          <w:color w:val="auto"/>
        </w:rPr>
      </w:pPr>
    </w:p>
    <w:p>
      <w:pPr>
        <w:jc w:val="center"/>
        <w:ind w:right="1620"/>
        <w:spacing w:after="0"/>
        <w:rPr>
          <w:sz w:val="20"/>
          <w:szCs w:val="20"/>
          <w:color w:val="auto"/>
        </w:rPr>
      </w:pPr>
      <w:r>
        <w:rPr>
          <w:rFonts w:ascii="Arial" w:cs="Arial" w:eastAsia="Arial" w:hAnsi="Arial"/>
          <w:sz w:val="19"/>
          <w:szCs w:val="19"/>
          <w:color w:val="29378D"/>
        </w:rPr>
        <w:t>3-Year Cumulative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278130</wp:posOffset>
            </wp:positionV>
            <wp:extent cx="2708910" cy="15087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708910" cy="1508760"/>
                    </a:xfrm>
                    <a:prstGeom prst="rect">
                      <a:avLst/>
                    </a:prstGeom>
                    <a:noFill/>
                  </pic:spPr>
                </pic:pic>
              </a:graphicData>
            </a:graphic>
          </wp:anchor>
        </w:drawing>
      </w:r>
    </w:p>
    <w:p>
      <w:pPr>
        <w:spacing w:after="0" w:line="398" w:lineRule="exact"/>
        <w:rPr>
          <w:sz w:val="20"/>
          <w:szCs w:val="20"/>
          <w:color w:val="auto"/>
        </w:rPr>
      </w:pPr>
    </w:p>
    <w:p>
      <w:pPr>
        <w:sectPr>
          <w:pgSz w:w="11900" w:h="16838" w:orient="portrait"/>
          <w:cols w:equalWidth="0" w:num="2">
            <w:col w:w="5040" w:space="720"/>
            <w:col w:w="548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 This metric is a non-GAAP financial measure. For more information, see “Appendix A - Use of Non-GAAP Financial Measures.”</w:t>
      </w:r>
    </w:p>
    <w:p>
      <w:pPr>
        <w:spacing w:after="0" w:line="278"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Consideration of Say-On-Pay Vote</w:t>
      </w:r>
    </w:p>
    <w:p>
      <w:pPr>
        <w:spacing w:after="0" w:line="177" w:lineRule="exact"/>
        <w:rPr>
          <w:sz w:val="20"/>
          <w:szCs w:val="20"/>
          <w:color w:val="auto"/>
        </w:rPr>
      </w:pPr>
    </w:p>
    <w:p>
      <w:pPr>
        <w:ind w:left="20" w:right="3320"/>
        <w:spacing w:after="0" w:line="244" w:lineRule="auto"/>
        <w:rPr>
          <w:sz w:val="20"/>
          <w:szCs w:val="20"/>
          <w:color w:val="auto"/>
        </w:rPr>
      </w:pPr>
      <w:r>
        <w:rPr>
          <w:rFonts w:ascii="Arial" w:cs="Arial" w:eastAsia="Arial" w:hAnsi="Arial"/>
          <w:sz w:val="16"/>
          <w:szCs w:val="16"/>
          <w:color w:val="auto"/>
        </w:rPr>
        <w:t>The Company annually asks shareholders to approve, on an advisory basis, the compensation paid to our NEOs. We regularly engage with our shareholders to address their questions regarding executive compensation and emphasize our philosophy and competitive pay practices. The Compensation and Human Capital Committee annually reviews and discusses the results of the say-on-pay vote. In 2023, our executive compensation programs continued to receive strong support from shareholders with 97% approval at our 2023 Annual Meeting of Shareholders. Based on its review and feedback from shareholder engagement, the Compensation and Human Capital Committee determined that our programs are effective and aligned with shareholder interests, and no substantive changes were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-940435</wp:posOffset>
            </wp:positionV>
            <wp:extent cx="1062990" cy="8826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062990" cy="882650"/>
                    </a:xfrm>
                    <a:prstGeom prst="rect">
                      <a:avLst/>
                    </a:prstGeom>
                    <a:noFill/>
                  </pic:spPr>
                </pic:pic>
              </a:graphicData>
            </a:graphic>
          </wp:anchor>
        </w:drawing>
      </w:r>
    </w:p>
    <w:p>
      <w:pPr>
        <w:jc w:val="center"/>
        <w:ind w:left="8000"/>
        <w:spacing w:after="0"/>
        <w:rPr>
          <w:sz w:val="20"/>
          <w:szCs w:val="20"/>
          <w:color w:val="auto"/>
        </w:rPr>
      </w:pPr>
      <w:r>
        <w:rPr>
          <w:rFonts w:ascii="Arial" w:cs="Arial" w:eastAsia="Arial" w:hAnsi="Arial"/>
          <w:sz w:val="13"/>
          <w:szCs w:val="13"/>
          <w:color w:val="auto"/>
        </w:rPr>
        <w:t>% of votes in favor of</w:t>
      </w:r>
    </w:p>
    <w:p>
      <w:pPr>
        <w:jc w:val="center"/>
        <w:ind w:left="8000"/>
        <w:spacing w:after="0"/>
        <w:rPr>
          <w:sz w:val="20"/>
          <w:szCs w:val="20"/>
          <w:color w:val="auto"/>
        </w:rPr>
      </w:pPr>
      <w:r>
        <w:rPr>
          <w:rFonts w:ascii="Arial" w:cs="Arial" w:eastAsia="Arial" w:hAnsi="Arial"/>
          <w:sz w:val="13"/>
          <w:szCs w:val="13"/>
          <w:color w:val="auto"/>
        </w:rPr>
        <w:t>Say-on-Pay Proposal in 2023</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Our Compensation Best Practices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programs incorporate best practices across all industries, including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640" w:type="dxa"/>
            <w:vAlign w:val="bottom"/>
            <w:tcBorders>
              <w:bottom w:val="single" w:sz="8" w:color="C6C5DF"/>
            </w:tcBorders>
            <w:shd w:val="clear" w:color="auto" w:fill="C6C5DF"/>
          </w:tcPr>
          <w:p>
            <w:pPr>
              <w:spacing w:after="0"/>
              <w:rPr>
                <w:sz w:val="24"/>
                <w:szCs w:val="24"/>
                <w:color w:val="auto"/>
              </w:rPr>
            </w:pPr>
          </w:p>
        </w:tc>
        <w:tc>
          <w:tcPr>
            <w:tcW w:w="160" w:type="dxa"/>
            <w:vAlign w:val="bottom"/>
            <w:tcBorders>
              <w:bottom w:val="single" w:sz="8" w:color="C6C5DF"/>
            </w:tcBorders>
            <w:shd w:val="clear" w:color="auto" w:fill="C6C5DF"/>
          </w:tcPr>
          <w:p>
            <w:pPr>
              <w:spacing w:after="0"/>
              <w:rPr>
                <w:sz w:val="24"/>
                <w:szCs w:val="24"/>
                <w:color w:val="auto"/>
              </w:rPr>
            </w:pPr>
          </w:p>
        </w:tc>
        <w:tc>
          <w:tcPr>
            <w:tcW w:w="2820" w:type="dxa"/>
            <w:vAlign w:val="bottom"/>
            <w:tcBorders>
              <w:bottom w:val="single" w:sz="8" w:color="C6C5DF"/>
            </w:tcBorders>
            <w:gridSpan w:val="2"/>
            <w:shd w:val="clear" w:color="auto" w:fill="C6C5DF"/>
          </w:tcPr>
          <w:p>
            <w:pPr>
              <w:ind w:left="860"/>
              <w:spacing w:after="0"/>
              <w:rPr>
                <w:sz w:val="20"/>
                <w:szCs w:val="20"/>
                <w:color w:val="auto"/>
              </w:rPr>
            </w:pPr>
            <w:r>
              <w:rPr>
                <w:rFonts w:ascii="Arial" w:cs="Arial" w:eastAsia="Arial" w:hAnsi="Arial"/>
                <w:sz w:val="16"/>
                <w:szCs w:val="16"/>
                <w:b w:val="1"/>
                <w:bCs w:val="1"/>
                <w:color w:val="283790"/>
              </w:rPr>
              <w:t>What We Do</w:t>
            </w:r>
          </w:p>
        </w:tc>
        <w:tc>
          <w:tcPr>
            <w:tcW w:w="2640" w:type="dxa"/>
            <w:vAlign w:val="bottom"/>
            <w:tcBorders>
              <w:bottom w:val="single" w:sz="8" w:color="C6C5DF"/>
            </w:tcBorders>
            <w:shd w:val="clear" w:color="auto" w:fill="C6C5DF"/>
          </w:tcPr>
          <w:p>
            <w:pPr>
              <w:spacing w:after="0"/>
              <w:rPr>
                <w:sz w:val="24"/>
                <w:szCs w:val="24"/>
                <w:color w:val="auto"/>
              </w:rPr>
            </w:pPr>
          </w:p>
        </w:tc>
        <w:tc>
          <w:tcPr>
            <w:tcW w:w="180" w:type="dxa"/>
            <w:vAlign w:val="bottom"/>
            <w:tcBorders>
              <w:right w:val="single" w:sz="8" w:color="242424"/>
            </w:tcBorders>
          </w:tcPr>
          <w:p>
            <w:pPr>
              <w:spacing w:after="0"/>
              <w:rPr>
                <w:sz w:val="24"/>
                <w:szCs w:val="24"/>
                <w:color w:val="auto"/>
              </w:rPr>
            </w:pPr>
          </w:p>
        </w:tc>
        <w:tc>
          <w:tcPr>
            <w:tcW w:w="140" w:type="dxa"/>
            <w:vAlign w:val="bottom"/>
            <w:tcBorders>
              <w:right w:val="single" w:sz="8" w:color="C6C5DF"/>
            </w:tcBorders>
          </w:tcPr>
          <w:p>
            <w:pPr>
              <w:spacing w:after="0"/>
              <w:rPr>
                <w:sz w:val="24"/>
                <w:szCs w:val="24"/>
                <w:color w:val="auto"/>
              </w:rPr>
            </w:pPr>
          </w:p>
        </w:tc>
        <w:tc>
          <w:tcPr>
            <w:tcW w:w="2660" w:type="dxa"/>
            <w:vAlign w:val="bottom"/>
            <w:tcBorders>
              <w:bottom w:val="single" w:sz="8" w:color="C6C5DF"/>
            </w:tcBorders>
            <w:shd w:val="clear" w:color="auto" w:fill="C6C5DF"/>
          </w:tcPr>
          <w:p>
            <w:pPr>
              <w:ind w:left="640"/>
              <w:spacing w:after="0"/>
              <w:rPr>
                <w:sz w:val="20"/>
                <w:szCs w:val="20"/>
                <w:color w:val="auto"/>
              </w:rPr>
            </w:pPr>
            <w:r>
              <w:rPr>
                <w:rFonts w:ascii="Arial" w:cs="Arial" w:eastAsia="Arial" w:hAnsi="Arial"/>
                <w:sz w:val="16"/>
                <w:szCs w:val="16"/>
                <w:b w:val="1"/>
                <w:bCs w:val="1"/>
                <w:color w:val="283790"/>
              </w:rPr>
              <w:t>What We Don’t Do</w:t>
            </w:r>
          </w:p>
        </w:tc>
        <w:tc>
          <w:tcPr>
            <w:tcW w:w="20" w:type="dxa"/>
            <w:vAlign w:val="bottom"/>
            <w:tcBorders>
              <w:bottom w:val="single" w:sz="8" w:color="C6C5DF"/>
            </w:tcBorders>
            <w:shd w:val="clear" w:color="auto" w:fill="C6C5DF"/>
          </w:tcPr>
          <w:p>
            <w:pPr>
              <w:spacing w:after="0"/>
              <w:rPr>
                <w:sz w:val="24"/>
                <w:szCs w:val="24"/>
                <w:color w:val="auto"/>
              </w:rPr>
            </w:pPr>
          </w:p>
        </w:tc>
      </w:tr>
      <w:tr>
        <w:trPr>
          <w:trHeight w:val="215"/>
        </w:trPr>
        <w:tc>
          <w:tcPr>
            <w:tcW w:w="2800" w:type="dxa"/>
            <w:vAlign w:val="bottom"/>
            <w:gridSpan w:val="2"/>
          </w:tcPr>
          <w:p>
            <w:pPr>
              <w:ind w:left="20"/>
              <w:spacing w:after="0"/>
              <w:rPr>
                <w:sz w:val="20"/>
                <w:szCs w:val="20"/>
                <w:color w:val="auto"/>
              </w:rPr>
            </w:pPr>
            <w:r>
              <w:rPr>
                <w:rFonts w:ascii="Arial" w:cs="Arial" w:eastAsia="Arial" w:hAnsi="Arial"/>
                <w:sz w:val="16"/>
                <w:szCs w:val="16"/>
                <w:b w:val="1"/>
                <w:bCs w:val="1"/>
                <w:color w:val="283790"/>
              </w:rPr>
              <w:t>Pay for Performance</w:t>
            </w:r>
          </w:p>
        </w:tc>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283790"/>
              </w:rPr>
              <w:t>Annual Peer Group Review</w:t>
            </w:r>
          </w:p>
        </w:tc>
        <w:tc>
          <w:tcPr>
            <w:tcW w:w="2640" w:type="dxa"/>
            <w:vAlign w:val="bottom"/>
          </w:tcPr>
          <w:p>
            <w:pPr>
              <w:spacing w:after="0"/>
              <w:rPr>
                <w:sz w:val="20"/>
                <w:szCs w:val="20"/>
                <w:color w:val="auto"/>
              </w:rPr>
            </w:pPr>
            <w:r>
              <w:rPr>
                <w:rFonts w:ascii="Arial" w:cs="Arial" w:eastAsia="Arial" w:hAnsi="Arial"/>
                <w:sz w:val="16"/>
                <w:szCs w:val="16"/>
                <w:color w:val="auto"/>
              </w:rPr>
              <w:t xml:space="preserve">Long-Term Incentives </w:t>
            </w:r>
            <w:r>
              <w:rPr>
                <w:rFonts w:ascii="Arial" w:cs="Arial" w:eastAsia="Arial" w:hAnsi="Arial"/>
                <w:sz w:val="16"/>
                <w:szCs w:val="16"/>
                <w:b w:val="1"/>
                <w:bCs w:val="1"/>
                <w:color w:val="29378D"/>
              </w:rPr>
              <w:t>Focused on</w:t>
            </w:r>
          </w:p>
        </w:tc>
        <w:tc>
          <w:tcPr>
            <w:tcW w:w="180" w:type="dxa"/>
            <w:vAlign w:val="bottom"/>
            <w:tcBorders>
              <w:right w:val="single" w:sz="8" w:color="242424"/>
            </w:tcBorders>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6"/>
                <w:szCs w:val="16"/>
                <w:b w:val="1"/>
                <w:bCs w:val="1"/>
                <w:color w:val="283790"/>
              </w:rPr>
              <w:t xml:space="preserve">No </w:t>
            </w:r>
            <w:r>
              <w:rPr>
                <w:rFonts w:ascii="Arial" w:cs="Arial" w:eastAsia="Arial" w:hAnsi="Arial"/>
                <w:sz w:val="16"/>
                <w:szCs w:val="16"/>
                <w:color w:val="000000"/>
              </w:rPr>
              <w:t>Individual</w:t>
            </w:r>
            <w:r>
              <w:rPr>
                <w:rFonts w:ascii="Arial" w:cs="Arial" w:eastAsia="Arial" w:hAnsi="Arial"/>
                <w:sz w:val="16"/>
                <w:szCs w:val="16"/>
                <w:b w:val="1"/>
                <w:bCs w:val="1"/>
                <w:color w:val="283790"/>
              </w:rPr>
              <w:t xml:space="preserve"> Change in Control</w:t>
            </w:r>
          </w:p>
        </w:tc>
        <w:tc>
          <w:tcPr>
            <w:tcW w:w="20" w:type="dxa"/>
            <w:vAlign w:val="bottom"/>
          </w:tcPr>
          <w:p>
            <w:pPr>
              <w:spacing w:after="0"/>
              <w:rPr>
                <w:sz w:val="18"/>
                <w:szCs w:val="18"/>
                <w:color w:val="auto"/>
              </w:rPr>
            </w:pPr>
          </w:p>
        </w:tc>
      </w:tr>
      <w:tr>
        <w:trPr>
          <w:trHeight w:val="223"/>
        </w:trPr>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6"/>
                <w:szCs w:val="16"/>
                <w:b w:val="1"/>
                <w:bCs w:val="1"/>
                <w:color w:val="29378D"/>
              </w:rPr>
              <w:t>Performance</w:t>
            </w:r>
          </w:p>
        </w:tc>
        <w:tc>
          <w:tcPr>
            <w:tcW w:w="180" w:type="dxa"/>
            <w:vAlign w:val="bottom"/>
            <w:tcBorders>
              <w:right w:val="single" w:sz="8" w:color="242424"/>
            </w:tcBorders>
          </w:tcPr>
          <w:p>
            <w:pPr>
              <w:spacing w:after="0"/>
              <w:rPr>
                <w:sz w:val="19"/>
                <w:szCs w:val="19"/>
                <w:color w:val="auto"/>
              </w:rPr>
            </w:pPr>
          </w:p>
        </w:tc>
        <w:tc>
          <w:tcPr>
            <w:tcW w:w="14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Agreements</w:t>
            </w:r>
          </w:p>
        </w:tc>
        <w:tc>
          <w:tcPr>
            <w:tcW w:w="20" w:type="dxa"/>
            <w:vAlign w:val="bottom"/>
          </w:tcPr>
          <w:p>
            <w:pPr>
              <w:spacing w:after="0"/>
              <w:rPr>
                <w:sz w:val="19"/>
                <w:szCs w:val="19"/>
                <w:color w:val="auto"/>
              </w:rPr>
            </w:pPr>
          </w:p>
        </w:tc>
      </w:tr>
      <w:tr>
        <w:trPr>
          <w:trHeight w:val="102"/>
        </w:trPr>
        <w:tc>
          <w:tcPr>
            <w:tcW w:w="2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180" w:type="dxa"/>
            <w:vAlign w:val="bottom"/>
            <w:tcBorders>
              <w:right w:val="single" w:sz="8" w:color="242424"/>
            </w:tcBorders>
          </w:tcPr>
          <w:p>
            <w:pPr>
              <w:spacing w:after="0"/>
              <w:rPr>
                <w:sz w:val="8"/>
                <w:szCs w:val="8"/>
                <w:color w:val="auto"/>
              </w:rPr>
            </w:pPr>
          </w:p>
        </w:tc>
        <w:tc>
          <w:tcPr>
            <w:tcW w:w="140" w:type="dxa"/>
            <w:vAlign w:val="bottom"/>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90"/>
        </w:trPr>
        <w:tc>
          <w:tcPr>
            <w:tcW w:w="2800" w:type="dxa"/>
            <w:vAlign w:val="bottom"/>
            <w:gridSpan w:val="2"/>
          </w:tcPr>
          <w:p>
            <w:pPr>
              <w:ind w:left="20"/>
              <w:spacing w:after="0"/>
              <w:rPr>
                <w:sz w:val="20"/>
                <w:szCs w:val="20"/>
                <w:color w:val="auto"/>
              </w:rPr>
            </w:pPr>
            <w:r>
              <w:rPr>
                <w:rFonts w:ascii="Arial" w:cs="Arial" w:eastAsia="Arial" w:hAnsi="Arial"/>
                <w:sz w:val="16"/>
                <w:szCs w:val="16"/>
                <w:b w:val="1"/>
                <w:bCs w:val="1"/>
                <w:color w:val="29378D"/>
              </w:rPr>
              <w:t>Compensation Elements</w:t>
            </w:r>
          </w:p>
        </w:tc>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29378D"/>
              </w:rPr>
              <w:t>Above-Target Annual Incentive</w:t>
            </w:r>
          </w:p>
        </w:tc>
        <w:tc>
          <w:tcPr>
            <w:tcW w:w="2640" w:type="dxa"/>
            <w:vAlign w:val="bottom"/>
          </w:tcPr>
          <w:p>
            <w:pPr>
              <w:spacing w:after="0"/>
              <w:rPr>
                <w:sz w:val="20"/>
                <w:szCs w:val="20"/>
                <w:color w:val="auto"/>
              </w:rPr>
            </w:pPr>
            <w:r>
              <w:rPr>
                <w:rFonts w:ascii="Arial" w:cs="Arial" w:eastAsia="Arial" w:hAnsi="Arial"/>
                <w:sz w:val="16"/>
                <w:szCs w:val="16"/>
                <w:b w:val="1"/>
                <w:bCs w:val="1"/>
                <w:color w:val="29378D"/>
              </w:rPr>
              <w:t xml:space="preserve">Independent Consultant </w:t>
            </w:r>
            <w:r>
              <w:rPr>
                <w:rFonts w:ascii="Arial" w:cs="Arial" w:eastAsia="Arial" w:hAnsi="Arial"/>
                <w:sz w:val="16"/>
                <w:szCs w:val="16"/>
                <w:color w:val="000000"/>
              </w:rPr>
              <w:t>Reports</w:t>
            </w:r>
          </w:p>
        </w:tc>
        <w:tc>
          <w:tcPr>
            <w:tcW w:w="180" w:type="dxa"/>
            <w:vAlign w:val="bottom"/>
            <w:tcBorders>
              <w:right w:val="single" w:sz="8" w:color="242424"/>
            </w:tcBorders>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6"/>
                <w:szCs w:val="16"/>
                <w:b w:val="1"/>
                <w:bCs w:val="1"/>
                <w:color w:val="283790"/>
              </w:rPr>
              <w:t xml:space="preserve">No Employment Contracts </w:t>
            </w:r>
            <w:r>
              <w:rPr>
                <w:rFonts w:ascii="Arial" w:cs="Arial" w:eastAsia="Arial" w:hAnsi="Arial"/>
                <w:sz w:val="16"/>
                <w:szCs w:val="16"/>
                <w:color w:val="000000"/>
              </w:rPr>
              <w:t>for</w:t>
            </w:r>
          </w:p>
        </w:tc>
        <w:tc>
          <w:tcPr>
            <w:tcW w:w="20" w:type="dxa"/>
            <w:vAlign w:val="bottom"/>
          </w:tcPr>
          <w:p>
            <w:pPr>
              <w:spacing w:after="0"/>
              <w:rPr>
                <w:sz w:val="24"/>
                <w:szCs w:val="24"/>
                <w:color w:val="auto"/>
              </w:rPr>
            </w:pPr>
          </w:p>
        </w:tc>
      </w:tr>
      <w:tr>
        <w:trPr>
          <w:trHeight w:val="189"/>
        </w:trPr>
        <w:tc>
          <w:tcPr>
            <w:tcW w:w="2800" w:type="dxa"/>
            <w:vAlign w:val="bottom"/>
            <w:gridSpan w:val="2"/>
          </w:tcPr>
          <w:p>
            <w:pPr>
              <w:ind w:left="20"/>
              <w:spacing w:after="0"/>
              <w:rPr>
                <w:sz w:val="20"/>
                <w:szCs w:val="20"/>
                <w:color w:val="auto"/>
              </w:rPr>
            </w:pPr>
            <w:r>
              <w:rPr>
                <w:rFonts w:ascii="Arial" w:cs="Arial" w:eastAsia="Arial" w:hAnsi="Arial"/>
                <w:sz w:val="16"/>
                <w:szCs w:val="16"/>
                <w:b w:val="1"/>
                <w:bCs w:val="1"/>
                <w:color w:val="29378D"/>
              </w:rPr>
              <w:t xml:space="preserve">Benchmarked </w:t>
            </w:r>
            <w:r>
              <w:rPr>
                <w:rFonts w:ascii="Arial" w:cs="Arial" w:eastAsia="Arial" w:hAnsi="Arial"/>
                <w:sz w:val="16"/>
                <w:szCs w:val="16"/>
                <w:color w:val="000000"/>
              </w:rPr>
              <w:t>at Market Median</w:t>
            </w:r>
          </w:p>
        </w:tc>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29378D"/>
              </w:rPr>
              <w:t xml:space="preserve">Payouts </w:t>
            </w:r>
            <w:r>
              <w:rPr>
                <w:rFonts w:ascii="Arial" w:cs="Arial" w:eastAsia="Arial" w:hAnsi="Arial"/>
                <w:sz w:val="16"/>
                <w:szCs w:val="16"/>
                <w:color w:val="000000"/>
              </w:rPr>
              <w:t>When We</w:t>
            </w:r>
            <w:r>
              <w:rPr>
                <w:rFonts w:ascii="Arial" w:cs="Arial" w:eastAsia="Arial" w:hAnsi="Arial"/>
                <w:sz w:val="16"/>
                <w:szCs w:val="16"/>
                <w:b w:val="1"/>
                <w:bCs w:val="1"/>
                <w:color w:val="29378D"/>
              </w:rPr>
              <w:t xml:space="preserve"> </w:t>
            </w:r>
            <w:r>
              <w:rPr>
                <w:rFonts w:ascii="Arial" w:cs="Arial" w:eastAsia="Arial" w:hAnsi="Arial"/>
                <w:sz w:val="16"/>
                <w:szCs w:val="16"/>
                <w:b w:val="1"/>
                <w:bCs w:val="1"/>
                <w:color w:val="00249C"/>
              </w:rPr>
              <w:t>Outperform</w:t>
            </w:r>
          </w:p>
        </w:tc>
        <w:tc>
          <w:tcPr>
            <w:tcW w:w="2640" w:type="dxa"/>
            <w:vAlign w:val="bottom"/>
          </w:tcPr>
          <w:p>
            <w:pPr>
              <w:spacing w:after="0"/>
              <w:rPr>
                <w:sz w:val="20"/>
                <w:szCs w:val="20"/>
                <w:color w:val="auto"/>
              </w:rPr>
            </w:pPr>
            <w:r>
              <w:rPr>
                <w:rFonts w:ascii="Arial" w:cs="Arial" w:eastAsia="Arial" w:hAnsi="Arial"/>
                <w:sz w:val="16"/>
                <w:szCs w:val="16"/>
                <w:color w:val="auto"/>
              </w:rPr>
              <w:t>Directly to Compensation and</w:t>
            </w:r>
          </w:p>
        </w:tc>
        <w:tc>
          <w:tcPr>
            <w:tcW w:w="180" w:type="dxa"/>
            <w:vAlign w:val="bottom"/>
            <w:tcBorders>
              <w:right w:val="single" w:sz="8" w:color="242424"/>
            </w:tcBorders>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Chief Executive Officer (CEO) or</w:t>
            </w:r>
          </w:p>
        </w:tc>
        <w:tc>
          <w:tcPr>
            <w:tcW w:w="20" w:type="dxa"/>
            <w:vAlign w:val="bottom"/>
          </w:tcPr>
          <w:p>
            <w:pPr>
              <w:spacing w:after="0"/>
              <w:rPr>
                <w:sz w:val="16"/>
                <w:szCs w:val="16"/>
                <w:color w:val="auto"/>
              </w:rPr>
            </w:pPr>
          </w:p>
        </w:tc>
      </w:tr>
      <w:tr>
        <w:trPr>
          <w:trHeight w:val="223"/>
        </w:trPr>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00249C"/>
              </w:rPr>
              <w:t>Our Peer Benchmarks</w:t>
            </w:r>
          </w:p>
        </w:tc>
        <w:tc>
          <w:tcPr>
            <w:tcW w:w="2640" w:type="dxa"/>
            <w:vAlign w:val="bottom"/>
          </w:tcPr>
          <w:p>
            <w:pPr>
              <w:spacing w:after="0"/>
              <w:rPr>
                <w:sz w:val="20"/>
                <w:szCs w:val="20"/>
                <w:color w:val="auto"/>
              </w:rPr>
            </w:pPr>
            <w:r>
              <w:rPr>
                <w:rFonts w:ascii="Arial" w:cs="Arial" w:eastAsia="Arial" w:hAnsi="Arial"/>
                <w:sz w:val="16"/>
                <w:szCs w:val="16"/>
                <w:color w:val="auto"/>
              </w:rPr>
              <w:t>Human Capital Committee</w:t>
            </w:r>
          </w:p>
        </w:tc>
        <w:tc>
          <w:tcPr>
            <w:tcW w:w="180" w:type="dxa"/>
            <w:vAlign w:val="bottom"/>
            <w:tcBorders>
              <w:right w:val="single" w:sz="8" w:color="242424"/>
            </w:tcBorders>
          </w:tcPr>
          <w:p>
            <w:pPr>
              <w:spacing w:after="0"/>
              <w:rPr>
                <w:sz w:val="19"/>
                <w:szCs w:val="19"/>
                <w:color w:val="auto"/>
              </w:rPr>
            </w:pPr>
          </w:p>
        </w:tc>
        <w:tc>
          <w:tcPr>
            <w:tcW w:w="14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Other NEOs</w:t>
            </w:r>
          </w:p>
        </w:tc>
        <w:tc>
          <w:tcPr>
            <w:tcW w:w="20" w:type="dxa"/>
            <w:vAlign w:val="bottom"/>
          </w:tcPr>
          <w:p>
            <w:pPr>
              <w:spacing w:after="0"/>
              <w:rPr>
                <w:sz w:val="19"/>
                <w:szCs w:val="19"/>
                <w:color w:val="auto"/>
              </w:rPr>
            </w:pPr>
          </w:p>
        </w:tc>
      </w:tr>
      <w:tr>
        <w:trPr>
          <w:trHeight w:val="102"/>
        </w:trPr>
        <w:tc>
          <w:tcPr>
            <w:tcW w:w="26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180" w:type="dxa"/>
            <w:vAlign w:val="bottom"/>
            <w:tcBorders>
              <w:right w:val="single" w:sz="8" w:color="242424"/>
            </w:tcBorders>
          </w:tcPr>
          <w:p>
            <w:pPr>
              <w:spacing w:after="0"/>
              <w:rPr>
                <w:sz w:val="8"/>
                <w:szCs w:val="8"/>
                <w:color w:val="auto"/>
              </w:rPr>
            </w:pPr>
          </w:p>
        </w:tc>
        <w:tc>
          <w:tcPr>
            <w:tcW w:w="140" w:type="dxa"/>
            <w:vAlign w:val="bottom"/>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90"/>
        </w:trPr>
        <w:tc>
          <w:tcPr>
            <w:tcW w:w="2800" w:type="dxa"/>
            <w:vAlign w:val="bottom"/>
            <w:gridSpan w:val="2"/>
          </w:tcPr>
          <w:p>
            <w:pPr>
              <w:ind w:left="20"/>
              <w:spacing w:after="0"/>
              <w:rPr>
                <w:sz w:val="20"/>
                <w:szCs w:val="20"/>
                <w:color w:val="auto"/>
              </w:rPr>
            </w:pPr>
            <w:r>
              <w:rPr>
                <w:rFonts w:ascii="Arial" w:cs="Arial" w:eastAsia="Arial" w:hAnsi="Arial"/>
                <w:sz w:val="16"/>
                <w:szCs w:val="16"/>
                <w:b w:val="1"/>
                <w:bCs w:val="1"/>
                <w:color w:val="283790"/>
              </w:rPr>
              <w:t xml:space="preserve">Recoupment Policy on Cash </w:t>
            </w:r>
            <w:r>
              <w:rPr>
                <w:rFonts w:ascii="Arial" w:cs="Arial" w:eastAsia="Arial" w:hAnsi="Arial"/>
                <w:sz w:val="16"/>
                <w:szCs w:val="16"/>
                <w:color w:val="000000"/>
              </w:rPr>
              <w:t>and</w:t>
            </w:r>
          </w:p>
        </w:tc>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283790"/>
              </w:rPr>
              <w:t>Dividends Paid Upon Vesting of</w:t>
            </w:r>
          </w:p>
        </w:tc>
        <w:tc>
          <w:tcPr>
            <w:tcW w:w="2640" w:type="dxa"/>
            <w:vAlign w:val="bottom"/>
          </w:tcPr>
          <w:p>
            <w:pPr>
              <w:spacing w:after="0"/>
              <w:rPr>
                <w:sz w:val="20"/>
                <w:szCs w:val="20"/>
                <w:color w:val="auto"/>
              </w:rPr>
            </w:pPr>
            <w:r>
              <w:rPr>
                <w:rFonts w:ascii="Arial" w:cs="Arial" w:eastAsia="Arial" w:hAnsi="Arial"/>
                <w:sz w:val="16"/>
                <w:szCs w:val="16"/>
                <w:b w:val="1"/>
                <w:bCs w:val="1"/>
                <w:color w:val="283790"/>
              </w:rPr>
              <w:t xml:space="preserve">Stock Ownership Guidelines </w:t>
            </w:r>
            <w:r>
              <w:rPr>
                <w:rFonts w:ascii="Arial" w:cs="Arial" w:eastAsia="Arial" w:hAnsi="Arial"/>
                <w:sz w:val="16"/>
                <w:szCs w:val="16"/>
                <w:color w:val="000000"/>
              </w:rPr>
              <w:t>and</w:t>
            </w:r>
          </w:p>
        </w:tc>
        <w:tc>
          <w:tcPr>
            <w:tcW w:w="180" w:type="dxa"/>
            <w:vAlign w:val="bottom"/>
            <w:tcBorders>
              <w:right w:val="single" w:sz="8" w:color="242424"/>
            </w:tcBorders>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6"/>
                <w:szCs w:val="16"/>
                <w:b w:val="1"/>
                <w:bCs w:val="1"/>
                <w:color w:val="283790"/>
              </w:rPr>
              <w:t xml:space="preserve">No Excise Tax Gross-ups </w:t>
            </w:r>
            <w:r>
              <w:rPr>
                <w:rFonts w:ascii="Arial" w:cs="Arial" w:eastAsia="Arial" w:hAnsi="Arial"/>
                <w:sz w:val="16"/>
                <w:szCs w:val="16"/>
                <w:color w:val="000000"/>
              </w:rPr>
              <w:t>for</w:t>
            </w:r>
          </w:p>
        </w:tc>
        <w:tc>
          <w:tcPr>
            <w:tcW w:w="20" w:type="dxa"/>
            <w:vAlign w:val="bottom"/>
          </w:tcPr>
          <w:p>
            <w:pPr>
              <w:spacing w:after="0"/>
              <w:rPr>
                <w:sz w:val="24"/>
                <w:szCs w:val="24"/>
                <w:color w:val="auto"/>
              </w:rPr>
            </w:pPr>
          </w:p>
        </w:tc>
      </w:tr>
      <w:tr>
        <w:trPr>
          <w:trHeight w:val="189"/>
        </w:trPr>
        <w:tc>
          <w:tcPr>
            <w:tcW w:w="2800" w:type="dxa"/>
            <w:vAlign w:val="bottom"/>
            <w:gridSpan w:val="2"/>
          </w:tcPr>
          <w:p>
            <w:pPr>
              <w:ind w:left="20"/>
              <w:spacing w:after="0"/>
              <w:rPr>
                <w:sz w:val="20"/>
                <w:szCs w:val="20"/>
                <w:color w:val="auto"/>
              </w:rPr>
            </w:pPr>
            <w:r>
              <w:rPr>
                <w:rFonts w:ascii="Arial" w:cs="Arial" w:eastAsia="Arial" w:hAnsi="Arial"/>
                <w:sz w:val="16"/>
                <w:szCs w:val="16"/>
                <w:b w:val="1"/>
                <w:bCs w:val="1"/>
                <w:color w:val="283790"/>
              </w:rPr>
              <w:t>Equity Incentive Compensation</w:t>
            </w:r>
          </w:p>
        </w:tc>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283790"/>
              </w:rPr>
              <w:t>Equity Awards</w:t>
            </w:r>
          </w:p>
        </w:tc>
        <w:tc>
          <w:tcPr>
            <w:tcW w:w="2640" w:type="dxa"/>
            <w:vAlign w:val="bottom"/>
          </w:tcPr>
          <w:p>
            <w:pPr>
              <w:spacing w:after="0"/>
              <w:rPr>
                <w:sz w:val="20"/>
                <w:szCs w:val="20"/>
                <w:color w:val="auto"/>
              </w:rPr>
            </w:pPr>
            <w:r>
              <w:rPr>
                <w:rFonts w:ascii="Arial" w:cs="Arial" w:eastAsia="Arial" w:hAnsi="Arial"/>
                <w:sz w:val="16"/>
                <w:szCs w:val="16"/>
                <w:b w:val="1"/>
                <w:bCs w:val="1"/>
                <w:color w:val="283790"/>
              </w:rPr>
              <w:t>Stock Holding Requirements</w:t>
            </w:r>
          </w:p>
        </w:tc>
        <w:tc>
          <w:tcPr>
            <w:tcW w:w="180" w:type="dxa"/>
            <w:vAlign w:val="bottom"/>
            <w:tcBorders>
              <w:right w:val="single" w:sz="8" w:color="242424"/>
            </w:tcBorders>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Payments Received Upon</w:t>
            </w:r>
          </w:p>
        </w:tc>
        <w:tc>
          <w:tcPr>
            <w:tcW w:w="20" w:type="dxa"/>
            <w:vAlign w:val="bottom"/>
          </w:tcPr>
          <w:p>
            <w:pPr>
              <w:spacing w:after="0"/>
              <w:rPr>
                <w:sz w:val="16"/>
                <w:szCs w:val="16"/>
                <w:color w:val="auto"/>
              </w:rPr>
            </w:pPr>
          </w:p>
        </w:tc>
      </w:tr>
      <w:tr>
        <w:trPr>
          <w:trHeight w:val="203"/>
        </w:trPr>
        <w:tc>
          <w:tcPr>
            <w:tcW w:w="2800" w:type="dxa"/>
            <w:vAlign w:val="bottom"/>
            <w:gridSpan w:val="2"/>
          </w:tcPr>
          <w:p>
            <w:pPr>
              <w:ind w:left="20"/>
              <w:spacing w:after="0"/>
              <w:rPr>
                <w:sz w:val="20"/>
                <w:szCs w:val="20"/>
                <w:color w:val="auto"/>
              </w:rPr>
            </w:pPr>
            <w:r>
              <w:rPr>
                <w:rFonts w:ascii="Arial" w:cs="Arial" w:eastAsia="Arial" w:hAnsi="Arial"/>
                <w:sz w:val="16"/>
                <w:szCs w:val="16"/>
                <w:b w:val="1"/>
                <w:bCs w:val="1"/>
                <w:color w:val="283790"/>
              </w:rPr>
              <w:t>Payments</w:t>
            </w:r>
          </w:p>
        </w:tc>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80" w:type="dxa"/>
            <w:vAlign w:val="bottom"/>
            <w:tcBorders>
              <w:right w:val="single" w:sz="8" w:color="242424"/>
            </w:tcBorders>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Termination After a Change in</w:t>
            </w:r>
          </w:p>
        </w:tc>
        <w:tc>
          <w:tcPr>
            <w:tcW w:w="20" w:type="dxa"/>
            <w:vAlign w:val="bottom"/>
          </w:tcPr>
          <w:p>
            <w:pPr>
              <w:spacing w:after="0"/>
              <w:rPr>
                <w:sz w:val="17"/>
                <w:szCs w:val="17"/>
                <w:color w:val="auto"/>
              </w:rPr>
            </w:pPr>
          </w:p>
        </w:tc>
      </w:tr>
      <w:tr>
        <w:trPr>
          <w:trHeight w:val="215"/>
        </w:trPr>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0" w:type="dxa"/>
            <w:vAlign w:val="bottom"/>
            <w:tcBorders>
              <w:right w:val="single" w:sz="8" w:color="242424"/>
            </w:tcBorders>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Control</w:t>
            </w:r>
          </w:p>
        </w:tc>
        <w:tc>
          <w:tcPr>
            <w:tcW w:w="20" w:type="dxa"/>
            <w:vAlign w:val="bottom"/>
          </w:tcPr>
          <w:p>
            <w:pPr>
              <w:spacing w:after="0"/>
              <w:rPr>
                <w:sz w:val="18"/>
                <w:szCs w:val="18"/>
                <w:color w:val="auto"/>
              </w:rPr>
            </w:pPr>
          </w:p>
        </w:tc>
      </w:tr>
      <w:tr>
        <w:trPr>
          <w:trHeight w:val="110"/>
        </w:trPr>
        <w:tc>
          <w:tcPr>
            <w:tcW w:w="26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180" w:type="dxa"/>
            <w:vAlign w:val="bottom"/>
            <w:tcBorders>
              <w:right w:val="single" w:sz="8" w:color="242424"/>
            </w:tcBorders>
          </w:tcPr>
          <w:p>
            <w:pPr>
              <w:spacing w:after="0"/>
              <w:rPr>
                <w:sz w:val="9"/>
                <w:szCs w:val="9"/>
                <w:color w:val="auto"/>
              </w:rPr>
            </w:pPr>
          </w:p>
        </w:tc>
        <w:tc>
          <w:tcPr>
            <w:tcW w:w="14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90"/>
        </w:trPr>
        <w:tc>
          <w:tcPr>
            <w:tcW w:w="2800" w:type="dxa"/>
            <w:vAlign w:val="bottom"/>
            <w:gridSpan w:val="2"/>
          </w:tcPr>
          <w:p>
            <w:pPr>
              <w:ind w:left="20"/>
              <w:spacing w:after="0"/>
              <w:rPr>
                <w:sz w:val="20"/>
                <w:szCs w:val="20"/>
                <w:color w:val="auto"/>
              </w:rPr>
            </w:pPr>
            <w:r>
              <w:rPr>
                <w:rFonts w:ascii="Arial" w:cs="Arial" w:eastAsia="Arial" w:hAnsi="Arial"/>
                <w:sz w:val="16"/>
                <w:szCs w:val="16"/>
                <w:b w:val="1"/>
                <w:bCs w:val="1"/>
                <w:color w:val="283790"/>
              </w:rPr>
              <w:t>LTIP Double Trigger Provisions</w:t>
            </w:r>
          </w:p>
        </w:tc>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283790"/>
              </w:rPr>
              <w:t>Regular Risk Assessments</w:t>
            </w:r>
          </w:p>
        </w:tc>
        <w:tc>
          <w:tcPr>
            <w:tcW w:w="2640" w:type="dxa"/>
            <w:vAlign w:val="bottom"/>
          </w:tcPr>
          <w:p>
            <w:pPr>
              <w:spacing w:after="0"/>
              <w:rPr>
                <w:sz w:val="20"/>
                <w:szCs w:val="20"/>
                <w:color w:val="auto"/>
              </w:rPr>
            </w:pPr>
            <w:r>
              <w:rPr>
                <w:rFonts w:ascii="Arial" w:cs="Arial" w:eastAsia="Arial" w:hAnsi="Arial"/>
                <w:sz w:val="16"/>
                <w:szCs w:val="16"/>
                <w:b w:val="1"/>
                <w:bCs w:val="1"/>
                <w:color w:val="283790"/>
              </w:rPr>
              <w:t xml:space="preserve">Cap on Annual Bonuses </w:t>
            </w:r>
            <w:r>
              <w:rPr>
                <w:rFonts w:ascii="Arial" w:cs="Arial" w:eastAsia="Arial" w:hAnsi="Arial"/>
                <w:sz w:val="16"/>
                <w:szCs w:val="16"/>
                <w:color w:val="000000"/>
              </w:rPr>
              <w:t>and</w:t>
            </w:r>
          </w:p>
        </w:tc>
        <w:tc>
          <w:tcPr>
            <w:tcW w:w="180" w:type="dxa"/>
            <w:vAlign w:val="bottom"/>
            <w:tcBorders>
              <w:right w:val="single" w:sz="8" w:color="242424"/>
            </w:tcBorders>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ind w:left="20"/>
              <w:spacing w:after="0"/>
              <w:rPr>
                <w:sz w:val="20"/>
                <w:szCs w:val="20"/>
                <w:color w:val="auto"/>
              </w:rPr>
            </w:pPr>
            <w:r>
              <w:rPr>
                <w:rFonts w:ascii="Arial" w:cs="Arial" w:eastAsia="Arial" w:hAnsi="Arial"/>
                <w:sz w:val="16"/>
                <w:szCs w:val="16"/>
                <w:b w:val="1"/>
                <w:bCs w:val="1"/>
                <w:color w:val="283790"/>
              </w:rPr>
              <w:t xml:space="preserve">No Hedging or Pledging </w:t>
            </w:r>
            <w:r>
              <w:rPr>
                <w:rFonts w:ascii="Arial" w:cs="Arial" w:eastAsia="Arial" w:hAnsi="Arial"/>
                <w:sz w:val="16"/>
                <w:szCs w:val="16"/>
                <w:color w:val="000000"/>
              </w:rPr>
              <w:t>of</w:t>
            </w:r>
          </w:p>
        </w:tc>
        <w:tc>
          <w:tcPr>
            <w:tcW w:w="20" w:type="dxa"/>
            <w:vAlign w:val="bottom"/>
          </w:tcPr>
          <w:p>
            <w:pPr>
              <w:spacing w:after="0"/>
              <w:rPr>
                <w:sz w:val="24"/>
                <w:szCs w:val="24"/>
                <w:color w:val="auto"/>
              </w:rPr>
            </w:pPr>
          </w:p>
        </w:tc>
      </w:tr>
      <w:tr>
        <w:trPr>
          <w:trHeight w:val="230"/>
        </w:trPr>
        <w:tc>
          <w:tcPr>
            <w:tcW w:w="2800" w:type="dxa"/>
            <w:vAlign w:val="bottom"/>
            <w:gridSpan w:val="2"/>
          </w:tcPr>
          <w:p>
            <w:pPr>
              <w:ind w:left="20"/>
              <w:spacing w:after="0"/>
              <w:rPr>
                <w:sz w:val="20"/>
                <w:szCs w:val="20"/>
                <w:color w:val="auto"/>
              </w:rPr>
            </w:pPr>
            <w:r>
              <w:rPr>
                <w:rFonts w:ascii="Arial" w:cs="Arial" w:eastAsia="Arial" w:hAnsi="Arial"/>
                <w:sz w:val="16"/>
                <w:szCs w:val="16"/>
                <w:color w:val="auto"/>
              </w:rPr>
              <w:t>for Change in Control</w:t>
            </w:r>
          </w:p>
        </w:tc>
        <w:tc>
          <w:tcPr>
            <w:tcW w:w="2820" w:type="dxa"/>
            <w:vAlign w:val="bottom"/>
            <w:gridSpan w:val="2"/>
          </w:tcPr>
          <w:p>
            <w:pPr>
              <w:ind w:left="20"/>
              <w:spacing w:after="0"/>
              <w:rPr>
                <w:sz w:val="20"/>
                <w:szCs w:val="20"/>
                <w:color w:val="auto"/>
              </w:rPr>
            </w:pPr>
            <w:r>
              <w:rPr>
                <w:rFonts w:ascii="Arial" w:cs="Arial" w:eastAsia="Arial" w:hAnsi="Arial"/>
                <w:sz w:val="16"/>
                <w:szCs w:val="16"/>
                <w:color w:val="auto"/>
              </w:rPr>
              <w:t>Performed</w:t>
            </w:r>
          </w:p>
        </w:tc>
        <w:tc>
          <w:tcPr>
            <w:tcW w:w="2640" w:type="dxa"/>
            <w:vAlign w:val="bottom"/>
          </w:tcPr>
          <w:p>
            <w:pPr>
              <w:spacing w:after="0"/>
              <w:rPr>
                <w:sz w:val="20"/>
                <w:szCs w:val="20"/>
                <w:color w:val="auto"/>
              </w:rPr>
            </w:pPr>
            <w:r>
              <w:rPr>
                <w:rFonts w:ascii="Arial" w:cs="Arial" w:eastAsia="Arial" w:hAnsi="Arial"/>
                <w:sz w:val="16"/>
                <w:szCs w:val="16"/>
                <w:b w:val="1"/>
                <w:bCs w:val="1"/>
                <w:color w:val="283790"/>
              </w:rPr>
              <w:t>RPSR Payouts</w:t>
            </w:r>
          </w:p>
        </w:tc>
        <w:tc>
          <w:tcPr>
            <w:tcW w:w="180" w:type="dxa"/>
            <w:vAlign w:val="bottom"/>
            <w:tcBorders>
              <w:right w:val="single" w:sz="8" w:color="242424"/>
            </w:tcBorders>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Arial" w:cs="Arial" w:eastAsia="Arial" w:hAnsi="Arial"/>
                <w:sz w:val="16"/>
                <w:szCs w:val="16"/>
                <w:color w:val="auto"/>
              </w:rPr>
              <w:t>Company Stock</w:t>
            </w:r>
          </w:p>
        </w:tc>
        <w:tc>
          <w:tcPr>
            <w:tcW w:w="20" w:type="dxa"/>
            <w:vAlign w:val="bottom"/>
          </w:tcPr>
          <w:p>
            <w:pPr>
              <w:spacing w:after="0"/>
              <w:rPr>
                <w:sz w:val="20"/>
                <w:szCs w:val="20"/>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How We Make Executive Compensation Decisions</w:t>
      </w:r>
    </w:p>
    <w:p>
      <w:pPr>
        <w:spacing w:after="0" w:line="123"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Our Compensation and Human Capital Committee leads a rigorous and continuous process evaluating our thoughtfully designed programs throughout the year to ensure that we maintain executive compensation programs that align with the interests of our shareholders.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20" w:type="dxa"/>
            <w:vAlign w:val="bottom"/>
            <w:tcBorders>
              <w:bottom w:val="single" w:sz="8" w:color="DFDEEE"/>
            </w:tcBorders>
            <w:shd w:val="clear" w:color="auto" w:fill="DFDEEE"/>
          </w:tcPr>
          <w:p>
            <w:pPr>
              <w:spacing w:after="0"/>
              <w:rPr>
                <w:sz w:val="12"/>
                <w:szCs w:val="12"/>
                <w:color w:val="auto"/>
              </w:rPr>
            </w:pPr>
          </w:p>
        </w:tc>
        <w:tc>
          <w:tcPr>
            <w:tcW w:w="5040" w:type="dxa"/>
            <w:vAlign w:val="bottom"/>
            <w:tcBorders>
              <w:bottom w:val="single" w:sz="8" w:color="DFDEEE"/>
            </w:tcBorders>
            <w:vMerge w:val="restart"/>
            <w:shd w:val="clear" w:color="auto" w:fill="DFDEEE"/>
          </w:tcPr>
          <w:p>
            <w:pPr>
              <w:ind w:left="2080"/>
              <w:spacing w:after="0"/>
              <w:rPr>
                <w:sz w:val="20"/>
                <w:szCs w:val="20"/>
                <w:color w:val="auto"/>
              </w:rPr>
            </w:pPr>
            <w:r>
              <w:rPr>
                <w:rFonts w:ascii="Arial" w:cs="Arial" w:eastAsia="Arial" w:hAnsi="Arial"/>
                <w:sz w:val="16"/>
                <w:szCs w:val="16"/>
                <w:b w:val="1"/>
                <w:bCs w:val="1"/>
                <w:color w:val="auto"/>
              </w:rPr>
              <w:t>Assess</w:t>
            </w:r>
          </w:p>
        </w:tc>
        <w:tc>
          <w:tcPr>
            <w:tcW w:w="520" w:type="dxa"/>
            <w:vAlign w:val="bottom"/>
            <w:tcBorders>
              <w:bottom w:val="single" w:sz="8" w:color="auto"/>
            </w:tcBorders>
          </w:tcPr>
          <w:p>
            <w:pPr>
              <w:spacing w:after="0"/>
              <w:rPr>
                <w:sz w:val="12"/>
                <w:szCs w:val="12"/>
                <w:color w:val="auto"/>
              </w:rPr>
            </w:pPr>
          </w:p>
        </w:tc>
        <w:tc>
          <w:tcPr>
            <w:tcW w:w="320" w:type="dxa"/>
            <w:vAlign w:val="bottom"/>
            <w:tcBorders>
              <w:bottom w:val="single" w:sz="8" w:color="C6C5DF"/>
            </w:tcBorders>
            <w:shd w:val="clear" w:color="auto" w:fill="C6C5DF"/>
          </w:tcPr>
          <w:p>
            <w:pPr>
              <w:spacing w:after="0"/>
              <w:rPr>
                <w:sz w:val="12"/>
                <w:szCs w:val="12"/>
                <w:color w:val="auto"/>
              </w:rPr>
            </w:pPr>
          </w:p>
        </w:tc>
        <w:tc>
          <w:tcPr>
            <w:tcW w:w="5040" w:type="dxa"/>
            <w:vAlign w:val="bottom"/>
            <w:tcBorders>
              <w:bottom w:val="single" w:sz="8" w:color="C6C5DF"/>
            </w:tcBorders>
            <w:vMerge w:val="restart"/>
            <w:shd w:val="clear" w:color="auto" w:fill="C6C5DF"/>
          </w:tcPr>
          <w:p>
            <w:pPr>
              <w:ind w:left="2000"/>
              <w:spacing w:after="0"/>
              <w:rPr>
                <w:sz w:val="20"/>
                <w:szCs w:val="20"/>
                <w:color w:val="auto"/>
              </w:rPr>
            </w:pPr>
            <w:r>
              <w:rPr>
                <w:rFonts w:ascii="Arial" w:cs="Arial" w:eastAsia="Arial" w:hAnsi="Arial"/>
                <w:sz w:val="16"/>
                <w:szCs w:val="16"/>
                <w:b w:val="1"/>
                <w:bCs w:val="1"/>
                <w:color w:val="auto"/>
              </w:rPr>
              <w:t>Establish</w:t>
            </w:r>
          </w:p>
        </w:tc>
        <w:tc>
          <w:tcPr>
            <w:tcW w:w="0" w:type="dxa"/>
            <w:vAlign w:val="bottom"/>
          </w:tcPr>
          <w:p>
            <w:pPr>
              <w:spacing w:after="0"/>
              <w:rPr>
                <w:sz w:val="1"/>
                <w:szCs w:val="1"/>
                <w:color w:val="auto"/>
              </w:rPr>
            </w:pPr>
          </w:p>
        </w:tc>
      </w:tr>
      <w:tr>
        <w:trPr>
          <w:trHeight w:val="108"/>
        </w:trPr>
        <w:tc>
          <w:tcPr>
            <w:tcW w:w="320" w:type="dxa"/>
            <w:vAlign w:val="bottom"/>
            <w:tcBorders>
              <w:bottom w:val="single" w:sz="8" w:color="DFDEEE"/>
            </w:tcBorders>
            <w:shd w:val="clear" w:color="auto" w:fill="DFDEEE"/>
          </w:tcPr>
          <w:p>
            <w:pPr>
              <w:spacing w:after="0"/>
              <w:rPr>
                <w:sz w:val="9"/>
                <w:szCs w:val="9"/>
                <w:color w:val="auto"/>
              </w:rPr>
            </w:pPr>
          </w:p>
        </w:tc>
        <w:tc>
          <w:tcPr>
            <w:tcW w:w="5040" w:type="dxa"/>
            <w:vAlign w:val="bottom"/>
            <w:tcBorders>
              <w:bottom w:val="single" w:sz="8" w:color="DFDEEE"/>
            </w:tcBorders>
            <w:vMerge w:val="continue"/>
            <w:shd w:val="clear" w:color="auto" w:fill="DFDEEE"/>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Borders>
              <w:bottom w:val="single" w:sz="8" w:color="C6C5DF"/>
            </w:tcBorders>
            <w:shd w:val="clear" w:color="auto" w:fill="C6C5DF"/>
          </w:tcPr>
          <w:p>
            <w:pPr>
              <w:spacing w:after="0"/>
              <w:rPr>
                <w:sz w:val="9"/>
                <w:szCs w:val="9"/>
                <w:color w:val="auto"/>
              </w:rPr>
            </w:pPr>
          </w:p>
        </w:tc>
        <w:tc>
          <w:tcPr>
            <w:tcW w:w="5040" w:type="dxa"/>
            <w:vAlign w:val="bottom"/>
            <w:tcBorders>
              <w:bottom w:val="single" w:sz="8" w:color="C6C5DF"/>
            </w:tcBorders>
            <w:vMerge w:val="continue"/>
            <w:shd w:val="clear" w:color="auto" w:fill="C6C5DF"/>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320" w:type="dxa"/>
            <w:vAlign w:val="bottom"/>
          </w:tcPr>
          <w:p>
            <w:pPr>
              <w:ind w:left="220"/>
              <w:spacing w:after="0"/>
              <w:rPr>
                <w:sz w:val="20"/>
                <w:szCs w:val="20"/>
                <w:color w:val="auto"/>
              </w:rPr>
            </w:pPr>
            <w:r>
              <w:rPr>
                <w:rFonts w:ascii="Arial" w:cs="Arial" w:eastAsia="Arial" w:hAnsi="Arial"/>
                <w:sz w:val="16"/>
                <w:szCs w:val="16"/>
                <w:b w:val="1"/>
                <w:bCs w:val="1"/>
                <w:color w:val="29378D"/>
              </w:rPr>
              <w:t>•</w:t>
            </w:r>
          </w:p>
        </w:tc>
        <w:tc>
          <w:tcPr>
            <w:tcW w:w="5040" w:type="dxa"/>
            <w:vAlign w:val="bottom"/>
          </w:tcPr>
          <w:p>
            <w:pPr>
              <w:ind w:left="40"/>
              <w:spacing w:after="0"/>
              <w:rPr>
                <w:sz w:val="20"/>
                <w:szCs w:val="20"/>
                <w:color w:val="auto"/>
              </w:rPr>
            </w:pPr>
            <w:r>
              <w:rPr>
                <w:rFonts w:ascii="Arial" w:cs="Arial" w:eastAsia="Arial" w:hAnsi="Arial"/>
                <w:sz w:val="16"/>
                <w:szCs w:val="16"/>
                <w:color w:val="auto"/>
              </w:rPr>
              <w:t>Feedback from annual say-on-pay vote from shareholder outreach</w:t>
            </w:r>
          </w:p>
        </w:tc>
        <w:tc>
          <w:tcPr>
            <w:tcW w:w="520" w:type="dxa"/>
            <w:vAlign w:val="bottom"/>
          </w:tcPr>
          <w:p>
            <w:pPr>
              <w:spacing w:after="0"/>
              <w:rPr>
                <w:sz w:val="24"/>
                <w:szCs w:val="24"/>
                <w:color w:val="auto"/>
              </w:rPr>
            </w:pPr>
          </w:p>
        </w:tc>
        <w:tc>
          <w:tcPr>
            <w:tcW w:w="320" w:type="dxa"/>
            <w:vAlign w:val="bottom"/>
          </w:tcPr>
          <w:p>
            <w:pPr>
              <w:ind w:left="220"/>
              <w:spacing w:after="0"/>
              <w:rPr>
                <w:sz w:val="20"/>
                <w:szCs w:val="20"/>
                <w:color w:val="auto"/>
              </w:rPr>
            </w:pPr>
            <w:r>
              <w:rPr>
                <w:rFonts w:ascii="Arial" w:cs="Arial" w:eastAsia="Arial" w:hAnsi="Arial"/>
                <w:sz w:val="16"/>
                <w:szCs w:val="16"/>
                <w:b w:val="1"/>
                <w:bCs w:val="1"/>
                <w:color w:val="29378D"/>
              </w:rPr>
              <w:t>•</w:t>
            </w:r>
          </w:p>
        </w:tc>
        <w:tc>
          <w:tcPr>
            <w:tcW w:w="5040" w:type="dxa"/>
            <w:vAlign w:val="bottom"/>
          </w:tcPr>
          <w:p>
            <w:pPr>
              <w:ind w:left="40"/>
              <w:spacing w:after="0"/>
              <w:rPr>
                <w:sz w:val="20"/>
                <w:szCs w:val="20"/>
                <w:color w:val="auto"/>
              </w:rPr>
            </w:pPr>
            <w:r>
              <w:rPr>
                <w:rFonts w:ascii="Arial" w:cs="Arial" w:eastAsia="Arial" w:hAnsi="Arial"/>
                <w:sz w:val="16"/>
                <w:szCs w:val="16"/>
                <w:color w:val="auto"/>
              </w:rPr>
              <w:t>Performance metrics for AIP and RPSRs</w:t>
            </w:r>
          </w:p>
        </w:tc>
        <w:tc>
          <w:tcPr>
            <w:tcW w:w="0" w:type="dxa"/>
            <w:vAlign w:val="bottom"/>
          </w:tcPr>
          <w:p>
            <w:pPr>
              <w:spacing w:after="0"/>
              <w:rPr>
                <w:sz w:val="1"/>
                <w:szCs w:val="1"/>
                <w:color w:val="auto"/>
              </w:rPr>
            </w:pPr>
          </w:p>
        </w:tc>
      </w:tr>
      <w:tr>
        <w:trPr>
          <w:trHeight w:val="270"/>
        </w:trPr>
        <w:tc>
          <w:tcPr>
            <w:tcW w:w="320" w:type="dxa"/>
            <w:vAlign w:val="bottom"/>
          </w:tcPr>
          <w:p>
            <w:pPr>
              <w:ind w:left="220"/>
              <w:spacing w:after="0"/>
              <w:rPr>
                <w:sz w:val="20"/>
                <w:szCs w:val="20"/>
                <w:color w:val="auto"/>
              </w:rPr>
            </w:pPr>
            <w:r>
              <w:rPr>
                <w:rFonts w:ascii="Arial" w:cs="Arial" w:eastAsia="Arial" w:hAnsi="Arial"/>
                <w:sz w:val="16"/>
                <w:szCs w:val="16"/>
                <w:b w:val="1"/>
                <w:bCs w:val="1"/>
                <w:color w:val="29378D"/>
              </w:rPr>
              <w:t>•</w:t>
            </w:r>
          </w:p>
        </w:tc>
        <w:tc>
          <w:tcPr>
            <w:tcW w:w="5040" w:type="dxa"/>
            <w:vAlign w:val="bottom"/>
          </w:tcPr>
          <w:p>
            <w:pPr>
              <w:ind w:left="40"/>
              <w:spacing w:after="0"/>
              <w:rPr>
                <w:sz w:val="20"/>
                <w:szCs w:val="20"/>
                <w:color w:val="auto"/>
              </w:rPr>
            </w:pPr>
            <w:r>
              <w:rPr>
                <w:rFonts w:ascii="Arial" w:cs="Arial" w:eastAsia="Arial" w:hAnsi="Arial"/>
                <w:sz w:val="16"/>
                <w:szCs w:val="16"/>
                <w:color w:val="auto"/>
              </w:rPr>
              <w:t>Market data with Independent Compensation Consultant</w:t>
            </w:r>
          </w:p>
        </w:tc>
        <w:tc>
          <w:tcPr>
            <w:tcW w:w="520" w:type="dxa"/>
            <w:vAlign w:val="bottom"/>
          </w:tcPr>
          <w:p>
            <w:pPr>
              <w:spacing w:after="0"/>
              <w:rPr>
                <w:sz w:val="23"/>
                <w:szCs w:val="23"/>
                <w:color w:val="auto"/>
              </w:rPr>
            </w:pPr>
          </w:p>
        </w:tc>
        <w:tc>
          <w:tcPr>
            <w:tcW w:w="320" w:type="dxa"/>
            <w:vAlign w:val="bottom"/>
          </w:tcPr>
          <w:p>
            <w:pPr>
              <w:ind w:left="220"/>
              <w:spacing w:after="0"/>
              <w:rPr>
                <w:sz w:val="20"/>
                <w:szCs w:val="20"/>
                <w:color w:val="auto"/>
              </w:rPr>
            </w:pPr>
            <w:r>
              <w:rPr>
                <w:rFonts w:ascii="Arial" w:cs="Arial" w:eastAsia="Arial" w:hAnsi="Arial"/>
                <w:sz w:val="16"/>
                <w:szCs w:val="16"/>
                <w:b w:val="1"/>
                <w:bCs w:val="1"/>
                <w:color w:val="29378D"/>
              </w:rPr>
              <w:t>•</w:t>
            </w:r>
          </w:p>
        </w:tc>
        <w:tc>
          <w:tcPr>
            <w:tcW w:w="5040" w:type="dxa"/>
            <w:vAlign w:val="bottom"/>
          </w:tcPr>
          <w:p>
            <w:pPr>
              <w:ind w:left="40"/>
              <w:spacing w:after="0"/>
              <w:rPr>
                <w:sz w:val="20"/>
                <w:szCs w:val="20"/>
                <w:color w:val="auto"/>
              </w:rPr>
            </w:pPr>
            <w:r>
              <w:rPr>
                <w:rFonts w:ascii="Arial" w:cs="Arial" w:eastAsia="Arial" w:hAnsi="Arial"/>
                <w:sz w:val="16"/>
                <w:szCs w:val="16"/>
                <w:color w:val="auto"/>
              </w:rPr>
              <w:t>Relevant compensation and performance peer groups</w:t>
            </w:r>
          </w:p>
        </w:tc>
        <w:tc>
          <w:tcPr>
            <w:tcW w:w="0" w:type="dxa"/>
            <w:vAlign w:val="bottom"/>
          </w:tcPr>
          <w:p>
            <w:pPr>
              <w:spacing w:after="0"/>
              <w:rPr>
                <w:sz w:val="1"/>
                <w:szCs w:val="1"/>
                <w:color w:val="auto"/>
              </w:rPr>
            </w:pPr>
          </w:p>
        </w:tc>
      </w:tr>
      <w:tr>
        <w:trPr>
          <w:trHeight w:val="236"/>
        </w:trPr>
        <w:tc>
          <w:tcPr>
            <w:tcW w:w="320" w:type="dxa"/>
            <w:vAlign w:val="bottom"/>
          </w:tcPr>
          <w:p>
            <w:pPr>
              <w:ind w:left="220"/>
              <w:spacing w:after="0"/>
              <w:rPr>
                <w:sz w:val="20"/>
                <w:szCs w:val="20"/>
                <w:color w:val="auto"/>
              </w:rPr>
            </w:pPr>
            <w:r>
              <w:rPr>
                <w:rFonts w:ascii="Arial" w:cs="Arial" w:eastAsia="Arial" w:hAnsi="Arial"/>
                <w:sz w:val="16"/>
                <w:szCs w:val="16"/>
                <w:b w:val="1"/>
                <w:bCs w:val="1"/>
                <w:color w:val="29378D"/>
              </w:rPr>
              <w:t>•</w:t>
            </w:r>
          </w:p>
        </w:tc>
        <w:tc>
          <w:tcPr>
            <w:tcW w:w="5040" w:type="dxa"/>
            <w:vAlign w:val="bottom"/>
          </w:tcPr>
          <w:p>
            <w:pPr>
              <w:ind w:left="40"/>
              <w:spacing w:after="0"/>
              <w:rPr>
                <w:sz w:val="20"/>
                <w:szCs w:val="20"/>
                <w:color w:val="auto"/>
              </w:rPr>
            </w:pPr>
            <w:r>
              <w:rPr>
                <w:rFonts w:ascii="Arial" w:cs="Arial" w:eastAsia="Arial" w:hAnsi="Arial"/>
                <w:sz w:val="16"/>
                <w:szCs w:val="16"/>
                <w:color w:val="auto"/>
              </w:rPr>
              <w:t>Alignment of our financial and non-financial performance metrics</w:t>
            </w:r>
          </w:p>
        </w:tc>
        <w:tc>
          <w:tcPr>
            <w:tcW w:w="520" w:type="dxa"/>
            <w:vAlign w:val="bottom"/>
          </w:tcPr>
          <w:p>
            <w:pPr>
              <w:spacing w:after="0"/>
              <w:rPr>
                <w:sz w:val="20"/>
                <w:szCs w:val="20"/>
                <w:color w:val="auto"/>
              </w:rPr>
            </w:pPr>
          </w:p>
        </w:tc>
        <w:tc>
          <w:tcPr>
            <w:tcW w:w="320" w:type="dxa"/>
            <w:vAlign w:val="bottom"/>
          </w:tcPr>
          <w:p>
            <w:pPr>
              <w:ind w:left="220"/>
              <w:spacing w:after="0"/>
              <w:rPr>
                <w:sz w:val="20"/>
                <w:szCs w:val="20"/>
                <w:color w:val="auto"/>
              </w:rPr>
            </w:pPr>
            <w:r>
              <w:rPr>
                <w:rFonts w:ascii="Arial" w:cs="Arial" w:eastAsia="Arial" w:hAnsi="Arial"/>
                <w:sz w:val="16"/>
                <w:szCs w:val="16"/>
                <w:b w:val="1"/>
                <w:bCs w:val="1"/>
                <w:color w:val="29378D"/>
              </w:rPr>
              <w:t>•</w:t>
            </w:r>
          </w:p>
        </w:tc>
        <w:tc>
          <w:tcPr>
            <w:tcW w:w="5040" w:type="dxa"/>
            <w:vAlign w:val="bottom"/>
          </w:tcPr>
          <w:p>
            <w:pPr>
              <w:ind w:left="40"/>
              <w:spacing w:after="0"/>
              <w:rPr>
                <w:sz w:val="20"/>
                <w:szCs w:val="20"/>
                <w:color w:val="auto"/>
              </w:rPr>
            </w:pPr>
            <w:r>
              <w:rPr>
                <w:rFonts w:ascii="Arial" w:cs="Arial" w:eastAsia="Arial" w:hAnsi="Arial"/>
                <w:sz w:val="16"/>
                <w:szCs w:val="16"/>
                <w:color w:val="auto"/>
              </w:rPr>
              <w:t>Annual salary, target AIP and target LTIP awards</w:t>
            </w: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6"/>
                <w:szCs w:val="16"/>
                <w:color w:val="auto"/>
              </w:rPr>
              <w:t>with our overall strategy</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140575" cy="16630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0575" cy="1663065"/>
                    </a:xfrm>
                    <a:prstGeom prst="rect">
                      <a:avLst/>
                    </a:prstGeom>
                    <a:noFill/>
                  </pic:spPr>
                </pic:pic>
              </a:graphicData>
            </a:graphic>
          </wp:anchor>
        </w:drawing>
      </w:r>
    </w:p>
    <w:p>
      <w:pPr>
        <w:spacing w:after="0" w:line="35" w:lineRule="exact"/>
        <w:rPr>
          <w:sz w:val="20"/>
          <w:szCs w:val="20"/>
          <w:color w:val="auto"/>
        </w:rPr>
      </w:pPr>
    </w:p>
    <w:p>
      <w:pPr>
        <w:ind w:left="360" w:hanging="140"/>
        <w:spacing w:after="0"/>
        <w:tabs>
          <w:tab w:leader="none" w:pos="360" w:val="left"/>
        </w:tabs>
        <w:numPr>
          <w:ilvl w:val="0"/>
          <w:numId w:val="110"/>
        </w:numPr>
        <w:rPr>
          <w:rFonts w:ascii="Arial" w:cs="Arial" w:eastAsia="Arial" w:hAnsi="Arial"/>
          <w:sz w:val="16"/>
          <w:szCs w:val="16"/>
          <w:b w:val="1"/>
          <w:bCs w:val="1"/>
          <w:color w:val="29378D"/>
        </w:rPr>
      </w:pPr>
      <w:r>
        <w:rPr>
          <w:rFonts w:ascii="Arial" w:cs="Arial" w:eastAsia="Arial" w:hAnsi="Arial"/>
          <w:sz w:val="16"/>
          <w:szCs w:val="16"/>
          <w:color w:val="auto"/>
        </w:rPr>
        <w:t>Annual independent risk review of compensation structure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29378D"/>
        </w:rPr>
        <w:t>Rigorous Committee Oversight</w:t>
      </w:r>
    </w:p>
    <w:p>
      <w:pPr>
        <w:sectPr>
          <w:pgSz w:w="11900" w:h="16838" w:orient="portrait"/>
          <w:cols w:equalWidth="0" w:num="1">
            <w:col w:w="11260"/>
          </w:cols>
          <w:pgMar w:left="320" w:top="238" w:right="319" w:bottom="1440" w:gutter="0" w:footer="0" w:header="0"/>
        </w:sectPr>
      </w:pPr>
    </w:p>
    <w:p>
      <w:pPr>
        <w:spacing w:after="0" w:line="304"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FFFFFF"/>
        </w:rPr>
        <w:t>Approve</w:t>
      </w:r>
    </w:p>
    <w:p>
      <w:pPr>
        <w:spacing w:after="0" w:line="275" w:lineRule="exact"/>
        <w:rPr>
          <w:sz w:val="20"/>
          <w:szCs w:val="20"/>
          <w:color w:val="auto"/>
        </w:rPr>
      </w:pPr>
    </w:p>
    <w:p>
      <w:pPr>
        <w:ind w:left="360" w:hanging="140"/>
        <w:spacing w:after="0"/>
        <w:tabs>
          <w:tab w:leader="none" w:pos="360" w:val="left"/>
        </w:tabs>
        <w:numPr>
          <w:ilvl w:val="0"/>
          <w:numId w:val="111"/>
        </w:numPr>
        <w:rPr>
          <w:rFonts w:ascii="Arial" w:cs="Arial" w:eastAsia="Arial" w:hAnsi="Arial"/>
          <w:sz w:val="16"/>
          <w:szCs w:val="16"/>
          <w:b w:val="1"/>
          <w:bCs w:val="1"/>
          <w:color w:val="29378D"/>
        </w:rPr>
      </w:pPr>
      <w:r>
        <w:rPr>
          <w:rFonts w:ascii="Arial" w:cs="Arial" w:eastAsia="Arial" w:hAnsi="Arial"/>
          <w:sz w:val="16"/>
          <w:szCs w:val="16"/>
          <w:color w:val="auto"/>
        </w:rPr>
        <w:t>AIP and RPSR performance metric results</w:t>
      </w:r>
    </w:p>
    <w:p>
      <w:pPr>
        <w:spacing w:after="0" w:line="86" w:lineRule="exact"/>
        <w:rPr>
          <w:rFonts w:ascii="Arial" w:cs="Arial" w:eastAsia="Arial" w:hAnsi="Arial"/>
          <w:sz w:val="16"/>
          <w:szCs w:val="16"/>
          <w:b w:val="1"/>
          <w:bCs w:val="1"/>
          <w:color w:val="29378D"/>
        </w:rPr>
      </w:pPr>
    </w:p>
    <w:p>
      <w:pPr>
        <w:ind w:left="420" w:right="153" w:hanging="200"/>
        <w:spacing w:after="0" w:line="286" w:lineRule="auto"/>
        <w:tabs>
          <w:tab w:leader="none" w:pos="363" w:val="left"/>
        </w:tabs>
        <w:numPr>
          <w:ilvl w:val="0"/>
          <w:numId w:val="111"/>
        </w:numPr>
        <w:rPr>
          <w:rFonts w:ascii="Arial" w:cs="Arial" w:eastAsia="Arial" w:hAnsi="Arial"/>
          <w:sz w:val="16"/>
          <w:szCs w:val="16"/>
          <w:b w:val="1"/>
          <w:bCs w:val="1"/>
          <w:color w:val="29378D"/>
        </w:rPr>
      </w:pPr>
      <w:r>
        <w:rPr>
          <w:rFonts w:ascii="Arial" w:cs="Arial" w:eastAsia="Arial" w:hAnsi="Arial"/>
          <w:sz w:val="16"/>
          <w:szCs w:val="16"/>
          <w:color w:val="auto"/>
        </w:rPr>
        <w:t>Final total compensation for NEOs (recommend CEO compensation to independent board members for approval)</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2167"/>
        <w:spacing w:after="0"/>
        <w:rPr>
          <w:sz w:val="20"/>
          <w:szCs w:val="20"/>
          <w:color w:val="auto"/>
        </w:rPr>
      </w:pPr>
      <w:r>
        <w:rPr>
          <w:rFonts w:ascii="Arial" w:cs="Arial" w:eastAsia="Arial" w:hAnsi="Arial"/>
          <w:sz w:val="16"/>
          <w:szCs w:val="16"/>
          <w:b w:val="1"/>
          <w:bCs w:val="1"/>
          <w:color w:val="FFFFFF"/>
        </w:rPr>
        <w:t>Monitor</w:t>
      </w:r>
    </w:p>
    <w:p>
      <w:pPr>
        <w:spacing w:after="0" w:line="275" w:lineRule="exact"/>
        <w:rPr>
          <w:sz w:val="20"/>
          <w:szCs w:val="20"/>
          <w:color w:val="auto"/>
        </w:rPr>
      </w:pPr>
    </w:p>
    <w:p>
      <w:pPr>
        <w:ind w:left="147" w:hanging="147"/>
        <w:spacing w:after="0"/>
        <w:tabs>
          <w:tab w:leader="none" w:pos="147" w:val="left"/>
        </w:tabs>
        <w:numPr>
          <w:ilvl w:val="0"/>
          <w:numId w:val="112"/>
        </w:numPr>
        <w:rPr>
          <w:rFonts w:ascii="Arial" w:cs="Arial" w:eastAsia="Arial" w:hAnsi="Arial"/>
          <w:sz w:val="16"/>
          <w:szCs w:val="16"/>
          <w:b w:val="1"/>
          <w:bCs w:val="1"/>
          <w:color w:val="29378D"/>
        </w:rPr>
      </w:pPr>
      <w:r>
        <w:rPr>
          <w:rFonts w:ascii="Arial" w:cs="Arial" w:eastAsia="Arial" w:hAnsi="Arial"/>
          <w:sz w:val="16"/>
          <w:szCs w:val="16"/>
          <w:color w:val="auto"/>
        </w:rPr>
        <w:t>Progress against AIP and RPSR performance metrics</w:t>
      </w:r>
    </w:p>
    <w:p>
      <w:pPr>
        <w:spacing w:after="0" w:line="86" w:lineRule="exact"/>
        <w:rPr>
          <w:rFonts w:ascii="Arial" w:cs="Arial" w:eastAsia="Arial" w:hAnsi="Arial"/>
          <w:sz w:val="16"/>
          <w:szCs w:val="16"/>
          <w:b w:val="1"/>
          <w:bCs w:val="1"/>
          <w:color w:val="29378D"/>
        </w:rPr>
      </w:pPr>
    </w:p>
    <w:p>
      <w:pPr>
        <w:ind w:left="147" w:hanging="147"/>
        <w:spacing w:after="0"/>
        <w:tabs>
          <w:tab w:leader="none" w:pos="147" w:val="left"/>
        </w:tabs>
        <w:numPr>
          <w:ilvl w:val="0"/>
          <w:numId w:val="112"/>
        </w:numPr>
        <w:rPr>
          <w:rFonts w:ascii="Arial" w:cs="Arial" w:eastAsia="Arial" w:hAnsi="Arial"/>
          <w:sz w:val="16"/>
          <w:szCs w:val="16"/>
          <w:b w:val="1"/>
          <w:bCs w:val="1"/>
          <w:color w:val="29378D"/>
        </w:rPr>
      </w:pPr>
      <w:r>
        <w:rPr>
          <w:rFonts w:ascii="Arial" w:cs="Arial" w:eastAsia="Arial" w:hAnsi="Arial"/>
          <w:sz w:val="16"/>
          <w:szCs w:val="16"/>
          <w:color w:val="auto"/>
        </w:rPr>
        <w:t>NEO performance</w:t>
      </w:r>
    </w:p>
    <w:p>
      <w:pPr>
        <w:spacing w:after="0" w:line="86" w:lineRule="exact"/>
        <w:rPr>
          <w:rFonts w:ascii="Arial" w:cs="Arial" w:eastAsia="Arial" w:hAnsi="Arial"/>
          <w:sz w:val="16"/>
          <w:szCs w:val="16"/>
          <w:b w:val="1"/>
          <w:bCs w:val="1"/>
          <w:color w:val="29378D"/>
        </w:rPr>
      </w:pPr>
    </w:p>
    <w:p>
      <w:pPr>
        <w:ind w:left="147" w:hanging="147"/>
        <w:spacing w:after="0"/>
        <w:tabs>
          <w:tab w:leader="none" w:pos="147" w:val="left"/>
        </w:tabs>
        <w:numPr>
          <w:ilvl w:val="0"/>
          <w:numId w:val="112"/>
        </w:numPr>
        <w:rPr>
          <w:rFonts w:ascii="Arial" w:cs="Arial" w:eastAsia="Arial" w:hAnsi="Arial"/>
          <w:sz w:val="16"/>
          <w:szCs w:val="16"/>
          <w:b w:val="1"/>
          <w:bCs w:val="1"/>
          <w:color w:val="29378D"/>
        </w:rPr>
      </w:pPr>
      <w:r>
        <w:rPr>
          <w:rFonts w:ascii="Arial" w:cs="Arial" w:eastAsia="Arial" w:hAnsi="Arial"/>
          <w:sz w:val="16"/>
          <w:szCs w:val="16"/>
          <w:color w:val="auto"/>
        </w:rPr>
        <w:t>Company policies and practices with respect to human capital risks</w:t>
      </w:r>
    </w:p>
    <w:p>
      <w:pPr>
        <w:spacing w:after="0" w:line="200" w:lineRule="exact"/>
        <w:rPr>
          <w:sz w:val="20"/>
          <w:szCs w:val="20"/>
          <w:color w:val="auto"/>
        </w:rPr>
      </w:pPr>
    </w:p>
    <w:p>
      <w:pPr>
        <w:sectPr>
          <w:pgSz w:w="11900" w:h="16838" w:orient="portrait"/>
          <w:cols w:equalWidth="0" w:num="2">
            <w:col w:w="5373" w:space="720"/>
            <w:col w:w="5167"/>
          </w:cols>
          <w:pgMar w:left="320" w:top="23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0" w:hanging="494"/>
        <w:spacing w:after="0"/>
        <w:tabs>
          <w:tab w:leader="none" w:pos="520" w:val="left"/>
        </w:tabs>
        <w:numPr>
          <w:ilvl w:val="0"/>
          <w:numId w:val="113"/>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8" w:right="31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29378D"/>
        </w:rPr>
        <w:t>Roles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69519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695198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28" w:lineRule="exact"/>
        <w:rPr>
          <w:sz w:val="20"/>
          <w:szCs w:val="20"/>
          <w:color w:val="auto"/>
        </w:rPr>
      </w:pPr>
    </w:p>
    <w:p>
      <w:pPr>
        <w:ind w:left="20"/>
        <w:spacing w:after="0" w:line="267" w:lineRule="auto"/>
        <w:rPr>
          <w:sz w:val="20"/>
          <w:szCs w:val="20"/>
          <w:color w:val="auto"/>
        </w:rPr>
      </w:pPr>
      <w:r>
        <w:rPr>
          <w:rFonts w:ascii="Arial" w:cs="Arial" w:eastAsia="Arial" w:hAnsi="Arial"/>
          <w:sz w:val="14"/>
          <w:szCs w:val="14"/>
          <w:b w:val="1"/>
          <w:bCs w:val="1"/>
          <w:color w:val="0A2299"/>
        </w:rPr>
        <w:t>COMPENSATION AND HUMAN CAPITAL COMMITTEE</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left="202" w:right="380" w:hanging="202"/>
        <w:spacing w:after="0" w:line="299" w:lineRule="auto"/>
        <w:tabs>
          <w:tab w:leader="none" w:pos="145" w:val="left"/>
        </w:tabs>
        <w:numPr>
          <w:ilvl w:val="0"/>
          <w:numId w:val="114"/>
        </w:numPr>
        <w:rPr>
          <w:rFonts w:ascii="Arial" w:cs="Arial" w:eastAsia="Arial" w:hAnsi="Arial"/>
          <w:sz w:val="16"/>
          <w:szCs w:val="16"/>
          <w:b w:val="1"/>
          <w:bCs w:val="1"/>
          <w:color w:val="29378D"/>
        </w:rPr>
      </w:pPr>
      <w:r>
        <w:rPr>
          <w:rFonts w:ascii="Arial" w:cs="Arial" w:eastAsia="Arial" w:hAnsi="Arial"/>
          <w:sz w:val="16"/>
          <w:szCs w:val="16"/>
          <w:color w:val="auto"/>
        </w:rPr>
        <w:t>Oversees our compensation policies, incentive and equity compensation plans and approves payments or grants under these plans and the compensation for the elected officers, other than the CEO.</w:t>
      </w:r>
    </w:p>
    <w:p>
      <w:pPr>
        <w:ind w:left="202" w:right="720" w:hanging="202"/>
        <w:spacing w:after="0" w:line="299" w:lineRule="auto"/>
        <w:tabs>
          <w:tab w:leader="none" w:pos="145" w:val="left"/>
        </w:tabs>
        <w:numPr>
          <w:ilvl w:val="0"/>
          <w:numId w:val="114"/>
        </w:numPr>
        <w:rPr>
          <w:rFonts w:ascii="Arial" w:cs="Arial" w:eastAsia="Arial" w:hAnsi="Arial"/>
          <w:sz w:val="16"/>
          <w:szCs w:val="16"/>
          <w:b w:val="1"/>
          <w:bCs w:val="1"/>
          <w:color w:val="29378D"/>
        </w:rPr>
      </w:pPr>
      <w:r>
        <w:rPr>
          <w:rFonts w:ascii="Arial" w:cs="Arial" w:eastAsia="Arial" w:hAnsi="Arial"/>
          <w:sz w:val="16"/>
          <w:szCs w:val="16"/>
          <w:color w:val="auto"/>
        </w:rPr>
        <w:t>Recommends the base, bonus, and equity compensation for the CEO to the independent directors of the Board for approval.</w:t>
      </w:r>
    </w:p>
    <w:p>
      <w:pPr>
        <w:ind w:left="142" w:hanging="142"/>
        <w:spacing w:after="0"/>
        <w:tabs>
          <w:tab w:leader="none" w:pos="142" w:val="left"/>
        </w:tabs>
        <w:numPr>
          <w:ilvl w:val="0"/>
          <w:numId w:val="114"/>
        </w:numPr>
        <w:rPr>
          <w:rFonts w:ascii="Arial" w:cs="Arial" w:eastAsia="Arial" w:hAnsi="Arial"/>
          <w:sz w:val="16"/>
          <w:szCs w:val="16"/>
          <w:b w:val="1"/>
          <w:bCs w:val="1"/>
          <w:color w:val="29378D"/>
        </w:rPr>
      </w:pPr>
      <w:r>
        <w:rPr>
          <w:rFonts w:ascii="Arial" w:cs="Arial" w:eastAsia="Arial" w:hAnsi="Arial"/>
          <w:sz w:val="16"/>
          <w:szCs w:val="16"/>
          <w:color w:val="auto"/>
        </w:rPr>
        <w:t>Reviews market data and other input from its Independent Compensation Consultant.</w:t>
      </w:r>
    </w:p>
    <w:p>
      <w:pPr>
        <w:spacing w:after="0" w:line="86" w:lineRule="exact"/>
        <w:rPr>
          <w:rFonts w:ascii="Arial" w:cs="Arial" w:eastAsia="Arial" w:hAnsi="Arial"/>
          <w:sz w:val="16"/>
          <w:szCs w:val="16"/>
          <w:b w:val="1"/>
          <w:bCs w:val="1"/>
          <w:color w:val="29378D"/>
        </w:rPr>
      </w:pPr>
    </w:p>
    <w:p>
      <w:pPr>
        <w:ind w:left="202" w:right="640" w:hanging="202"/>
        <w:spacing w:after="0" w:line="299" w:lineRule="auto"/>
        <w:tabs>
          <w:tab w:leader="none" w:pos="145" w:val="left"/>
        </w:tabs>
        <w:numPr>
          <w:ilvl w:val="0"/>
          <w:numId w:val="114"/>
        </w:numPr>
        <w:rPr>
          <w:rFonts w:ascii="Arial" w:cs="Arial" w:eastAsia="Arial" w:hAnsi="Arial"/>
          <w:sz w:val="16"/>
          <w:szCs w:val="16"/>
          <w:b w:val="1"/>
          <w:bCs w:val="1"/>
          <w:color w:val="29378D"/>
        </w:rPr>
      </w:pPr>
      <w:r>
        <w:rPr>
          <w:rFonts w:ascii="Arial" w:cs="Arial" w:eastAsia="Arial" w:hAnsi="Arial"/>
          <w:sz w:val="16"/>
          <w:szCs w:val="16"/>
          <w:color w:val="auto"/>
        </w:rPr>
        <w:t>Reviews and approves incentive goals and objectives (CEO goals and objectives are reviewed and approved by the independent directors).</w:t>
      </w:r>
    </w:p>
    <w:p>
      <w:pPr>
        <w:ind w:left="142" w:hanging="142"/>
        <w:spacing w:after="0"/>
        <w:tabs>
          <w:tab w:leader="none" w:pos="142" w:val="left"/>
        </w:tabs>
        <w:numPr>
          <w:ilvl w:val="0"/>
          <w:numId w:val="114"/>
        </w:numPr>
        <w:rPr>
          <w:rFonts w:ascii="Arial" w:cs="Arial" w:eastAsia="Arial" w:hAnsi="Arial"/>
          <w:sz w:val="16"/>
          <w:szCs w:val="16"/>
          <w:b w:val="1"/>
          <w:bCs w:val="1"/>
          <w:color w:val="29378D"/>
        </w:rPr>
      </w:pPr>
      <w:r>
        <w:rPr>
          <w:rFonts w:ascii="Arial" w:cs="Arial" w:eastAsia="Arial" w:hAnsi="Arial"/>
          <w:sz w:val="16"/>
          <w:szCs w:val="16"/>
          <w:color w:val="auto"/>
        </w:rPr>
        <w:t>Evaluates and approves executive benefit and perquisite programs.</w:t>
      </w:r>
    </w:p>
    <w:p>
      <w:pPr>
        <w:spacing w:after="0" w:line="86" w:lineRule="exact"/>
        <w:rPr>
          <w:rFonts w:ascii="Arial" w:cs="Arial" w:eastAsia="Arial" w:hAnsi="Arial"/>
          <w:sz w:val="16"/>
          <w:szCs w:val="16"/>
          <w:b w:val="1"/>
          <w:bCs w:val="1"/>
          <w:color w:val="29378D"/>
        </w:rPr>
      </w:pPr>
    </w:p>
    <w:p>
      <w:pPr>
        <w:ind w:left="142" w:hanging="142"/>
        <w:spacing w:after="0"/>
        <w:tabs>
          <w:tab w:leader="none" w:pos="142" w:val="left"/>
        </w:tabs>
        <w:numPr>
          <w:ilvl w:val="0"/>
          <w:numId w:val="114"/>
        </w:numPr>
        <w:rPr>
          <w:rFonts w:ascii="Arial" w:cs="Arial" w:eastAsia="Arial" w:hAnsi="Arial"/>
          <w:sz w:val="16"/>
          <w:szCs w:val="16"/>
          <w:b w:val="1"/>
          <w:bCs w:val="1"/>
          <w:color w:val="29378D"/>
        </w:rPr>
      </w:pPr>
      <w:r>
        <w:rPr>
          <w:rFonts w:ascii="Arial" w:cs="Arial" w:eastAsia="Arial" w:hAnsi="Arial"/>
          <w:sz w:val="16"/>
          <w:szCs w:val="16"/>
          <w:color w:val="auto"/>
        </w:rPr>
        <w:t>Evaluates the competitiveness of each elected officer’s total compensation package.</w:t>
      </w:r>
    </w:p>
    <w:p>
      <w:pPr>
        <w:spacing w:after="0" w:line="86" w:lineRule="exact"/>
        <w:rPr>
          <w:rFonts w:ascii="Arial" w:cs="Arial" w:eastAsia="Arial" w:hAnsi="Arial"/>
          <w:sz w:val="16"/>
          <w:szCs w:val="16"/>
          <w:b w:val="1"/>
          <w:bCs w:val="1"/>
          <w:color w:val="29378D"/>
        </w:rPr>
      </w:pPr>
    </w:p>
    <w:p>
      <w:pPr>
        <w:ind w:left="142" w:hanging="142"/>
        <w:spacing w:after="0"/>
        <w:tabs>
          <w:tab w:leader="none" w:pos="142" w:val="left"/>
        </w:tabs>
        <w:numPr>
          <w:ilvl w:val="0"/>
          <w:numId w:val="114"/>
        </w:numPr>
        <w:rPr>
          <w:rFonts w:ascii="Arial" w:cs="Arial" w:eastAsia="Arial" w:hAnsi="Arial"/>
          <w:sz w:val="16"/>
          <w:szCs w:val="16"/>
          <w:b w:val="1"/>
          <w:bCs w:val="1"/>
          <w:color w:val="00249C"/>
        </w:rPr>
      </w:pPr>
      <w:r>
        <w:rPr>
          <w:rFonts w:ascii="Arial" w:cs="Arial" w:eastAsia="Arial" w:hAnsi="Arial"/>
          <w:sz w:val="16"/>
          <w:szCs w:val="16"/>
          <w:color w:val="auto"/>
        </w:rPr>
        <w:t>Oversees and reviews the results of the Company’s diversity, equity and inclusion programs.</w:t>
      </w:r>
    </w:p>
    <w:p>
      <w:pPr>
        <w:spacing w:after="0" w:line="72" w:lineRule="exact"/>
        <w:rPr>
          <w:rFonts w:ascii="Arial" w:cs="Arial" w:eastAsia="Arial" w:hAnsi="Arial"/>
          <w:sz w:val="16"/>
          <w:szCs w:val="16"/>
          <w:b w:val="1"/>
          <w:bCs w:val="1"/>
          <w:color w:val="00249C"/>
        </w:rPr>
      </w:pPr>
    </w:p>
    <w:p>
      <w:pPr>
        <w:ind w:left="142" w:hanging="142"/>
        <w:spacing w:after="0"/>
        <w:tabs>
          <w:tab w:leader="none" w:pos="142" w:val="left"/>
        </w:tabs>
        <w:numPr>
          <w:ilvl w:val="0"/>
          <w:numId w:val="114"/>
        </w:numPr>
        <w:rPr>
          <w:rFonts w:ascii="Arial" w:cs="Arial" w:eastAsia="Arial" w:hAnsi="Arial"/>
          <w:sz w:val="16"/>
          <w:szCs w:val="16"/>
          <w:b w:val="1"/>
          <w:bCs w:val="1"/>
          <w:color w:val="00249C"/>
        </w:rPr>
      </w:pPr>
      <w:r>
        <w:rPr>
          <w:rFonts w:ascii="Arial" w:cs="Arial" w:eastAsia="Arial" w:hAnsi="Arial"/>
          <w:sz w:val="16"/>
          <w:szCs w:val="16"/>
          <w:color w:val="auto"/>
        </w:rPr>
        <w:t>Oversees the Company’s management of its human capital risk.</w:t>
      </w:r>
    </w:p>
    <w:p>
      <w:pPr>
        <w:spacing w:after="0" w:line="86" w:lineRule="exact"/>
        <w:rPr>
          <w:rFonts w:ascii="Arial" w:cs="Arial" w:eastAsia="Arial" w:hAnsi="Arial"/>
          <w:sz w:val="16"/>
          <w:szCs w:val="16"/>
          <w:b w:val="1"/>
          <w:bCs w:val="1"/>
          <w:color w:val="00249C"/>
        </w:rPr>
      </w:pPr>
    </w:p>
    <w:p>
      <w:pPr>
        <w:ind w:left="142" w:hanging="142"/>
        <w:spacing w:after="0"/>
        <w:tabs>
          <w:tab w:leader="none" w:pos="142" w:val="left"/>
        </w:tabs>
        <w:numPr>
          <w:ilvl w:val="0"/>
          <w:numId w:val="114"/>
        </w:numPr>
        <w:rPr>
          <w:rFonts w:ascii="Arial" w:cs="Arial" w:eastAsia="Arial" w:hAnsi="Arial"/>
          <w:sz w:val="16"/>
          <w:szCs w:val="16"/>
          <w:b w:val="1"/>
          <w:bCs w:val="1"/>
          <w:color w:val="29378D"/>
        </w:rPr>
      </w:pPr>
      <w:r>
        <w:rPr>
          <w:rFonts w:ascii="Arial" w:cs="Arial" w:eastAsia="Arial" w:hAnsi="Arial"/>
          <w:sz w:val="16"/>
          <w:szCs w:val="16"/>
          <w:color w:val="auto"/>
        </w:rPr>
        <w:t>Conducts an annual evaluation of the Independent Compensation Consultant.</w:t>
      </w:r>
    </w:p>
    <w:p>
      <w:pPr>
        <w:spacing w:after="0" w:line="86" w:lineRule="exact"/>
        <w:rPr>
          <w:rFonts w:ascii="Arial" w:cs="Arial" w:eastAsia="Arial" w:hAnsi="Arial"/>
          <w:sz w:val="16"/>
          <w:szCs w:val="16"/>
          <w:b w:val="1"/>
          <w:bCs w:val="1"/>
          <w:color w:val="29378D"/>
        </w:rPr>
      </w:pPr>
    </w:p>
    <w:p>
      <w:pPr>
        <w:ind w:left="142" w:hanging="142"/>
        <w:spacing w:after="0"/>
        <w:tabs>
          <w:tab w:leader="none" w:pos="142" w:val="left"/>
        </w:tabs>
        <w:numPr>
          <w:ilvl w:val="0"/>
          <w:numId w:val="114"/>
        </w:numPr>
        <w:rPr>
          <w:rFonts w:ascii="Arial" w:cs="Arial" w:eastAsia="Arial" w:hAnsi="Arial"/>
          <w:sz w:val="16"/>
          <w:szCs w:val="16"/>
          <w:b w:val="1"/>
          <w:bCs w:val="1"/>
          <w:color w:val="00249C"/>
        </w:rPr>
      </w:pPr>
      <w:r>
        <w:rPr>
          <w:rFonts w:ascii="Arial" w:cs="Arial" w:eastAsia="Arial" w:hAnsi="Arial"/>
          <w:sz w:val="16"/>
          <w:szCs w:val="16"/>
          <w:color w:val="auto"/>
        </w:rPr>
        <w:t>Reviews the performance of elected officers.</w:t>
      </w:r>
    </w:p>
    <w:p>
      <w:pPr>
        <w:spacing w:after="0" w:line="86" w:lineRule="exact"/>
        <w:rPr>
          <w:rFonts w:ascii="Arial" w:cs="Arial" w:eastAsia="Arial" w:hAnsi="Arial"/>
          <w:sz w:val="16"/>
          <w:szCs w:val="16"/>
          <w:b w:val="1"/>
          <w:bCs w:val="1"/>
          <w:color w:val="00249C"/>
        </w:rPr>
      </w:pPr>
    </w:p>
    <w:p>
      <w:pPr>
        <w:ind w:left="202" w:right="160" w:hanging="202"/>
        <w:spacing w:after="0" w:line="286" w:lineRule="auto"/>
        <w:tabs>
          <w:tab w:leader="none" w:pos="145" w:val="left"/>
        </w:tabs>
        <w:numPr>
          <w:ilvl w:val="0"/>
          <w:numId w:val="114"/>
        </w:numPr>
        <w:rPr>
          <w:rFonts w:ascii="Arial" w:cs="Arial" w:eastAsia="Arial" w:hAnsi="Arial"/>
          <w:sz w:val="16"/>
          <w:szCs w:val="16"/>
          <w:b w:val="1"/>
          <w:bCs w:val="1"/>
          <w:color w:val="29378D"/>
        </w:rPr>
      </w:pPr>
      <w:r>
        <w:rPr>
          <w:rFonts w:ascii="Arial" w:cs="Arial" w:eastAsia="Arial" w:hAnsi="Arial"/>
          <w:sz w:val="16"/>
          <w:szCs w:val="16"/>
          <w:color w:val="auto"/>
        </w:rPr>
        <w:t>Reviews and discusses with management the CD&amp;A and provides a Compensation and Human Capital Committee Report for inclusion in the proxy statement.</w:t>
      </w:r>
    </w:p>
    <w:p>
      <w:pPr>
        <w:spacing w:after="0" w:line="200" w:lineRule="exact"/>
        <w:rPr>
          <w:sz w:val="20"/>
          <w:szCs w:val="20"/>
          <w:color w:val="auto"/>
        </w:rPr>
      </w:pPr>
    </w:p>
    <w:p>
      <w:pPr>
        <w:sectPr>
          <w:pgSz w:w="11900" w:h="16838" w:orient="portrait"/>
          <w:cols w:equalWidth="0" w:num="2">
            <w:col w:w="1560" w:space="618"/>
            <w:col w:w="9062"/>
          </w:cols>
          <w:pgMar w:left="320" w:top="238" w:right="339" w:bottom="1440" w:gutter="0" w:footer="0" w:header="0"/>
          <w:type w:val="continuous"/>
        </w:sectPr>
      </w:pP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600" w:type="dxa"/>
            <w:vAlign w:val="bottom"/>
          </w:tcPr>
          <w:p>
            <w:pPr>
              <w:spacing w:after="0"/>
              <w:rPr>
                <w:sz w:val="20"/>
                <w:szCs w:val="20"/>
                <w:color w:val="auto"/>
              </w:rPr>
            </w:pPr>
            <w:r>
              <w:rPr>
                <w:rFonts w:ascii="Arial" w:cs="Arial" w:eastAsia="Arial" w:hAnsi="Arial"/>
                <w:sz w:val="14"/>
                <w:szCs w:val="14"/>
                <w:b w:val="1"/>
                <w:bCs w:val="1"/>
                <w:color w:val="29378D"/>
              </w:rPr>
              <w:t>INDEPENDENT</w:t>
            </w:r>
          </w:p>
        </w:tc>
        <w:tc>
          <w:tcPr>
            <w:tcW w:w="9360" w:type="dxa"/>
            <w:vAlign w:val="bottom"/>
            <w:vMerge w:val="restart"/>
          </w:tcPr>
          <w:p>
            <w:pPr>
              <w:ind w:left="560"/>
              <w:spacing w:after="0"/>
              <w:rPr>
                <w:sz w:val="20"/>
                <w:szCs w:val="20"/>
                <w:color w:val="auto"/>
              </w:rPr>
            </w:pPr>
            <w:r>
              <w:rPr>
                <w:rFonts w:ascii="Arial" w:cs="Arial" w:eastAsia="Arial" w:hAnsi="Arial"/>
                <w:sz w:val="16"/>
                <w:szCs w:val="16"/>
                <w:b w:val="1"/>
                <w:bCs w:val="1"/>
                <w:color w:val="29378D"/>
              </w:rPr>
              <w:t xml:space="preserve">• </w:t>
            </w:r>
            <w:r>
              <w:rPr>
                <w:rFonts w:ascii="Arial" w:cs="Arial" w:eastAsia="Arial" w:hAnsi="Arial"/>
                <w:sz w:val="16"/>
                <w:szCs w:val="16"/>
                <w:color w:val="000000"/>
              </w:rPr>
              <w:t>Evaluate the performance and determine the compensation of the CEO (upon recommendation of the Compensation and</w:t>
            </w:r>
          </w:p>
        </w:tc>
        <w:tc>
          <w:tcPr>
            <w:tcW w:w="0" w:type="dxa"/>
            <w:vAlign w:val="bottom"/>
          </w:tcPr>
          <w:p>
            <w:pPr>
              <w:spacing w:after="0"/>
              <w:rPr>
                <w:sz w:val="1"/>
                <w:szCs w:val="1"/>
                <w:color w:val="auto"/>
              </w:rPr>
            </w:pPr>
          </w:p>
        </w:tc>
      </w:tr>
      <w:tr>
        <w:trPr>
          <w:trHeight w:val="103"/>
        </w:trPr>
        <w:tc>
          <w:tcPr>
            <w:tcW w:w="1600" w:type="dxa"/>
            <w:vAlign w:val="bottom"/>
            <w:vMerge w:val="restart"/>
          </w:tcPr>
          <w:p>
            <w:pPr>
              <w:spacing w:after="0"/>
              <w:rPr>
                <w:sz w:val="20"/>
                <w:szCs w:val="20"/>
                <w:color w:val="auto"/>
              </w:rPr>
            </w:pPr>
            <w:r>
              <w:rPr>
                <w:rFonts w:ascii="Arial" w:cs="Arial" w:eastAsia="Arial" w:hAnsi="Arial"/>
                <w:sz w:val="14"/>
                <w:szCs w:val="14"/>
                <w:b w:val="1"/>
                <w:bCs w:val="1"/>
                <w:color w:val="29378D"/>
              </w:rPr>
              <w:t>DIRECTORS</w:t>
            </w:r>
          </w:p>
        </w:tc>
        <w:tc>
          <w:tcPr>
            <w:tcW w:w="9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600" w:type="dxa"/>
            <w:vAlign w:val="bottom"/>
            <w:vMerge w:val="continue"/>
          </w:tcPr>
          <w:p>
            <w:pPr>
              <w:spacing w:after="0"/>
              <w:rPr>
                <w:sz w:val="8"/>
                <w:szCs w:val="8"/>
                <w:color w:val="auto"/>
              </w:rPr>
            </w:pPr>
          </w:p>
        </w:tc>
        <w:tc>
          <w:tcPr>
            <w:tcW w:w="9360" w:type="dxa"/>
            <w:vAlign w:val="bottom"/>
            <w:vMerge w:val="restart"/>
          </w:tcPr>
          <w:p>
            <w:pPr>
              <w:ind w:left="760"/>
              <w:spacing w:after="0"/>
              <w:rPr>
                <w:sz w:val="20"/>
                <w:szCs w:val="20"/>
                <w:color w:val="auto"/>
              </w:rPr>
            </w:pPr>
            <w:r>
              <w:rPr>
                <w:rFonts w:ascii="Arial" w:cs="Arial" w:eastAsia="Arial" w:hAnsi="Arial"/>
                <w:sz w:val="16"/>
                <w:szCs w:val="16"/>
                <w:color w:val="auto"/>
              </w:rPr>
              <w:t>Human Capital Committee).</w:t>
            </w: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9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8" w:right="339" w:bottom="1440" w:gutter="0" w:footer="0" w:header="0"/>
          <w:type w:val="continuous"/>
        </w:sectPr>
      </w:pPr>
    </w:p>
    <w:p>
      <w:pPr>
        <w:spacing w:after="0" w:line="117" w:lineRule="exact"/>
        <w:rPr>
          <w:sz w:val="20"/>
          <w:szCs w:val="20"/>
          <w:color w:val="auto"/>
        </w:rPr>
      </w:pPr>
    </w:p>
    <w:p>
      <w:pPr>
        <w:ind w:left="20" w:right="440"/>
        <w:spacing w:after="0" w:line="255" w:lineRule="auto"/>
        <w:rPr>
          <w:sz w:val="20"/>
          <w:szCs w:val="20"/>
          <w:color w:val="auto"/>
        </w:rPr>
      </w:pPr>
      <w:r>
        <w:rPr>
          <w:rFonts w:ascii="Arial" w:cs="Arial" w:eastAsia="Arial" w:hAnsi="Arial"/>
          <w:sz w:val="14"/>
          <w:szCs w:val="14"/>
          <w:b w:val="1"/>
          <w:bCs w:val="1"/>
          <w:color w:val="29378D"/>
        </w:rPr>
        <w:t>INDEPENDENT COMPENSATION CONSULTANT</w:t>
      </w:r>
    </w:p>
    <w:p>
      <w:pPr>
        <w:ind w:left="20"/>
        <w:spacing w:after="0"/>
        <w:rPr>
          <w:sz w:val="20"/>
          <w:szCs w:val="20"/>
          <w:color w:val="auto"/>
        </w:rPr>
      </w:pPr>
      <w:r>
        <w:rPr>
          <w:rFonts w:ascii="Arial" w:cs="Arial" w:eastAsia="Arial" w:hAnsi="Arial"/>
          <w:sz w:val="14"/>
          <w:szCs w:val="14"/>
          <w:i w:val="1"/>
          <w:iCs w:val="1"/>
          <w:color w:val="auto"/>
        </w:rPr>
        <w:t>(Frederic W. Cook &amp; Co.)</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142" w:hanging="142"/>
        <w:spacing w:after="0"/>
        <w:tabs>
          <w:tab w:leader="none" w:pos="142" w:val="left"/>
        </w:tabs>
        <w:numPr>
          <w:ilvl w:val="0"/>
          <w:numId w:val="115"/>
        </w:numPr>
        <w:rPr>
          <w:rFonts w:ascii="Arial" w:cs="Arial" w:eastAsia="Arial" w:hAnsi="Arial"/>
          <w:sz w:val="16"/>
          <w:szCs w:val="16"/>
          <w:b w:val="1"/>
          <w:bCs w:val="1"/>
          <w:color w:val="29378D"/>
        </w:rPr>
      </w:pPr>
      <w:r>
        <w:rPr>
          <w:rFonts w:ascii="Arial" w:cs="Arial" w:eastAsia="Arial" w:hAnsi="Arial"/>
          <w:sz w:val="16"/>
          <w:szCs w:val="16"/>
          <w:color w:val="auto"/>
        </w:rPr>
        <w:t>Reports directly to the Compensation and Human Capital Committee</w:t>
      </w:r>
      <w:r>
        <w:rPr>
          <w:rFonts w:ascii="Arial" w:cs="Arial" w:eastAsia="Arial" w:hAnsi="Arial"/>
          <w:sz w:val="16"/>
          <w:szCs w:val="16"/>
          <w:color w:val="29378D"/>
        </w:rPr>
        <w:t>.</w:t>
      </w:r>
    </w:p>
    <w:p>
      <w:pPr>
        <w:spacing w:after="0" w:line="86" w:lineRule="exact"/>
        <w:rPr>
          <w:rFonts w:ascii="Arial" w:cs="Arial" w:eastAsia="Arial" w:hAnsi="Arial"/>
          <w:sz w:val="16"/>
          <w:szCs w:val="16"/>
          <w:b w:val="1"/>
          <w:bCs w:val="1"/>
          <w:color w:val="29378D"/>
        </w:rPr>
      </w:pPr>
    </w:p>
    <w:p>
      <w:pPr>
        <w:ind w:left="202" w:right="680" w:hanging="202"/>
        <w:spacing w:after="0" w:line="286" w:lineRule="auto"/>
        <w:tabs>
          <w:tab w:leader="none" w:pos="145" w:val="left"/>
        </w:tabs>
        <w:numPr>
          <w:ilvl w:val="0"/>
          <w:numId w:val="115"/>
        </w:numPr>
        <w:rPr>
          <w:rFonts w:ascii="Arial" w:cs="Arial" w:eastAsia="Arial" w:hAnsi="Arial"/>
          <w:sz w:val="16"/>
          <w:szCs w:val="16"/>
          <w:b w:val="1"/>
          <w:bCs w:val="1"/>
          <w:color w:val="29378D"/>
        </w:rPr>
      </w:pPr>
      <w:r>
        <w:rPr>
          <w:rFonts w:ascii="Arial" w:cs="Arial" w:eastAsia="Arial" w:hAnsi="Arial"/>
          <w:sz w:val="16"/>
          <w:szCs w:val="16"/>
          <w:color w:val="auto"/>
        </w:rPr>
        <w:t>Regularly participates in meetings of the Compensation and Human Capital Committee and communicates with the Compensation and Human Capital Committee Chair between meetings as needed.</w:t>
      </w:r>
    </w:p>
    <w:p>
      <w:pPr>
        <w:spacing w:after="0" w:line="20" w:lineRule="exact"/>
        <w:rPr>
          <w:rFonts w:ascii="Arial" w:cs="Arial" w:eastAsia="Arial" w:hAnsi="Arial"/>
          <w:sz w:val="16"/>
          <w:szCs w:val="16"/>
          <w:b w:val="1"/>
          <w:bCs w:val="1"/>
          <w:color w:val="29378D"/>
        </w:rPr>
      </w:pPr>
    </w:p>
    <w:p>
      <w:pPr>
        <w:ind w:left="142" w:hanging="142"/>
        <w:spacing w:after="0"/>
        <w:tabs>
          <w:tab w:leader="none" w:pos="142" w:val="left"/>
        </w:tabs>
        <w:numPr>
          <w:ilvl w:val="0"/>
          <w:numId w:val="115"/>
        </w:numPr>
        <w:rPr>
          <w:rFonts w:ascii="Arial" w:cs="Arial" w:eastAsia="Arial" w:hAnsi="Arial"/>
          <w:sz w:val="16"/>
          <w:szCs w:val="16"/>
          <w:b w:val="1"/>
          <w:bCs w:val="1"/>
          <w:color w:val="29378D"/>
        </w:rPr>
      </w:pPr>
      <w:r>
        <w:rPr>
          <w:rFonts w:ascii="Arial" w:cs="Arial" w:eastAsia="Arial" w:hAnsi="Arial"/>
          <w:sz w:val="16"/>
          <w:szCs w:val="16"/>
          <w:color w:val="auto"/>
        </w:rPr>
        <w:t>Participates in executive session with the Compensation and Human Capital Committee.</w:t>
      </w:r>
    </w:p>
    <w:p>
      <w:pPr>
        <w:spacing w:after="0" w:line="86" w:lineRule="exact"/>
        <w:rPr>
          <w:rFonts w:ascii="Arial" w:cs="Arial" w:eastAsia="Arial" w:hAnsi="Arial"/>
          <w:sz w:val="16"/>
          <w:szCs w:val="16"/>
          <w:b w:val="1"/>
          <w:bCs w:val="1"/>
          <w:color w:val="29378D"/>
        </w:rPr>
      </w:pPr>
    </w:p>
    <w:p>
      <w:pPr>
        <w:ind w:left="202" w:right="220" w:hanging="202"/>
        <w:spacing w:after="0" w:line="275" w:lineRule="auto"/>
        <w:tabs>
          <w:tab w:leader="none" w:pos="145" w:val="left"/>
        </w:tabs>
        <w:numPr>
          <w:ilvl w:val="0"/>
          <w:numId w:val="115"/>
        </w:numPr>
        <w:rPr>
          <w:rFonts w:ascii="Arial" w:cs="Arial" w:eastAsia="Arial" w:hAnsi="Arial"/>
          <w:sz w:val="16"/>
          <w:szCs w:val="16"/>
          <w:b w:val="1"/>
          <w:bCs w:val="1"/>
          <w:color w:val="29378D"/>
        </w:rPr>
      </w:pPr>
      <w:r>
        <w:rPr>
          <w:rFonts w:ascii="Arial" w:cs="Arial" w:eastAsia="Arial" w:hAnsi="Arial"/>
          <w:sz w:val="16"/>
          <w:szCs w:val="16"/>
          <w:color w:val="auto"/>
        </w:rPr>
        <w:t>Provides proactive advice to the Compensation and Human Capital Committee on best practices for Board governance of executive compensation, compensation-related risk management and areas for program design to most appropriately support the Company’s business strategy and organizational values.</w:t>
      </w:r>
    </w:p>
    <w:p>
      <w:pPr>
        <w:spacing w:after="0" w:line="15" w:lineRule="exact"/>
        <w:rPr>
          <w:rFonts w:ascii="Arial" w:cs="Arial" w:eastAsia="Arial" w:hAnsi="Arial"/>
          <w:sz w:val="16"/>
          <w:szCs w:val="16"/>
          <w:b w:val="1"/>
          <w:bCs w:val="1"/>
          <w:color w:val="29378D"/>
        </w:rPr>
      </w:pPr>
    </w:p>
    <w:p>
      <w:pPr>
        <w:ind w:left="202" w:right="100" w:hanging="202"/>
        <w:spacing w:after="0" w:line="299" w:lineRule="auto"/>
        <w:tabs>
          <w:tab w:leader="none" w:pos="145" w:val="left"/>
        </w:tabs>
        <w:numPr>
          <w:ilvl w:val="0"/>
          <w:numId w:val="115"/>
        </w:numPr>
        <w:rPr>
          <w:rFonts w:ascii="Arial" w:cs="Arial" w:eastAsia="Arial" w:hAnsi="Arial"/>
          <w:sz w:val="16"/>
          <w:szCs w:val="16"/>
          <w:b w:val="1"/>
          <w:bCs w:val="1"/>
          <w:color w:val="29378D"/>
        </w:rPr>
      </w:pPr>
      <w:r>
        <w:rPr>
          <w:rFonts w:ascii="Arial" w:cs="Arial" w:eastAsia="Arial" w:hAnsi="Arial"/>
          <w:sz w:val="16"/>
          <w:szCs w:val="16"/>
          <w:color w:val="auto"/>
        </w:rPr>
        <w:t>Provides a review of market data and advises the Compensation and Human Capital Committee on the levels and structure of our executive compensation policies and procedures, including compensation matters for NEOs.</w:t>
      </w:r>
    </w:p>
    <w:p>
      <w:pPr>
        <w:ind w:left="202" w:right="120" w:hanging="202"/>
        <w:spacing w:after="0" w:line="299" w:lineRule="auto"/>
        <w:tabs>
          <w:tab w:leader="none" w:pos="145" w:val="left"/>
        </w:tabs>
        <w:numPr>
          <w:ilvl w:val="0"/>
          <w:numId w:val="115"/>
        </w:numPr>
        <w:rPr>
          <w:rFonts w:ascii="Arial" w:cs="Arial" w:eastAsia="Arial" w:hAnsi="Arial"/>
          <w:sz w:val="16"/>
          <w:szCs w:val="16"/>
          <w:b w:val="1"/>
          <w:bCs w:val="1"/>
          <w:color w:val="29378D"/>
        </w:rPr>
      </w:pPr>
      <w:r>
        <w:rPr>
          <w:rFonts w:ascii="Arial" w:cs="Arial" w:eastAsia="Arial" w:hAnsi="Arial"/>
          <w:sz w:val="16"/>
          <w:szCs w:val="16"/>
          <w:color w:val="auto"/>
        </w:rPr>
        <w:t>Reviews and advises the Compensation and Human Capital Committee on our total compensation philosophy, peer groups and target competitive positioning.</w:t>
      </w:r>
    </w:p>
    <w:p>
      <w:pPr>
        <w:ind w:left="202" w:right="300" w:hanging="202"/>
        <w:spacing w:after="0" w:line="304" w:lineRule="auto"/>
        <w:tabs>
          <w:tab w:leader="none" w:pos="145" w:val="left"/>
        </w:tabs>
        <w:numPr>
          <w:ilvl w:val="0"/>
          <w:numId w:val="115"/>
        </w:numPr>
        <w:rPr>
          <w:rFonts w:ascii="Arial" w:cs="Arial" w:eastAsia="Arial" w:hAnsi="Arial"/>
          <w:sz w:val="16"/>
          <w:szCs w:val="16"/>
          <w:b w:val="1"/>
          <w:bCs w:val="1"/>
          <w:color w:val="29378D"/>
        </w:rPr>
      </w:pPr>
      <w:r>
        <w:rPr>
          <w:rFonts w:ascii="Arial" w:cs="Arial" w:eastAsia="Arial" w:hAnsi="Arial"/>
          <w:sz w:val="16"/>
          <w:szCs w:val="16"/>
          <w:color w:val="auto"/>
        </w:rPr>
        <w:t>Identifies market trends and practices and advises the Compensation and Human Capital Committee on program design implications.</w:t>
      </w:r>
    </w:p>
    <w:p>
      <w:pPr>
        <w:spacing w:after="0" w:line="6" w:lineRule="exact"/>
        <w:rPr>
          <w:sz w:val="20"/>
          <w:szCs w:val="20"/>
          <w:color w:val="auto"/>
        </w:rPr>
      </w:pPr>
    </w:p>
    <w:p>
      <w:pPr>
        <w:sectPr>
          <w:pgSz w:w="11900" w:h="16838" w:orient="portrait"/>
          <w:cols w:equalWidth="0" w:num="2">
            <w:col w:w="1640" w:space="538"/>
            <w:col w:w="9062"/>
          </w:cols>
          <w:pgMar w:left="320" w:top="238"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020" w:type="dxa"/>
            <w:vAlign w:val="bottom"/>
          </w:tcPr>
          <w:p>
            <w:pPr>
              <w:spacing w:after="0"/>
              <w:rPr>
                <w:sz w:val="16"/>
                <w:szCs w:val="16"/>
                <w:color w:val="auto"/>
              </w:rPr>
            </w:pPr>
          </w:p>
        </w:tc>
        <w:tc>
          <w:tcPr>
            <w:tcW w:w="260" w:type="dxa"/>
            <w:vAlign w:val="bottom"/>
          </w:tcPr>
          <w:p>
            <w:pPr>
              <w:ind w:left="160"/>
              <w:spacing w:after="0"/>
              <w:rPr>
                <w:sz w:val="20"/>
                <w:szCs w:val="20"/>
                <w:color w:val="auto"/>
              </w:rPr>
            </w:pPr>
            <w:r>
              <w:rPr>
                <w:rFonts w:ascii="Arial" w:cs="Arial" w:eastAsia="Arial" w:hAnsi="Arial"/>
                <w:sz w:val="16"/>
                <w:szCs w:val="16"/>
                <w:b w:val="1"/>
                <w:bCs w:val="1"/>
                <w:color w:val="29378D"/>
              </w:rPr>
              <w:t>•</w:t>
            </w:r>
          </w:p>
        </w:tc>
        <w:tc>
          <w:tcPr>
            <w:tcW w:w="8960" w:type="dxa"/>
            <w:vAlign w:val="bottom"/>
          </w:tcPr>
          <w:p>
            <w:pPr>
              <w:ind w:left="40"/>
              <w:spacing w:after="0"/>
              <w:rPr>
                <w:sz w:val="20"/>
                <w:szCs w:val="20"/>
                <w:color w:val="auto"/>
              </w:rPr>
            </w:pPr>
            <w:r>
              <w:rPr>
                <w:rFonts w:ascii="Arial" w:cs="Arial" w:eastAsia="Arial" w:hAnsi="Arial"/>
                <w:sz w:val="16"/>
                <w:szCs w:val="16"/>
                <w:color w:val="auto"/>
              </w:rPr>
              <w:t>Serves as a resource to the Compensation and Human Capital Committee Chair on setting agenda items for Compensation</w:t>
            </w:r>
          </w:p>
        </w:tc>
        <w:tc>
          <w:tcPr>
            <w:tcW w:w="0" w:type="dxa"/>
            <w:vAlign w:val="bottom"/>
          </w:tcPr>
          <w:p>
            <w:pPr>
              <w:spacing w:after="0"/>
              <w:rPr>
                <w:sz w:val="1"/>
                <w:szCs w:val="1"/>
                <w:color w:val="auto"/>
              </w:rPr>
            </w:pPr>
          </w:p>
        </w:tc>
      </w:tr>
      <w:tr>
        <w:trPr>
          <w:trHeight w:val="215"/>
        </w:trPr>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60" w:type="dxa"/>
            <w:vAlign w:val="bottom"/>
          </w:tcPr>
          <w:p>
            <w:pPr>
              <w:ind w:left="100"/>
              <w:spacing w:after="0"/>
              <w:rPr>
                <w:sz w:val="20"/>
                <w:szCs w:val="20"/>
                <w:color w:val="auto"/>
              </w:rPr>
            </w:pPr>
            <w:r>
              <w:rPr>
                <w:rFonts w:ascii="Arial" w:cs="Arial" w:eastAsia="Arial" w:hAnsi="Arial"/>
                <w:sz w:val="16"/>
                <w:szCs w:val="16"/>
                <w:color w:val="auto"/>
              </w:rPr>
              <w:t>and Human Capital Committee meetings and researches special projects.</w:t>
            </w:r>
          </w:p>
        </w:tc>
        <w:tc>
          <w:tcPr>
            <w:tcW w:w="0" w:type="dxa"/>
            <w:vAlign w:val="bottom"/>
          </w:tcPr>
          <w:p>
            <w:pPr>
              <w:spacing w:after="0"/>
              <w:rPr>
                <w:sz w:val="1"/>
                <w:szCs w:val="1"/>
                <w:color w:val="auto"/>
              </w:rPr>
            </w:pPr>
          </w:p>
        </w:tc>
      </w:tr>
      <w:tr>
        <w:trPr>
          <w:trHeight w:val="244"/>
        </w:trPr>
        <w:tc>
          <w:tcPr>
            <w:tcW w:w="2020" w:type="dxa"/>
            <w:vAlign w:val="bottom"/>
          </w:tcPr>
          <w:p>
            <w:pPr>
              <w:spacing w:after="0"/>
              <w:rPr>
                <w:sz w:val="21"/>
                <w:szCs w:val="21"/>
                <w:color w:val="auto"/>
              </w:rPr>
            </w:pPr>
          </w:p>
        </w:tc>
        <w:tc>
          <w:tcPr>
            <w:tcW w:w="260" w:type="dxa"/>
            <w:vAlign w:val="bottom"/>
          </w:tcPr>
          <w:p>
            <w:pPr>
              <w:ind w:left="160"/>
              <w:spacing w:after="0"/>
              <w:rPr>
                <w:sz w:val="20"/>
                <w:szCs w:val="20"/>
                <w:color w:val="auto"/>
              </w:rPr>
            </w:pPr>
            <w:r>
              <w:rPr>
                <w:rFonts w:ascii="Arial" w:cs="Arial" w:eastAsia="Arial" w:hAnsi="Arial"/>
                <w:sz w:val="16"/>
                <w:szCs w:val="16"/>
                <w:b w:val="1"/>
                <w:bCs w:val="1"/>
                <w:color w:val="29378D"/>
              </w:rPr>
              <w:t>•</w:t>
            </w:r>
          </w:p>
        </w:tc>
        <w:tc>
          <w:tcPr>
            <w:tcW w:w="8960" w:type="dxa"/>
            <w:vAlign w:val="bottom"/>
          </w:tcPr>
          <w:p>
            <w:pPr>
              <w:ind w:left="40"/>
              <w:spacing w:after="0"/>
              <w:rPr>
                <w:sz w:val="20"/>
                <w:szCs w:val="20"/>
                <w:color w:val="auto"/>
              </w:rPr>
            </w:pPr>
            <w:r>
              <w:rPr>
                <w:rFonts w:ascii="Arial" w:cs="Arial" w:eastAsia="Arial" w:hAnsi="Arial"/>
                <w:sz w:val="16"/>
                <w:szCs w:val="16"/>
                <w:color w:val="auto"/>
              </w:rPr>
              <w:t>Receives compensation only for engagement with the Compensation and Human Capital Committee and does not receive</w:t>
            </w:r>
          </w:p>
        </w:tc>
        <w:tc>
          <w:tcPr>
            <w:tcW w:w="0" w:type="dxa"/>
            <w:vAlign w:val="bottom"/>
          </w:tcPr>
          <w:p>
            <w:pPr>
              <w:spacing w:after="0"/>
              <w:rPr>
                <w:sz w:val="1"/>
                <w:szCs w:val="1"/>
                <w:color w:val="auto"/>
              </w:rPr>
            </w:pPr>
          </w:p>
        </w:tc>
      </w:tr>
      <w:tr>
        <w:trPr>
          <w:trHeight w:val="215"/>
        </w:trPr>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60" w:type="dxa"/>
            <w:vAlign w:val="bottom"/>
          </w:tcPr>
          <w:p>
            <w:pPr>
              <w:ind w:left="100"/>
              <w:spacing w:after="0"/>
              <w:rPr>
                <w:sz w:val="20"/>
                <w:szCs w:val="20"/>
                <w:color w:val="auto"/>
              </w:rPr>
            </w:pPr>
            <w:r>
              <w:rPr>
                <w:rFonts w:ascii="Arial" w:cs="Arial" w:eastAsia="Arial" w:hAnsi="Arial"/>
                <w:sz w:val="16"/>
                <w:szCs w:val="16"/>
                <w:color w:val="auto"/>
              </w:rPr>
              <w:t>any fees or income from the Company.</w:t>
            </w:r>
          </w:p>
        </w:tc>
        <w:tc>
          <w:tcPr>
            <w:tcW w:w="0" w:type="dxa"/>
            <w:vAlign w:val="bottom"/>
          </w:tcPr>
          <w:p>
            <w:pPr>
              <w:spacing w:after="0"/>
              <w:rPr>
                <w:sz w:val="1"/>
                <w:szCs w:val="1"/>
                <w:color w:val="auto"/>
              </w:rPr>
            </w:pPr>
          </w:p>
        </w:tc>
      </w:tr>
      <w:tr>
        <w:trPr>
          <w:trHeight w:val="205"/>
        </w:trPr>
        <w:tc>
          <w:tcPr>
            <w:tcW w:w="2020" w:type="dxa"/>
            <w:vAlign w:val="bottom"/>
            <w:tcBorders>
              <w:bottom w:val="single" w:sz="8" w:color="BCBEC0"/>
            </w:tcBorders>
          </w:tcPr>
          <w:p>
            <w:pPr>
              <w:spacing w:after="0"/>
              <w:rPr>
                <w:sz w:val="17"/>
                <w:szCs w:val="17"/>
                <w:color w:val="auto"/>
              </w:rPr>
            </w:pPr>
          </w:p>
        </w:tc>
        <w:tc>
          <w:tcPr>
            <w:tcW w:w="260" w:type="dxa"/>
            <w:vAlign w:val="bottom"/>
            <w:tcBorders>
              <w:bottom w:val="single" w:sz="8" w:color="BCBEC0"/>
            </w:tcBorders>
          </w:tcPr>
          <w:p>
            <w:pPr>
              <w:spacing w:after="0"/>
              <w:rPr>
                <w:sz w:val="17"/>
                <w:szCs w:val="17"/>
                <w:color w:val="auto"/>
              </w:rPr>
            </w:pPr>
          </w:p>
        </w:tc>
        <w:tc>
          <w:tcPr>
            <w:tcW w:w="8960" w:type="dxa"/>
            <w:vAlign w:val="bottom"/>
            <w:tcBorders>
              <w:bottom w:val="single" w:sz="8" w:color="BCBEC0"/>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20" w:type="dxa"/>
            <w:vAlign w:val="bottom"/>
          </w:tcPr>
          <w:p>
            <w:pPr>
              <w:ind w:left="20"/>
              <w:spacing w:after="0"/>
              <w:rPr>
                <w:sz w:val="20"/>
                <w:szCs w:val="20"/>
                <w:color w:val="auto"/>
              </w:rPr>
            </w:pPr>
            <w:r>
              <w:rPr>
                <w:rFonts w:ascii="Arial" w:cs="Arial" w:eastAsia="Arial" w:hAnsi="Arial"/>
                <w:sz w:val="14"/>
                <w:szCs w:val="14"/>
                <w:b w:val="1"/>
                <w:bCs w:val="1"/>
                <w:color w:val="29378D"/>
              </w:rPr>
              <w:t>MANAGEMENT</w:t>
            </w:r>
          </w:p>
        </w:tc>
        <w:tc>
          <w:tcPr>
            <w:tcW w:w="260" w:type="dxa"/>
            <w:vAlign w:val="bottom"/>
            <w:vMerge w:val="restart"/>
          </w:tcPr>
          <w:p>
            <w:pPr>
              <w:ind w:left="160"/>
              <w:spacing w:after="0"/>
              <w:rPr>
                <w:sz w:val="20"/>
                <w:szCs w:val="20"/>
                <w:color w:val="auto"/>
              </w:rPr>
            </w:pPr>
            <w:r>
              <w:rPr>
                <w:rFonts w:ascii="Arial" w:cs="Arial" w:eastAsia="Arial" w:hAnsi="Arial"/>
                <w:sz w:val="16"/>
                <w:szCs w:val="16"/>
                <w:b w:val="1"/>
                <w:bCs w:val="1"/>
                <w:color w:val="29378D"/>
              </w:rPr>
              <w:t>•</w:t>
            </w:r>
          </w:p>
        </w:tc>
        <w:tc>
          <w:tcPr>
            <w:tcW w:w="8960" w:type="dxa"/>
            <w:vAlign w:val="bottom"/>
            <w:vMerge w:val="restart"/>
          </w:tcPr>
          <w:p>
            <w:pPr>
              <w:ind w:left="40"/>
              <w:spacing w:after="0"/>
              <w:rPr>
                <w:sz w:val="20"/>
                <w:szCs w:val="20"/>
                <w:color w:val="auto"/>
              </w:rPr>
            </w:pPr>
            <w:r>
              <w:rPr>
                <w:rFonts w:ascii="Arial" w:cs="Arial" w:eastAsia="Arial" w:hAnsi="Arial"/>
                <w:sz w:val="16"/>
                <w:szCs w:val="16"/>
                <w:color w:val="auto"/>
              </w:rPr>
              <w:t>Makes compensation-related recommendations for elected officers, other than the CEO, to the Compensation and Human</w:t>
            </w:r>
          </w:p>
        </w:tc>
        <w:tc>
          <w:tcPr>
            <w:tcW w:w="0" w:type="dxa"/>
            <w:vAlign w:val="bottom"/>
          </w:tcPr>
          <w:p>
            <w:pPr>
              <w:spacing w:after="0"/>
              <w:rPr>
                <w:sz w:val="1"/>
                <w:szCs w:val="1"/>
                <w:color w:val="auto"/>
              </w:rPr>
            </w:pPr>
          </w:p>
        </w:tc>
      </w:tr>
      <w:tr>
        <w:trPr>
          <w:trHeight w:val="101"/>
        </w:trPr>
        <w:tc>
          <w:tcPr>
            <w:tcW w:w="2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(CEO with assistance from</w:t>
            </w:r>
          </w:p>
        </w:tc>
        <w:tc>
          <w:tcPr>
            <w:tcW w:w="260" w:type="dxa"/>
            <w:vAlign w:val="bottom"/>
            <w:vMerge w:val="continue"/>
          </w:tcPr>
          <w:p>
            <w:pPr>
              <w:spacing w:after="0"/>
              <w:rPr>
                <w:sz w:val="8"/>
                <w:szCs w:val="8"/>
                <w:color w:val="auto"/>
              </w:rPr>
            </w:pPr>
          </w:p>
        </w:tc>
        <w:tc>
          <w:tcPr>
            <w:tcW w:w="8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960" w:type="dxa"/>
            <w:vAlign w:val="bottom"/>
            <w:vMerge w:val="restart"/>
          </w:tcPr>
          <w:p>
            <w:pPr>
              <w:ind w:left="100"/>
              <w:spacing w:after="0"/>
              <w:rPr>
                <w:sz w:val="20"/>
                <w:szCs w:val="20"/>
                <w:color w:val="auto"/>
              </w:rPr>
            </w:pPr>
            <w:r>
              <w:rPr>
                <w:rFonts w:ascii="Arial" w:cs="Arial" w:eastAsia="Arial" w:hAnsi="Arial"/>
                <w:sz w:val="16"/>
                <w:szCs w:val="16"/>
                <w:color w:val="auto"/>
              </w:rPr>
              <w:t>Capital Committee for its review and approval.</w:t>
            </w:r>
          </w:p>
        </w:tc>
        <w:tc>
          <w:tcPr>
            <w:tcW w:w="0" w:type="dxa"/>
            <w:vAlign w:val="bottom"/>
          </w:tcPr>
          <w:p>
            <w:pPr>
              <w:spacing w:after="0"/>
              <w:rPr>
                <w:sz w:val="1"/>
                <w:szCs w:val="1"/>
                <w:color w:val="auto"/>
              </w:rPr>
            </w:pPr>
          </w:p>
        </w:tc>
      </w:tr>
      <w:tr>
        <w:trPr>
          <w:trHeight w:val="176"/>
        </w:trPr>
        <w:tc>
          <w:tcPr>
            <w:tcW w:w="2020" w:type="dxa"/>
            <w:vAlign w:val="bottom"/>
          </w:tcPr>
          <w:p>
            <w:pPr>
              <w:ind w:left="20"/>
              <w:spacing w:after="0"/>
              <w:rPr>
                <w:sz w:val="20"/>
                <w:szCs w:val="20"/>
                <w:color w:val="auto"/>
              </w:rPr>
            </w:pPr>
            <w:r>
              <w:rPr>
                <w:rFonts w:ascii="Arial" w:cs="Arial" w:eastAsia="Arial" w:hAnsi="Arial"/>
                <w:sz w:val="14"/>
                <w:szCs w:val="14"/>
                <w:i w:val="1"/>
                <w:iCs w:val="1"/>
                <w:color w:val="auto"/>
              </w:rPr>
              <w:t>the Corporate Vice President</w:t>
            </w:r>
          </w:p>
        </w:tc>
        <w:tc>
          <w:tcPr>
            <w:tcW w:w="260" w:type="dxa"/>
            <w:vAlign w:val="bottom"/>
          </w:tcPr>
          <w:p>
            <w:pPr>
              <w:spacing w:after="0"/>
              <w:rPr>
                <w:sz w:val="15"/>
                <w:szCs w:val="15"/>
                <w:color w:val="auto"/>
              </w:rPr>
            </w:pPr>
          </w:p>
        </w:tc>
        <w:tc>
          <w:tcPr>
            <w:tcW w:w="8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20" w:type="dxa"/>
            <w:vAlign w:val="bottom"/>
          </w:tcPr>
          <w:p>
            <w:pPr>
              <w:ind w:left="20"/>
              <w:spacing w:after="0"/>
              <w:rPr>
                <w:sz w:val="20"/>
                <w:szCs w:val="20"/>
                <w:color w:val="auto"/>
              </w:rPr>
            </w:pPr>
            <w:r>
              <w:rPr>
                <w:rFonts w:ascii="Arial" w:cs="Arial" w:eastAsia="Arial" w:hAnsi="Arial"/>
                <w:sz w:val="14"/>
                <w:szCs w:val="14"/>
                <w:i w:val="1"/>
                <w:iCs w:val="1"/>
                <w:color w:val="auto"/>
              </w:rPr>
              <w:t>and Chief Human Resources</w:t>
            </w:r>
          </w:p>
        </w:tc>
        <w:tc>
          <w:tcPr>
            <w:tcW w:w="260" w:type="dxa"/>
            <w:vAlign w:val="bottom"/>
          </w:tcPr>
          <w:p>
            <w:pPr>
              <w:ind w:left="160"/>
              <w:spacing w:after="0" w:line="183" w:lineRule="exact"/>
              <w:rPr>
                <w:sz w:val="20"/>
                <w:szCs w:val="20"/>
                <w:color w:val="auto"/>
              </w:rPr>
            </w:pPr>
            <w:r>
              <w:rPr>
                <w:rFonts w:ascii="Arial" w:cs="Arial" w:eastAsia="Arial" w:hAnsi="Arial"/>
                <w:sz w:val="16"/>
                <w:szCs w:val="16"/>
                <w:b w:val="1"/>
                <w:bCs w:val="1"/>
                <w:color w:val="29378D"/>
              </w:rPr>
              <w:t>•</w:t>
            </w:r>
          </w:p>
        </w:tc>
        <w:tc>
          <w:tcPr>
            <w:tcW w:w="8960" w:type="dxa"/>
            <w:vAlign w:val="bottom"/>
          </w:tcPr>
          <w:p>
            <w:pPr>
              <w:ind w:left="40"/>
              <w:spacing w:after="0" w:line="183" w:lineRule="exact"/>
              <w:rPr>
                <w:sz w:val="20"/>
                <w:szCs w:val="20"/>
                <w:color w:val="auto"/>
              </w:rPr>
            </w:pPr>
            <w:r>
              <w:rPr>
                <w:rFonts w:ascii="Arial" w:cs="Arial" w:eastAsia="Arial" w:hAnsi="Arial"/>
                <w:sz w:val="16"/>
                <w:szCs w:val="16"/>
                <w:color w:val="auto"/>
              </w:rPr>
              <w:t>Assesses each executive’s performance, skills and industry knowledge, market compensation benchmarks, and succession</w:t>
            </w:r>
          </w:p>
        </w:tc>
        <w:tc>
          <w:tcPr>
            <w:tcW w:w="0" w:type="dxa"/>
            <w:vAlign w:val="bottom"/>
          </w:tcPr>
          <w:p>
            <w:pPr>
              <w:spacing w:after="0"/>
              <w:rPr>
                <w:sz w:val="1"/>
                <w:szCs w:val="1"/>
                <w:color w:val="auto"/>
              </w:rPr>
            </w:pPr>
          </w:p>
        </w:tc>
      </w:tr>
      <w:tr>
        <w:trPr>
          <w:trHeight w:val="141"/>
        </w:trPr>
        <w:tc>
          <w:tcPr>
            <w:tcW w:w="2020" w:type="dxa"/>
            <w:vAlign w:val="bottom"/>
          </w:tcPr>
          <w:p>
            <w:pPr>
              <w:ind w:left="20"/>
              <w:spacing w:after="0" w:line="141" w:lineRule="exact"/>
              <w:rPr>
                <w:sz w:val="20"/>
                <w:szCs w:val="20"/>
                <w:color w:val="auto"/>
              </w:rPr>
            </w:pPr>
            <w:r>
              <w:rPr>
                <w:rFonts w:ascii="Arial" w:cs="Arial" w:eastAsia="Arial" w:hAnsi="Arial"/>
                <w:sz w:val="14"/>
                <w:szCs w:val="14"/>
                <w:i w:val="1"/>
                <w:iCs w:val="1"/>
                <w:color w:val="auto"/>
              </w:rPr>
              <w:t>Officer and other Company</w:t>
            </w:r>
          </w:p>
        </w:tc>
        <w:tc>
          <w:tcPr>
            <w:tcW w:w="260" w:type="dxa"/>
            <w:vAlign w:val="bottom"/>
          </w:tcPr>
          <w:p>
            <w:pPr>
              <w:spacing w:after="0"/>
              <w:rPr>
                <w:sz w:val="12"/>
                <w:szCs w:val="12"/>
                <w:color w:val="auto"/>
              </w:rPr>
            </w:pPr>
          </w:p>
        </w:tc>
        <w:tc>
          <w:tcPr>
            <w:tcW w:w="8960" w:type="dxa"/>
            <w:vAlign w:val="bottom"/>
            <w:vMerge w:val="restart"/>
          </w:tcPr>
          <w:p>
            <w:pPr>
              <w:ind w:left="100"/>
              <w:spacing w:after="0"/>
              <w:rPr>
                <w:sz w:val="20"/>
                <w:szCs w:val="20"/>
                <w:color w:val="auto"/>
              </w:rPr>
            </w:pPr>
            <w:r>
              <w:rPr>
                <w:rFonts w:ascii="Arial" w:cs="Arial" w:eastAsia="Arial" w:hAnsi="Arial"/>
                <w:sz w:val="16"/>
                <w:szCs w:val="16"/>
                <w:color w:val="auto"/>
              </w:rPr>
              <w:t>and retention considerations.</w:t>
            </w:r>
          </w:p>
        </w:tc>
        <w:tc>
          <w:tcPr>
            <w:tcW w:w="0" w:type="dxa"/>
            <w:vAlign w:val="bottom"/>
          </w:tcPr>
          <w:p>
            <w:pPr>
              <w:spacing w:after="0"/>
              <w:rPr>
                <w:sz w:val="1"/>
                <w:szCs w:val="1"/>
                <w:color w:val="auto"/>
              </w:rPr>
            </w:pPr>
          </w:p>
        </w:tc>
      </w:tr>
      <w:tr>
        <w:trPr>
          <w:trHeight w:val="113"/>
        </w:trPr>
        <w:tc>
          <w:tcPr>
            <w:tcW w:w="2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employees)</w:t>
            </w:r>
          </w:p>
        </w:tc>
        <w:tc>
          <w:tcPr>
            <w:tcW w:w="260" w:type="dxa"/>
            <w:vAlign w:val="bottom"/>
          </w:tcPr>
          <w:p>
            <w:pPr>
              <w:spacing w:after="0"/>
              <w:rPr>
                <w:sz w:val="9"/>
                <w:szCs w:val="9"/>
                <w:color w:val="auto"/>
              </w:rPr>
            </w:pPr>
          </w:p>
        </w:tc>
        <w:tc>
          <w:tcPr>
            <w:tcW w:w="8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20" w:type="dxa"/>
            <w:vAlign w:val="bottom"/>
            <w:vMerge w:val="continue"/>
          </w:tcPr>
          <w:p>
            <w:pPr>
              <w:spacing w:after="0"/>
              <w:rPr>
                <w:sz w:val="6"/>
                <w:szCs w:val="6"/>
                <w:color w:val="auto"/>
              </w:rPr>
            </w:pPr>
          </w:p>
        </w:tc>
        <w:tc>
          <w:tcPr>
            <w:tcW w:w="260" w:type="dxa"/>
            <w:vAlign w:val="bottom"/>
            <w:vMerge w:val="restart"/>
          </w:tcPr>
          <w:p>
            <w:pPr>
              <w:ind w:left="160"/>
              <w:spacing w:after="0"/>
              <w:rPr>
                <w:sz w:val="20"/>
                <w:szCs w:val="20"/>
                <w:color w:val="auto"/>
              </w:rPr>
            </w:pPr>
            <w:r>
              <w:rPr>
                <w:rFonts w:ascii="Arial" w:cs="Arial" w:eastAsia="Arial" w:hAnsi="Arial"/>
                <w:sz w:val="16"/>
                <w:szCs w:val="16"/>
                <w:b w:val="1"/>
                <w:bCs w:val="1"/>
                <w:color w:val="29378D"/>
              </w:rPr>
              <w:t>•</w:t>
            </w:r>
          </w:p>
        </w:tc>
        <w:tc>
          <w:tcPr>
            <w:tcW w:w="8960" w:type="dxa"/>
            <w:vAlign w:val="bottom"/>
            <w:vMerge w:val="restart"/>
          </w:tcPr>
          <w:p>
            <w:pPr>
              <w:ind w:left="40"/>
              <w:spacing w:after="0"/>
              <w:rPr>
                <w:sz w:val="20"/>
                <w:szCs w:val="20"/>
                <w:color w:val="auto"/>
              </w:rPr>
            </w:pPr>
            <w:r>
              <w:rPr>
                <w:rFonts w:ascii="Arial" w:cs="Arial" w:eastAsia="Arial" w:hAnsi="Arial"/>
                <w:sz w:val="16"/>
                <w:szCs w:val="16"/>
                <w:color w:val="auto"/>
              </w:rPr>
              <w:t>Provides recommendations to the Compensation and Human Capital Committee regarding executive incentive and benefit</w:t>
            </w: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8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960" w:type="dxa"/>
            <w:vAlign w:val="bottom"/>
          </w:tcPr>
          <w:p>
            <w:pPr>
              <w:ind w:left="100"/>
              <w:spacing w:after="0"/>
              <w:rPr>
                <w:sz w:val="20"/>
                <w:szCs w:val="20"/>
                <w:color w:val="auto"/>
              </w:rPr>
            </w:pPr>
            <w:r>
              <w:rPr>
                <w:rFonts w:ascii="Arial" w:cs="Arial" w:eastAsia="Arial" w:hAnsi="Arial"/>
                <w:sz w:val="16"/>
                <w:szCs w:val="16"/>
                <w:color w:val="auto"/>
              </w:rPr>
              <w:t>plan designs and strategies, other than with respect to the CEO. These recommendations include financial and non-</w:t>
            </w:r>
          </w:p>
        </w:tc>
        <w:tc>
          <w:tcPr>
            <w:tcW w:w="0" w:type="dxa"/>
            <w:vAlign w:val="bottom"/>
          </w:tcPr>
          <w:p>
            <w:pPr>
              <w:spacing w:after="0"/>
              <w:rPr>
                <w:sz w:val="1"/>
                <w:szCs w:val="1"/>
                <w:color w:val="auto"/>
              </w:rPr>
            </w:pPr>
          </w:p>
        </w:tc>
      </w:tr>
      <w:tr>
        <w:trPr>
          <w:trHeight w:val="215"/>
        </w:trPr>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960" w:type="dxa"/>
            <w:vAlign w:val="bottom"/>
          </w:tcPr>
          <w:p>
            <w:pPr>
              <w:ind w:left="100"/>
              <w:spacing w:after="0"/>
              <w:rPr>
                <w:sz w:val="20"/>
                <w:szCs w:val="20"/>
                <w:color w:val="auto"/>
              </w:rPr>
            </w:pPr>
            <w:r>
              <w:rPr>
                <w:rFonts w:ascii="Arial" w:cs="Arial" w:eastAsia="Arial" w:hAnsi="Arial"/>
                <w:sz w:val="16"/>
                <w:szCs w:val="16"/>
                <w:color w:val="auto"/>
              </w:rPr>
              <w:t>financial operational goals and criteria for our annual and long-term incentive plans.</w:t>
            </w:r>
          </w:p>
        </w:tc>
        <w:tc>
          <w:tcPr>
            <w:tcW w:w="0" w:type="dxa"/>
            <w:vAlign w:val="bottom"/>
          </w:tcPr>
          <w:p>
            <w:pPr>
              <w:spacing w:after="0"/>
              <w:rPr>
                <w:sz w:val="1"/>
                <w:szCs w:val="1"/>
                <w:color w:val="auto"/>
              </w:rPr>
            </w:pPr>
          </w:p>
        </w:tc>
      </w:tr>
      <w:tr>
        <w:trPr>
          <w:trHeight w:val="96"/>
        </w:trPr>
        <w:tc>
          <w:tcPr>
            <w:tcW w:w="2020" w:type="dxa"/>
            <w:vAlign w:val="bottom"/>
            <w:tcBorders>
              <w:bottom w:val="single" w:sz="8" w:color="BCBEC0"/>
            </w:tcBorders>
          </w:tcPr>
          <w:p>
            <w:pPr>
              <w:spacing w:after="0"/>
              <w:rPr>
                <w:sz w:val="8"/>
                <w:szCs w:val="8"/>
                <w:color w:val="auto"/>
              </w:rPr>
            </w:pPr>
          </w:p>
        </w:tc>
        <w:tc>
          <w:tcPr>
            <w:tcW w:w="260" w:type="dxa"/>
            <w:vAlign w:val="bottom"/>
            <w:tcBorders>
              <w:bottom w:val="single" w:sz="8" w:color="BCBEC0"/>
            </w:tcBorders>
          </w:tcPr>
          <w:p>
            <w:pPr>
              <w:spacing w:after="0"/>
              <w:rPr>
                <w:sz w:val="8"/>
                <w:szCs w:val="8"/>
                <w:color w:val="auto"/>
              </w:rPr>
            </w:pPr>
          </w:p>
        </w:tc>
        <w:tc>
          <w:tcPr>
            <w:tcW w:w="8960" w:type="dxa"/>
            <w:vAlign w:val="bottom"/>
            <w:tcBorders>
              <w:bottom w:val="single" w:sz="8" w:color="BCBEC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8" w:right="33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9280"/>
        <w:spacing w:after="0"/>
        <w:tabs>
          <w:tab w:leader="none" w:pos="1104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4"/>
          <w:szCs w:val="14"/>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3"/>
          <w:szCs w:val="23"/>
          <w:color w:val="auto"/>
        </w:rPr>
        <w:t>Use of Competitive Data</w:t>
      </w:r>
    </w:p>
    <w:p>
      <w:pPr>
        <w:spacing w:after="0" w:line="117"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Our Compensation and Human Capital Committee uses three separate peer groups to set our performance targets and evaluate performance, measure TSR and benchmark executive compensation practices, respectively. The three peer groups are outlined below.</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PERFORMANCE PEER GROUP: SET PERFORMANCE TARGETS AND EVALUATE PERFORMANCE</w:t>
      </w:r>
    </w:p>
    <w:p>
      <w:pPr>
        <w:spacing w:after="0" w:line="118"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Compensation and Human Capital Committee uses the Performance Peer Group and LRSP data for the purpose of setting performance targets and evaluating performance of our AIP and LTIP. The LRSP is our five-year strategic operating and financial plan. The Performance Peer Group encompasses the largest global defense companies by government revenues within the aerospace and defense market space. In 2023, the Compensation and Human Capital Committee used the peer group data from The Boeing Company, General Dynamics Corporation, L3Harris Technologies, Inc., Lockheed Martin Corporation and RTX Corporation for the purpose of setting performance targets.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TSR PEER GROUP: 2021-2023 LONG-TERM INCENTIVE AWARDS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Earned awards from the 2021-2023 performance cycle were contingent on our ranking compared to the S&amp;P Industrials and the following TSR peer group:</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shd w:val="clear" w:color="auto" w:fill="29378D"/>
          </w:tcPr>
          <w:p>
            <w:pPr>
              <w:spacing w:after="0"/>
              <w:rPr>
                <w:sz w:val="17"/>
                <w:szCs w:val="17"/>
                <w:color w:val="auto"/>
              </w:rPr>
            </w:pPr>
          </w:p>
        </w:tc>
        <w:tc>
          <w:tcPr>
            <w:tcW w:w="3860" w:type="dxa"/>
            <w:vAlign w:val="bottom"/>
            <w:shd w:val="clear" w:color="auto" w:fill="29378D"/>
          </w:tcPr>
          <w:p>
            <w:pPr>
              <w:ind w:left="1840"/>
              <w:spacing w:after="0"/>
              <w:rPr>
                <w:sz w:val="20"/>
                <w:szCs w:val="20"/>
                <w:color w:val="auto"/>
              </w:rPr>
            </w:pPr>
            <w:r>
              <w:rPr>
                <w:rFonts w:ascii="Arial" w:cs="Arial" w:eastAsia="Arial" w:hAnsi="Arial"/>
                <w:sz w:val="13"/>
                <w:szCs w:val="13"/>
                <w:b w:val="1"/>
                <w:bCs w:val="1"/>
                <w:color w:val="FFFFFF"/>
              </w:rPr>
              <w:t>2021 TSR PEER GROUP</w:t>
            </w:r>
          </w:p>
        </w:tc>
        <w:tc>
          <w:tcPr>
            <w:tcW w:w="4300" w:type="dxa"/>
            <w:vAlign w:val="bottom"/>
            <w:shd w:val="clear" w:color="auto" w:fill="29378D"/>
          </w:tcPr>
          <w:p>
            <w:pPr>
              <w:spacing w:after="0"/>
              <w:rPr>
                <w:sz w:val="17"/>
                <w:szCs w:val="17"/>
                <w:color w:val="auto"/>
              </w:rPr>
            </w:pPr>
          </w:p>
        </w:tc>
      </w:tr>
      <w:tr>
        <w:trPr>
          <w:trHeight w:val="296"/>
        </w:trPr>
        <w:tc>
          <w:tcPr>
            <w:tcW w:w="3080" w:type="dxa"/>
            <w:vAlign w:val="bottom"/>
          </w:tcPr>
          <w:p>
            <w:pPr>
              <w:ind w:left="20"/>
              <w:spacing w:after="0"/>
              <w:rPr>
                <w:sz w:val="20"/>
                <w:szCs w:val="20"/>
                <w:color w:val="auto"/>
              </w:rPr>
            </w:pPr>
            <w:r>
              <w:rPr>
                <w:rFonts w:ascii="Arial" w:cs="Arial" w:eastAsia="Arial" w:hAnsi="Arial"/>
                <w:sz w:val="16"/>
                <w:szCs w:val="16"/>
                <w:color w:val="auto"/>
              </w:rPr>
              <w:t>BAE Systems</w:t>
            </w:r>
          </w:p>
        </w:tc>
        <w:tc>
          <w:tcPr>
            <w:tcW w:w="3860" w:type="dxa"/>
            <w:vAlign w:val="bottom"/>
          </w:tcPr>
          <w:p>
            <w:pPr>
              <w:ind w:left="680"/>
              <w:spacing w:after="0"/>
              <w:rPr>
                <w:sz w:val="20"/>
                <w:szCs w:val="20"/>
                <w:color w:val="auto"/>
              </w:rPr>
            </w:pPr>
            <w:r>
              <w:rPr>
                <w:rFonts w:ascii="Arial" w:cs="Arial" w:eastAsia="Arial" w:hAnsi="Arial"/>
                <w:sz w:val="16"/>
                <w:szCs w:val="16"/>
                <w:color w:val="auto"/>
              </w:rPr>
              <w:t>L3Harris Technologies, Inc.</w:t>
            </w:r>
          </w:p>
        </w:tc>
        <w:tc>
          <w:tcPr>
            <w:tcW w:w="4300" w:type="dxa"/>
            <w:vAlign w:val="bottom"/>
          </w:tcPr>
          <w:p>
            <w:pPr>
              <w:ind w:left="560"/>
              <w:spacing w:after="0"/>
              <w:rPr>
                <w:sz w:val="20"/>
                <w:szCs w:val="20"/>
                <w:color w:val="auto"/>
              </w:rPr>
            </w:pPr>
            <w:r>
              <w:rPr>
                <w:rFonts w:ascii="Arial" w:cs="Arial" w:eastAsia="Arial" w:hAnsi="Arial"/>
                <w:sz w:val="16"/>
                <w:szCs w:val="16"/>
                <w:color w:val="auto"/>
              </w:rPr>
              <w:t>RTX Corporation</w:t>
            </w:r>
            <w:r>
              <w:rPr>
                <w:rFonts w:ascii="Arial" w:cs="Arial" w:eastAsia="Arial" w:hAnsi="Arial"/>
                <w:sz w:val="21"/>
                <w:szCs w:val="21"/>
                <w:color w:val="auto"/>
                <w:vertAlign w:val="superscript"/>
              </w:rPr>
              <w:t>(1)</w:t>
            </w: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The Boeing Company</w:t>
            </w:r>
          </w:p>
        </w:tc>
        <w:tc>
          <w:tcPr>
            <w:tcW w:w="3860" w:type="dxa"/>
            <w:vAlign w:val="bottom"/>
          </w:tcPr>
          <w:p>
            <w:pPr>
              <w:ind w:left="680"/>
              <w:spacing w:after="0"/>
              <w:rPr>
                <w:sz w:val="20"/>
                <w:szCs w:val="20"/>
                <w:color w:val="auto"/>
              </w:rPr>
            </w:pPr>
            <w:r>
              <w:rPr>
                <w:rFonts w:ascii="Arial" w:cs="Arial" w:eastAsia="Arial" w:hAnsi="Arial"/>
                <w:sz w:val="16"/>
                <w:szCs w:val="16"/>
                <w:color w:val="auto"/>
              </w:rPr>
              <w:t>Leidos Holdings, Inc.</w:t>
            </w:r>
          </w:p>
        </w:tc>
        <w:tc>
          <w:tcPr>
            <w:tcW w:w="4300" w:type="dxa"/>
            <w:vAlign w:val="bottom"/>
          </w:tcPr>
          <w:p>
            <w:pPr>
              <w:ind w:left="560"/>
              <w:spacing w:after="0"/>
              <w:rPr>
                <w:sz w:val="20"/>
                <w:szCs w:val="20"/>
                <w:color w:val="auto"/>
              </w:rPr>
            </w:pPr>
            <w:r>
              <w:rPr>
                <w:rFonts w:ascii="Arial" w:cs="Arial" w:eastAsia="Arial" w:hAnsi="Arial"/>
                <w:sz w:val="16"/>
                <w:szCs w:val="16"/>
                <w:color w:val="auto"/>
              </w:rPr>
              <w:t>Thales Group</w:t>
            </w:r>
          </w:p>
        </w:tc>
      </w:tr>
      <w:tr>
        <w:trPr>
          <w:trHeight w:val="243"/>
        </w:trPr>
        <w:tc>
          <w:tcPr>
            <w:tcW w:w="3080" w:type="dxa"/>
            <w:vAlign w:val="bottom"/>
          </w:tcPr>
          <w:p>
            <w:pPr>
              <w:ind w:left="20"/>
              <w:spacing w:after="0"/>
              <w:rPr>
                <w:sz w:val="20"/>
                <w:szCs w:val="20"/>
                <w:color w:val="auto"/>
              </w:rPr>
            </w:pPr>
            <w:r>
              <w:rPr>
                <w:rFonts w:ascii="Arial" w:cs="Arial" w:eastAsia="Arial" w:hAnsi="Arial"/>
                <w:sz w:val="16"/>
                <w:szCs w:val="16"/>
                <w:color w:val="auto"/>
              </w:rPr>
              <w:t>General Dynamics Corporation</w:t>
            </w:r>
          </w:p>
        </w:tc>
        <w:tc>
          <w:tcPr>
            <w:tcW w:w="3860" w:type="dxa"/>
            <w:vAlign w:val="bottom"/>
          </w:tcPr>
          <w:p>
            <w:pPr>
              <w:ind w:left="680"/>
              <w:spacing w:after="0"/>
              <w:rPr>
                <w:sz w:val="20"/>
                <w:szCs w:val="20"/>
                <w:color w:val="auto"/>
              </w:rPr>
            </w:pPr>
            <w:r>
              <w:rPr>
                <w:rFonts w:ascii="Arial" w:cs="Arial" w:eastAsia="Arial" w:hAnsi="Arial"/>
                <w:sz w:val="16"/>
                <w:szCs w:val="16"/>
                <w:color w:val="auto"/>
              </w:rPr>
              <w:t>Leonardo</w:t>
            </w:r>
          </w:p>
        </w:tc>
        <w:tc>
          <w:tcPr>
            <w:tcW w:w="4300" w:type="dxa"/>
            <w:vAlign w:val="bottom"/>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6"/>
                <w:szCs w:val="16"/>
                <w:color w:val="auto"/>
              </w:rPr>
              <w:t>Huntington Ingalls Industries, Inc.</w:t>
            </w:r>
          </w:p>
        </w:tc>
        <w:tc>
          <w:tcPr>
            <w:tcW w:w="3860" w:type="dxa"/>
            <w:vAlign w:val="bottom"/>
          </w:tcPr>
          <w:p>
            <w:pPr>
              <w:ind w:left="680"/>
              <w:spacing w:after="0"/>
              <w:rPr>
                <w:sz w:val="20"/>
                <w:szCs w:val="20"/>
                <w:color w:val="auto"/>
              </w:rPr>
            </w:pPr>
            <w:r>
              <w:rPr>
                <w:rFonts w:ascii="Arial" w:cs="Arial" w:eastAsia="Arial" w:hAnsi="Arial"/>
                <w:sz w:val="16"/>
                <w:szCs w:val="16"/>
                <w:color w:val="auto"/>
              </w:rPr>
              <w:t>Lockheed Martin Corporation</w:t>
            </w:r>
          </w:p>
        </w:tc>
        <w:tc>
          <w:tcPr>
            <w:tcW w:w="4300" w:type="dxa"/>
            <w:vAlign w:val="bottom"/>
          </w:tcPr>
          <w:p>
            <w:pPr>
              <w:spacing w:after="0"/>
              <w:rPr>
                <w:sz w:val="21"/>
                <w:szCs w:val="21"/>
                <w:color w:val="auto"/>
              </w:rPr>
            </w:pPr>
          </w:p>
        </w:tc>
      </w:tr>
      <w:tr>
        <w:trPr>
          <w:trHeight w:val="83"/>
        </w:trPr>
        <w:tc>
          <w:tcPr>
            <w:tcW w:w="3080" w:type="dxa"/>
            <w:vAlign w:val="bottom"/>
            <w:tcBorders>
              <w:bottom w:val="single" w:sz="8" w:color="BCBEC0"/>
            </w:tcBorders>
          </w:tcPr>
          <w:p>
            <w:pPr>
              <w:spacing w:after="0"/>
              <w:rPr>
                <w:sz w:val="7"/>
                <w:szCs w:val="7"/>
                <w:color w:val="auto"/>
              </w:rPr>
            </w:pPr>
          </w:p>
        </w:tc>
        <w:tc>
          <w:tcPr>
            <w:tcW w:w="3860" w:type="dxa"/>
            <w:vAlign w:val="bottom"/>
            <w:tcBorders>
              <w:bottom w:val="single" w:sz="8" w:color="BCBEC0"/>
            </w:tcBorders>
          </w:tcPr>
          <w:p>
            <w:pPr>
              <w:spacing w:after="0"/>
              <w:rPr>
                <w:sz w:val="7"/>
                <w:szCs w:val="7"/>
                <w:color w:val="auto"/>
              </w:rPr>
            </w:pPr>
          </w:p>
        </w:tc>
        <w:tc>
          <w:tcPr>
            <w:tcW w:w="4300" w:type="dxa"/>
            <w:vAlign w:val="bottom"/>
            <w:tcBorders>
              <w:bottom w:val="single" w:sz="8" w:color="BCBEC0"/>
            </w:tcBorders>
          </w:tcPr>
          <w:p>
            <w:pPr>
              <w:spacing w:after="0"/>
              <w:rPr>
                <w:sz w:val="7"/>
                <w:szCs w:val="7"/>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(1) Raytheon Technologies Corporation was renamed to RTX Corporation.</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TARGET INDUSTRY PEER GROUP: BENCHMARK EXECUTIVE COMPENSATION PRACTICES</w:t>
      </w:r>
    </w:p>
    <w:p>
      <w:pPr>
        <w:spacing w:after="0" w:line="104"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color w:val="auto"/>
        </w:rPr>
        <w:t>The Compensation and Human Capital Committee benchmarks our executive compensation levels and practices against the TIPG of 22 companies, including a subset containing six direct peers. Prior to the beginning of the year, the Compensation and Human Capital Committee sets the TIPG used to benchmark compensation for the following year. To identify peer companies for compensation benchmarking purposes, the Independent Compensation Consultant employs an objective criteria-based methodology where:</w:t>
      </w:r>
    </w:p>
    <w:p>
      <w:pPr>
        <w:spacing w:after="0" w:line="60" w:lineRule="exact"/>
        <w:rPr>
          <w:sz w:val="20"/>
          <w:szCs w:val="20"/>
          <w:color w:val="auto"/>
        </w:rPr>
      </w:pPr>
    </w:p>
    <w:p>
      <w:pPr>
        <w:ind w:left="140" w:hanging="132"/>
        <w:spacing w:after="0"/>
        <w:tabs>
          <w:tab w:leader="none" w:pos="140" w:val="left"/>
        </w:tabs>
        <w:numPr>
          <w:ilvl w:val="0"/>
          <w:numId w:val="116"/>
        </w:numPr>
        <w:rPr>
          <w:rFonts w:ascii="Arial" w:cs="Arial" w:eastAsia="Arial" w:hAnsi="Arial"/>
          <w:sz w:val="16"/>
          <w:szCs w:val="16"/>
          <w:b w:val="1"/>
          <w:bCs w:val="1"/>
          <w:color w:val="29378D"/>
        </w:rPr>
      </w:pPr>
      <w:r>
        <w:rPr>
          <w:rFonts w:ascii="Arial" w:cs="Arial" w:eastAsia="Arial" w:hAnsi="Arial"/>
          <w:sz w:val="16"/>
          <w:szCs w:val="16"/>
          <w:color w:val="auto"/>
        </w:rPr>
        <w:t>the peer company was identified as part of a subset of direct peers with strong alignment to the aerospace and defense industry;</w:t>
      </w:r>
    </w:p>
    <w:p>
      <w:pPr>
        <w:spacing w:after="0" w:line="86" w:lineRule="exact"/>
        <w:rPr>
          <w:rFonts w:ascii="Arial" w:cs="Arial" w:eastAsia="Arial" w:hAnsi="Arial"/>
          <w:sz w:val="16"/>
          <w:szCs w:val="16"/>
          <w:b w:val="1"/>
          <w:bCs w:val="1"/>
          <w:color w:val="29378D"/>
        </w:rPr>
      </w:pPr>
    </w:p>
    <w:p>
      <w:pPr>
        <w:ind w:left="200" w:right="120" w:hanging="192"/>
        <w:spacing w:after="0" w:line="286" w:lineRule="auto"/>
        <w:tabs>
          <w:tab w:leader="none" w:pos="157" w:val="left"/>
        </w:tabs>
        <w:numPr>
          <w:ilvl w:val="0"/>
          <w:numId w:val="116"/>
        </w:numPr>
        <w:rPr>
          <w:rFonts w:ascii="Arial" w:cs="Arial" w:eastAsia="Arial" w:hAnsi="Arial"/>
          <w:sz w:val="16"/>
          <w:szCs w:val="16"/>
          <w:color w:val="29378D"/>
        </w:rPr>
      </w:pPr>
      <w:r>
        <w:rPr>
          <w:rFonts w:ascii="Arial" w:cs="Arial" w:eastAsia="Arial" w:hAnsi="Arial"/>
          <w:sz w:val="16"/>
          <w:szCs w:val="16"/>
          <w:color w:val="auto"/>
        </w:rPr>
        <w:t>the peer company was identified as a Global Industry Classification Standard company, with a prioritization of technology, manufacturing and engineering companies;</w:t>
      </w:r>
    </w:p>
    <w:p>
      <w:pPr>
        <w:spacing w:after="0" w:line="20" w:lineRule="exact"/>
        <w:rPr>
          <w:rFonts w:ascii="Arial" w:cs="Arial" w:eastAsia="Arial" w:hAnsi="Arial"/>
          <w:sz w:val="16"/>
          <w:szCs w:val="16"/>
          <w:color w:val="29378D"/>
        </w:rPr>
      </w:pPr>
    </w:p>
    <w:p>
      <w:pPr>
        <w:ind w:left="140" w:hanging="132"/>
        <w:spacing w:after="0"/>
        <w:tabs>
          <w:tab w:leader="none" w:pos="140" w:val="left"/>
        </w:tabs>
        <w:numPr>
          <w:ilvl w:val="0"/>
          <w:numId w:val="116"/>
        </w:numPr>
        <w:rPr>
          <w:rFonts w:ascii="Arial" w:cs="Arial" w:eastAsia="Arial" w:hAnsi="Arial"/>
          <w:sz w:val="16"/>
          <w:szCs w:val="16"/>
          <w:b w:val="1"/>
          <w:bCs w:val="1"/>
          <w:color w:val="29378D"/>
        </w:rPr>
      </w:pPr>
      <w:r>
        <w:rPr>
          <w:rFonts w:ascii="Arial" w:cs="Arial" w:eastAsia="Arial" w:hAnsi="Arial"/>
          <w:sz w:val="16"/>
          <w:szCs w:val="16"/>
          <w:color w:val="auto"/>
        </w:rPr>
        <w:t>revenues, total employees and market capitalization of the peer company were broadly similar to those of the Company; and</w:t>
      </w:r>
    </w:p>
    <w:p>
      <w:pPr>
        <w:spacing w:after="0" w:line="72" w:lineRule="exact"/>
        <w:rPr>
          <w:rFonts w:ascii="Arial" w:cs="Arial" w:eastAsia="Arial" w:hAnsi="Arial"/>
          <w:sz w:val="16"/>
          <w:szCs w:val="16"/>
          <w:b w:val="1"/>
          <w:bCs w:val="1"/>
          <w:color w:val="29378D"/>
        </w:rPr>
      </w:pPr>
    </w:p>
    <w:p>
      <w:pPr>
        <w:ind w:left="160" w:hanging="152"/>
        <w:spacing w:after="0"/>
        <w:tabs>
          <w:tab w:leader="none" w:pos="160" w:val="left"/>
        </w:tabs>
        <w:numPr>
          <w:ilvl w:val="0"/>
          <w:numId w:val="116"/>
        </w:numPr>
        <w:rPr>
          <w:rFonts w:ascii="Arial" w:cs="Arial" w:eastAsia="Arial" w:hAnsi="Arial"/>
          <w:sz w:val="16"/>
          <w:szCs w:val="16"/>
          <w:color w:val="29378D"/>
        </w:rPr>
      </w:pPr>
      <w:r>
        <w:rPr>
          <w:rFonts w:ascii="Arial" w:cs="Arial" w:eastAsia="Arial" w:hAnsi="Arial"/>
          <w:sz w:val="16"/>
          <w:szCs w:val="16"/>
          <w:color w:val="auto"/>
        </w:rPr>
        <w:t>the peer company participated in an annual third party compensation study.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 w:hanging="494"/>
        <w:spacing w:after="0"/>
        <w:tabs>
          <w:tab w:leader="none" w:pos="520" w:val="left"/>
        </w:tabs>
        <w:numPr>
          <w:ilvl w:val="0"/>
          <w:numId w:val="117"/>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The Compensation and Human Capital Committee reviews the TIPG annually with the Independent Compensation Consultant. The companies that comprise the 2022 TIPG used for 2023 compensation decisions are listed in the following table: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40" w:type="dxa"/>
            <w:vAlign w:val="bottom"/>
            <w:shd w:val="clear" w:color="auto" w:fill="29378D"/>
          </w:tcPr>
          <w:p>
            <w:pPr>
              <w:spacing w:after="0"/>
              <w:rPr>
                <w:sz w:val="17"/>
                <w:szCs w:val="17"/>
                <w:color w:val="auto"/>
              </w:rPr>
            </w:pPr>
          </w:p>
        </w:tc>
        <w:tc>
          <w:tcPr>
            <w:tcW w:w="6680" w:type="dxa"/>
            <w:vAlign w:val="bottom"/>
            <w:shd w:val="clear" w:color="auto" w:fill="29378D"/>
          </w:tcPr>
          <w:p>
            <w:pPr>
              <w:ind w:left="640"/>
              <w:spacing w:after="0"/>
              <w:rPr>
                <w:sz w:val="20"/>
                <w:szCs w:val="20"/>
                <w:color w:val="auto"/>
              </w:rPr>
            </w:pPr>
            <w:r>
              <w:rPr>
                <w:rFonts w:ascii="Arial" w:cs="Arial" w:eastAsia="Arial" w:hAnsi="Arial"/>
                <w:sz w:val="13"/>
                <w:szCs w:val="13"/>
                <w:b w:val="1"/>
                <w:bCs w:val="1"/>
                <w:color w:val="FFFFFF"/>
              </w:rPr>
              <w:t>2022 TARGET INDUSTRY PEER GROUP</w:t>
            </w:r>
          </w:p>
        </w:tc>
      </w:tr>
      <w:tr>
        <w:trPr>
          <w:trHeight w:val="296"/>
        </w:trPr>
        <w:tc>
          <w:tcPr>
            <w:tcW w:w="3040" w:type="dxa"/>
            <w:vAlign w:val="bottom"/>
          </w:tcPr>
          <w:p>
            <w:pPr>
              <w:ind w:left="20"/>
              <w:spacing w:after="0"/>
              <w:rPr>
                <w:sz w:val="20"/>
                <w:szCs w:val="20"/>
                <w:color w:val="auto"/>
              </w:rPr>
            </w:pPr>
            <w:r>
              <w:rPr>
                <w:rFonts w:ascii="Arial" w:cs="Arial" w:eastAsia="Arial" w:hAnsi="Arial"/>
                <w:sz w:val="16"/>
                <w:szCs w:val="16"/>
                <w:color w:val="auto"/>
              </w:rPr>
              <w:t>3M Company</w:t>
            </w:r>
          </w:p>
        </w:tc>
        <w:tc>
          <w:tcPr>
            <w:tcW w:w="6680" w:type="dxa"/>
            <w:vAlign w:val="bottom"/>
          </w:tcPr>
          <w:p>
            <w:pPr>
              <w:ind w:left="1840"/>
              <w:spacing w:after="0"/>
              <w:rPr>
                <w:sz w:val="20"/>
                <w:szCs w:val="20"/>
                <w:color w:val="auto"/>
              </w:rPr>
            </w:pPr>
            <w:r>
              <w:rPr>
                <w:rFonts w:ascii="Arial" w:cs="Arial" w:eastAsia="Arial" w:hAnsi="Arial"/>
                <w:sz w:val="16"/>
                <w:szCs w:val="16"/>
                <w:color w:val="auto"/>
              </w:rPr>
              <w:t>Honeywell International, Inc.</w:t>
            </w:r>
            <w:r>
              <w:rPr>
                <w:rFonts w:ascii="Arial" w:cs="Arial" w:eastAsia="Arial" w:hAnsi="Arial"/>
                <w:sz w:val="21"/>
                <w:szCs w:val="21"/>
                <w:color w:val="auto"/>
                <w:vertAlign w:val="superscript"/>
              </w:rPr>
              <w:t>(1)</w:t>
            </w:r>
          </w:p>
        </w:tc>
      </w:tr>
      <w:tr>
        <w:trPr>
          <w:trHeight w:val="243"/>
        </w:trPr>
        <w:tc>
          <w:tcPr>
            <w:tcW w:w="3040" w:type="dxa"/>
            <w:vAlign w:val="bottom"/>
          </w:tcPr>
          <w:p>
            <w:pPr>
              <w:ind w:left="20"/>
              <w:spacing w:after="0"/>
              <w:rPr>
                <w:sz w:val="20"/>
                <w:szCs w:val="20"/>
                <w:color w:val="auto"/>
              </w:rPr>
            </w:pPr>
            <w:r>
              <w:rPr>
                <w:rFonts w:ascii="Arial" w:cs="Arial" w:eastAsia="Arial" w:hAnsi="Arial"/>
                <w:sz w:val="16"/>
                <w:szCs w:val="16"/>
                <w:color w:val="auto"/>
              </w:rPr>
              <w:t>The Boeing Company</w:t>
            </w:r>
            <w:r>
              <w:rPr>
                <w:rFonts w:ascii="Arial" w:cs="Arial" w:eastAsia="Arial" w:hAnsi="Arial"/>
                <w:sz w:val="21"/>
                <w:szCs w:val="21"/>
                <w:color w:val="auto"/>
                <w:vertAlign w:val="superscript"/>
              </w:rPr>
              <w:t>(1)</w:t>
            </w:r>
          </w:p>
        </w:tc>
        <w:tc>
          <w:tcPr>
            <w:tcW w:w="6680" w:type="dxa"/>
            <w:vAlign w:val="bottom"/>
          </w:tcPr>
          <w:p>
            <w:pPr>
              <w:ind w:left="1840"/>
              <w:spacing w:after="0"/>
              <w:rPr>
                <w:sz w:val="20"/>
                <w:szCs w:val="20"/>
                <w:color w:val="auto"/>
              </w:rPr>
            </w:pPr>
            <w:r>
              <w:rPr>
                <w:rFonts w:ascii="Arial" w:cs="Arial" w:eastAsia="Arial" w:hAnsi="Arial"/>
                <w:sz w:val="16"/>
                <w:szCs w:val="16"/>
                <w:color w:val="auto"/>
              </w:rPr>
              <w:t>Johnson Controls International plc</w:t>
            </w:r>
          </w:p>
        </w:tc>
      </w:tr>
      <w:tr>
        <w:trPr>
          <w:trHeight w:val="243"/>
        </w:trPr>
        <w:tc>
          <w:tcPr>
            <w:tcW w:w="3040" w:type="dxa"/>
            <w:vAlign w:val="bottom"/>
          </w:tcPr>
          <w:p>
            <w:pPr>
              <w:ind w:left="20"/>
              <w:spacing w:after="0"/>
              <w:rPr>
                <w:sz w:val="20"/>
                <w:szCs w:val="20"/>
                <w:color w:val="auto"/>
              </w:rPr>
            </w:pPr>
            <w:r>
              <w:rPr>
                <w:rFonts w:ascii="Arial" w:cs="Arial" w:eastAsia="Arial" w:hAnsi="Arial"/>
                <w:sz w:val="16"/>
                <w:szCs w:val="16"/>
                <w:color w:val="auto"/>
              </w:rPr>
              <w:t>Caterpillar, Inc.</w:t>
            </w:r>
          </w:p>
        </w:tc>
        <w:tc>
          <w:tcPr>
            <w:tcW w:w="6680" w:type="dxa"/>
            <w:vAlign w:val="bottom"/>
          </w:tcPr>
          <w:p>
            <w:pPr>
              <w:ind w:left="1840"/>
              <w:spacing w:after="0"/>
              <w:rPr>
                <w:sz w:val="20"/>
                <w:szCs w:val="20"/>
                <w:color w:val="auto"/>
              </w:rPr>
            </w:pPr>
            <w:r>
              <w:rPr>
                <w:rFonts w:ascii="Arial" w:cs="Arial" w:eastAsia="Arial" w:hAnsi="Arial"/>
                <w:sz w:val="16"/>
                <w:szCs w:val="16"/>
                <w:color w:val="auto"/>
              </w:rPr>
              <w:t>L3Harris Technologies, Inc.</w:t>
            </w:r>
            <w:r>
              <w:rPr>
                <w:rFonts w:ascii="Arial" w:cs="Arial" w:eastAsia="Arial" w:hAnsi="Arial"/>
                <w:sz w:val="21"/>
                <w:szCs w:val="21"/>
                <w:color w:val="auto"/>
                <w:vertAlign w:val="superscript"/>
              </w:rPr>
              <w:t>(1)</w:t>
            </w:r>
          </w:p>
        </w:tc>
      </w:tr>
      <w:tr>
        <w:trPr>
          <w:trHeight w:val="243"/>
        </w:trPr>
        <w:tc>
          <w:tcPr>
            <w:tcW w:w="3040" w:type="dxa"/>
            <w:vAlign w:val="bottom"/>
          </w:tcPr>
          <w:p>
            <w:pPr>
              <w:ind w:left="20"/>
              <w:spacing w:after="0"/>
              <w:rPr>
                <w:sz w:val="20"/>
                <w:szCs w:val="20"/>
                <w:color w:val="auto"/>
              </w:rPr>
            </w:pPr>
            <w:r>
              <w:rPr>
                <w:rFonts w:ascii="Arial" w:cs="Arial" w:eastAsia="Arial" w:hAnsi="Arial"/>
                <w:sz w:val="16"/>
                <w:szCs w:val="16"/>
                <w:color w:val="auto"/>
              </w:rPr>
              <w:t>Deere &amp; Company</w:t>
            </w:r>
          </w:p>
        </w:tc>
        <w:tc>
          <w:tcPr>
            <w:tcW w:w="6680" w:type="dxa"/>
            <w:vAlign w:val="bottom"/>
          </w:tcPr>
          <w:p>
            <w:pPr>
              <w:ind w:left="1840"/>
              <w:spacing w:after="0"/>
              <w:rPr>
                <w:sz w:val="20"/>
                <w:szCs w:val="20"/>
                <w:color w:val="auto"/>
              </w:rPr>
            </w:pPr>
            <w:r>
              <w:rPr>
                <w:rFonts w:ascii="Arial" w:cs="Arial" w:eastAsia="Arial" w:hAnsi="Arial"/>
                <w:sz w:val="16"/>
                <w:szCs w:val="16"/>
                <w:color w:val="auto"/>
              </w:rPr>
              <w:t>Lockheed Martin Corporation</w:t>
            </w:r>
            <w:r>
              <w:rPr>
                <w:rFonts w:ascii="Arial" w:cs="Arial" w:eastAsia="Arial" w:hAnsi="Arial"/>
                <w:sz w:val="21"/>
                <w:szCs w:val="21"/>
                <w:color w:val="auto"/>
                <w:vertAlign w:val="superscript"/>
              </w:rPr>
              <w:t>(1)</w:t>
            </w:r>
          </w:p>
        </w:tc>
      </w:tr>
      <w:tr>
        <w:trPr>
          <w:trHeight w:val="215"/>
        </w:trPr>
        <w:tc>
          <w:tcPr>
            <w:tcW w:w="3040" w:type="dxa"/>
            <w:vAlign w:val="bottom"/>
          </w:tcPr>
          <w:p>
            <w:pPr>
              <w:ind w:left="20"/>
              <w:spacing w:after="0"/>
              <w:rPr>
                <w:sz w:val="20"/>
                <w:szCs w:val="20"/>
                <w:color w:val="auto"/>
              </w:rPr>
            </w:pPr>
            <w:r>
              <w:rPr>
                <w:rFonts w:ascii="Arial" w:cs="Arial" w:eastAsia="Arial" w:hAnsi="Arial"/>
                <w:sz w:val="16"/>
                <w:szCs w:val="16"/>
                <w:color w:val="auto"/>
              </w:rPr>
              <w:t>Eaton Corporation plc</w:t>
            </w:r>
          </w:p>
        </w:tc>
        <w:tc>
          <w:tcPr>
            <w:tcW w:w="6680" w:type="dxa"/>
            <w:vAlign w:val="bottom"/>
          </w:tcPr>
          <w:p>
            <w:pPr>
              <w:ind w:left="1840"/>
              <w:spacing w:after="0"/>
              <w:rPr>
                <w:sz w:val="20"/>
                <w:szCs w:val="20"/>
                <w:color w:val="auto"/>
              </w:rPr>
            </w:pPr>
            <w:r>
              <w:rPr>
                <w:rFonts w:ascii="Arial" w:cs="Arial" w:eastAsia="Arial" w:hAnsi="Arial"/>
                <w:sz w:val="16"/>
                <w:szCs w:val="16"/>
                <w:color w:val="auto"/>
              </w:rPr>
              <w:t>Parker-Hannifin Corporation</w:t>
            </w:r>
          </w:p>
        </w:tc>
      </w:tr>
      <w:tr>
        <w:trPr>
          <w:trHeight w:val="314"/>
        </w:trPr>
        <w:tc>
          <w:tcPr>
            <w:tcW w:w="3040" w:type="dxa"/>
            <w:vAlign w:val="bottom"/>
          </w:tcPr>
          <w:p>
            <w:pPr>
              <w:ind w:left="20"/>
              <w:spacing w:after="0"/>
              <w:rPr>
                <w:sz w:val="20"/>
                <w:szCs w:val="20"/>
                <w:color w:val="auto"/>
              </w:rPr>
            </w:pPr>
            <w:r>
              <w:rPr>
                <w:rFonts w:ascii="Arial" w:cs="Arial" w:eastAsia="Arial" w:hAnsi="Arial"/>
                <w:sz w:val="16"/>
                <w:szCs w:val="16"/>
                <w:color w:val="auto"/>
              </w:rPr>
              <w:t>Emerson Electric Company</w:t>
            </w:r>
          </w:p>
        </w:tc>
        <w:tc>
          <w:tcPr>
            <w:tcW w:w="6680" w:type="dxa"/>
            <w:vAlign w:val="bottom"/>
          </w:tcPr>
          <w:p>
            <w:pPr>
              <w:ind w:left="1840"/>
              <w:spacing w:after="0"/>
              <w:rPr>
                <w:sz w:val="20"/>
                <w:szCs w:val="20"/>
                <w:color w:val="auto"/>
              </w:rPr>
            </w:pPr>
            <w:r>
              <w:rPr>
                <w:rFonts w:ascii="Arial" w:cs="Arial" w:eastAsia="Arial" w:hAnsi="Arial"/>
                <w:sz w:val="16"/>
                <w:szCs w:val="16"/>
                <w:color w:val="auto"/>
              </w:rPr>
              <w:t>RTX Corporation</w:t>
            </w:r>
            <w:r>
              <w:rPr>
                <w:rFonts w:ascii="Arial" w:cs="Arial" w:eastAsia="Arial" w:hAnsi="Arial"/>
                <w:sz w:val="21"/>
                <w:szCs w:val="21"/>
                <w:color w:val="auto"/>
                <w:vertAlign w:val="superscript"/>
              </w:rPr>
              <w:t>(1)(2)</w:t>
            </w:r>
          </w:p>
        </w:tc>
      </w:tr>
      <w:tr>
        <w:trPr>
          <w:trHeight w:val="365"/>
        </w:trPr>
        <w:tc>
          <w:tcPr>
            <w:tcW w:w="3040" w:type="dxa"/>
            <w:vAlign w:val="bottom"/>
          </w:tcPr>
          <w:p>
            <w:pPr>
              <w:ind w:left="20"/>
              <w:spacing w:after="0"/>
              <w:rPr>
                <w:sz w:val="20"/>
                <w:szCs w:val="20"/>
                <w:color w:val="auto"/>
              </w:rPr>
            </w:pPr>
            <w:r>
              <w:rPr>
                <w:rFonts w:ascii="Arial" w:cs="Arial" w:eastAsia="Arial" w:hAnsi="Arial"/>
                <w:sz w:val="16"/>
                <w:szCs w:val="16"/>
                <w:color w:val="auto"/>
              </w:rPr>
              <w:t>General Dynamics Corporation</w:t>
            </w:r>
            <w:r>
              <w:rPr>
                <w:rFonts w:ascii="Arial" w:cs="Arial" w:eastAsia="Arial" w:hAnsi="Arial"/>
                <w:sz w:val="21"/>
                <w:szCs w:val="21"/>
                <w:color w:val="auto"/>
                <w:vertAlign w:val="superscript"/>
              </w:rPr>
              <w:t>(1)</w:t>
            </w:r>
          </w:p>
        </w:tc>
        <w:tc>
          <w:tcPr>
            <w:tcW w:w="6680" w:type="dxa"/>
            <w:vAlign w:val="bottom"/>
          </w:tcPr>
          <w:p>
            <w:pPr>
              <w:ind w:left="1840"/>
              <w:spacing w:after="0"/>
              <w:rPr>
                <w:sz w:val="20"/>
                <w:szCs w:val="20"/>
                <w:color w:val="auto"/>
              </w:rPr>
            </w:pPr>
            <w:r>
              <w:rPr>
                <w:rFonts w:ascii="Arial" w:cs="Arial" w:eastAsia="Arial" w:hAnsi="Arial"/>
                <w:sz w:val="16"/>
                <w:szCs w:val="16"/>
                <w:color w:val="auto"/>
              </w:rPr>
              <w:t>Textron,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61722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53" w:lineRule="exact"/>
        <w:rPr>
          <w:sz w:val="20"/>
          <w:szCs w:val="20"/>
          <w:color w:val="auto"/>
        </w:rPr>
      </w:pPr>
    </w:p>
    <w:p>
      <w:pPr>
        <w:ind w:left="260" w:hanging="252"/>
        <w:spacing w:after="0"/>
        <w:tabs>
          <w:tab w:leader="none" w:pos="26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Included in the subset of six direct peers also used for compensation benchmarking.</w:t>
      </w:r>
    </w:p>
    <w:p>
      <w:pPr>
        <w:spacing w:after="0" w:line="82" w:lineRule="exact"/>
        <w:rPr>
          <w:rFonts w:ascii="Arial" w:cs="Arial" w:eastAsia="Arial" w:hAnsi="Arial"/>
          <w:sz w:val="14"/>
          <w:szCs w:val="14"/>
          <w:color w:val="auto"/>
        </w:rPr>
      </w:pPr>
    </w:p>
    <w:p>
      <w:pPr>
        <w:ind w:left="260" w:hanging="252"/>
        <w:spacing w:after="0"/>
        <w:tabs>
          <w:tab w:leader="none" w:pos="26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Raytheon Technologies Corporation was renamed to RTX Corporation.</w:t>
      </w:r>
    </w:p>
    <w:p>
      <w:pPr>
        <w:spacing w:after="0" w:line="30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2023 we increased the TIPG from 14 to 22 companies to broaden the comparative labor market and create a more robust peer group, with added companies meeting five or more key financial metrics such as revenue, market cap and enterprise value. One company, Textron, Inc., was removed as a peer and nine were added, including: Abbott Laboratories, Applied Materials, Inc., Cisco Systems, Inc., Cummins Inc., Illinois Tool Works Inc., Lam Research Corporation, Medtronic plc, PACCAR Inc and QUALCOMM Incorporated.</w:t>
      </w:r>
    </w:p>
    <w:p>
      <w:pPr>
        <w:spacing w:after="0" w:line="6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It is the Company’s pay philosophy to provide the CEO a compensation package that includes competitive elements of base salary and target variable pay relative to the TIPG and the direct six peers noted in the table above.</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Another element of the Company’s pay philosophy is to tie a significant portion of the CEO’s pay to performance. As a result, the CEO’s actual compensation may differ from the market median based on the Company’s actual performance.</w:t>
      </w:r>
    </w:p>
    <w:p>
      <w:pPr>
        <w:spacing w:after="0" w:line="6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In determining the base salary and target variable pay elements for the other NEOs, the Compensation and Human Capital Committee establishes the TIPG median as the benchmark. The Compensation and Human Capital Committee also considers several factors in determining their compensation, including executive compensation levels and practices of the TIPG, NEO individual experience, growth in job as demonstrated through sustained performance, leadership impact, retention and pay relative to the CEO. Actual annual incentive awards and long-term incentive award opportunities reflect these factors, as well as Company performance.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57</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Key Components of Our Executive Compensation Programs</w:t>
      </w:r>
    </w:p>
    <w:p>
      <w:pPr>
        <w:spacing w:after="0" w:line="241" w:lineRule="exact"/>
        <w:rPr>
          <w:sz w:val="20"/>
          <w:szCs w:val="20"/>
          <w:color w:val="auto"/>
        </w:rPr>
      </w:pPr>
    </w:p>
    <w:p>
      <w:pPr>
        <w:spacing w:after="0"/>
        <w:rPr>
          <w:sz w:val="20"/>
          <w:szCs w:val="20"/>
          <w:color w:val="auto"/>
        </w:rPr>
      </w:pPr>
      <w:r>
        <w:rPr>
          <w:rFonts w:ascii="Arial" w:cs="Arial" w:eastAsia="Arial" w:hAnsi="Arial"/>
          <w:sz w:val="23"/>
          <w:szCs w:val="23"/>
          <w:color w:val="auto"/>
        </w:rPr>
        <w:t>Base Salary</w:t>
      </w:r>
    </w:p>
    <w:p>
      <w:pPr>
        <w:spacing w:after="0" w:line="13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Compensation and Human Capital Committee believes that competitive base salaries are necessary to attract and retain our NEOs. Base salaries are evaluated each year and determined by level of responsibility, competitive market pay assessment and individual performance. The table below reflects each NEO's annual base salary as an elected officer, effective as of December 31 for the respective year.</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380" w:type="dxa"/>
            <w:vAlign w:val="bottom"/>
          </w:tcPr>
          <w:p>
            <w:pPr>
              <w:spacing w:after="0"/>
              <w:rPr>
                <w:sz w:val="14"/>
                <w:szCs w:val="14"/>
                <w:color w:val="auto"/>
              </w:rPr>
            </w:pPr>
          </w:p>
        </w:tc>
        <w:tc>
          <w:tcPr>
            <w:tcW w:w="1440" w:type="dxa"/>
            <w:vAlign w:val="bottom"/>
          </w:tcPr>
          <w:p>
            <w:pPr>
              <w:jc w:val="right"/>
              <w:ind w:right="304"/>
              <w:spacing w:after="0"/>
              <w:rPr>
                <w:sz w:val="20"/>
                <w:szCs w:val="20"/>
                <w:color w:val="auto"/>
              </w:rPr>
            </w:pPr>
            <w:r>
              <w:rPr>
                <w:rFonts w:ascii="Arial" w:cs="Arial" w:eastAsia="Arial" w:hAnsi="Arial"/>
                <w:sz w:val="13"/>
                <w:szCs w:val="13"/>
                <w:b w:val="1"/>
                <w:bCs w:val="1"/>
                <w:color w:val="auto"/>
              </w:rPr>
              <w:t>2022</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Increase to</w:t>
            </w:r>
          </w:p>
        </w:tc>
      </w:tr>
      <w:tr>
        <w:trPr>
          <w:trHeight w:val="185"/>
        </w:trPr>
        <w:tc>
          <w:tcPr>
            <w:tcW w:w="418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3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Base Salary</w:t>
            </w:r>
          </w:p>
        </w:tc>
        <w:tc>
          <w:tcPr>
            <w:tcW w:w="380" w:type="dxa"/>
            <w:vAlign w:val="bottom"/>
          </w:tcPr>
          <w:p>
            <w:pPr>
              <w:spacing w:after="0"/>
              <w:rPr>
                <w:sz w:val="16"/>
                <w:szCs w:val="16"/>
                <w:color w:val="auto"/>
              </w:rPr>
            </w:pPr>
          </w:p>
        </w:tc>
        <w:tc>
          <w:tcPr>
            <w:tcW w:w="1440" w:type="dxa"/>
            <w:vAlign w:val="bottom"/>
          </w:tcPr>
          <w:p>
            <w:pPr>
              <w:jc w:val="right"/>
              <w:ind w:right="304"/>
              <w:spacing w:after="0"/>
              <w:rPr>
                <w:sz w:val="20"/>
                <w:szCs w:val="20"/>
                <w:color w:val="auto"/>
              </w:rPr>
            </w:pPr>
            <w:r>
              <w:rPr>
                <w:rFonts w:ascii="Arial" w:cs="Arial" w:eastAsia="Arial" w:hAnsi="Arial"/>
                <w:sz w:val="13"/>
                <w:szCs w:val="13"/>
                <w:b w:val="1"/>
                <w:bCs w:val="1"/>
                <w:color w:val="auto"/>
              </w:rPr>
              <w:t>Base Salary</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Base Salary</w:t>
            </w:r>
          </w:p>
        </w:tc>
      </w:tr>
      <w:tr>
        <w:trPr>
          <w:trHeight w:val="22"/>
        </w:trPr>
        <w:tc>
          <w:tcPr>
            <w:tcW w:w="4180" w:type="dxa"/>
            <w:vAlign w:val="bottom"/>
            <w:tcBorders>
              <w:bottom w:val="single" w:sz="8" w:color="29378D"/>
            </w:tcBorders>
          </w:tcPr>
          <w:p>
            <w:pPr>
              <w:spacing w:after="0" w:line="20" w:lineRule="exact"/>
              <w:rPr>
                <w:sz w:val="1"/>
                <w:szCs w:val="1"/>
                <w:color w:val="auto"/>
              </w:rPr>
            </w:pPr>
          </w:p>
        </w:tc>
        <w:tc>
          <w:tcPr>
            <w:tcW w:w="3100" w:type="dxa"/>
            <w:vAlign w:val="bottom"/>
            <w:tcBorders>
              <w:bottom w:val="single" w:sz="8" w:color="29378D"/>
            </w:tcBorders>
          </w:tcPr>
          <w:p>
            <w:pPr>
              <w:spacing w:after="0" w:line="20" w:lineRule="exact"/>
              <w:rPr>
                <w:sz w:val="1"/>
                <w:szCs w:val="1"/>
                <w:color w:val="auto"/>
              </w:rPr>
            </w:pPr>
          </w:p>
        </w:tc>
        <w:tc>
          <w:tcPr>
            <w:tcW w:w="1040" w:type="dxa"/>
            <w:vAlign w:val="bottom"/>
            <w:tcBorders>
              <w:bottom w:val="single" w:sz="8" w:color="29378D"/>
            </w:tcBorders>
          </w:tcPr>
          <w:p>
            <w:pPr>
              <w:spacing w:after="0" w:line="20" w:lineRule="exact"/>
              <w:rPr>
                <w:sz w:val="1"/>
                <w:szCs w:val="1"/>
                <w:color w:val="auto"/>
              </w:rPr>
            </w:pPr>
          </w:p>
        </w:tc>
        <w:tc>
          <w:tcPr>
            <w:tcW w:w="380" w:type="dxa"/>
            <w:vAlign w:val="bottom"/>
            <w:tcBorders>
              <w:bottom w:val="single" w:sz="8" w:color="29378D"/>
            </w:tcBorders>
          </w:tcPr>
          <w:p>
            <w:pPr>
              <w:spacing w:after="0" w:line="20" w:lineRule="exact"/>
              <w:rPr>
                <w:sz w:val="1"/>
                <w:szCs w:val="1"/>
                <w:color w:val="auto"/>
              </w:rPr>
            </w:pPr>
          </w:p>
        </w:tc>
        <w:tc>
          <w:tcPr>
            <w:tcW w:w="1440" w:type="dxa"/>
            <w:vAlign w:val="bottom"/>
            <w:tcBorders>
              <w:bottom w:val="single" w:sz="8" w:color="29378D"/>
            </w:tcBorders>
          </w:tcPr>
          <w:p>
            <w:pPr>
              <w:spacing w:after="0" w:line="20" w:lineRule="exact"/>
              <w:rPr>
                <w:sz w:val="1"/>
                <w:szCs w:val="1"/>
                <w:color w:val="auto"/>
              </w:rPr>
            </w:pPr>
          </w:p>
        </w:tc>
        <w:tc>
          <w:tcPr>
            <w:tcW w:w="1100" w:type="dxa"/>
            <w:vAlign w:val="bottom"/>
            <w:tcBorders>
              <w:bottom w:val="single" w:sz="8" w:color="29378D"/>
            </w:tcBorders>
          </w:tcPr>
          <w:p>
            <w:pPr>
              <w:spacing w:after="0" w:line="20" w:lineRule="exact"/>
              <w:rPr>
                <w:sz w:val="1"/>
                <w:szCs w:val="1"/>
                <w:color w:val="auto"/>
              </w:rPr>
            </w:pPr>
          </w:p>
        </w:tc>
      </w:tr>
      <w:tr>
        <w:trPr>
          <w:trHeight w:val="242"/>
        </w:trPr>
        <w:tc>
          <w:tcPr>
            <w:tcW w:w="4180" w:type="dxa"/>
            <w:vAlign w:val="bottom"/>
            <w:tcBorders>
              <w:bottom w:val="single" w:sz="8" w:color="E1E0EF"/>
            </w:tcBorders>
            <w:shd w:val="clear" w:color="auto" w:fill="E1E0EF"/>
          </w:tcPr>
          <w:p>
            <w:pPr>
              <w:ind w:left="20"/>
              <w:spacing w:after="0"/>
              <w:rPr>
                <w:sz w:val="20"/>
                <w:szCs w:val="20"/>
                <w:color w:val="auto"/>
              </w:rPr>
            </w:pPr>
            <w:r>
              <w:rPr>
                <w:rFonts w:ascii="Arial" w:cs="Arial" w:eastAsia="Arial" w:hAnsi="Arial"/>
                <w:sz w:val="16"/>
                <w:szCs w:val="16"/>
                <w:b w:val="1"/>
                <w:bCs w:val="1"/>
                <w:color w:val="29378D"/>
              </w:rPr>
              <w:t>Kathy J. Warden</w:t>
            </w:r>
          </w:p>
        </w:tc>
        <w:tc>
          <w:tcPr>
            <w:tcW w:w="3100" w:type="dxa"/>
            <w:vAlign w:val="bottom"/>
            <w:tcBorders>
              <w:bottom w:val="single" w:sz="8" w:color="E1E0EF"/>
            </w:tcBorders>
            <w:shd w:val="clear" w:color="auto" w:fill="E1E0E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1E0EF"/>
            </w:tcBorders>
            <w:shd w:val="clear" w:color="auto" w:fill="E1E0EF"/>
          </w:tcPr>
          <w:p>
            <w:pPr>
              <w:jc w:val="right"/>
              <w:ind w:right="4"/>
              <w:spacing w:after="0"/>
              <w:rPr>
                <w:sz w:val="20"/>
                <w:szCs w:val="20"/>
                <w:color w:val="auto"/>
              </w:rPr>
            </w:pPr>
            <w:r>
              <w:rPr>
                <w:rFonts w:ascii="Arial" w:cs="Arial" w:eastAsia="Arial" w:hAnsi="Arial"/>
                <w:sz w:val="16"/>
                <w:szCs w:val="16"/>
                <w:color w:val="auto"/>
              </w:rPr>
              <w:t>1,750,000</w:t>
            </w:r>
          </w:p>
        </w:tc>
        <w:tc>
          <w:tcPr>
            <w:tcW w:w="380" w:type="dxa"/>
            <w:vAlign w:val="bottom"/>
            <w:tcBorders>
              <w:bottom w:val="single" w:sz="8" w:color="E1E0EF"/>
            </w:tcBorders>
            <w:shd w:val="clear" w:color="auto" w:fill="E1E0EF"/>
          </w:tcPr>
          <w:p>
            <w:pPr>
              <w:jc w:val="right"/>
              <w:ind w:right="1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E1E0EF"/>
            </w:tcBorders>
            <w:shd w:val="clear" w:color="auto" w:fill="E1E0EF"/>
          </w:tcPr>
          <w:p>
            <w:pPr>
              <w:jc w:val="right"/>
              <w:ind w:right="364"/>
              <w:spacing w:after="0"/>
              <w:rPr>
                <w:sz w:val="20"/>
                <w:szCs w:val="20"/>
                <w:color w:val="auto"/>
              </w:rPr>
            </w:pPr>
            <w:r>
              <w:rPr>
                <w:rFonts w:ascii="Arial" w:cs="Arial" w:eastAsia="Arial" w:hAnsi="Arial"/>
                <w:sz w:val="16"/>
                <w:szCs w:val="16"/>
                <w:color w:val="auto"/>
              </w:rPr>
              <w:t>1,650,000</w:t>
            </w:r>
          </w:p>
        </w:tc>
        <w:tc>
          <w:tcPr>
            <w:tcW w:w="1100" w:type="dxa"/>
            <w:vAlign w:val="bottom"/>
            <w:tcBorders>
              <w:bottom w:val="single" w:sz="8" w:color="E1E0EF"/>
            </w:tcBorders>
            <w:shd w:val="clear" w:color="auto" w:fill="E1E0EF"/>
          </w:tcPr>
          <w:p>
            <w:pPr>
              <w:jc w:val="right"/>
              <w:spacing w:after="0"/>
              <w:rPr>
                <w:sz w:val="20"/>
                <w:szCs w:val="20"/>
                <w:color w:val="auto"/>
              </w:rPr>
            </w:pPr>
            <w:r>
              <w:rPr>
                <w:rFonts w:ascii="Arial" w:cs="Arial" w:eastAsia="Arial" w:hAnsi="Arial"/>
                <w:sz w:val="16"/>
                <w:szCs w:val="16"/>
                <w:color w:val="auto"/>
              </w:rPr>
              <w:t>6 %</w:t>
            </w:r>
          </w:p>
        </w:tc>
      </w:tr>
      <w:tr>
        <w:trPr>
          <w:trHeight w:val="216"/>
        </w:trPr>
        <w:tc>
          <w:tcPr>
            <w:tcW w:w="4180" w:type="dxa"/>
            <w:vAlign w:val="bottom"/>
            <w:tcBorders>
              <w:top w:val="single" w:sz="8" w:color="BCBEC0"/>
            </w:tcBorders>
          </w:tcPr>
          <w:p>
            <w:pPr>
              <w:ind w:left="20"/>
              <w:spacing w:after="0"/>
              <w:rPr>
                <w:sz w:val="20"/>
                <w:szCs w:val="20"/>
                <w:color w:val="auto"/>
              </w:rPr>
            </w:pPr>
            <w:r>
              <w:rPr>
                <w:rFonts w:ascii="Arial" w:cs="Arial" w:eastAsia="Arial" w:hAnsi="Arial"/>
                <w:sz w:val="16"/>
                <w:szCs w:val="16"/>
                <w:b w:val="1"/>
                <w:bCs w:val="1"/>
                <w:color w:val="29378D"/>
              </w:rPr>
              <w:t>David F. Keffer</w:t>
            </w:r>
          </w:p>
        </w:tc>
        <w:tc>
          <w:tcPr>
            <w:tcW w:w="3100" w:type="dxa"/>
            <w:vAlign w:val="bottom"/>
            <w:tcBorders>
              <w:top w:val="single" w:sz="8" w:color="BCBEC0"/>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BCBEC0"/>
            </w:tcBorders>
          </w:tcPr>
          <w:p>
            <w:pPr>
              <w:jc w:val="right"/>
              <w:ind w:right="4"/>
              <w:spacing w:after="0"/>
              <w:rPr>
                <w:sz w:val="20"/>
                <w:szCs w:val="20"/>
                <w:color w:val="auto"/>
              </w:rPr>
            </w:pPr>
            <w:r>
              <w:rPr>
                <w:rFonts w:ascii="Arial" w:cs="Arial" w:eastAsia="Arial" w:hAnsi="Arial"/>
                <w:sz w:val="16"/>
                <w:szCs w:val="16"/>
                <w:color w:val="auto"/>
              </w:rPr>
              <w:t>855,000</w:t>
            </w:r>
          </w:p>
        </w:tc>
        <w:tc>
          <w:tcPr>
            <w:tcW w:w="380" w:type="dxa"/>
            <w:vAlign w:val="bottom"/>
            <w:tcBorders>
              <w:top w:val="single" w:sz="8" w:color="BCBEC0"/>
            </w:tcBorders>
          </w:tcPr>
          <w:p>
            <w:pPr>
              <w:jc w:val="right"/>
              <w:ind w:right="1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BCBEC0"/>
            </w:tcBorders>
          </w:tcPr>
          <w:p>
            <w:pPr>
              <w:jc w:val="right"/>
              <w:ind w:right="344"/>
              <w:spacing w:after="0"/>
              <w:rPr>
                <w:sz w:val="20"/>
                <w:szCs w:val="20"/>
                <w:color w:val="auto"/>
              </w:rPr>
            </w:pPr>
            <w:r>
              <w:rPr>
                <w:rFonts w:ascii="Arial" w:cs="Arial" w:eastAsia="Arial" w:hAnsi="Arial"/>
                <w:sz w:val="16"/>
                <w:szCs w:val="16"/>
                <w:color w:val="auto"/>
              </w:rPr>
              <w:t>824,000</w:t>
            </w:r>
          </w:p>
        </w:tc>
        <w:tc>
          <w:tcPr>
            <w:tcW w:w="1100" w:type="dxa"/>
            <w:vAlign w:val="bottom"/>
            <w:tcBorders>
              <w:top w:val="single" w:sz="8" w:color="BCBEC0"/>
            </w:tcBorders>
          </w:tcPr>
          <w:p>
            <w:pPr>
              <w:jc w:val="right"/>
              <w:spacing w:after="0"/>
              <w:rPr>
                <w:sz w:val="20"/>
                <w:szCs w:val="20"/>
                <w:color w:val="auto"/>
              </w:rPr>
            </w:pPr>
            <w:r>
              <w:rPr>
                <w:rFonts w:ascii="Arial" w:cs="Arial" w:eastAsia="Arial" w:hAnsi="Arial"/>
                <w:sz w:val="16"/>
                <w:szCs w:val="16"/>
                <w:color w:val="auto"/>
              </w:rPr>
              <w:t>4 %</w:t>
            </w:r>
          </w:p>
        </w:tc>
      </w:tr>
      <w:tr>
        <w:trPr>
          <w:trHeight w:val="20"/>
        </w:trPr>
        <w:tc>
          <w:tcPr>
            <w:tcW w:w="4180" w:type="dxa"/>
            <w:vAlign w:val="bottom"/>
            <w:tcBorders>
              <w:bottom w:val="single" w:sz="8" w:color="BCBEC0"/>
            </w:tcBorders>
          </w:tcPr>
          <w:p>
            <w:pPr>
              <w:spacing w:after="0" w:line="20" w:lineRule="exact"/>
              <w:rPr>
                <w:sz w:val="1"/>
                <w:szCs w:val="1"/>
                <w:color w:val="auto"/>
              </w:rPr>
            </w:pPr>
          </w:p>
        </w:tc>
        <w:tc>
          <w:tcPr>
            <w:tcW w:w="3100" w:type="dxa"/>
            <w:vAlign w:val="bottom"/>
            <w:tcBorders>
              <w:bottom w:val="single" w:sz="8" w:color="BCBEC0"/>
            </w:tcBorders>
          </w:tcPr>
          <w:p>
            <w:pPr>
              <w:spacing w:after="0" w:line="20" w:lineRule="exact"/>
              <w:rPr>
                <w:sz w:val="1"/>
                <w:szCs w:val="1"/>
                <w:color w:val="auto"/>
              </w:rPr>
            </w:pPr>
          </w:p>
        </w:tc>
        <w:tc>
          <w:tcPr>
            <w:tcW w:w="1040" w:type="dxa"/>
            <w:vAlign w:val="bottom"/>
            <w:tcBorders>
              <w:bottom w:val="single" w:sz="8" w:color="BCBEC0"/>
            </w:tcBorders>
          </w:tcPr>
          <w:p>
            <w:pPr>
              <w:spacing w:after="0" w:line="20" w:lineRule="exact"/>
              <w:rPr>
                <w:sz w:val="1"/>
                <w:szCs w:val="1"/>
                <w:color w:val="auto"/>
              </w:rPr>
            </w:pPr>
          </w:p>
        </w:tc>
        <w:tc>
          <w:tcPr>
            <w:tcW w:w="38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1100" w:type="dxa"/>
            <w:vAlign w:val="bottom"/>
            <w:tcBorders>
              <w:bottom w:val="single" w:sz="8" w:color="BCBEC0"/>
            </w:tcBorders>
          </w:tcPr>
          <w:p>
            <w:pPr>
              <w:spacing w:after="0" w:line="20" w:lineRule="exact"/>
              <w:rPr>
                <w:sz w:val="1"/>
                <w:szCs w:val="1"/>
                <w:color w:val="auto"/>
              </w:rPr>
            </w:pPr>
          </w:p>
        </w:tc>
      </w:tr>
      <w:tr>
        <w:trPr>
          <w:trHeight w:val="242"/>
        </w:trPr>
        <w:tc>
          <w:tcPr>
            <w:tcW w:w="4180" w:type="dxa"/>
            <w:vAlign w:val="bottom"/>
            <w:tcBorders>
              <w:bottom w:val="single" w:sz="8" w:color="E1E0EF"/>
            </w:tcBorders>
            <w:shd w:val="clear" w:color="auto" w:fill="E1E0EF"/>
          </w:tcPr>
          <w:p>
            <w:pPr>
              <w:ind w:left="20"/>
              <w:spacing w:after="0"/>
              <w:rPr>
                <w:sz w:val="20"/>
                <w:szCs w:val="20"/>
                <w:color w:val="auto"/>
              </w:rPr>
            </w:pPr>
            <w:r>
              <w:rPr>
                <w:rFonts w:ascii="Arial" w:cs="Arial" w:eastAsia="Arial" w:hAnsi="Arial"/>
                <w:sz w:val="16"/>
                <w:szCs w:val="16"/>
                <w:b w:val="1"/>
                <w:bCs w:val="1"/>
                <w:color w:val="29378D"/>
              </w:rPr>
              <w:t>Mark A. Caylor</w:t>
            </w:r>
          </w:p>
        </w:tc>
        <w:tc>
          <w:tcPr>
            <w:tcW w:w="3100" w:type="dxa"/>
            <w:vAlign w:val="bottom"/>
            <w:tcBorders>
              <w:bottom w:val="single" w:sz="8" w:color="E1E0EF"/>
            </w:tcBorders>
            <w:shd w:val="clear" w:color="auto" w:fill="E1E0E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1E0EF"/>
            </w:tcBorders>
            <w:shd w:val="clear" w:color="auto" w:fill="E1E0EF"/>
          </w:tcPr>
          <w:p>
            <w:pPr>
              <w:jc w:val="right"/>
              <w:ind w:right="4"/>
              <w:spacing w:after="0"/>
              <w:rPr>
                <w:sz w:val="20"/>
                <w:szCs w:val="20"/>
                <w:color w:val="auto"/>
              </w:rPr>
            </w:pPr>
            <w:r>
              <w:rPr>
                <w:rFonts w:ascii="Arial" w:cs="Arial" w:eastAsia="Arial" w:hAnsi="Arial"/>
                <w:sz w:val="16"/>
                <w:szCs w:val="16"/>
                <w:color w:val="auto"/>
              </w:rPr>
              <w:t>855,000</w:t>
            </w:r>
          </w:p>
        </w:tc>
        <w:tc>
          <w:tcPr>
            <w:tcW w:w="380" w:type="dxa"/>
            <w:vAlign w:val="bottom"/>
            <w:tcBorders>
              <w:bottom w:val="single" w:sz="8" w:color="E1E0EF"/>
            </w:tcBorders>
            <w:shd w:val="clear" w:color="auto" w:fill="E1E0EF"/>
          </w:tcPr>
          <w:p>
            <w:pPr>
              <w:jc w:val="right"/>
              <w:ind w:right="1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E1E0EF"/>
            </w:tcBorders>
            <w:shd w:val="clear" w:color="auto" w:fill="E1E0EF"/>
          </w:tcPr>
          <w:p>
            <w:pPr>
              <w:jc w:val="right"/>
              <w:ind w:right="344"/>
              <w:spacing w:after="0"/>
              <w:rPr>
                <w:sz w:val="20"/>
                <w:szCs w:val="20"/>
                <w:color w:val="auto"/>
              </w:rPr>
            </w:pPr>
            <w:r>
              <w:rPr>
                <w:rFonts w:ascii="Arial" w:cs="Arial" w:eastAsia="Arial" w:hAnsi="Arial"/>
                <w:sz w:val="16"/>
                <w:szCs w:val="16"/>
                <w:color w:val="auto"/>
              </w:rPr>
              <w:t>855,000</w:t>
            </w:r>
          </w:p>
        </w:tc>
        <w:tc>
          <w:tcPr>
            <w:tcW w:w="1100" w:type="dxa"/>
            <w:vAlign w:val="bottom"/>
            <w:tcBorders>
              <w:bottom w:val="single" w:sz="8" w:color="E1E0EF"/>
            </w:tcBorders>
            <w:shd w:val="clear" w:color="auto" w:fill="E1E0EF"/>
          </w:tcPr>
          <w:p>
            <w:pPr>
              <w:jc w:val="right"/>
              <w:spacing w:after="0"/>
              <w:rPr>
                <w:sz w:val="20"/>
                <w:szCs w:val="20"/>
                <w:color w:val="auto"/>
              </w:rPr>
            </w:pPr>
            <w:r>
              <w:rPr>
                <w:rFonts w:ascii="Arial" w:cs="Arial" w:eastAsia="Arial" w:hAnsi="Arial"/>
                <w:sz w:val="16"/>
                <w:szCs w:val="16"/>
                <w:color w:val="auto"/>
              </w:rPr>
              <w:t>0 %</w:t>
            </w:r>
          </w:p>
        </w:tc>
      </w:tr>
      <w:tr>
        <w:trPr>
          <w:trHeight w:val="216"/>
        </w:trPr>
        <w:tc>
          <w:tcPr>
            <w:tcW w:w="4180" w:type="dxa"/>
            <w:vAlign w:val="bottom"/>
            <w:tcBorders>
              <w:top w:val="single" w:sz="8" w:color="BCBEC0"/>
            </w:tcBorders>
          </w:tcPr>
          <w:p>
            <w:pPr>
              <w:ind w:left="20"/>
              <w:spacing w:after="0"/>
              <w:rPr>
                <w:sz w:val="20"/>
                <w:szCs w:val="20"/>
                <w:color w:val="auto"/>
              </w:rPr>
            </w:pPr>
            <w:r>
              <w:rPr>
                <w:rFonts w:ascii="Arial" w:cs="Arial" w:eastAsia="Arial" w:hAnsi="Arial"/>
                <w:sz w:val="16"/>
                <w:szCs w:val="16"/>
                <w:b w:val="1"/>
                <w:bCs w:val="1"/>
                <w:color w:val="29378D"/>
              </w:rPr>
              <w:t>Thomas H. Jones</w:t>
            </w:r>
          </w:p>
        </w:tc>
        <w:tc>
          <w:tcPr>
            <w:tcW w:w="3100" w:type="dxa"/>
            <w:vAlign w:val="bottom"/>
            <w:tcBorders>
              <w:top w:val="single" w:sz="8" w:color="BCBEC0"/>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BCBEC0"/>
            </w:tcBorders>
          </w:tcPr>
          <w:p>
            <w:pPr>
              <w:jc w:val="right"/>
              <w:ind w:right="4"/>
              <w:spacing w:after="0"/>
              <w:rPr>
                <w:sz w:val="20"/>
                <w:szCs w:val="20"/>
                <w:color w:val="auto"/>
              </w:rPr>
            </w:pPr>
            <w:r>
              <w:rPr>
                <w:rFonts w:ascii="Arial" w:cs="Arial" w:eastAsia="Arial" w:hAnsi="Arial"/>
                <w:sz w:val="16"/>
                <w:szCs w:val="16"/>
                <w:color w:val="auto"/>
              </w:rPr>
              <w:t>790,000</w:t>
            </w:r>
          </w:p>
        </w:tc>
        <w:tc>
          <w:tcPr>
            <w:tcW w:w="380" w:type="dxa"/>
            <w:vAlign w:val="bottom"/>
            <w:tcBorders>
              <w:top w:val="single" w:sz="8" w:color="BCBEC0"/>
            </w:tcBorders>
          </w:tcPr>
          <w:p>
            <w:pPr>
              <w:jc w:val="right"/>
              <w:ind w:right="1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BCBEC0"/>
            </w:tcBorders>
          </w:tcPr>
          <w:p>
            <w:pPr>
              <w:jc w:val="right"/>
              <w:ind w:right="344"/>
              <w:spacing w:after="0"/>
              <w:rPr>
                <w:sz w:val="20"/>
                <w:szCs w:val="20"/>
                <w:color w:val="auto"/>
              </w:rPr>
            </w:pPr>
            <w:r>
              <w:rPr>
                <w:rFonts w:ascii="Arial" w:cs="Arial" w:eastAsia="Arial" w:hAnsi="Arial"/>
                <w:sz w:val="16"/>
                <w:szCs w:val="16"/>
                <w:color w:val="auto"/>
              </w:rPr>
              <w:t>765,000</w:t>
            </w:r>
          </w:p>
        </w:tc>
        <w:tc>
          <w:tcPr>
            <w:tcW w:w="1100" w:type="dxa"/>
            <w:vAlign w:val="bottom"/>
            <w:tcBorders>
              <w:top w:val="single" w:sz="8" w:color="BCBEC0"/>
            </w:tcBorders>
          </w:tcPr>
          <w:p>
            <w:pPr>
              <w:jc w:val="right"/>
              <w:spacing w:after="0"/>
              <w:rPr>
                <w:sz w:val="20"/>
                <w:szCs w:val="20"/>
                <w:color w:val="auto"/>
              </w:rPr>
            </w:pPr>
            <w:r>
              <w:rPr>
                <w:rFonts w:ascii="Arial" w:cs="Arial" w:eastAsia="Arial" w:hAnsi="Arial"/>
                <w:sz w:val="16"/>
                <w:szCs w:val="16"/>
                <w:color w:val="auto"/>
              </w:rPr>
              <w:t>3 %</w:t>
            </w:r>
          </w:p>
        </w:tc>
      </w:tr>
      <w:tr>
        <w:trPr>
          <w:trHeight w:val="20"/>
        </w:trPr>
        <w:tc>
          <w:tcPr>
            <w:tcW w:w="4180" w:type="dxa"/>
            <w:vAlign w:val="bottom"/>
            <w:tcBorders>
              <w:bottom w:val="single" w:sz="8" w:color="BCBEC0"/>
            </w:tcBorders>
          </w:tcPr>
          <w:p>
            <w:pPr>
              <w:spacing w:after="0" w:line="20" w:lineRule="exact"/>
              <w:rPr>
                <w:sz w:val="1"/>
                <w:szCs w:val="1"/>
                <w:color w:val="auto"/>
              </w:rPr>
            </w:pPr>
          </w:p>
        </w:tc>
        <w:tc>
          <w:tcPr>
            <w:tcW w:w="3100" w:type="dxa"/>
            <w:vAlign w:val="bottom"/>
            <w:tcBorders>
              <w:bottom w:val="single" w:sz="8" w:color="BCBEC0"/>
            </w:tcBorders>
          </w:tcPr>
          <w:p>
            <w:pPr>
              <w:spacing w:after="0" w:line="20" w:lineRule="exact"/>
              <w:rPr>
                <w:sz w:val="1"/>
                <w:szCs w:val="1"/>
                <w:color w:val="auto"/>
              </w:rPr>
            </w:pPr>
          </w:p>
        </w:tc>
        <w:tc>
          <w:tcPr>
            <w:tcW w:w="1040" w:type="dxa"/>
            <w:vAlign w:val="bottom"/>
            <w:tcBorders>
              <w:bottom w:val="single" w:sz="8" w:color="BCBEC0"/>
            </w:tcBorders>
          </w:tcPr>
          <w:p>
            <w:pPr>
              <w:spacing w:after="0" w:line="20" w:lineRule="exact"/>
              <w:rPr>
                <w:sz w:val="1"/>
                <w:szCs w:val="1"/>
                <w:color w:val="auto"/>
              </w:rPr>
            </w:pPr>
          </w:p>
        </w:tc>
        <w:tc>
          <w:tcPr>
            <w:tcW w:w="38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1100" w:type="dxa"/>
            <w:vAlign w:val="bottom"/>
            <w:tcBorders>
              <w:bottom w:val="single" w:sz="8" w:color="BCBEC0"/>
            </w:tcBorders>
          </w:tcPr>
          <w:p>
            <w:pPr>
              <w:spacing w:after="0" w:line="20" w:lineRule="exact"/>
              <w:rPr>
                <w:sz w:val="1"/>
                <w:szCs w:val="1"/>
                <w:color w:val="auto"/>
              </w:rPr>
            </w:pPr>
          </w:p>
        </w:tc>
      </w:tr>
      <w:tr>
        <w:trPr>
          <w:trHeight w:val="217"/>
        </w:trPr>
        <w:tc>
          <w:tcPr>
            <w:tcW w:w="418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6"/>
                <w:szCs w:val="16"/>
                <w:b w:val="1"/>
                <w:bCs w:val="1"/>
                <w:color w:val="29378D"/>
              </w:rPr>
              <w:t>Roshan S. Roeder</w:t>
            </w:r>
          </w:p>
        </w:tc>
        <w:tc>
          <w:tcPr>
            <w:tcW w:w="3100" w:type="dxa"/>
            <w:vAlign w:val="bottom"/>
            <w:tcBorders>
              <w:bottom w:val="single" w:sz="8" w:color="DFDEEE"/>
            </w:tcBorders>
            <w:shd w:val="clear" w:color="auto" w:fill="DFDEEE"/>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FDEEE"/>
            </w:tcBorders>
            <w:shd w:val="clear" w:color="auto" w:fill="DFDEEE"/>
          </w:tcPr>
          <w:p>
            <w:pPr>
              <w:jc w:val="right"/>
              <w:ind w:right="4"/>
              <w:spacing w:after="0"/>
              <w:rPr>
                <w:sz w:val="20"/>
                <w:szCs w:val="20"/>
                <w:color w:val="auto"/>
              </w:rPr>
            </w:pPr>
            <w:r>
              <w:rPr>
                <w:rFonts w:ascii="Arial" w:cs="Arial" w:eastAsia="Arial" w:hAnsi="Arial"/>
                <w:sz w:val="16"/>
                <w:szCs w:val="16"/>
                <w:color w:val="auto"/>
              </w:rPr>
              <w:t>750,000</w:t>
            </w:r>
          </w:p>
        </w:tc>
        <w:tc>
          <w:tcPr>
            <w:tcW w:w="380" w:type="dxa"/>
            <w:vAlign w:val="bottom"/>
            <w:tcBorders>
              <w:bottom w:val="single" w:sz="8" w:color="DFDEEE"/>
            </w:tcBorders>
            <w:shd w:val="clear" w:color="auto" w:fill="DFDEEE"/>
          </w:tcPr>
          <w:p>
            <w:pPr>
              <w:jc w:val="right"/>
              <w:ind w:right="1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DFDEEE"/>
            </w:tcBorders>
            <w:shd w:val="clear" w:color="auto" w:fill="DFDEEE"/>
          </w:tcPr>
          <w:p>
            <w:pPr>
              <w:jc w:val="right"/>
              <w:ind w:right="344"/>
              <w:spacing w:after="0"/>
              <w:rPr>
                <w:sz w:val="20"/>
                <w:szCs w:val="20"/>
                <w:color w:val="auto"/>
              </w:rPr>
            </w:pPr>
            <w:r>
              <w:rPr>
                <w:rFonts w:ascii="Arial" w:cs="Arial" w:eastAsia="Arial" w:hAnsi="Arial"/>
                <w:sz w:val="16"/>
                <w:szCs w:val="16"/>
                <w:color w:val="auto"/>
              </w:rPr>
              <w:t>750,000</w:t>
            </w:r>
          </w:p>
        </w:tc>
        <w:tc>
          <w:tcPr>
            <w:tcW w:w="1100" w:type="dxa"/>
            <w:vAlign w:val="bottom"/>
            <w:tcBorders>
              <w:bottom w:val="single" w:sz="8" w:color="DFDEEE"/>
            </w:tcBorders>
            <w:shd w:val="clear" w:color="auto" w:fill="DFDEEE"/>
          </w:tcPr>
          <w:p>
            <w:pPr>
              <w:jc w:val="right"/>
              <w:spacing w:after="0"/>
              <w:rPr>
                <w:sz w:val="20"/>
                <w:szCs w:val="20"/>
                <w:color w:val="auto"/>
              </w:rPr>
            </w:pPr>
            <w:r>
              <w:rPr>
                <w:rFonts w:ascii="Arial" w:cs="Arial" w:eastAsia="Arial" w:hAnsi="Arial"/>
                <w:sz w:val="16"/>
                <w:szCs w:val="16"/>
                <w:color w:val="auto"/>
              </w:rPr>
              <w:t>0 %</w:t>
            </w:r>
          </w:p>
        </w:tc>
      </w:tr>
      <w:tr>
        <w:trPr>
          <w:trHeight w:val="20"/>
        </w:trPr>
        <w:tc>
          <w:tcPr>
            <w:tcW w:w="4180" w:type="dxa"/>
            <w:vAlign w:val="bottom"/>
            <w:shd w:val="clear" w:color="auto" w:fill="BCBEC0"/>
          </w:tcPr>
          <w:p>
            <w:pPr>
              <w:spacing w:after="0" w:line="20" w:lineRule="exact"/>
              <w:rPr>
                <w:sz w:val="1"/>
                <w:szCs w:val="1"/>
                <w:color w:val="auto"/>
              </w:rPr>
            </w:pPr>
          </w:p>
        </w:tc>
        <w:tc>
          <w:tcPr>
            <w:tcW w:w="3100" w:type="dxa"/>
            <w:vAlign w:val="bottom"/>
            <w:shd w:val="clear" w:color="auto" w:fill="BCBEC0"/>
          </w:tcPr>
          <w:p>
            <w:pPr>
              <w:spacing w:after="0" w:line="20" w:lineRule="exact"/>
              <w:rPr>
                <w:sz w:val="1"/>
                <w:szCs w:val="1"/>
                <w:color w:val="auto"/>
              </w:rPr>
            </w:pPr>
          </w:p>
        </w:tc>
        <w:tc>
          <w:tcPr>
            <w:tcW w:w="1040" w:type="dxa"/>
            <w:vAlign w:val="bottom"/>
            <w:shd w:val="clear" w:color="auto" w:fill="BCBEC0"/>
          </w:tcPr>
          <w:p>
            <w:pPr>
              <w:spacing w:after="0" w:line="20" w:lineRule="exact"/>
              <w:rPr>
                <w:sz w:val="1"/>
                <w:szCs w:val="1"/>
                <w:color w:val="auto"/>
              </w:rPr>
            </w:pPr>
          </w:p>
        </w:tc>
        <w:tc>
          <w:tcPr>
            <w:tcW w:w="380" w:type="dxa"/>
            <w:vAlign w:val="bottom"/>
            <w:shd w:val="clear" w:color="auto" w:fill="BCBEC0"/>
          </w:tcPr>
          <w:p>
            <w:pPr>
              <w:spacing w:after="0" w:line="20" w:lineRule="exact"/>
              <w:rPr>
                <w:sz w:val="1"/>
                <w:szCs w:val="1"/>
                <w:color w:val="auto"/>
              </w:rPr>
            </w:pPr>
          </w:p>
        </w:tc>
        <w:tc>
          <w:tcPr>
            <w:tcW w:w="1440" w:type="dxa"/>
            <w:vAlign w:val="bottom"/>
            <w:shd w:val="clear" w:color="auto" w:fill="BCBEC0"/>
          </w:tcPr>
          <w:p>
            <w:pPr>
              <w:spacing w:after="0" w:line="20" w:lineRule="exact"/>
              <w:rPr>
                <w:sz w:val="1"/>
                <w:szCs w:val="1"/>
                <w:color w:val="auto"/>
              </w:rPr>
            </w:pPr>
          </w:p>
        </w:tc>
        <w:tc>
          <w:tcPr>
            <w:tcW w:w="1100" w:type="dxa"/>
            <w:vAlign w:val="bottom"/>
            <w:shd w:val="clear" w:color="auto" w:fill="BCBEC0"/>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23"/>
          <w:szCs w:val="23"/>
          <w:color w:val="auto"/>
        </w:rPr>
        <w:t>Annual Incentive Compensation</w:t>
      </w:r>
    </w:p>
    <w:p>
      <w:pPr>
        <w:spacing w:after="0" w:line="13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Our NEOs are eligible to receive annual cash bonuses under our 2006 Annual Incentive Plan and Incentive Compensation Plan, as amended and restated effective January 1, 2022 (AIP). We use a balance of financial and non-financial performance metrics aligned with our long-term strategy.</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TARGET AWARD LEVELS FOR 2023 AIP</w:t>
      </w:r>
    </w:p>
    <w:p>
      <w:pPr>
        <w:spacing w:after="0" w:line="118"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 Compensation and Human Capital Committee approves the annual incentive compensation target payout percentage for each NEO, other than the CEO. For the CEO, such percentage is approved by the independent directors of the Board.</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target incentive award (target bonus) represents a percentage of each NEO’s base salary. Following the completion of the fiscal year, the target bonus is used by the Compensation and Human Capital Committee, together with its assessment of Company performance against established performance criteria, to determine the final bonus award amount.</w:t>
      </w:r>
    </w:p>
    <w:p>
      <w:pPr>
        <w:spacing w:after="0" w:line="7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2023 target bonus for the CEO is 185% of base salary. The 2023 target bonus for the CFO is 105% of base salary and is 100% of base salary for each of the other NEOs.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6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5880" w:type="dxa"/>
            <w:vAlign w:val="bottom"/>
          </w:tcPr>
          <w:p>
            <w:pPr>
              <w:jc w:val="right"/>
              <w:spacing w:after="0"/>
              <w:rPr>
                <w:sz w:val="20"/>
                <w:szCs w:val="20"/>
                <w:color w:val="auto"/>
              </w:rPr>
            </w:pPr>
            <w:r>
              <w:rPr>
                <w:rFonts w:ascii="Arial" w:cs="Arial" w:eastAsia="Arial" w:hAnsi="Arial"/>
                <w:sz w:val="13"/>
                <w:szCs w:val="13"/>
                <w:b w:val="1"/>
                <w:bCs w:val="1"/>
                <w:color w:val="auto"/>
              </w:rPr>
              <w:t>Target Bonus (% of Base Salary)</w:t>
            </w:r>
          </w:p>
        </w:tc>
      </w:tr>
      <w:tr>
        <w:trPr>
          <w:trHeight w:val="22"/>
        </w:trPr>
        <w:tc>
          <w:tcPr>
            <w:tcW w:w="5360" w:type="dxa"/>
            <w:vAlign w:val="bottom"/>
            <w:tcBorders>
              <w:bottom w:val="single" w:sz="8" w:color="29378D"/>
            </w:tcBorders>
          </w:tcPr>
          <w:p>
            <w:pPr>
              <w:spacing w:after="0" w:line="20" w:lineRule="exact"/>
              <w:rPr>
                <w:sz w:val="1"/>
                <w:szCs w:val="1"/>
                <w:color w:val="auto"/>
              </w:rPr>
            </w:pPr>
          </w:p>
        </w:tc>
        <w:tc>
          <w:tcPr>
            <w:tcW w:w="5880" w:type="dxa"/>
            <w:vAlign w:val="bottom"/>
            <w:tcBorders>
              <w:bottom w:val="single" w:sz="8" w:color="29378D"/>
            </w:tcBorders>
          </w:tcPr>
          <w:p>
            <w:pPr>
              <w:spacing w:after="0" w:line="20" w:lineRule="exact"/>
              <w:rPr>
                <w:sz w:val="1"/>
                <w:szCs w:val="1"/>
                <w:color w:val="auto"/>
              </w:rPr>
            </w:pPr>
          </w:p>
        </w:tc>
      </w:tr>
      <w:tr>
        <w:trPr>
          <w:trHeight w:val="241"/>
        </w:trPr>
        <w:tc>
          <w:tcPr>
            <w:tcW w:w="5360" w:type="dxa"/>
            <w:vAlign w:val="bottom"/>
            <w:tcBorders>
              <w:bottom w:val="single" w:sz="8" w:color="E1E0EF"/>
            </w:tcBorders>
            <w:shd w:val="clear" w:color="auto" w:fill="E1E0EF"/>
          </w:tcPr>
          <w:p>
            <w:pPr>
              <w:ind w:left="20"/>
              <w:spacing w:after="0"/>
              <w:rPr>
                <w:sz w:val="20"/>
                <w:szCs w:val="20"/>
                <w:color w:val="auto"/>
              </w:rPr>
            </w:pPr>
            <w:r>
              <w:rPr>
                <w:rFonts w:ascii="Arial" w:cs="Arial" w:eastAsia="Arial" w:hAnsi="Arial"/>
                <w:sz w:val="16"/>
                <w:szCs w:val="16"/>
                <w:b w:val="1"/>
                <w:bCs w:val="1"/>
                <w:color w:val="29378D"/>
              </w:rPr>
              <w:t>Kathy J. Warden</w:t>
            </w:r>
          </w:p>
        </w:tc>
        <w:tc>
          <w:tcPr>
            <w:tcW w:w="5880" w:type="dxa"/>
            <w:vAlign w:val="bottom"/>
            <w:tcBorders>
              <w:bottom w:val="single" w:sz="8" w:color="E1E0EF"/>
            </w:tcBorders>
            <w:shd w:val="clear" w:color="auto" w:fill="E1E0EF"/>
          </w:tcPr>
          <w:p>
            <w:pPr>
              <w:jc w:val="right"/>
              <w:spacing w:after="0"/>
              <w:rPr>
                <w:sz w:val="20"/>
                <w:szCs w:val="20"/>
                <w:color w:val="auto"/>
              </w:rPr>
            </w:pPr>
            <w:r>
              <w:rPr>
                <w:rFonts w:ascii="Arial" w:cs="Arial" w:eastAsia="Arial" w:hAnsi="Arial"/>
                <w:sz w:val="16"/>
                <w:szCs w:val="16"/>
                <w:color w:val="auto"/>
              </w:rPr>
              <w:t>185 %</w:t>
            </w:r>
          </w:p>
        </w:tc>
      </w:tr>
      <w:tr>
        <w:trPr>
          <w:trHeight w:val="216"/>
        </w:trPr>
        <w:tc>
          <w:tcPr>
            <w:tcW w:w="5360" w:type="dxa"/>
            <w:vAlign w:val="bottom"/>
            <w:tcBorders>
              <w:top w:val="single" w:sz="8" w:color="BCBEC0"/>
            </w:tcBorders>
          </w:tcPr>
          <w:p>
            <w:pPr>
              <w:ind w:left="20"/>
              <w:spacing w:after="0"/>
              <w:rPr>
                <w:sz w:val="20"/>
                <w:szCs w:val="20"/>
                <w:color w:val="auto"/>
              </w:rPr>
            </w:pPr>
            <w:r>
              <w:rPr>
                <w:rFonts w:ascii="Arial" w:cs="Arial" w:eastAsia="Arial" w:hAnsi="Arial"/>
                <w:sz w:val="16"/>
                <w:szCs w:val="16"/>
                <w:b w:val="1"/>
                <w:bCs w:val="1"/>
                <w:color w:val="29378D"/>
              </w:rPr>
              <w:t>David F. Keffer</w:t>
            </w:r>
          </w:p>
        </w:tc>
        <w:tc>
          <w:tcPr>
            <w:tcW w:w="5880" w:type="dxa"/>
            <w:vAlign w:val="bottom"/>
            <w:tcBorders>
              <w:top w:val="single" w:sz="8" w:color="BCBEC0"/>
            </w:tcBorders>
          </w:tcPr>
          <w:p>
            <w:pPr>
              <w:jc w:val="right"/>
              <w:spacing w:after="0"/>
              <w:rPr>
                <w:sz w:val="20"/>
                <w:szCs w:val="20"/>
                <w:color w:val="auto"/>
              </w:rPr>
            </w:pPr>
            <w:r>
              <w:rPr>
                <w:rFonts w:ascii="Arial" w:cs="Arial" w:eastAsia="Arial" w:hAnsi="Arial"/>
                <w:sz w:val="16"/>
                <w:szCs w:val="16"/>
                <w:color w:val="auto"/>
              </w:rPr>
              <w:t>105 %</w:t>
            </w:r>
          </w:p>
        </w:tc>
      </w:tr>
      <w:tr>
        <w:trPr>
          <w:trHeight w:val="20"/>
        </w:trPr>
        <w:tc>
          <w:tcPr>
            <w:tcW w:w="5360" w:type="dxa"/>
            <w:vAlign w:val="bottom"/>
            <w:tcBorders>
              <w:bottom w:val="single" w:sz="8" w:color="BCBEC0"/>
            </w:tcBorders>
          </w:tcPr>
          <w:p>
            <w:pPr>
              <w:spacing w:after="0" w:line="20" w:lineRule="exact"/>
              <w:rPr>
                <w:sz w:val="1"/>
                <w:szCs w:val="1"/>
                <w:color w:val="auto"/>
              </w:rPr>
            </w:pPr>
          </w:p>
        </w:tc>
        <w:tc>
          <w:tcPr>
            <w:tcW w:w="5880" w:type="dxa"/>
            <w:vAlign w:val="bottom"/>
            <w:tcBorders>
              <w:bottom w:val="single" w:sz="8" w:color="BCBEC0"/>
            </w:tcBorders>
          </w:tcPr>
          <w:p>
            <w:pPr>
              <w:spacing w:after="0" w:line="20" w:lineRule="exact"/>
              <w:rPr>
                <w:sz w:val="1"/>
                <w:szCs w:val="1"/>
                <w:color w:val="auto"/>
              </w:rPr>
            </w:pPr>
          </w:p>
        </w:tc>
      </w:tr>
      <w:tr>
        <w:trPr>
          <w:trHeight w:val="241"/>
        </w:trPr>
        <w:tc>
          <w:tcPr>
            <w:tcW w:w="5360" w:type="dxa"/>
            <w:vAlign w:val="bottom"/>
            <w:tcBorders>
              <w:bottom w:val="single" w:sz="8" w:color="E1E0EF"/>
            </w:tcBorders>
            <w:shd w:val="clear" w:color="auto" w:fill="E1E0EF"/>
          </w:tcPr>
          <w:p>
            <w:pPr>
              <w:ind w:left="20"/>
              <w:spacing w:after="0"/>
              <w:rPr>
                <w:sz w:val="20"/>
                <w:szCs w:val="20"/>
                <w:color w:val="auto"/>
              </w:rPr>
            </w:pPr>
            <w:r>
              <w:rPr>
                <w:rFonts w:ascii="Arial" w:cs="Arial" w:eastAsia="Arial" w:hAnsi="Arial"/>
                <w:sz w:val="16"/>
                <w:szCs w:val="16"/>
                <w:b w:val="1"/>
                <w:bCs w:val="1"/>
                <w:color w:val="29378D"/>
              </w:rPr>
              <w:t>Mark A. Caylor</w:t>
            </w:r>
          </w:p>
        </w:tc>
        <w:tc>
          <w:tcPr>
            <w:tcW w:w="5880" w:type="dxa"/>
            <w:vAlign w:val="bottom"/>
            <w:tcBorders>
              <w:bottom w:val="single" w:sz="8" w:color="E1E0EF"/>
            </w:tcBorders>
            <w:shd w:val="clear" w:color="auto" w:fill="E1E0EF"/>
          </w:tcPr>
          <w:p>
            <w:pPr>
              <w:jc w:val="right"/>
              <w:spacing w:after="0"/>
              <w:rPr>
                <w:sz w:val="20"/>
                <w:szCs w:val="20"/>
                <w:color w:val="auto"/>
              </w:rPr>
            </w:pPr>
            <w:r>
              <w:rPr>
                <w:rFonts w:ascii="Arial" w:cs="Arial" w:eastAsia="Arial" w:hAnsi="Arial"/>
                <w:sz w:val="16"/>
                <w:szCs w:val="16"/>
                <w:color w:val="auto"/>
              </w:rPr>
              <w:t>100 %</w:t>
            </w:r>
          </w:p>
        </w:tc>
      </w:tr>
      <w:tr>
        <w:trPr>
          <w:trHeight w:val="216"/>
        </w:trPr>
        <w:tc>
          <w:tcPr>
            <w:tcW w:w="5360" w:type="dxa"/>
            <w:vAlign w:val="bottom"/>
            <w:tcBorders>
              <w:top w:val="single" w:sz="8" w:color="BCBEC0"/>
            </w:tcBorders>
          </w:tcPr>
          <w:p>
            <w:pPr>
              <w:ind w:left="20"/>
              <w:spacing w:after="0"/>
              <w:rPr>
                <w:sz w:val="20"/>
                <w:szCs w:val="20"/>
                <w:color w:val="auto"/>
              </w:rPr>
            </w:pPr>
            <w:r>
              <w:rPr>
                <w:rFonts w:ascii="Arial" w:cs="Arial" w:eastAsia="Arial" w:hAnsi="Arial"/>
                <w:sz w:val="16"/>
                <w:szCs w:val="16"/>
                <w:b w:val="1"/>
                <w:bCs w:val="1"/>
                <w:color w:val="29378D"/>
              </w:rPr>
              <w:t>Thomas H. Jones</w:t>
            </w:r>
          </w:p>
        </w:tc>
        <w:tc>
          <w:tcPr>
            <w:tcW w:w="5880" w:type="dxa"/>
            <w:vAlign w:val="bottom"/>
            <w:tcBorders>
              <w:top w:val="single" w:sz="8" w:color="BCBEC0"/>
            </w:tcBorders>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5360" w:type="dxa"/>
            <w:vAlign w:val="bottom"/>
            <w:tcBorders>
              <w:bottom w:val="single" w:sz="8" w:color="BCBEC0"/>
            </w:tcBorders>
          </w:tcPr>
          <w:p>
            <w:pPr>
              <w:spacing w:after="0" w:line="20" w:lineRule="exact"/>
              <w:rPr>
                <w:sz w:val="1"/>
                <w:szCs w:val="1"/>
                <w:color w:val="auto"/>
              </w:rPr>
            </w:pPr>
          </w:p>
        </w:tc>
        <w:tc>
          <w:tcPr>
            <w:tcW w:w="5880" w:type="dxa"/>
            <w:vAlign w:val="bottom"/>
            <w:tcBorders>
              <w:bottom w:val="single" w:sz="8" w:color="BCBEC0"/>
            </w:tcBorders>
          </w:tcPr>
          <w:p>
            <w:pPr>
              <w:spacing w:after="0" w:line="20" w:lineRule="exact"/>
              <w:rPr>
                <w:sz w:val="1"/>
                <w:szCs w:val="1"/>
                <w:color w:val="auto"/>
              </w:rPr>
            </w:pPr>
          </w:p>
        </w:tc>
      </w:tr>
      <w:tr>
        <w:trPr>
          <w:trHeight w:val="217"/>
        </w:trPr>
        <w:tc>
          <w:tcPr>
            <w:tcW w:w="536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6"/>
                <w:szCs w:val="16"/>
                <w:b w:val="1"/>
                <w:bCs w:val="1"/>
                <w:color w:val="29378D"/>
              </w:rPr>
              <w:t>Roshan S. Roeder</w:t>
            </w:r>
          </w:p>
        </w:tc>
        <w:tc>
          <w:tcPr>
            <w:tcW w:w="5880" w:type="dxa"/>
            <w:vAlign w:val="bottom"/>
            <w:tcBorders>
              <w:bottom w:val="single" w:sz="8" w:color="DFDEEE"/>
            </w:tcBorders>
            <w:shd w:val="clear" w:color="auto" w:fill="DFDEEE"/>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5360" w:type="dxa"/>
            <w:vAlign w:val="bottom"/>
            <w:shd w:val="clear" w:color="auto" w:fill="BCBEC0"/>
          </w:tcPr>
          <w:p>
            <w:pPr>
              <w:spacing w:after="0" w:line="20" w:lineRule="exact"/>
              <w:rPr>
                <w:sz w:val="1"/>
                <w:szCs w:val="1"/>
                <w:color w:val="auto"/>
              </w:rPr>
            </w:pPr>
          </w:p>
        </w:tc>
        <w:tc>
          <w:tcPr>
            <w:tcW w:w="5880" w:type="dxa"/>
            <w:vAlign w:val="bottom"/>
            <w:shd w:val="clear" w:color="auto" w:fill="BCBEC0"/>
          </w:tcPr>
          <w:p>
            <w:pPr>
              <w:spacing w:after="0" w:line="20" w:lineRule="exact"/>
              <w:rPr>
                <w:sz w:val="1"/>
                <w:szCs w:val="1"/>
                <w:color w:val="auto"/>
              </w:rPr>
            </w:pPr>
          </w:p>
        </w:tc>
      </w:tr>
    </w:tbl>
    <w:p>
      <w:pPr>
        <w:spacing w:after="0" w:line="188"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Final bonus awards for each NEO were determined by multiplying the Northrop Grumman Company Performance Factor (CPF) by the target bonus. The CPF can range from 0% to 200%.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0" w:hanging="494"/>
        <w:spacing w:after="0"/>
        <w:tabs>
          <w:tab w:leader="none" w:pos="520" w:val="left"/>
        </w:tabs>
        <w:numPr>
          <w:ilvl w:val="0"/>
          <w:numId w:val="119"/>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ANNUAL INCENTIVE FORMULA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100965</wp:posOffset>
            </wp:positionV>
            <wp:extent cx="2005965" cy="3429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005965" cy="342900"/>
                    </a:xfrm>
                    <a:prstGeom prst="rect">
                      <a:avLst/>
                    </a:prstGeom>
                    <a:noFill/>
                  </pic:spPr>
                </pic:pic>
              </a:graphicData>
            </a:graphic>
          </wp:anchor>
        </w:drawing>
      </w:r>
    </w:p>
    <w:p>
      <w:pPr>
        <w:spacing w:after="0" w:line="319"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263525</wp:posOffset>
            </wp:positionV>
            <wp:extent cx="2005965" cy="3429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005965" cy="34290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TARGET BONUS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X</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TARGET PAYOUT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263525</wp:posOffset>
            </wp:positionV>
            <wp:extent cx="2134235" cy="3429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34235" cy="342900"/>
                    </a:xfrm>
                    <a:prstGeom prst="rect">
                      <a:avLst/>
                    </a:prstGeom>
                    <a:noFill/>
                  </pic:spPr>
                </pic:pic>
              </a:graphicData>
            </a:graphic>
          </wp:anchor>
        </w:drawing>
        <w:drawing>
          <wp:anchor simplePos="0" relativeHeight="251657728" behindDoc="1" locked="0" layoutInCell="0" allowOverlap="1">
            <wp:simplePos x="0" y="0"/>
            <wp:positionH relativeFrom="column">
              <wp:posOffset>-211455</wp:posOffset>
            </wp:positionH>
            <wp:positionV relativeFrom="paragraph">
              <wp:posOffset>-215900</wp:posOffset>
            </wp:positionV>
            <wp:extent cx="2134235" cy="3429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3423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COMPANY PERFORMANCE FACTOR </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786765</wp:posOffset>
            </wp:positionV>
            <wp:extent cx="2408555" cy="3429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40855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9378D"/>
        </w:rPr>
        <w:t>TARGET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263525</wp:posOffset>
            </wp:positionV>
            <wp:extent cx="2408555" cy="3429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408555" cy="34290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FINAL BONUS AWARD</w:t>
      </w:r>
    </w:p>
    <w:p>
      <w:pPr>
        <w:spacing w:after="0" w:line="324" w:lineRule="exact"/>
        <w:rPr>
          <w:sz w:val="20"/>
          <w:szCs w:val="20"/>
          <w:color w:val="auto"/>
        </w:rPr>
      </w:pPr>
    </w:p>
    <w:p>
      <w:pPr>
        <w:sectPr>
          <w:pgSz w:w="11900" w:h="16838" w:orient="portrait"/>
          <w:cols w:equalWidth="0" w:num="5">
            <w:col w:w="2940" w:space="380"/>
            <w:col w:w="140" w:space="500"/>
            <w:col w:w="2680" w:space="520"/>
            <w:col w:w="720" w:space="720"/>
            <w:col w:w="2640"/>
          </w:cols>
          <w:pgMar w:left="320" w:top="238" w:right="339" w:bottom="1440" w:gutter="0" w:footer="0" w:header="0"/>
        </w:sectPr>
      </w:pPr>
    </w:p>
    <w:p>
      <w:pPr>
        <w:spacing w:after="0" w:line="50" w:lineRule="exact"/>
        <w:rPr>
          <w:sz w:val="20"/>
          <w:szCs w:val="20"/>
          <w:color w:val="auto"/>
        </w:rPr>
      </w:pPr>
    </w:p>
    <w:p>
      <w:pPr>
        <w:jc w:val="both"/>
        <w:ind w:left="260" w:right="180" w:hanging="252"/>
        <w:spacing w:after="0" w:line="286" w:lineRule="auto"/>
        <w:tabs>
          <w:tab w:leader="none" w:pos="217" w:val="left"/>
        </w:tabs>
        <w:numPr>
          <w:ilvl w:val="0"/>
          <w:numId w:val="120"/>
        </w:numPr>
        <w:rPr>
          <w:rFonts w:ascii="Arial" w:cs="Arial" w:eastAsia="Arial" w:hAnsi="Arial"/>
          <w:sz w:val="14"/>
          <w:szCs w:val="14"/>
          <w:color w:val="auto"/>
        </w:rPr>
      </w:pPr>
      <w:r>
        <w:rPr>
          <w:rFonts w:ascii="Arial" w:cs="Arial" w:eastAsia="Arial" w:hAnsi="Arial"/>
          <w:sz w:val="14"/>
          <w:szCs w:val="14"/>
          <w:color w:val="auto"/>
        </w:rPr>
        <w:t xml:space="preserve">The CPF, which is capped at 200%, is comprised of two components, the Company Metrics Score (financial and non-financial), which can range from </w:t>
      </w:r>
      <w:r>
        <w:rPr>
          <w:rFonts w:ascii="Arial" w:cs="Arial" w:eastAsia="Arial" w:hAnsi="Arial"/>
          <w:sz w:val="16"/>
          <w:szCs w:val="16"/>
          <w:color w:val="auto"/>
        </w:rPr>
        <w:t>0% to 200%,</w:t>
      </w:r>
      <w:r>
        <w:rPr>
          <w:rFonts w:ascii="Arial" w:cs="Arial" w:eastAsia="Arial" w:hAnsi="Arial"/>
          <w:sz w:val="14"/>
          <w:szCs w:val="14"/>
          <w:color w:val="auto"/>
        </w:rPr>
        <w:t xml:space="preserve"> and a Strategic and Operational Assessment, which can range from 80% to 120%. The Strategic and Operational Assessment allows for broader application of business results not formally reflected in the core financial or non-financial metrics.</w:t>
      </w:r>
    </w:p>
    <w:p>
      <w:pPr>
        <w:spacing w:after="0" w:line="45"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Annual performance evaluations are conducted by the CEO for each NEO, other than the CEO, and reviewed with the Compensation and Human Capital Committee. The Compensation and Human Capital Committee considers this performance information as well as the comparison to market data.</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2023 AIP METRICS</w:t>
      </w:r>
    </w:p>
    <w:p>
      <w:pPr>
        <w:spacing w:after="0" w:line="11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For the 2023 AIP, we used a mix of financial and non-financial metrics to measure our performance, consistent with 2022. Our AIP metrics reflect our commitment to investing for and achieving long-term profitable growth, maintaining alignment with shareholders’ interests, and incentivizing top performance against our industry peers.</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29378D"/>
        </w:rPr>
        <w:t>Financial Metrics (90% Weight)</w:t>
      </w:r>
    </w:p>
    <w:p>
      <w:pPr>
        <w:spacing w:after="0" w:line="115"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For 2023, the Compensation and Human Capital Committee determined the financial metrics would be Adjusted Cash Flow from Operations*and Adjusted Segment Operating Income* Growth, each weighted at 35% and Pension-Adjusted OM Rate* weighted at 20%. The financial metrics are defined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20" w:type="dxa"/>
            <w:vAlign w:val="bottom"/>
          </w:tcPr>
          <w:p>
            <w:pPr>
              <w:ind w:left="20"/>
              <w:spacing w:after="0"/>
              <w:rPr>
                <w:sz w:val="20"/>
                <w:szCs w:val="20"/>
                <w:color w:val="auto"/>
              </w:rPr>
            </w:pPr>
            <w:r>
              <w:rPr>
                <w:rFonts w:ascii="Arial" w:cs="Arial" w:eastAsia="Arial" w:hAnsi="Arial"/>
                <w:sz w:val="13"/>
                <w:szCs w:val="13"/>
                <w:b w:val="1"/>
                <w:bCs w:val="1"/>
                <w:color w:val="auto"/>
              </w:rPr>
              <w:t>Financial Metrics</w:t>
            </w:r>
          </w:p>
        </w:tc>
        <w:tc>
          <w:tcPr>
            <w:tcW w:w="4080" w:type="dxa"/>
            <w:vAlign w:val="bottom"/>
          </w:tcPr>
          <w:p>
            <w:pPr>
              <w:ind w:left="1580"/>
              <w:spacing w:after="0"/>
              <w:rPr>
                <w:sz w:val="20"/>
                <w:szCs w:val="20"/>
                <w:color w:val="auto"/>
              </w:rPr>
            </w:pPr>
            <w:r>
              <w:rPr>
                <w:rFonts w:ascii="Arial" w:cs="Arial" w:eastAsia="Arial" w:hAnsi="Arial"/>
                <w:sz w:val="13"/>
                <w:szCs w:val="13"/>
                <w:b w:val="1"/>
                <w:bCs w:val="1"/>
                <w:color w:val="auto"/>
              </w:rPr>
              <w:t>How Calculated</w:t>
            </w:r>
          </w:p>
        </w:tc>
        <w:tc>
          <w:tcPr>
            <w:tcW w:w="4540" w:type="dxa"/>
            <w:vAlign w:val="bottom"/>
          </w:tcPr>
          <w:p>
            <w:pPr>
              <w:ind w:left="1980"/>
              <w:spacing w:after="0"/>
              <w:rPr>
                <w:sz w:val="20"/>
                <w:szCs w:val="20"/>
                <w:color w:val="auto"/>
              </w:rPr>
            </w:pPr>
            <w:r>
              <w:rPr>
                <w:rFonts w:ascii="Arial" w:cs="Arial" w:eastAsia="Arial" w:hAnsi="Arial"/>
                <w:sz w:val="13"/>
                <w:szCs w:val="13"/>
                <w:b w:val="1"/>
                <w:bCs w:val="1"/>
                <w:color w:val="auto"/>
              </w:rPr>
              <w:t>Rationale</w:t>
            </w:r>
          </w:p>
        </w:tc>
      </w:tr>
      <w:tr>
        <w:trPr>
          <w:trHeight w:val="72"/>
        </w:trPr>
        <w:tc>
          <w:tcPr>
            <w:tcW w:w="2620" w:type="dxa"/>
            <w:vAlign w:val="bottom"/>
            <w:tcBorders>
              <w:bottom w:val="single" w:sz="8" w:color="BCBEC0"/>
            </w:tcBorders>
          </w:tcPr>
          <w:p>
            <w:pPr>
              <w:spacing w:after="0"/>
              <w:rPr>
                <w:sz w:val="6"/>
                <w:szCs w:val="6"/>
                <w:color w:val="auto"/>
              </w:rPr>
            </w:pPr>
          </w:p>
        </w:tc>
        <w:tc>
          <w:tcPr>
            <w:tcW w:w="4080" w:type="dxa"/>
            <w:vAlign w:val="bottom"/>
            <w:tcBorders>
              <w:bottom w:val="single" w:sz="8" w:color="BCBEC0"/>
            </w:tcBorders>
          </w:tcPr>
          <w:p>
            <w:pPr>
              <w:spacing w:after="0"/>
              <w:rPr>
                <w:sz w:val="6"/>
                <w:szCs w:val="6"/>
                <w:color w:val="auto"/>
              </w:rPr>
            </w:pPr>
          </w:p>
        </w:tc>
        <w:tc>
          <w:tcPr>
            <w:tcW w:w="4540" w:type="dxa"/>
            <w:vAlign w:val="bottom"/>
            <w:tcBorders>
              <w:bottom w:val="single" w:sz="8" w:color="BCBEC0"/>
            </w:tcBorders>
          </w:tcPr>
          <w:p>
            <w:pPr>
              <w:spacing w:after="0"/>
              <w:rPr>
                <w:sz w:val="6"/>
                <w:szCs w:val="6"/>
                <w:color w:val="auto"/>
              </w:rPr>
            </w:pPr>
          </w:p>
        </w:tc>
      </w:tr>
      <w:tr>
        <w:trPr>
          <w:trHeight w:val="227"/>
        </w:trPr>
        <w:tc>
          <w:tcPr>
            <w:tcW w:w="2620" w:type="dxa"/>
            <w:vAlign w:val="bottom"/>
          </w:tcPr>
          <w:p>
            <w:pPr>
              <w:ind w:left="20"/>
              <w:spacing w:after="0"/>
              <w:rPr>
                <w:sz w:val="20"/>
                <w:szCs w:val="20"/>
                <w:color w:val="auto"/>
              </w:rPr>
            </w:pPr>
            <w:r>
              <w:rPr>
                <w:rFonts w:ascii="Arial" w:cs="Arial" w:eastAsia="Arial" w:hAnsi="Arial"/>
                <w:sz w:val="14"/>
                <w:szCs w:val="14"/>
                <w:b w:val="1"/>
                <w:bCs w:val="1"/>
                <w:color w:val="29378D"/>
              </w:rPr>
              <w:t>ADJUSTED CASH FLOW FROM</w:t>
            </w:r>
          </w:p>
        </w:tc>
        <w:tc>
          <w:tcPr>
            <w:tcW w:w="4080" w:type="dxa"/>
            <w:vAlign w:val="bottom"/>
          </w:tcPr>
          <w:p>
            <w:pPr>
              <w:ind w:left="180"/>
              <w:spacing w:after="0"/>
              <w:rPr>
                <w:sz w:val="20"/>
                <w:szCs w:val="20"/>
                <w:color w:val="auto"/>
              </w:rPr>
            </w:pPr>
            <w:r>
              <w:rPr>
                <w:rFonts w:ascii="Arial" w:cs="Arial" w:eastAsia="Arial" w:hAnsi="Arial"/>
                <w:sz w:val="16"/>
                <w:szCs w:val="16"/>
                <w:color w:val="auto"/>
              </w:rPr>
              <w:t>Net cash provided by operating activities, including</w:t>
            </w:r>
          </w:p>
        </w:tc>
        <w:tc>
          <w:tcPr>
            <w:tcW w:w="4540" w:type="dxa"/>
            <w:vAlign w:val="bottom"/>
          </w:tcPr>
          <w:p>
            <w:pPr>
              <w:ind w:left="200"/>
              <w:spacing w:after="0"/>
              <w:rPr>
                <w:sz w:val="20"/>
                <w:szCs w:val="20"/>
                <w:color w:val="auto"/>
              </w:rPr>
            </w:pPr>
            <w:r>
              <w:rPr>
                <w:rFonts w:ascii="Arial" w:cs="Arial" w:eastAsia="Arial" w:hAnsi="Arial"/>
                <w:sz w:val="16"/>
                <w:szCs w:val="16"/>
                <w:color w:val="auto"/>
              </w:rPr>
              <w:t>Emphasizes the importance of generating cash for strategy</w:t>
            </w:r>
          </w:p>
        </w:tc>
      </w:tr>
      <w:tr>
        <w:trPr>
          <w:trHeight w:val="211"/>
        </w:trPr>
        <w:tc>
          <w:tcPr>
            <w:tcW w:w="2620" w:type="dxa"/>
            <w:vAlign w:val="bottom"/>
          </w:tcPr>
          <w:p>
            <w:pPr>
              <w:ind w:left="20"/>
              <w:spacing w:after="0"/>
              <w:rPr>
                <w:sz w:val="20"/>
                <w:szCs w:val="20"/>
                <w:color w:val="auto"/>
              </w:rPr>
            </w:pPr>
            <w:r>
              <w:rPr>
                <w:rFonts w:ascii="Arial" w:cs="Arial" w:eastAsia="Arial" w:hAnsi="Arial"/>
                <w:sz w:val="14"/>
                <w:szCs w:val="14"/>
                <w:b w:val="1"/>
                <w:bCs w:val="1"/>
                <w:color w:val="29378D"/>
              </w:rPr>
              <w:t>OPERATIONS* (35%)</w:t>
            </w:r>
          </w:p>
        </w:tc>
        <w:tc>
          <w:tcPr>
            <w:tcW w:w="4080" w:type="dxa"/>
            <w:vAlign w:val="bottom"/>
          </w:tcPr>
          <w:p>
            <w:pPr>
              <w:ind w:left="180"/>
              <w:spacing w:after="0"/>
              <w:rPr>
                <w:sz w:val="20"/>
                <w:szCs w:val="20"/>
                <w:color w:val="auto"/>
              </w:rPr>
            </w:pPr>
            <w:r>
              <w:rPr>
                <w:rFonts w:ascii="Arial" w:cs="Arial" w:eastAsia="Arial" w:hAnsi="Arial"/>
                <w:sz w:val="16"/>
                <w:szCs w:val="16"/>
                <w:color w:val="auto"/>
              </w:rPr>
              <w:t>adjustments as approved by the Compensation and</w:t>
            </w:r>
          </w:p>
        </w:tc>
        <w:tc>
          <w:tcPr>
            <w:tcW w:w="4540" w:type="dxa"/>
            <w:vAlign w:val="bottom"/>
          </w:tcPr>
          <w:p>
            <w:pPr>
              <w:ind w:left="200"/>
              <w:spacing w:after="0"/>
              <w:rPr>
                <w:sz w:val="20"/>
                <w:szCs w:val="20"/>
                <w:color w:val="auto"/>
              </w:rPr>
            </w:pPr>
            <w:r>
              <w:rPr>
                <w:rFonts w:ascii="Arial" w:cs="Arial" w:eastAsia="Arial" w:hAnsi="Arial"/>
                <w:sz w:val="16"/>
                <w:szCs w:val="16"/>
                <w:color w:val="auto"/>
              </w:rPr>
              <w:t>execution. The metric enables management to make capital</w:t>
            </w:r>
          </w:p>
        </w:tc>
      </w:tr>
      <w:tr>
        <w:trPr>
          <w:trHeight w:val="189"/>
        </w:trPr>
        <w:tc>
          <w:tcPr>
            <w:tcW w:w="2620" w:type="dxa"/>
            <w:vAlign w:val="bottom"/>
          </w:tcPr>
          <w:p>
            <w:pPr>
              <w:spacing w:after="0"/>
              <w:rPr>
                <w:sz w:val="16"/>
                <w:szCs w:val="16"/>
                <w:color w:val="auto"/>
              </w:rPr>
            </w:pPr>
          </w:p>
        </w:tc>
        <w:tc>
          <w:tcPr>
            <w:tcW w:w="4080" w:type="dxa"/>
            <w:vAlign w:val="bottom"/>
          </w:tcPr>
          <w:p>
            <w:pPr>
              <w:ind w:left="180"/>
              <w:spacing w:after="0"/>
              <w:rPr>
                <w:sz w:val="20"/>
                <w:szCs w:val="20"/>
                <w:color w:val="auto"/>
              </w:rPr>
            </w:pPr>
            <w:r>
              <w:rPr>
                <w:rFonts w:ascii="Arial" w:cs="Arial" w:eastAsia="Arial" w:hAnsi="Arial"/>
                <w:sz w:val="16"/>
                <w:szCs w:val="16"/>
                <w:color w:val="auto"/>
              </w:rPr>
              <w:t>Human Capital Committee.</w:t>
            </w:r>
          </w:p>
        </w:tc>
        <w:tc>
          <w:tcPr>
            <w:tcW w:w="4540" w:type="dxa"/>
            <w:vAlign w:val="bottom"/>
          </w:tcPr>
          <w:p>
            <w:pPr>
              <w:ind w:left="200"/>
              <w:spacing w:after="0"/>
              <w:rPr>
                <w:sz w:val="20"/>
                <w:szCs w:val="20"/>
                <w:color w:val="auto"/>
              </w:rPr>
            </w:pPr>
            <w:r>
              <w:rPr>
                <w:rFonts w:ascii="Arial" w:cs="Arial" w:eastAsia="Arial" w:hAnsi="Arial"/>
                <w:sz w:val="16"/>
                <w:szCs w:val="16"/>
                <w:color w:val="auto"/>
              </w:rPr>
              <w:t>investment decisions that support long-term profitable</w:t>
            </w:r>
          </w:p>
        </w:tc>
      </w:tr>
      <w:tr>
        <w:trPr>
          <w:trHeight w:val="215"/>
        </w:trPr>
        <w:tc>
          <w:tcPr>
            <w:tcW w:w="26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6"/>
                <w:szCs w:val="16"/>
                <w:color w:val="auto"/>
              </w:rPr>
              <w:t>growth.</w:t>
            </w:r>
          </w:p>
        </w:tc>
      </w:tr>
      <w:tr>
        <w:trPr>
          <w:trHeight w:val="83"/>
        </w:trPr>
        <w:tc>
          <w:tcPr>
            <w:tcW w:w="2620" w:type="dxa"/>
            <w:vAlign w:val="bottom"/>
            <w:tcBorders>
              <w:bottom w:val="single" w:sz="8" w:color="BCBEC0"/>
            </w:tcBorders>
          </w:tcPr>
          <w:p>
            <w:pPr>
              <w:spacing w:after="0"/>
              <w:rPr>
                <w:sz w:val="7"/>
                <w:szCs w:val="7"/>
                <w:color w:val="auto"/>
              </w:rPr>
            </w:pPr>
          </w:p>
        </w:tc>
        <w:tc>
          <w:tcPr>
            <w:tcW w:w="4080" w:type="dxa"/>
            <w:vAlign w:val="bottom"/>
            <w:tcBorders>
              <w:bottom w:val="single" w:sz="8" w:color="BCBEC0"/>
            </w:tcBorders>
          </w:tcPr>
          <w:p>
            <w:pPr>
              <w:spacing w:after="0"/>
              <w:rPr>
                <w:sz w:val="7"/>
                <w:szCs w:val="7"/>
                <w:color w:val="auto"/>
              </w:rPr>
            </w:pPr>
          </w:p>
        </w:tc>
        <w:tc>
          <w:tcPr>
            <w:tcW w:w="4540" w:type="dxa"/>
            <w:vAlign w:val="bottom"/>
            <w:tcBorders>
              <w:bottom w:val="single" w:sz="8" w:color="BCBEC0"/>
            </w:tcBorders>
          </w:tcPr>
          <w:p>
            <w:pPr>
              <w:spacing w:after="0"/>
              <w:rPr>
                <w:sz w:val="7"/>
                <w:szCs w:val="7"/>
                <w:color w:val="auto"/>
              </w:rPr>
            </w:pPr>
          </w:p>
        </w:tc>
      </w:tr>
      <w:tr>
        <w:trPr>
          <w:trHeight w:val="227"/>
        </w:trPr>
        <w:tc>
          <w:tcPr>
            <w:tcW w:w="2620" w:type="dxa"/>
            <w:vAlign w:val="bottom"/>
          </w:tcPr>
          <w:p>
            <w:pPr>
              <w:ind w:left="20"/>
              <w:spacing w:after="0"/>
              <w:rPr>
                <w:sz w:val="20"/>
                <w:szCs w:val="20"/>
                <w:color w:val="auto"/>
              </w:rPr>
            </w:pPr>
            <w:r>
              <w:rPr>
                <w:rFonts w:ascii="Arial" w:cs="Arial" w:eastAsia="Arial" w:hAnsi="Arial"/>
                <w:sz w:val="14"/>
                <w:szCs w:val="14"/>
                <w:b w:val="1"/>
                <w:bCs w:val="1"/>
                <w:color w:val="29378D"/>
              </w:rPr>
              <w:t>ADJUSTED SEGMENT OPERATING</w:t>
            </w:r>
          </w:p>
        </w:tc>
        <w:tc>
          <w:tcPr>
            <w:tcW w:w="4080" w:type="dxa"/>
            <w:vAlign w:val="bottom"/>
          </w:tcPr>
          <w:p>
            <w:pPr>
              <w:ind w:left="180"/>
              <w:spacing w:after="0"/>
              <w:rPr>
                <w:sz w:val="20"/>
                <w:szCs w:val="20"/>
                <w:color w:val="auto"/>
              </w:rPr>
            </w:pPr>
            <w:r>
              <w:rPr>
                <w:rFonts w:ascii="Arial" w:cs="Arial" w:eastAsia="Arial" w:hAnsi="Arial"/>
                <w:sz w:val="16"/>
                <w:szCs w:val="16"/>
                <w:color w:val="auto"/>
              </w:rPr>
              <w:t>Segment Operating Income* volume, including</w:t>
            </w:r>
          </w:p>
        </w:tc>
        <w:tc>
          <w:tcPr>
            <w:tcW w:w="4540" w:type="dxa"/>
            <w:vAlign w:val="bottom"/>
          </w:tcPr>
          <w:p>
            <w:pPr>
              <w:ind w:left="200"/>
              <w:spacing w:after="0"/>
              <w:rPr>
                <w:sz w:val="20"/>
                <w:szCs w:val="20"/>
                <w:color w:val="auto"/>
              </w:rPr>
            </w:pPr>
            <w:r>
              <w:rPr>
                <w:rFonts w:ascii="Arial" w:cs="Arial" w:eastAsia="Arial" w:hAnsi="Arial"/>
                <w:sz w:val="16"/>
                <w:szCs w:val="16"/>
                <w:color w:val="auto"/>
              </w:rPr>
              <w:t>Incentivizes management to focus on profitable growth and</w:t>
            </w:r>
          </w:p>
        </w:tc>
      </w:tr>
      <w:tr>
        <w:trPr>
          <w:trHeight w:val="211"/>
        </w:trPr>
        <w:tc>
          <w:tcPr>
            <w:tcW w:w="2620" w:type="dxa"/>
            <w:vAlign w:val="bottom"/>
          </w:tcPr>
          <w:p>
            <w:pPr>
              <w:ind w:left="20"/>
              <w:spacing w:after="0"/>
              <w:rPr>
                <w:sz w:val="20"/>
                <w:szCs w:val="20"/>
                <w:color w:val="auto"/>
              </w:rPr>
            </w:pPr>
            <w:r>
              <w:rPr>
                <w:rFonts w:ascii="Arial" w:cs="Arial" w:eastAsia="Arial" w:hAnsi="Arial"/>
                <w:sz w:val="14"/>
                <w:szCs w:val="14"/>
                <w:b w:val="1"/>
                <w:bCs w:val="1"/>
                <w:color w:val="29378D"/>
              </w:rPr>
              <w:t>INCOME* GROWTH (35%)</w:t>
            </w:r>
          </w:p>
        </w:tc>
        <w:tc>
          <w:tcPr>
            <w:tcW w:w="4080" w:type="dxa"/>
            <w:vAlign w:val="bottom"/>
          </w:tcPr>
          <w:p>
            <w:pPr>
              <w:ind w:left="180"/>
              <w:spacing w:after="0"/>
              <w:rPr>
                <w:sz w:val="20"/>
                <w:szCs w:val="20"/>
                <w:color w:val="auto"/>
              </w:rPr>
            </w:pPr>
            <w:r>
              <w:rPr>
                <w:rFonts w:ascii="Arial" w:cs="Arial" w:eastAsia="Arial" w:hAnsi="Arial"/>
                <w:sz w:val="16"/>
                <w:szCs w:val="16"/>
                <w:color w:val="auto"/>
              </w:rPr>
              <w:t>adjustments approved by the Compensation and</w:t>
            </w:r>
          </w:p>
        </w:tc>
        <w:tc>
          <w:tcPr>
            <w:tcW w:w="4540" w:type="dxa"/>
            <w:vAlign w:val="bottom"/>
          </w:tcPr>
          <w:p>
            <w:pPr>
              <w:ind w:left="200"/>
              <w:spacing w:after="0"/>
              <w:rPr>
                <w:sz w:val="20"/>
                <w:szCs w:val="20"/>
                <w:color w:val="auto"/>
              </w:rPr>
            </w:pPr>
            <w:r>
              <w:rPr>
                <w:rFonts w:ascii="Arial" w:cs="Arial" w:eastAsia="Arial" w:hAnsi="Arial"/>
                <w:sz w:val="16"/>
                <w:szCs w:val="16"/>
                <w:color w:val="auto"/>
              </w:rPr>
              <w:t>enables management to evaluate the financial performance</w:t>
            </w:r>
          </w:p>
        </w:tc>
      </w:tr>
      <w:tr>
        <w:trPr>
          <w:trHeight w:val="215"/>
        </w:trPr>
        <w:tc>
          <w:tcPr>
            <w:tcW w:w="2620" w:type="dxa"/>
            <w:vAlign w:val="bottom"/>
          </w:tcPr>
          <w:p>
            <w:pPr>
              <w:spacing w:after="0"/>
              <w:rPr>
                <w:sz w:val="18"/>
                <w:szCs w:val="18"/>
                <w:color w:val="auto"/>
              </w:rPr>
            </w:pPr>
          </w:p>
        </w:tc>
        <w:tc>
          <w:tcPr>
            <w:tcW w:w="4080" w:type="dxa"/>
            <w:vAlign w:val="bottom"/>
          </w:tcPr>
          <w:p>
            <w:pPr>
              <w:ind w:left="180"/>
              <w:spacing w:after="0"/>
              <w:rPr>
                <w:sz w:val="20"/>
                <w:szCs w:val="20"/>
                <w:color w:val="auto"/>
              </w:rPr>
            </w:pPr>
            <w:r>
              <w:rPr>
                <w:rFonts w:ascii="Arial" w:cs="Arial" w:eastAsia="Arial" w:hAnsi="Arial"/>
                <w:sz w:val="16"/>
                <w:szCs w:val="16"/>
                <w:color w:val="auto"/>
              </w:rPr>
              <w:t>Human Capital Committee.</w:t>
            </w:r>
          </w:p>
        </w:tc>
        <w:tc>
          <w:tcPr>
            <w:tcW w:w="4540" w:type="dxa"/>
            <w:vAlign w:val="bottom"/>
          </w:tcPr>
          <w:p>
            <w:pPr>
              <w:ind w:left="200"/>
              <w:spacing w:after="0"/>
              <w:rPr>
                <w:sz w:val="20"/>
                <w:szCs w:val="20"/>
                <w:color w:val="auto"/>
              </w:rPr>
            </w:pPr>
            <w:r>
              <w:rPr>
                <w:rFonts w:ascii="Arial" w:cs="Arial" w:eastAsia="Arial" w:hAnsi="Arial"/>
                <w:sz w:val="16"/>
                <w:szCs w:val="16"/>
                <w:color w:val="auto"/>
              </w:rPr>
              <w:t>and operational trends of our sectors.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141" w:lineRule="exact"/>
        <w:rPr>
          <w:sz w:val="20"/>
          <w:szCs w:val="20"/>
          <w:color w:val="auto"/>
        </w:rPr>
      </w:pPr>
    </w:p>
    <w:p>
      <w:pPr>
        <w:ind w:left="20"/>
        <w:spacing w:after="0" w:line="294" w:lineRule="auto"/>
        <w:rPr>
          <w:sz w:val="20"/>
          <w:szCs w:val="20"/>
          <w:color w:val="auto"/>
        </w:rPr>
      </w:pPr>
      <w:r>
        <w:rPr>
          <w:rFonts w:ascii="Arial" w:cs="Arial" w:eastAsia="Arial" w:hAnsi="Arial"/>
          <w:sz w:val="14"/>
          <w:szCs w:val="14"/>
          <w:b w:val="1"/>
          <w:bCs w:val="1"/>
          <w:color w:val="29378D"/>
        </w:rPr>
        <w:t>PENSION-ADJUSTED OM RATE* (20%)</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Operating income before FAS/CAS operating adjustment and excluding unallocated state tax impacts reflected within unallocated corporate income (expense) and other approved adjustments, divided by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32385</wp:posOffset>
            </wp:positionV>
            <wp:extent cx="7132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Establishes high program performance expectations for the Company and incentivizes sound core operational business strategies.</w:t>
      </w:r>
    </w:p>
    <w:p>
      <w:pPr>
        <w:spacing w:after="0" w:line="583" w:lineRule="exact"/>
        <w:rPr>
          <w:sz w:val="20"/>
          <w:szCs w:val="20"/>
          <w:color w:val="auto"/>
        </w:rPr>
      </w:pPr>
    </w:p>
    <w:p>
      <w:pPr>
        <w:sectPr>
          <w:pgSz w:w="11900" w:h="16838" w:orient="portrait"/>
          <w:cols w:equalWidth="0" w:num="3">
            <w:col w:w="2240" w:space="560"/>
            <w:col w:w="3900" w:space="200"/>
            <w:col w:w="4340"/>
          </w:cols>
          <w:pgMar w:left="320" w:top="238" w:right="3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 This metric is a non-GAAP financial measure. For more information, see “Appendix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59</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29378D"/>
        </w:rPr>
        <w:t>Non-Financial Metrics (10% Weight)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54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addition to the financial goals, various non-financial goals are used to align our objectives with our stakeholders.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For 2023, we selected the following non-financial metrics:</w:t>
      </w:r>
    </w:p>
    <w:p>
      <w:pPr>
        <w:spacing w:after="0" w:line="163" w:lineRule="exact"/>
        <w:rPr>
          <w:sz w:val="20"/>
          <w:szCs w:val="20"/>
          <w:color w:val="auto"/>
        </w:rPr>
      </w:pPr>
    </w:p>
    <w:p>
      <w:pPr>
        <w:ind w:left="20"/>
        <w:spacing w:after="0"/>
        <w:tabs>
          <w:tab w:leader="none" w:pos="7120" w:val="left"/>
        </w:tabs>
        <w:rPr>
          <w:sz w:val="20"/>
          <w:szCs w:val="20"/>
          <w:color w:val="auto"/>
        </w:rPr>
      </w:pPr>
      <w:r>
        <w:rPr>
          <w:rFonts w:ascii="Arial" w:cs="Arial" w:eastAsia="Arial" w:hAnsi="Arial"/>
          <w:sz w:val="13"/>
          <w:szCs w:val="13"/>
          <w:b w:val="1"/>
          <w:bCs w:val="1"/>
          <w:color w:val="auto"/>
        </w:rPr>
        <w:t>Non-Financial Metric</w:t>
      </w:r>
      <w:r>
        <w:rPr>
          <w:sz w:val="20"/>
          <w:szCs w:val="20"/>
          <w:color w:val="auto"/>
        </w:rPr>
        <w:tab/>
      </w:r>
      <w:r>
        <w:rPr>
          <w:rFonts w:ascii="Arial" w:cs="Arial" w:eastAsia="Arial" w:hAnsi="Arial"/>
          <w:sz w:val="12"/>
          <w:szCs w:val="12"/>
          <w:b w:val="1"/>
          <w:bCs w:val="1"/>
          <w:color w:val="auto"/>
        </w:rPr>
        <w:t>How Measured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3462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346200"/>
                    </a:xfrm>
                    <a:prstGeom prst="rect">
                      <a:avLst/>
                    </a:prstGeom>
                    <a:noFill/>
                  </pic:spPr>
                </pic:pic>
              </a:graphicData>
            </a:graphic>
          </wp:anchor>
        </w:drawing>
      </w:r>
    </w:p>
    <w:p>
      <w:pPr>
        <w:spacing w:after="0" w:line="293" w:lineRule="exact"/>
        <w:rPr>
          <w:sz w:val="20"/>
          <w:szCs w:val="20"/>
          <w:color w:val="auto"/>
        </w:rPr>
      </w:pPr>
    </w:p>
    <w:p>
      <w:pPr>
        <w:ind w:left="3960" w:right="460"/>
        <w:spacing w:after="0" w:line="304" w:lineRule="auto"/>
        <w:rPr>
          <w:sz w:val="20"/>
          <w:szCs w:val="20"/>
          <w:color w:val="auto"/>
        </w:rPr>
      </w:pPr>
      <w:r>
        <w:rPr>
          <w:rFonts w:ascii="Arial" w:cs="Arial" w:eastAsia="Arial" w:hAnsi="Arial"/>
          <w:sz w:val="16"/>
          <w:szCs w:val="16"/>
          <w:color w:val="auto"/>
        </w:rPr>
        <w:t>Representation of females and people of color in all management level positions with respect to internal and external benchmarks.</w:t>
      </w:r>
    </w:p>
    <w:p>
      <w:pPr>
        <w:spacing w:after="0" w:line="25"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29378D"/>
        </w:rPr>
        <w:t>DIVERSITY</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29378D"/>
        </w:rPr>
        <w:t>People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640" w:type="dxa"/>
            <w:vAlign w:val="bottom"/>
          </w:tcPr>
          <w:p>
            <w:pPr>
              <w:ind w:left="360"/>
              <w:spacing w:after="0"/>
              <w:rPr>
                <w:sz w:val="20"/>
                <w:szCs w:val="20"/>
                <w:color w:val="auto"/>
              </w:rPr>
            </w:pPr>
            <w:r>
              <w:rPr>
                <w:rFonts w:ascii="Arial" w:cs="Arial" w:eastAsia="Arial" w:hAnsi="Arial"/>
                <w:sz w:val="16"/>
                <w:szCs w:val="16"/>
                <w:color w:val="auto"/>
              </w:rPr>
              <w:t>Perform at or above the Qualtrics Global Norm, with a focus on inclusion and engagement. Results</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7640" w:type="dxa"/>
            <w:vAlign w:val="bottom"/>
          </w:tcPr>
          <w:p>
            <w:pPr>
              <w:ind w:left="360"/>
              <w:spacing w:after="0"/>
              <w:rPr>
                <w:sz w:val="20"/>
                <w:szCs w:val="20"/>
                <w:color w:val="auto"/>
              </w:rPr>
            </w:pPr>
            <w:r>
              <w:rPr>
                <w:rFonts w:ascii="Arial" w:cs="Arial" w:eastAsia="Arial" w:hAnsi="Arial"/>
                <w:sz w:val="16"/>
                <w:szCs w:val="16"/>
                <w:color w:val="auto"/>
              </w:rPr>
              <w:t>are derived from the annual employee survey with a ”percent favorable response” measurement</w:t>
            </w:r>
          </w:p>
        </w:tc>
        <w:tc>
          <w:tcPr>
            <w:tcW w:w="0" w:type="dxa"/>
            <w:vAlign w:val="bottom"/>
          </w:tcPr>
          <w:p>
            <w:pPr>
              <w:spacing w:after="0"/>
              <w:rPr>
                <w:sz w:val="1"/>
                <w:szCs w:val="1"/>
                <w:color w:val="auto"/>
              </w:rPr>
            </w:pPr>
          </w:p>
        </w:tc>
      </w:tr>
      <w:tr>
        <w:trPr>
          <w:trHeight w:val="215"/>
        </w:trPr>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vMerge w:val="restart"/>
          </w:tcPr>
          <w:p>
            <w:pPr>
              <w:ind w:left="20"/>
              <w:spacing w:after="0"/>
              <w:rPr>
                <w:sz w:val="20"/>
                <w:szCs w:val="20"/>
                <w:color w:val="auto"/>
              </w:rPr>
            </w:pPr>
            <w:r>
              <w:rPr>
                <w:rFonts w:ascii="Arial" w:cs="Arial" w:eastAsia="Arial" w:hAnsi="Arial"/>
                <w:sz w:val="14"/>
                <w:szCs w:val="14"/>
                <w:b w:val="1"/>
                <w:bCs w:val="1"/>
                <w:color w:val="29378D"/>
              </w:rPr>
              <w:t>EMPLOYEE</w:t>
            </w:r>
          </w:p>
        </w:tc>
        <w:tc>
          <w:tcPr>
            <w:tcW w:w="7640" w:type="dxa"/>
            <w:vAlign w:val="bottom"/>
          </w:tcPr>
          <w:p>
            <w:pPr>
              <w:ind w:left="360"/>
              <w:spacing w:after="0"/>
              <w:rPr>
                <w:sz w:val="20"/>
                <w:szCs w:val="20"/>
                <w:color w:val="auto"/>
              </w:rPr>
            </w:pPr>
            <w:r>
              <w:rPr>
                <w:rFonts w:ascii="Arial" w:cs="Arial" w:eastAsia="Arial" w:hAnsi="Arial"/>
                <w:sz w:val="16"/>
                <w:szCs w:val="16"/>
                <w:color w:val="auto"/>
              </w:rPr>
              <w:t>scale.</w:t>
            </w:r>
          </w:p>
        </w:tc>
        <w:tc>
          <w:tcPr>
            <w:tcW w:w="0" w:type="dxa"/>
            <w:vAlign w:val="bottom"/>
          </w:tcPr>
          <w:p>
            <w:pPr>
              <w:spacing w:after="0"/>
              <w:rPr>
                <w:sz w:val="1"/>
                <w:szCs w:val="1"/>
                <w:color w:val="auto"/>
              </w:rPr>
            </w:pPr>
          </w:p>
        </w:tc>
      </w:tr>
      <w:tr>
        <w:trPr>
          <w:trHeight w:val="74"/>
        </w:trPr>
        <w:tc>
          <w:tcPr>
            <w:tcW w:w="1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7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ind w:left="20"/>
              <w:spacing w:after="0"/>
              <w:rPr>
                <w:sz w:val="20"/>
                <w:szCs w:val="20"/>
                <w:color w:val="auto"/>
              </w:rPr>
            </w:pPr>
            <w:r>
              <w:rPr>
                <w:rFonts w:ascii="Arial" w:cs="Arial" w:eastAsia="Arial" w:hAnsi="Arial"/>
                <w:sz w:val="14"/>
                <w:szCs w:val="14"/>
                <w:b w:val="1"/>
                <w:bCs w:val="1"/>
                <w:color w:val="29378D"/>
              </w:rPr>
              <w:t>EXPERIENCE</w:t>
            </w:r>
          </w:p>
        </w:tc>
        <w:tc>
          <w:tcPr>
            <w:tcW w:w="7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880" w:type="dxa"/>
            <w:vAlign w:val="bottom"/>
            <w:tcBorders>
              <w:bottom w:val="single" w:sz="8" w:color="BCBEC0"/>
            </w:tcBorders>
          </w:tcPr>
          <w:p>
            <w:pPr>
              <w:spacing w:after="0"/>
              <w:rPr>
                <w:sz w:val="9"/>
                <w:szCs w:val="9"/>
                <w:color w:val="auto"/>
              </w:rPr>
            </w:pPr>
          </w:p>
        </w:tc>
        <w:tc>
          <w:tcPr>
            <w:tcW w:w="100" w:type="dxa"/>
            <w:vAlign w:val="bottom"/>
            <w:tcBorders>
              <w:bottom w:val="single" w:sz="8" w:color="BCBEC0"/>
            </w:tcBorders>
          </w:tcPr>
          <w:p>
            <w:pPr>
              <w:spacing w:after="0"/>
              <w:rPr>
                <w:sz w:val="9"/>
                <w:szCs w:val="9"/>
                <w:color w:val="auto"/>
              </w:rPr>
            </w:pPr>
          </w:p>
        </w:tc>
        <w:tc>
          <w:tcPr>
            <w:tcW w:w="1620" w:type="dxa"/>
            <w:vAlign w:val="bottom"/>
            <w:tcBorders>
              <w:bottom w:val="single" w:sz="8" w:color="BCBEC0"/>
            </w:tcBorders>
          </w:tcPr>
          <w:p>
            <w:pPr>
              <w:spacing w:after="0"/>
              <w:rPr>
                <w:sz w:val="9"/>
                <w:szCs w:val="9"/>
                <w:color w:val="auto"/>
              </w:rPr>
            </w:pPr>
          </w:p>
        </w:tc>
        <w:tc>
          <w:tcPr>
            <w:tcW w:w="764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7640" w:type="dxa"/>
            <w:vAlign w:val="bottom"/>
            <w:vMerge w:val="restart"/>
          </w:tcPr>
          <w:p>
            <w:pPr>
              <w:ind w:left="360"/>
              <w:spacing w:after="0"/>
              <w:rPr>
                <w:sz w:val="20"/>
                <w:szCs w:val="20"/>
                <w:color w:val="auto"/>
              </w:rPr>
            </w:pPr>
            <w:r>
              <w:rPr>
                <w:rFonts w:ascii="Arial" w:cs="Arial" w:eastAsia="Arial" w:hAnsi="Arial"/>
                <w:sz w:val="16"/>
                <w:szCs w:val="16"/>
                <w:color w:val="auto"/>
              </w:rPr>
              <w:t>Annual progress towards achieving net zero greenhouse gas emissions in the Company's operations</w:t>
            </w:r>
          </w:p>
        </w:tc>
        <w:tc>
          <w:tcPr>
            <w:tcW w:w="0" w:type="dxa"/>
            <w:vAlign w:val="bottom"/>
          </w:tcPr>
          <w:p>
            <w:pPr>
              <w:spacing w:after="0"/>
              <w:rPr>
                <w:sz w:val="1"/>
                <w:szCs w:val="1"/>
                <w:color w:val="auto"/>
              </w:rPr>
            </w:pPr>
          </w:p>
        </w:tc>
      </w:tr>
      <w:tr>
        <w:trPr>
          <w:trHeight w:val="472"/>
        </w:trPr>
        <w:tc>
          <w:tcPr>
            <w:tcW w:w="1880" w:type="dxa"/>
            <w:vAlign w:val="bottom"/>
            <w:vMerge w:val="restart"/>
            <w:shd w:val="clear" w:color="auto" w:fill="E6E7E8"/>
          </w:tcPr>
          <w:p>
            <w:pPr>
              <w:ind w:left="20"/>
              <w:spacing w:after="0"/>
              <w:rPr>
                <w:sz w:val="20"/>
                <w:szCs w:val="20"/>
                <w:color w:val="auto"/>
              </w:rPr>
            </w:pPr>
            <w:r>
              <w:rPr>
                <w:rFonts w:ascii="Arial" w:cs="Arial" w:eastAsia="Arial" w:hAnsi="Arial"/>
                <w:sz w:val="20"/>
                <w:szCs w:val="20"/>
                <w:b w:val="1"/>
                <w:bCs w:val="1"/>
                <w:color w:val="29378D"/>
              </w:rPr>
              <w:t>Environment</w:t>
            </w: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880" w:type="dxa"/>
            <w:vAlign w:val="bottom"/>
            <w:vMerge w:val="continue"/>
            <w:shd w:val="clear" w:color="auto" w:fill="E6E7E8"/>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restart"/>
          </w:tcPr>
          <w:p>
            <w:pPr>
              <w:ind w:left="20"/>
              <w:spacing w:after="0"/>
              <w:rPr>
                <w:sz w:val="20"/>
                <w:szCs w:val="20"/>
                <w:color w:val="auto"/>
              </w:rPr>
            </w:pPr>
            <w:r>
              <w:rPr>
                <w:rFonts w:ascii="Arial" w:cs="Arial" w:eastAsia="Arial" w:hAnsi="Arial"/>
                <w:sz w:val="14"/>
                <w:szCs w:val="14"/>
                <w:b w:val="1"/>
                <w:bCs w:val="1"/>
                <w:color w:val="29378D"/>
              </w:rPr>
              <w:t>ENVIRONMENTAL</w:t>
            </w:r>
          </w:p>
        </w:tc>
        <w:tc>
          <w:tcPr>
            <w:tcW w:w="7640" w:type="dxa"/>
            <w:vAlign w:val="bottom"/>
            <w:vMerge w:val="restart"/>
          </w:tcPr>
          <w:p>
            <w:pPr>
              <w:ind w:left="360"/>
              <w:spacing w:after="0"/>
              <w:rPr>
                <w:sz w:val="20"/>
                <w:szCs w:val="20"/>
                <w:color w:val="auto"/>
              </w:rPr>
            </w:pPr>
            <w:r>
              <w:rPr>
                <w:rFonts w:ascii="Arial" w:cs="Arial" w:eastAsia="Arial" w:hAnsi="Arial"/>
                <w:sz w:val="16"/>
                <w:szCs w:val="16"/>
                <w:color w:val="auto"/>
              </w:rPr>
              <w:t>by 2035.</w:t>
            </w:r>
          </w:p>
        </w:tc>
        <w:tc>
          <w:tcPr>
            <w:tcW w:w="0" w:type="dxa"/>
            <w:vAlign w:val="bottom"/>
          </w:tcPr>
          <w:p>
            <w:pPr>
              <w:spacing w:after="0"/>
              <w:rPr>
                <w:sz w:val="1"/>
                <w:szCs w:val="1"/>
                <w:color w:val="auto"/>
              </w:rPr>
            </w:pPr>
          </w:p>
        </w:tc>
      </w:tr>
      <w:tr>
        <w:trPr>
          <w:trHeight w:val="72"/>
        </w:trPr>
        <w:tc>
          <w:tcPr>
            <w:tcW w:w="1880" w:type="dxa"/>
            <w:vAlign w:val="bottom"/>
            <w:shd w:val="clear" w:color="auto" w:fill="E6E7E8"/>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7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1880" w:type="dxa"/>
            <w:vAlign w:val="bottom"/>
            <w:shd w:val="clear" w:color="auto" w:fill="E6E7E8"/>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7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1880" w:type="dxa"/>
            <w:vAlign w:val="bottom"/>
            <w:shd w:val="clear" w:color="auto" w:fill="E6E7E8"/>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ind w:left="20"/>
              <w:spacing w:after="0"/>
              <w:rPr>
                <w:sz w:val="20"/>
                <w:szCs w:val="20"/>
                <w:color w:val="auto"/>
              </w:rPr>
            </w:pPr>
            <w:r>
              <w:rPr>
                <w:rFonts w:ascii="Arial" w:cs="Arial" w:eastAsia="Arial" w:hAnsi="Arial"/>
                <w:sz w:val="14"/>
                <w:szCs w:val="14"/>
                <w:b w:val="1"/>
                <w:bCs w:val="1"/>
                <w:color w:val="29378D"/>
              </w:rPr>
              <w:t>SUSTAINABILITY</w:t>
            </w:r>
          </w:p>
        </w:tc>
        <w:tc>
          <w:tcPr>
            <w:tcW w:w="7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880" w:type="dxa"/>
            <w:vAlign w:val="bottom"/>
            <w:tcBorders>
              <w:bottom w:val="single" w:sz="8" w:color="BCBEC0"/>
            </w:tcBorders>
          </w:tcPr>
          <w:p>
            <w:pPr>
              <w:spacing w:after="0"/>
              <w:rPr>
                <w:sz w:val="9"/>
                <w:szCs w:val="9"/>
                <w:color w:val="auto"/>
              </w:rPr>
            </w:pPr>
          </w:p>
        </w:tc>
        <w:tc>
          <w:tcPr>
            <w:tcW w:w="100" w:type="dxa"/>
            <w:vAlign w:val="bottom"/>
            <w:tcBorders>
              <w:bottom w:val="single" w:sz="8" w:color="BCBEC0"/>
            </w:tcBorders>
          </w:tcPr>
          <w:p>
            <w:pPr>
              <w:spacing w:after="0"/>
              <w:rPr>
                <w:sz w:val="9"/>
                <w:szCs w:val="9"/>
                <w:color w:val="auto"/>
              </w:rPr>
            </w:pPr>
          </w:p>
        </w:tc>
        <w:tc>
          <w:tcPr>
            <w:tcW w:w="1620" w:type="dxa"/>
            <w:vAlign w:val="bottom"/>
            <w:tcBorders>
              <w:bottom w:val="single" w:sz="8" w:color="BCBEC0"/>
            </w:tcBorders>
          </w:tcPr>
          <w:p>
            <w:pPr>
              <w:spacing w:after="0"/>
              <w:rPr>
                <w:sz w:val="9"/>
                <w:szCs w:val="9"/>
                <w:color w:val="auto"/>
              </w:rPr>
            </w:pPr>
          </w:p>
        </w:tc>
        <w:tc>
          <w:tcPr>
            <w:tcW w:w="764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7640" w:type="dxa"/>
            <w:vAlign w:val="bottom"/>
            <w:vMerge w:val="restart"/>
          </w:tcPr>
          <w:p>
            <w:pPr>
              <w:ind w:left="360"/>
              <w:spacing w:after="0"/>
              <w:rPr>
                <w:sz w:val="20"/>
                <w:szCs w:val="20"/>
                <w:color w:val="auto"/>
              </w:rPr>
            </w:pPr>
            <w:r>
              <w:rPr>
                <w:rFonts w:ascii="Arial" w:cs="Arial" w:eastAsia="Arial" w:hAnsi="Arial"/>
                <w:sz w:val="16"/>
                <w:szCs w:val="16"/>
                <w:color w:val="auto"/>
              </w:rPr>
              <w:t>Program-specific objectives, including defect rates, process quality, supplier quality, planning quality</w:t>
            </w:r>
          </w:p>
        </w:tc>
        <w:tc>
          <w:tcPr>
            <w:tcW w:w="0" w:type="dxa"/>
            <w:vAlign w:val="bottom"/>
          </w:tcPr>
          <w:p>
            <w:pPr>
              <w:spacing w:after="0"/>
              <w:rPr>
                <w:sz w:val="1"/>
                <w:szCs w:val="1"/>
                <w:color w:val="auto"/>
              </w:rPr>
            </w:pPr>
          </w:p>
        </w:tc>
      </w:tr>
      <w:tr>
        <w:trPr>
          <w:trHeight w:val="485"/>
        </w:trPr>
        <w:tc>
          <w:tcPr>
            <w:tcW w:w="1880" w:type="dxa"/>
            <w:vAlign w:val="bottom"/>
            <w:shd w:val="clear" w:color="auto" w:fill="E6E7E8"/>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880" w:type="dxa"/>
            <w:vAlign w:val="bottom"/>
            <w:shd w:val="clear" w:color="auto" w:fill="E6E7E8"/>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640" w:type="dxa"/>
            <w:vAlign w:val="bottom"/>
          </w:tcPr>
          <w:p>
            <w:pPr>
              <w:ind w:left="360"/>
              <w:spacing w:after="0"/>
              <w:rPr>
                <w:sz w:val="20"/>
                <w:szCs w:val="20"/>
                <w:color w:val="auto"/>
              </w:rPr>
            </w:pPr>
            <w:r>
              <w:rPr>
                <w:rFonts w:ascii="Arial" w:cs="Arial" w:eastAsia="Arial" w:hAnsi="Arial"/>
                <w:sz w:val="16"/>
                <w:szCs w:val="16"/>
                <w:color w:val="auto"/>
              </w:rPr>
              <w:t>or other appropriate criteria for program type and phase.</w:t>
            </w:r>
          </w:p>
        </w:tc>
        <w:tc>
          <w:tcPr>
            <w:tcW w:w="0" w:type="dxa"/>
            <w:vAlign w:val="bottom"/>
          </w:tcPr>
          <w:p>
            <w:pPr>
              <w:spacing w:after="0"/>
              <w:rPr>
                <w:sz w:val="1"/>
                <w:szCs w:val="1"/>
                <w:color w:val="auto"/>
              </w:rPr>
            </w:pPr>
          </w:p>
        </w:tc>
      </w:tr>
      <w:tr>
        <w:trPr>
          <w:trHeight w:val="285"/>
        </w:trPr>
        <w:tc>
          <w:tcPr>
            <w:tcW w:w="1880" w:type="dxa"/>
            <w:vAlign w:val="bottom"/>
            <w:tcBorders>
              <w:bottom w:val="single" w:sz="8" w:color="E6E7E8"/>
            </w:tcBorders>
            <w:vMerge w:val="restart"/>
            <w:shd w:val="clear" w:color="auto" w:fill="E6E7E8"/>
          </w:tcPr>
          <w:p>
            <w:pPr>
              <w:ind w:left="20"/>
              <w:spacing w:after="0"/>
              <w:rPr>
                <w:sz w:val="20"/>
                <w:szCs w:val="20"/>
                <w:color w:val="auto"/>
              </w:rPr>
            </w:pPr>
            <w:r>
              <w:rPr>
                <w:rFonts w:ascii="Arial" w:cs="Arial" w:eastAsia="Arial" w:hAnsi="Arial"/>
                <w:sz w:val="20"/>
                <w:szCs w:val="20"/>
                <w:b w:val="1"/>
                <w:bCs w:val="1"/>
                <w:color w:val="29378D"/>
              </w:rPr>
              <w:t>Customer</w:t>
            </w:r>
          </w:p>
        </w:tc>
        <w:tc>
          <w:tcPr>
            <w:tcW w:w="100" w:type="dxa"/>
            <w:vAlign w:val="bottom"/>
          </w:tcPr>
          <w:p>
            <w:pPr>
              <w:spacing w:after="0"/>
              <w:rPr>
                <w:sz w:val="24"/>
                <w:szCs w:val="24"/>
                <w:color w:val="auto"/>
              </w:rPr>
            </w:pPr>
          </w:p>
        </w:tc>
        <w:tc>
          <w:tcPr>
            <w:tcW w:w="16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29378D"/>
              </w:rPr>
              <w:t>QUALITY</w:t>
            </w:r>
          </w:p>
        </w:tc>
        <w:tc>
          <w:tcPr>
            <w:tcW w:w="7640" w:type="dxa"/>
            <w:vAlign w:val="bottom"/>
            <w:tcBorders>
              <w:bottom w:val="single" w:sz="8" w:color="BCBEC0"/>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880" w:type="dxa"/>
            <w:vAlign w:val="bottom"/>
            <w:vMerge w:val="continue"/>
            <w:shd w:val="clear" w:color="auto" w:fill="E6E7E8"/>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7640" w:type="dxa"/>
            <w:vAlign w:val="bottom"/>
            <w:vMerge w:val="restart"/>
          </w:tcPr>
          <w:p>
            <w:pPr>
              <w:ind w:left="360"/>
              <w:spacing w:after="0"/>
              <w:rPr>
                <w:sz w:val="20"/>
                <w:szCs w:val="20"/>
                <w:color w:val="auto"/>
              </w:rPr>
            </w:pPr>
            <w:r>
              <w:rPr>
                <w:rFonts w:ascii="Arial" w:cs="Arial" w:eastAsia="Arial" w:hAnsi="Arial"/>
                <w:sz w:val="16"/>
                <w:szCs w:val="16"/>
                <w:color w:val="auto"/>
              </w:rPr>
              <w:t>Customer feedback, including customer-generated performance scores, award fees and verbal and</w:t>
            </w:r>
          </w:p>
        </w:tc>
        <w:tc>
          <w:tcPr>
            <w:tcW w:w="0" w:type="dxa"/>
            <w:vAlign w:val="bottom"/>
          </w:tcPr>
          <w:p>
            <w:pPr>
              <w:spacing w:after="0"/>
              <w:rPr>
                <w:sz w:val="1"/>
                <w:szCs w:val="1"/>
                <w:color w:val="auto"/>
              </w:rPr>
            </w:pPr>
          </w:p>
        </w:tc>
      </w:tr>
      <w:tr>
        <w:trPr>
          <w:trHeight w:val="357"/>
        </w:trPr>
        <w:tc>
          <w:tcPr>
            <w:tcW w:w="1880" w:type="dxa"/>
            <w:vAlign w:val="bottom"/>
            <w:shd w:val="clear" w:color="auto" w:fill="E6E7E8"/>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880" w:type="dxa"/>
            <w:vAlign w:val="bottom"/>
            <w:shd w:val="clear" w:color="auto" w:fill="E6E7E8"/>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vMerge w:val="restart"/>
          </w:tcPr>
          <w:p>
            <w:pPr>
              <w:ind w:left="20"/>
              <w:spacing w:after="0"/>
              <w:rPr>
                <w:sz w:val="20"/>
                <w:szCs w:val="20"/>
                <w:color w:val="auto"/>
              </w:rPr>
            </w:pPr>
            <w:r>
              <w:rPr>
                <w:rFonts w:ascii="Arial" w:cs="Arial" w:eastAsia="Arial" w:hAnsi="Arial"/>
                <w:sz w:val="14"/>
                <w:szCs w:val="14"/>
                <w:b w:val="1"/>
                <w:bCs w:val="1"/>
                <w:color w:val="29378D"/>
              </w:rPr>
              <w:t>CUSTOMER</w:t>
            </w:r>
          </w:p>
        </w:tc>
        <w:tc>
          <w:tcPr>
            <w:tcW w:w="7640" w:type="dxa"/>
            <w:vAlign w:val="bottom"/>
          </w:tcPr>
          <w:p>
            <w:pPr>
              <w:ind w:left="360"/>
              <w:spacing w:after="0"/>
              <w:rPr>
                <w:sz w:val="20"/>
                <w:szCs w:val="20"/>
                <w:color w:val="auto"/>
              </w:rPr>
            </w:pPr>
            <w:r>
              <w:rPr>
                <w:rFonts w:ascii="Arial" w:cs="Arial" w:eastAsia="Arial" w:hAnsi="Arial"/>
                <w:sz w:val="16"/>
                <w:szCs w:val="16"/>
                <w:color w:val="auto"/>
              </w:rPr>
              <w:t>written feedback.</w:t>
            </w:r>
          </w:p>
        </w:tc>
        <w:tc>
          <w:tcPr>
            <w:tcW w:w="0" w:type="dxa"/>
            <w:vAlign w:val="bottom"/>
          </w:tcPr>
          <w:p>
            <w:pPr>
              <w:spacing w:after="0"/>
              <w:rPr>
                <w:sz w:val="1"/>
                <w:szCs w:val="1"/>
                <w:color w:val="auto"/>
              </w:rPr>
            </w:pPr>
          </w:p>
        </w:tc>
      </w:tr>
      <w:tr>
        <w:trPr>
          <w:trHeight w:val="60"/>
        </w:trPr>
        <w:tc>
          <w:tcPr>
            <w:tcW w:w="1880" w:type="dxa"/>
            <w:vAlign w:val="bottom"/>
            <w:shd w:val="clear" w:color="auto" w:fill="E6E7E8"/>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7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880" w:type="dxa"/>
            <w:vAlign w:val="bottom"/>
            <w:tcBorders>
              <w:bottom w:val="single" w:sz="8" w:color="E6E7E8"/>
            </w:tcBorders>
            <w:shd w:val="clear" w:color="auto" w:fill="E6E7E8"/>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ind w:left="20"/>
              <w:spacing w:after="0"/>
              <w:rPr>
                <w:sz w:val="20"/>
                <w:szCs w:val="20"/>
                <w:color w:val="auto"/>
              </w:rPr>
            </w:pPr>
            <w:r>
              <w:rPr>
                <w:rFonts w:ascii="Arial" w:cs="Arial" w:eastAsia="Arial" w:hAnsi="Arial"/>
                <w:sz w:val="14"/>
                <w:szCs w:val="14"/>
                <w:b w:val="1"/>
                <w:bCs w:val="1"/>
                <w:color w:val="29378D"/>
              </w:rPr>
              <w:t>SATISFACTION</w:t>
            </w:r>
          </w:p>
        </w:tc>
        <w:tc>
          <w:tcPr>
            <w:tcW w:w="7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880" w:type="dxa"/>
            <w:vAlign w:val="bottom"/>
            <w:tcBorders>
              <w:bottom w:val="single" w:sz="8" w:color="BCBEC0"/>
            </w:tcBorders>
          </w:tcPr>
          <w:p>
            <w:pPr>
              <w:spacing w:after="0"/>
              <w:rPr>
                <w:sz w:val="9"/>
                <w:szCs w:val="9"/>
                <w:color w:val="auto"/>
              </w:rPr>
            </w:pPr>
          </w:p>
        </w:tc>
        <w:tc>
          <w:tcPr>
            <w:tcW w:w="100" w:type="dxa"/>
            <w:vAlign w:val="bottom"/>
            <w:tcBorders>
              <w:bottom w:val="single" w:sz="8" w:color="BCBEC0"/>
            </w:tcBorders>
          </w:tcPr>
          <w:p>
            <w:pPr>
              <w:spacing w:after="0"/>
              <w:rPr>
                <w:sz w:val="9"/>
                <w:szCs w:val="9"/>
                <w:color w:val="auto"/>
              </w:rPr>
            </w:pPr>
          </w:p>
        </w:tc>
        <w:tc>
          <w:tcPr>
            <w:tcW w:w="1620" w:type="dxa"/>
            <w:vAlign w:val="bottom"/>
            <w:tcBorders>
              <w:bottom w:val="single" w:sz="8" w:color="BCBEC0"/>
            </w:tcBorders>
          </w:tcPr>
          <w:p>
            <w:pPr>
              <w:spacing w:after="0"/>
              <w:rPr>
                <w:sz w:val="9"/>
                <w:szCs w:val="9"/>
                <w:color w:val="auto"/>
              </w:rPr>
            </w:pPr>
          </w:p>
        </w:tc>
        <w:tc>
          <w:tcPr>
            <w:tcW w:w="7640" w:type="dxa"/>
            <w:vAlign w:val="bottom"/>
            <w:tcBorders>
              <w:bottom w:val="single" w:sz="8" w:color="BCBEC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-2082800</wp:posOffset>
            </wp:positionV>
            <wp:extent cx="291465" cy="291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-1268095</wp:posOffset>
            </wp:positionV>
            <wp:extent cx="291465" cy="291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-685165</wp:posOffset>
            </wp:positionV>
            <wp:extent cx="265430" cy="2571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65430" cy="25717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29378D"/>
        </w:rPr>
        <w:t>Payout Levels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Our AIP provides for payout levels from 0% to 200% of target. The minimum, target and maximum performance levels are derived based on an analysis of the historical and forecasted performance of our Performance Peer Group, and LRSP data for the Adjusted Cash Flow from Operations*, Adjusted Segment Operating Income* Growth, and Pension-Adjusted OM Rate* metrics. The non-financial metrics’ performance levels are determined by specific goals approved by the Compensation and Human Capital Committee. Specific values are identified for each metric at selected points in the range between minimum and maximum and other values are determined by linear interpolation between these points. No payout is made if performance is below the minimum. Above-target payouts can be earned only if the Company’s performance exceeds the performance threshold noted in the table on the following page. The maximum payout of 200% is achieved if the Company’s performance is above the approximate top quartile performance target. This structure aligns above-target payouts with superior performance and provides reduced awards for below-target performance.</w:t>
      </w:r>
    </w:p>
    <w:p>
      <w:pPr>
        <w:spacing w:after="0" w:line="200" w:lineRule="exact"/>
        <w:rPr>
          <w:sz w:val="20"/>
          <w:szCs w:val="20"/>
          <w:color w:val="auto"/>
        </w:rPr>
      </w:pPr>
    </w:p>
    <w:p>
      <w:pPr>
        <w:spacing w:after="0" w:line="363" w:lineRule="exact"/>
        <w:rPr>
          <w:sz w:val="20"/>
          <w:szCs w:val="20"/>
          <w:color w:val="auto"/>
        </w:rPr>
      </w:pPr>
    </w:p>
    <w:p>
      <w:pPr>
        <w:ind w:left="520" w:hanging="494"/>
        <w:spacing w:after="0"/>
        <w:tabs>
          <w:tab w:leader="none" w:pos="520" w:val="left"/>
        </w:tabs>
        <w:numPr>
          <w:ilvl w:val="0"/>
          <w:numId w:val="121"/>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29378D"/>
        </w:rPr>
        <w:t>2023 AIP PERFORMANCE RESULTS</w:t>
      </w:r>
    </w:p>
    <w:p>
      <w:pPr>
        <w:spacing w:after="0" w:line="115"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In determining the CPF, both financial and non-financial performance against goals are assessed. The overall 2023 CPF, based on the financial and non-financial metrics, was determined to be 157%.</w:t>
      </w:r>
    </w:p>
    <w:p>
      <w:pPr>
        <w:spacing w:after="0" w:line="33"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As approved by the Compensation and Human Capital Committee, 2023 Company performance calculations were adjusted, as applicable, to exclude the impact of net operating FAS/CAS, deferred state tax expense (benefit), federal and state taxes related to the sale of minority investments, the loss on the sale of a small international subsidiary, CAS pension recoveries, and other adjustments to account for business conditions and certain costs unanticipated at the time the goals were established. Additionally, the Committee approved an adjustment to neutralize the impact of a charge associated with the low-rate initial production phase of the B-21 program. The Committee believed that this adjustment was appropriate as the charge was largely associated with fixed pricing established nearly 10 years ago for options on the low rate initial production phase of the program, and therefore, inclusion of the charge would not be reflective of the Company's strong financial performance in 2023. All adjustments were made by the Committee using its discretion, as provided in our plan, to measure annual incentive performance while maintaining flexibility to provide equitable adjustments that address the impact of material non-operational and unforeseen events. Details are outlined in Appendix A - Use of Non-GAAP Financial Measures.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individual financial and non-financial performance results are noted below.</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FINAL 2023 COMPANY AIP RESULTS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40" w:type="dxa"/>
            <w:vAlign w:val="bottom"/>
          </w:tcPr>
          <w:p>
            <w:pPr>
              <w:spacing w:after="0"/>
              <w:rPr>
                <w:sz w:val="14"/>
                <w:szCs w:val="14"/>
                <w:color w:val="auto"/>
              </w:rPr>
            </w:pPr>
          </w:p>
        </w:tc>
        <w:tc>
          <w:tcPr>
            <w:tcW w:w="1920" w:type="dxa"/>
            <w:vAlign w:val="bottom"/>
          </w:tcPr>
          <w:p>
            <w:pPr>
              <w:jc w:val="center"/>
              <w:ind w:left="1144"/>
              <w:spacing w:after="0"/>
              <w:rPr>
                <w:sz w:val="20"/>
                <w:szCs w:val="20"/>
                <w:color w:val="auto"/>
              </w:rPr>
            </w:pPr>
            <w:r>
              <w:rPr>
                <w:rFonts w:ascii="Arial" w:cs="Arial" w:eastAsia="Arial" w:hAnsi="Arial"/>
                <w:sz w:val="13"/>
                <w:szCs w:val="13"/>
                <w:b w:val="1"/>
                <w:bCs w:val="1"/>
                <w:color w:val="auto"/>
                <w:w w:val="96"/>
              </w:rPr>
              <w:t>Weight</w:t>
            </w:r>
          </w:p>
        </w:tc>
        <w:tc>
          <w:tcPr>
            <w:tcW w:w="1820" w:type="dxa"/>
            <w:vAlign w:val="bottom"/>
          </w:tcPr>
          <w:p>
            <w:pPr>
              <w:spacing w:after="0"/>
              <w:rPr>
                <w:sz w:val="14"/>
                <w:szCs w:val="14"/>
                <w:color w:val="auto"/>
              </w:rPr>
            </w:pPr>
          </w:p>
        </w:tc>
        <w:tc>
          <w:tcPr>
            <w:tcW w:w="3220" w:type="dxa"/>
            <w:vAlign w:val="bottom"/>
            <w:gridSpan w:val="2"/>
          </w:tcPr>
          <w:p>
            <w:pPr>
              <w:ind w:left="1080"/>
              <w:spacing w:after="0"/>
              <w:rPr>
                <w:sz w:val="20"/>
                <w:szCs w:val="20"/>
                <w:color w:val="auto"/>
              </w:rPr>
            </w:pPr>
            <w:r>
              <w:rPr>
                <w:rFonts w:ascii="Arial" w:cs="Arial" w:eastAsia="Arial" w:hAnsi="Arial"/>
                <w:sz w:val="13"/>
                <w:szCs w:val="13"/>
                <w:b w:val="1"/>
                <w:bCs w:val="1"/>
                <w:color w:val="auto"/>
              </w:rPr>
              <w:t>Weighted Payout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040" w:type="dxa"/>
            <w:vAlign w:val="bottom"/>
            <w:tcBorders>
              <w:bottom w:val="single" w:sz="8" w:color="29378D"/>
            </w:tcBorders>
          </w:tcPr>
          <w:p>
            <w:pPr>
              <w:spacing w:after="0" w:line="20" w:lineRule="exact"/>
              <w:rPr>
                <w:sz w:val="1"/>
                <w:szCs w:val="1"/>
                <w:color w:val="auto"/>
              </w:rPr>
            </w:pPr>
          </w:p>
        </w:tc>
        <w:tc>
          <w:tcPr>
            <w:tcW w:w="1920" w:type="dxa"/>
            <w:vAlign w:val="bottom"/>
            <w:tcBorders>
              <w:bottom w:val="single" w:sz="8" w:color="29378D"/>
            </w:tcBorders>
          </w:tcPr>
          <w:p>
            <w:pPr>
              <w:spacing w:after="0" w:line="20" w:lineRule="exact"/>
              <w:rPr>
                <w:sz w:val="1"/>
                <w:szCs w:val="1"/>
                <w:color w:val="auto"/>
              </w:rPr>
            </w:pPr>
          </w:p>
        </w:tc>
        <w:tc>
          <w:tcPr>
            <w:tcW w:w="1820" w:type="dxa"/>
            <w:vAlign w:val="bottom"/>
            <w:tcBorders>
              <w:bottom w:val="single" w:sz="8" w:color="29378D"/>
            </w:tcBorders>
          </w:tcPr>
          <w:p>
            <w:pPr>
              <w:spacing w:after="0" w:line="20" w:lineRule="exact"/>
              <w:rPr>
                <w:sz w:val="1"/>
                <w:szCs w:val="1"/>
                <w:color w:val="auto"/>
              </w:rPr>
            </w:pPr>
          </w:p>
        </w:tc>
        <w:tc>
          <w:tcPr>
            <w:tcW w:w="1360" w:type="dxa"/>
            <w:vAlign w:val="bottom"/>
            <w:tcBorders>
              <w:bottom w:val="single" w:sz="8" w:color="29378D"/>
            </w:tcBorders>
          </w:tcPr>
          <w:p>
            <w:pPr>
              <w:spacing w:after="0" w:line="20" w:lineRule="exact"/>
              <w:rPr>
                <w:sz w:val="1"/>
                <w:szCs w:val="1"/>
                <w:color w:val="auto"/>
              </w:rPr>
            </w:pPr>
          </w:p>
        </w:tc>
        <w:tc>
          <w:tcPr>
            <w:tcW w:w="1860" w:type="dxa"/>
            <w:vAlign w:val="bottom"/>
            <w:tcBorders>
              <w:bottom w:val="single" w:sz="8" w:color="29378D"/>
            </w:tcBorders>
          </w:tcPr>
          <w:p>
            <w:pPr>
              <w:spacing w:after="0" w:line="20" w:lineRule="exact"/>
              <w:rPr>
                <w:sz w:val="1"/>
                <w:szCs w:val="1"/>
                <w:color w:val="auto"/>
              </w:rPr>
            </w:pPr>
          </w:p>
        </w:tc>
        <w:tc>
          <w:tcPr>
            <w:tcW w:w="200" w:type="dxa"/>
            <w:vAlign w:val="bottom"/>
            <w:tcBorders>
              <w:bottom w:val="single" w:sz="8" w:color="29378D"/>
            </w:tcBorders>
          </w:tcPr>
          <w:p>
            <w:pPr>
              <w:spacing w:after="0" w:line="20" w:lineRule="exact"/>
              <w:rPr>
                <w:sz w:val="1"/>
                <w:szCs w:val="1"/>
                <w:color w:val="auto"/>
              </w:rPr>
            </w:pPr>
          </w:p>
        </w:tc>
        <w:tc>
          <w:tcPr>
            <w:tcW w:w="4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4040" w:type="dxa"/>
            <w:vAlign w:val="bottom"/>
          </w:tcPr>
          <w:p>
            <w:pPr>
              <w:ind w:left="20"/>
              <w:spacing w:after="0"/>
              <w:rPr>
                <w:sz w:val="20"/>
                <w:szCs w:val="20"/>
                <w:color w:val="auto"/>
              </w:rPr>
            </w:pPr>
            <w:r>
              <w:rPr>
                <w:rFonts w:ascii="Arial" w:cs="Arial" w:eastAsia="Arial" w:hAnsi="Arial"/>
                <w:sz w:val="16"/>
                <w:szCs w:val="16"/>
                <w:color w:val="auto"/>
              </w:rPr>
              <w:t>Financial Metrics</w:t>
            </w:r>
          </w:p>
        </w:tc>
        <w:tc>
          <w:tcPr>
            <w:tcW w:w="1920" w:type="dxa"/>
            <w:vAlign w:val="bottom"/>
          </w:tcPr>
          <w:p>
            <w:pPr>
              <w:jc w:val="center"/>
              <w:ind w:left="1164"/>
              <w:spacing w:after="0"/>
              <w:rPr>
                <w:sz w:val="20"/>
                <w:szCs w:val="20"/>
                <w:color w:val="auto"/>
              </w:rPr>
            </w:pPr>
            <w:r>
              <w:rPr>
                <w:rFonts w:ascii="Arial" w:cs="Arial" w:eastAsia="Arial" w:hAnsi="Arial"/>
                <w:sz w:val="16"/>
                <w:szCs w:val="16"/>
                <w:color w:val="auto"/>
                <w:w w:val="99"/>
              </w:rPr>
              <w:t>90%</w:t>
            </w:r>
          </w:p>
        </w:tc>
        <w:tc>
          <w:tcPr>
            <w:tcW w:w="1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60" w:type="dxa"/>
            <w:vAlign w:val="bottom"/>
          </w:tcPr>
          <w:p>
            <w:pPr>
              <w:jc w:val="center"/>
              <w:ind w:right="1322"/>
              <w:spacing w:after="0"/>
              <w:rPr>
                <w:sz w:val="20"/>
                <w:szCs w:val="20"/>
                <w:color w:val="auto"/>
              </w:rPr>
            </w:pPr>
            <w:r>
              <w:rPr>
                <w:rFonts w:ascii="Arial" w:cs="Arial" w:eastAsia="Arial" w:hAnsi="Arial"/>
                <w:sz w:val="16"/>
                <w:szCs w:val="16"/>
                <w:color w:val="auto"/>
              </w:rPr>
              <w:t>142%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40" w:type="dxa"/>
            <w:vAlign w:val="bottom"/>
            <w:tcBorders>
              <w:bottom w:val="single" w:sz="8" w:color="BCBEC0"/>
            </w:tcBorders>
          </w:tcPr>
          <w:p>
            <w:pPr>
              <w:spacing w:after="0"/>
              <w:rPr>
                <w:sz w:val="2"/>
                <w:szCs w:val="2"/>
                <w:color w:val="auto"/>
              </w:rPr>
            </w:pPr>
          </w:p>
        </w:tc>
        <w:tc>
          <w:tcPr>
            <w:tcW w:w="1920" w:type="dxa"/>
            <w:vAlign w:val="bottom"/>
            <w:tcBorders>
              <w:bottom w:val="single" w:sz="8" w:color="BCBEC0"/>
            </w:tcBorders>
          </w:tcPr>
          <w:p>
            <w:pPr>
              <w:spacing w:after="0"/>
              <w:rPr>
                <w:sz w:val="2"/>
                <w:szCs w:val="2"/>
                <w:color w:val="auto"/>
              </w:rPr>
            </w:pPr>
          </w:p>
        </w:tc>
        <w:tc>
          <w:tcPr>
            <w:tcW w:w="1820" w:type="dxa"/>
            <w:vAlign w:val="bottom"/>
            <w:tcBorders>
              <w:bottom w:val="single" w:sz="8" w:color="BCBEC0"/>
            </w:tcBorders>
          </w:tcPr>
          <w:p>
            <w:pPr>
              <w:spacing w:after="0"/>
              <w:rPr>
                <w:sz w:val="2"/>
                <w:szCs w:val="2"/>
                <w:color w:val="auto"/>
              </w:rPr>
            </w:pPr>
          </w:p>
        </w:tc>
        <w:tc>
          <w:tcPr>
            <w:tcW w:w="1360" w:type="dxa"/>
            <w:vAlign w:val="bottom"/>
            <w:tcBorders>
              <w:bottom w:val="single" w:sz="8" w:color="BCBEC0"/>
            </w:tcBorders>
          </w:tcPr>
          <w:p>
            <w:pPr>
              <w:spacing w:after="0"/>
              <w:rPr>
                <w:sz w:val="2"/>
                <w:szCs w:val="2"/>
                <w:color w:val="auto"/>
              </w:rPr>
            </w:pPr>
          </w:p>
        </w:tc>
        <w:tc>
          <w:tcPr>
            <w:tcW w:w="1860" w:type="dxa"/>
            <w:vAlign w:val="bottom"/>
            <w:tcBorders>
              <w:bottom w:val="single" w:sz="8" w:color="BCBEC0"/>
            </w:tcBorders>
          </w:tcPr>
          <w:p>
            <w:pPr>
              <w:spacing w:after="0"/>
              <w:rPr>
                <w:sz w:val="2"/>
                <w:szCs w:val="2"/>
                <w:color w:val="auto"/>
              </w:rPr>
            </w:pPr>
          </w:p>
        </w:tc>
        <w:tc>
          <w:tcPr>
            <w:tcW w:w="200" w:type="dxa"/>
            <w:vAlign w:val="bottom"/>
            <w:tcBorders>
              <w:bottom w:val="single" w:sz="8" w:color="BCBEC0"/>
            </w:tcBorders>
          </w:tcPr>
          <w:p>
            <w:pPr>
              <w:spacing w:after="0"/>
              <w:rPr>
                <w:sz w:val="2"/>
                <w:szCs w:val="2"/>
                <w:color w:val="auto"/>
              </w:rPr>
            </w:pPr>
          </w:p>
        </w:tc>
        <w:tc>
          <w:tcPr>
            <w:tcW w:w="4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040" w:type="dxa"/>
            <w:vAlign w:val="bottom"/>
          </w:tcPr>
          <w:p>
            <w:pPr>
              <w:ind w:left="20"/>
              <w:spacing w:after="0"/>
              <w:rPr>
                <w:sz w:val="20"/>
                <w:szCs w:val="20"/>
                <w:color w:val="auto"/>
              </w:rPr>
            </w:pPr>
            <w:r>
              <w:rPr>
                <w:rFonts w:ascii="Arial" w:cs="Arial" w:eastAsia="Arial" w:hAnsi="Arial"/>
                <w:sz w:val="16"/>
                <w:szCs w:val="16"/>
                <w:color w:val="auto"/>
              </w:rPr>
              <w:t>Non-Financial Metrics</w:t>
            </w:r>
          </w:p>
        </w:tc>
        <w:tc>
          <w:tcPr>
            <w:tcW w:w="1920" w:type="dxa"/>
            <w:vAlign w:val="bottom"/>
          </w:tcPr>
          <w:p>
            <w:pPr>
              <w:jc w:val="center"/>
              <w:ind w:left="1164"/>
              <w:spacing w:after="0"/>
              <w:rPr>
                <w:sz w:val="20"/>
                <w:szCs w:val="20"/>
                <w:color w:val="auto"/>
              </w:rPr>
            </w:pPr>
            <w:r>
              <w:rPr>
                <w:rFonts w:ascii="Arial" w:cs="Arial" w:eastAsia="Arial" w:hAnsi="Arial"/>
                <w:sz w:val="16"/>
                <w:szCs w:val="16"/>
                <w:color w:val="auto"/>
                <w:w w:val="99"/>
              </w:rPr>
              <w:t>10%</w:t>
            </w:r>
          </w:p>
        </w:tc>
        <w:tc>
          <w:tcPr>
            <w:tcW w:w="1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60" w:type="dxa"/>
            <w:vAlign w:val="bottom"/>
          </w:tcPr>
          <w:p>
            <w:pPr>
              <w:jc w:val="center"/>
              <w:ind w:right="1342"/>
              <w:spacing w:after="0"/>
              <w:rPr>
                <w:sz w:val="20"/>
                <w:szCs w:val="20"/>
                <w:color w:val="auto"/>
              </w:rPr>
            </w:pPr>
            <w:r>
              <w:rPr>
                <w:rFonts w:ascii="Arial" w:cs="Arial" w:eastAsia="Arial" w:hAnsi="Arial"/>
                <w:sz w:val="16"/>
                <w:szCs w:val="16"/>
                <w:color w:val="auto"/>
                <w:w w:val="99"/>
              </w:rPr>
              <w:t>15%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40" w:type="dxa"/>
            <w:vAlign w:val="bottom"/>
            <w:tcBorders>
              <w:bottom w:val="single" w:sz="8" w:color="BCBEC0"/>
            </w:tcBorders>
          </w:tcPr>
          <w:p>
            <w:pPr>
              <w:spacing w:after="0"/>
              <w:rPr>
                <w:sz w:val="2"/>
                <w:szCs w:val="2"/>
                <w:color w:val="auto"/>
              </w:rPr>
            </w:pPr>
          </w:p>
        </w:tc>
        <w:tc>
          <w:tcPr>
            <w:tcW w:w="1920" w:type="dxa"/>
            <w:vAlign w:val="bottom"/>
            <w:tcBorders>
              <w:bottom w:val="single" w:sz="8" w:color="BCBEC0"/>
            </w:tcBorders>
          </w:tcPr>
          <w:p>
            <w:pPr>
              <w:spacing w:after="0"/>
              <w:rPr>
                <w:sz w:val="2"/>
                <w:szCs w:val="2"/>
                <w:color w:val="auto"/>
              </w:rPr>
            </w:pPr>
          </w:p>
        </w:tc>
        <w:tc>
          <w:tcPr>
            <w:tcW w:w="1820" w:type="dxa"/>
            <w:vAlign w:val="bottom"/>
            <w:tcBorders>
              <w:bottom w:val="single" w:sz="8" w:color="BCBEC0"/>
            </w:tcBorders>
          </w:tcPr>
          <w:p>
            <w:pPr>
              <w:spacing w:after="0"/>
              <w:rPr>
                <w:sz w:val="2"/>
                <w:szCs w:val="2"/>
                <w:color w:val="auto"/>
              </w:rPr>
            </w:pPr>
          </w:p>
        </w:tc>
        <w:tc>
          <w:tcPr>
            <w:tcW w:w="1360" w:type="dxa"/>
            <w:vAlign w:val="bottom"/>
            <w:tcBorders>
              <w:bottom w:val="single" w:sz="8" w:color="BCBEC0"/>
            </w:tcBorders>
          </w:tcPr>
          <w:p>
            <w:pPr>
              <w:spacing w:after="0"/>
              <w:rPr>
                <w:sz w:val="2"/>
                <w:szCs w:val="2"/>
                <w:color w:val="auto"/>
              </w:rPr>
            </w:pPr>
          </w:p>
        </w:tc>
        <w:tc>
          <w:tcPr>
            <w:tcW w:w="1860" w:type="dxa"/>
            <w:vAlign w:val="bottom"/>
            <w:tcBorders>
              <w:bottom w:val="single" w:sz="8" w:color="BCBEC0"/>
            </w:tcBorders>
          </w:tcPr>
          <w:p>
            <w:pPr>
              <w:spacing w:after="0"/>
              <w:rPr>
                <w:sz w:val="2"/>
                <w:szCs w:val="2"/>
                <w:color w:val="auto"/>
              </w:rPr>
            </w:pPr>
          </w:p>
        </w:tc>
        <w:tc>
          <w:tcPr>
            <w:tcW w:w="200" w:type="dxa"/>
            <w:vAlign w:val="bottom"/>
            <w:tcBorders>
              <w:bottom w:val="single" w:sz="8" w:color="BCBEC0"/>
            </w:tcBorders>
          </w:tcPr>
          <w:p>
            <w:pPr>
              <w:spacing w:after="0"/>
              <w:rPr>
                <w:sz w:val="2"/>
                <w:szCs w:val="2"/>
                <w:color w:val="auto"/>
              </w:rPr>
            </w:pPr>
          </w:p>
        </w:tc>
        <w:tc>
          <w:tcPr>
            <w:tcW w:w="4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Company Payout</w:t>
            </w:r>
          </w:p>
        </w:tc>
        <w:tc>
          <w:tcPr>
            <w:tcW w:w="1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60" w:type="dxa"/>
            <w:vAlign w:val="bottom"/>
          </w:tcPr>
          <w:p>
            <w:pPr>
              <w:jc w:val="center"/>
              <w:ind w:right="1322"/>
              <w:spacing w:after="0"/>
              <w:rPr>
                <w:sz w:val="20"/>
                <w:szCs w:val="20"/>
                <w:color w:val="auto"/>
              </w:rPr>
            </w:pPr>
            <w:r>
              <w:rPr>
                <w:rFonts w:ascii="Arial" w:cs="Arial" w:eastAsia="Arial" w:hAnsi="Arial"/>
                <w:sz w:val="16"/>
                <w:szCs w:val="16"/>
                <w:b w:val="1"/>
                <w:bCs w:val="1"/>
                <w:color w:val="auto"/>
              </w:rPr>
              <w:t>157%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BCBEC0"/>
            </w:tcBorders>
          </w:tcPr>
          <w:p>
            <w:pPr>
              <w:spacing w:after="0" w:line="20" w:lineRule="exact"/>
              <w:rPr>
                <w:sz w:val="1"/>
                <w:szCs w:val="1"/>
                <w:color w:val="auto"/>
              </w:rPr>
            </w:pPr>
          </w:p>
        </w:tc>
        <w:tc>
          <w:tcPr>
            <w:tcW w:w="1920" w:type="dxa"/>
            <w:vAlign w:val="bottom"/>
            <w:tcBorders>
              <w:bottom w:val="single" w:sz="8" w:color="BCBEC0"/>
            </w:tcBorders>
          </w:tcPr>
          <w:p>
            <w:pPr>
              <w:spacing w:after="0" w:line="20" w:lineRule="exact"/>
              <w:rPr>
                <w:sz w:val="1"/>
                <w:szCs w:val="1"/>
                <w:color w:val="auto"/>
              </w:rPr>
            </w:pPr>
          </w:p>
        </w:tc>
        <w:tc>
          <w:tcPr>
            <w:tcW w:w="1820" w:type="dxa"/>
            <w:vAlign w:val="bottom"/>
            <w:tcBorders>
              <w:bottom w:val="single" w:sz="8" w:color="BCBEC0"/>
            </w:tcBorders>
          </w:tcPr>
          <w:p>
            <w:pPr>
              <w:spacing w:after="0" w:line="20" w:lineRule="exact"/>
              <w:rPr>
                <w:sz w:val="1"/>
                <w:szCs w:val="1"/>
                <w:color w:val="auto"/>
              </w:rPr>
            </w:pPr>
          </w:p>
        </w:tc>
        <w:tc>
          <w:tcPr>
            <w:tcW w:w="1360" w:type="dxa"/>
            <w:vAlign w:val="bottom"/>
            <w:tcBorders>
              <w:bottom w:val="single" w:sz="8" w:color="BCBEC0"/>
            </w:tcBorders>
          </w:tcPr>
          <w:p>
            <w:pPr>
              <w:spacing w:after="0" w:line="20" w:lineRule="exact"/>
              <w:rPr>
                <w:sz w:val="1"/>
                <w:szCs w:val="1"/>
                <w:color w:val="auto"/>
              </w:rPr>
            </w:pPr>
          </w:p>
        </w:tc>
        <w:tc>
          <w:tcPr>
            <w:tcW w:w="1860" w:type="dxa"/>
            <w:vAlign w:val="bottom"/>
            <w:tcBorders>
              <w:bottom w:val="single" w:sz="8" w:color="BCBEC0"/>
            </w:tcBorders>
          </w:tcPr>
          <w:p>
            <w:pPr>
              <w:spacing w:after="0" w:line="20" w:lineRule="exact"/>
              <w:rPr>
                <w:sz w:val="1"/>
                <w:szCs w:val="1"/>
                <w:color w:val="auto"/>
              </w:rPr>
            </w:pPr>
          </w:p>
        </w:tc>
        <w:tc>
          <w:tcPr>
            <w:tcW w:w="200" w:type="dxa"/>
            <w:vAlign w:val="bottom"/>
            <w:tcBorders>
              <w:bottom w:val="single" w:sz="8" w:color="BCBEC0"/>
            </w:tcBorders>
          </w:tcPr>
          <w:p>
            <w:pPr>
              <w:spacing w:after="0" w:line="20" w:lineRule="exact"/>
              <w:rPr>
                <w:sz w:val="1"/>
                <w:szCs w:val="1"/>
                <w:color w:val="auto"/>
              </w:rPr>
            </w:pPr>
          </w:p>
        </w:tc>
        <w:tc>
          <w:tcPr>
            <w:tcW w:w="4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0"/>
        </w:trPr>
        <w:tc>
          <w:tcPr>
            <w:tcW w:w="4040" w:type="dxa"/>
            <w:vAlign w:val="bottom"/>
          </w:tcPr>
          <w:p>
            <w:pPr>
              <w:spacing w:after="0"/>
              <w:rPr>
                <w:sz w:val="20"/>
                <w:szCs w:val="20"/>
                <w:color w:val="auto"/>
              </w:rPr>
            </w:pPr>
            <w:r>
              <w:rPr>
                <w:rFonts w:ascii="Arial" w:cs="Arial" w:eastAsia="Arial" w:hAnsi="Arial"/>
                <w:sz w:val="14"/>
                <w:szCs w:val="14"/>
                <w:b w:val="1"/>
                <w:bCs w:val="1"/>
                <w:color w:val="29378D"/>
              </w:rPr>
              <w:t>FINANCIAL METRICS</w:t>
            </w:r>
          </w:p>
        </w:tc>
        <w:tc>
          <w:tcPr>
            <w:tcW w:w="1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040" w:type="dxa"/>
            <w:vAlign w:val="bottom"/>
          </w:tcPr>
          <w:p>
            <w:pPr>
              <w:spacing w:after="0"/>
              <w:rPr>
                <w:sz w:val="24"/>
                <w:szCs w:val="24"/>
                <w:color w:val="auto"/>
              </w:rPr>
            </w:pPr>
          </w:p>
        </w:tc>
        <w:tc>
          <w:tcPr>
            <w:tcW w:w="1920" w:type="dxa"/>
            <w:vAlign w:val="bottom"/>
            <w:vMerge w:val="restart"/>
          </w:tcPr>
          <w:p>
            <w:pPr>
              <w:jc w:val="center"/>
              <w:ind w:left="44"/>
              <w:spacing w:after="0"/>
              <w:rPr>
                <w:sz w:val="20"/>
                <w:szCs w:val="20"/>
                <w:color w:val="auto"/>
              </w:rPr>
            </w:pPr>
            <w:r>
              <w:rPr>
                <w:rFonts w:ascii="Arial" w:cs="Arial" w:eastAsia="Arial" w:hAnsi="Arial"/>
                <w:sz w:val="13"/>
                <w:szCs w:val="13"/>
                <w:b w:val="1"/>
                <w:bCs w:val="1"/>
                <w:color w:val="auto"/>
                <w:w w:val="95"/>
              </w:rPr>
              <w:t>Weighting</w:t>
            </w:r>
          </w:p>
        </w:tc>
        <w:tc>
          <w:tcPr>
            <w:tcW w:w="1820" w:type="dxa"/>
            <w:vAlign w:val="bottom"/>
          </w:tcPr>
          <w:p>
            <w:pPr>
              <w:jc w:val="center"/>
              <w:ind w:right="26"/>
              <w:spacing w:after="0"/>
              <w:rPr>
                <w:sz w:val="20"/>
                <w:szCs w:val="20"/>
                <w:color w:val="auto"/>
              </w:rPr>
            </w:pPr>
            <w:r>
              <w:rPr>
                <w:rFonts w:ascii="Arial" w:cs="Arial" w:eastAsia="Arial" w:hAnsi="Arial"/>
                <w:sz w:val="13"/>
                <w:szCs w:val="13"/>
                <w:b w:val="1"/>
                <w:bCs w:val="1"/>
                <w:color w:val="auto"/>
                <w:w w:val="96"/>
              </w:rPr>
              <w:t>Performance to Achieve</w:t>
            </w:r>
          </w:p>
        </w:tc>
        <w:tc>
          <w:tcPr>
            <w:tcW w:w="1360" w:type="dxa"/>
            <w:vAlign w:val="bottom"/>
            <w:vMerge w:val="restart"/>
          </w:tcPr>
          <w:p>
            <w:pPr>
              <w:ind w:left="240"/>
              <w:spacing w:after="0"/>
              <w:rPr>
                <w:sz w:val="20"/>
                <w:szCs w:val="20"/>
                <w:color w:val="auto"/>
              </w:rPr>
            </w:pPr>
            <w:r>
              <w:rPr>
                <w:rFonts w:ascii="Arial" w:cs="Arial" w:eastAsia="Arial" w:hAnsi="Arial"/>
                <w:sz w:val="13"/>
                <w:szCs w:val="13"/>
                <w:b w:val="1"/>
                <w:bCs w:val="1"/>
                <w:color w:val="auto"/>
                <w:w w:val="98"/>
              </w:rPr>
              <w:t>2023 Performance</w:t>
            </w:r>
          </w:p>
        </w:tc>
        <w:tc>
          <w:tcPr>
            <w:tcW w:w="1860" w:type="dxa"/>
            <w:vAlign w:val="bottom"/>
            <w:vMerge w:val="restart"/>
          </w:tcPr>
          <w:p>
            <w:pPr>
              <w:ind w:left="560"/>
              <w:spacing w:after="0"/>
              <w:rPr>
                <w:sz w:val="20"/>
                <w:szCs w:val="20"/>
                <w:color w:val="auto"/>
              </w:rPr>
            </w:pPr>
            <w:r>
              <w:rPr>
                <w:rFonts w:ascii="Arial" w:cs="Arial" w:eastAsia="Arial" w:hAnsi="Arial"/>
                <w:sz w:val="13"/>
                <w:szCs w:val="13"/>
                <w:b w:val="1"/>
                <w:bCs w:val="1"/>
                <w:color w:val="auto"/>
                <w:w w:val="99"/>
              </w:rPr>
              <w:t>2023 Financial Score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Metric/Goal</w:t>
            </w:r>
          </w:p>
        </w:tc>
        <w:tc>
          <w:tcPr>
            <w:tcW w:w="1920" w:type="dxa"/>
            <w:vAlign w:val="bottom"/>
            <w:vMerge w:val="continue"/>
          </w:tcPr>
          <w:p>
            <w:pPr>
              <w:spacing w:after="0"/>
              <w:rPr>
                <w:sz w:val="7"/>
                <w:szCs w:val="7"/>
                <w:color w:val="auto"/>
              </w:rPr>
            </w:pPr>
          </w:p>
        </w:tc>
        <w:tc>
          <w:tcPr>
            <w:tcW w:w="1820" w:type="dxa"/>
            <w:vAlign w:val="bottom"/>
            <w:vMerge w:val="restart"/>
          </w:tcPr>
          <w:p>
            <w:pPr>
              <w:jc w:val="center"/>
              <w:ind w:right="46"/>
              <w:spacing w:after="0"/>
              <w:rPr>
                <w:sz w:val="20"/>
                <w:szCs w:val="20"/>
                <w:color w:val="auto"/>
              </w:rPr>
            </w:pPr>
            <w:r>
              <w:rPr>
                <w:rFonts w:ascii="Arial" w:cs="Arial" w:eastAsia="Arial" w:hAnsi="Arial"/>
                <w:sz w:val="13"/>
                <w:szCs w:val="13"/>
                <w:b w:val="1"/>
                <w:bCs w:val="1"/>
                <w:color w:val="auto"/>
                <w:w w:val="94"/>
              </w:rPr>
              <w:t>Target Payout</w:t>
            </w:r>
          </w:p>
        </w:tc>
        <w:tc>
          <w:tcPr>
            <w:tcW w:w="1360" w:type="dxa"/>
            <w:vAlign w:val="bottom"/>
            <w:vMerge w:val="continue"/>
          </w:tcPr>
          <w:p>
            <w:pPr>
              <w:spacing w:after="0"/>
              <w:rPr>
                <w:sz w:val="7"/>
                <w:szCs w:val="7"/>
                <w:color w:val="auto"/>
              </w:rPr>
            </w:pPr>
          </w:p>
        </w:tc>
        <w:tc>
          <w:tcPr>
            <w:tcW w:w="18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40" w:type="dxa"/>
            <w:vAlign w:val="bottom"/>
            <w:vMerge w:val="continue"/>
          </w:tcPr>
          <w:p>
            <w:pPr>
              <w:spacing w:after="0"/>
              <w:rPr>
                <w:sz w:val="7"/>
                <w:szCs w:val="7"/>
                <w:color w:val="auto"/>
              </w:rPr>
            </w:pPr>
          </w:p>
        </w:tc>
        <w:tc>
          <w:tcPr>
            <w:tcW w:w="192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40" w:type="dxa"/>
            <w:vAlign w:val="bottom"/>
            <w:tcBorders>
              <w:bottom w:val="single" w:sz="8" w:color="29378D"/>
            </w:tcBorders>
          </w:tcPr>
          <w:p>
            <w:pPr>
              <w:spacing w:after="0" w:line="20" w:lineRule="exact"/>
              <w:rPr>
                <w:sz w:val="1"/>
                <w:szCs w:val="1"/>
                <w:color w:val="auto"/>
              </w:rPr>
            </w:pPr>
          </w:p>
        </w:tc>
        <w:tc>
          <w:tcPr>
            <w:tcW w:w="1920" w:type="dxa"/>
            <w:vAlign w:val="bottom"/>
            <w:tcBorders>
              <w:bottom w:val="single" w:sz="8" w:color="29378D"/>
            </w:tcBorders>
          </w:tcPr>
          <w:p>
            <w:pPr>
              <w:spacing w:after="0" w:line="20" w:lineRule="exact"/>
              <w:rPr>
                <w:sz w:val="1"/>
                <w:szCs w:val="1"/>
                <w:color w:val="auto"/>
              </w:rPr>
            </w:pPr>
          </w:p>
        </w:tc>
        <w:tc>
          <w:tcPr>
            <w:tcW w:w="1820" w:type="dxa"/>
            <w:vAlign w:val="bottom"/>
            <w:tcBorders>
              <w:bottom w:val="single" w:sz="8" w:color="29378D"/>
            </w:tcBorders>
          </w:tcPr>
          <w:p>
            <w:pPr>
              <w:spacing w:after="0" w:line="20" w:lineRule="exact"/>
              <w:rPr>
                <w:sz w:val="1"/>
                <w:szCs w:val="1"/>
                <w:color w:val="auto"/>
              </w:rPr>
            </w:pPr>
          </w:p>
        </w:tc>
        <w:tc>
          <w:tcPr>
            <w:tcW w:w="1360" w:type="dxa"/>
            <w:vAlign w:val="bottom"/>
            <w:tcBorders>
              <w:bottom w:val="single" w:sz="8" w:color="29378D"/>
            </w:tcBorders>
          </w:tcPr>
          <w:p>
            <w:pPr>
              <w:spacing w:after="0" w:line="20" w:lineRule="exact"/>
              <w:rPr>
                <w:sz w:val="1"/>
                <w:szCs w:val="1"/>
                <w:color w:val="auto"/>
              </w:rPr>
            </w:pPr>
          </w:p>
        </w:tc>
        <w:tc>
          <w:tcPr>
            <w:tcW w:w="1860" w:type="dxa"/>
            <w:vAlign w:val="bottom"/>
            <w:tcBorders>
              <w:bottom w:val="single" w:sz="8" w:color="29378D"/>
            </w:tcBorders>
          </w:tcPr>
          <w:p>
            <w:pPr>
              <w:spacing w:after="0" w:line="20" w:lineRule="exact"/>
              <w:rPr>
                <w:sz w:val="1"/>
                <w:szCs w:val="1"/>
                <w:color w:val="auto"/>
              </w:rPr>
            </w:pPr>
          </w:p>
        </w:tc>
        <w:tc>
          <w:tcPr>
            <w:tcW w:w="200" w:type="dxa"/>
            <w:vAlign w:val="bottom"/>
            <w:tcBorders>
              <w:bottom w:val="single" w:sz="8" w:color="29378D"/>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2"/>
        </w:trPr>
        <w:tc>
          <w:tcPr>
            <w:tcW w:w="4040" w:type="dxa"/>
            <w:vAlign w:val="bottom"/>
          </w:tcPr>
          <w:p>
            <w:pPr>
              <w:ind w:left="20"/>
              <w:spacing w:after="0"/>
              <w:rPr>
                <w:sz w:val="20"/>
                <w:szCs w:val="20"/>
                <w:color w:val="auto"/>
              </w:rPr>
            </w:pPr>
            <w:r>
              <w:rPr>
                <w:rFonts w:ascii="Arial" w:cs="Arial" w:eastAsia="Arial" w:hAnsi="Arial"/>
                <w:sz w:val="16"/>
                <w:szCs w:val="16"/>
                <w:color w:val="auto"/>
              </w:rPr>
              <w:t>Adjusted Cash Flow from Operations*</w:t>
            </w:r>
          </w:p>
        </w:tc>
        <w:tc>
          <w:tcPr>
            <w:tcW w:w="1920" w:type="dxa"/>
            <w:vAlign w:val="bottom"/>
          </w:tcPr>
          <w:p>
            <w:pPr>
              <w:jc w:val="center"/>
              <w:ind w:left="44"/>
              <w:spacing w:after="0"/>
              <w:rPr>
                <w:sz w:val="20"/>
                <w:szCs w:val="20"/>
                <w:color w:val="auto"/>
              </w:rPr>
            </w:pPr>
            <w:r>
              <w:rPr>
                <w:rFonts w:ascii="Arial" w:cs="Arial" w:eastAsia="Arial" w:hAnsi="Arial"/>
                <w:sz w:val="16"/>
                <w:szCs w:val="16"/>
                <w:color w:val="auto"/>
                <w:w w:val="99"/>
              </w:rPr>
              <w:t>35%</w:t>
            </w:r>
          </w:p>
        </w:tc>
        <w:tc>
          <w:tcPr>
            <w:tcW w:w="1820" w:type="dxa"/>
            <w:vAlign w:val="bottom"/>
          </w:tcPr>
          <w:p>
            <w:pPr>
              <w:jc w:val="center"/>
              <w:ind w:right="46"/>
              <w:spacing w:after="0"/>
              <w:rPr>
                <w:sz w:val="20"/>
                <w:szCs w:val="20"/>
                <w:color w:val="auto"/>
              </w:rPr>
            </w:pPr>
            <w:r>
              <w:rPr>
                <w:rFonts w:ascii="Arial" w:cs="Arial" w:eastAsia="Arial" w:hAnsi="Arial"/>
                <w:sz w:val="16"/>
                <w:szCs w:val="16"/>
                <w:color w:val="auto"/>
              </w:rPr>
              <w:t>$3.2B</w:t>
            </w:r>
          </w:p>
        </w:tc>
        <w:tc>
          <w:tcPr>
            <w:tcW w:w="1360" w:type="dxa"/>
            <w:vAlign w:val="bottom"/>
          </w:tcPr>
          <w:p>
            <w:pPr>
              <w:jc w:val="center"/>
              <w:ind w:left="146"/>
              <w:spacing w:after="0"/>
              <w:rPr>
                <w:sz w:val="20"/>
                <w:szCs w:val="20"/>
                <w:color w:val="auto"/>
              </w:rPr>
            </w:pPr>
            <w:r>
              <w:rPr>
                <w:rFonts w:ascii="Arial" w:cs="Arial" w:eastAsia="Arial" w:hAnsi="Arial"/>
                <w:sz w:val="16"/>
                <w:szCs w:val="16"/>
                <w:color w:val="auto"/>
              </w:rPr>
              <w:t>$3.6B</w:t>
            </w:r>
          </w:p>
        </w:tc>
        <w:tc>
          <w:tcPr>
            <w:tcW w:w="1860" w:type="dxa"/>
            <w:vAlign w:val="bottom"/>
          </w:tcPr>
          <w:p>
            <w:pPr>
              <w:jc w:val="center"/>
              <w:ind w:left="422"/>
              <w:spacing w:after="0"/>
              <w:rPr>
                <w:sz w:val="20"/>
                <w:szCs w:val="20"/>
                <w:color w:val="auto"/>
              </w:rPr>
            </w:pPr>
            <w:r>
              <w:rPr>
                <w:rFonts w:ascii="Arial" w:cs="Arial" w:eastAsia="Arial" w:hAnsi="Arial"/>
                <w:sz w:val="16"/>
                <w:szCs w:val="16"/>
                <w:color w:val="auto"/>
                <w:w w:val="99"/>
              </w:rPr>
              <w:t>68%</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4040" w:type="dxa"/>
            <w:vAlign w:val="bottom"/>
            <w:tcBorders>
              <w:bottom w:val="single" w:sz="8" w:color="BCBEC0"/>
            </w:tcBorders>
          </w:tcPr>
          <w:p>
            <w:pPr>
              <w:spacing w:after="0"/>
              <w:rPr>
                <w:sz w:val="2"/>
                <w:szCs w:val="2"/>
                <w:color w:val="auto"/>
              </w:rPr>
            </w:pPr>
          </w:p>
        </w:tc>
        <w:tc>
          <w:tcPr>
            <w:tcW w:w="1920" w:type="dxa"/>
            <w:vAlign w:val="bottom"/>
            <w:tcBorders>
              <w:bottom w:val="single" w:sz="8" w:color="BCBEC0"/>
            </w:tcBorders>
          </w:tcPr>
          <w:p>
            <w:pPr>
              <w:spacing w:after="0"/>
              <w:rPr>
                <w:sz w:val="2"/>
                <w:szCs w:val="2"/>
                <w:color w:val="auto"/>
              </w:rPr>
            </w:pPr>
          </w:p>
        </w:tc>
        <w:tc>
          <w:tcPr>
            <w:tcW w:w="1820" w:type="dxa"/>
            <w:vAlign w:val="bottom"/>
            <w:tcBorders>
              <w:bottom w:val="single" w:sz="8" w:color="BCBEC0"/>
            </w:tcBorders>
          </w:tcPr>
          <w:p>
            <w:pPr>
              <w:spacing w:after="0"/>
              <w:rPr>
                <w:sz w:val="2"/>
                <w:szCs w:val="2"/>
                <w:color w:val="auto"/>
              </w:rPr>
            </w:pPr>
          </w:p>
        </w:tc>
        <w:tc>
          <w:tcPr>
            <w:tcW w:w="1360" w:type="dxa"/>
            <w:vAlign w:val="bottom"/>
            <w:tcBorders>
              <w:bottom w:val="single" w:sz="8" w:color="BCBEC0"/>
            </w:tcBorders>
          </w:tcPr>
          <w:p>
            <w:pPr>
              <w:spacing w:after="0"/>
              <w:rPr>
                <w:sz w:val="2"/>
                <w:szCs w:val="2"/>
                <w:color w:val="auto"/>
              </w:rPr>
            </w:pPr>
          </w:p>
        </w:tc>
        <w:tc>
          <w:tcPr>
            <w:tcW w:w="1860" w:type="dxa"/>
            <w:vAlign w:val="bottom"/>
            <w:tcBorders>
              <w:bottom w:val="single" w:sz="8" w:color="BCBEC0"/>
            </w:tcBorders>
          </w:tcPr>
          <w:p>
            <w:pPr>
              <w:spacing w:after="0"/>
              <w:rPr>
                <w:sz w:val="2"/>
                <w:szCs w:val="2"/>
                <w:color w:val="auto"/>
              </w:rPr>
            </w:pPr>
          </w:p>
        </w:tc>
        <w:tc>
          <w:tcPr>
            <w:tcW w:w="200" w:type="dxa"/>
            <w:vAlign w:val="bottom"/>
            <w:tcBorders>
              <w:bottom w:val="single" w:sz="8" w:color="BCBEC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4040" w:type="dxa"/>
            <w:vAlign w:val="bottom"/>
          </w:tcPr>
          <w:p>
            <w:pPr>
              <w:ind w:left="20"/>
              <w:spacing w:after="0"/>
              <w:rPr>
                <w:sz w:val="20"/>
                <w:szCs w:val="20"/>
                <w:color w:val="auto"/>
              </w:rPr>
            </w:pPr>
            <w:r>
              <w:rPr>
                <w:rFonts w:ascii="Arial" w:cs="Arial" w:eastAsia="Arial" w:hAnsi="Arial"/>
                <w:sz w:val="16"/>
                <w:szCs w:val="16"/>
                <w:color w:val="auto"/>
              </w:rPr>
              <w:t>Adjusted Segment Operating Income* Growth</w:t>
            </w:r>
          </w:p>
        </w:tc>
        <w:tc>
          <w:tcPr>
            <w:tcW w:w="1920" w:type="dxa"/>
            <w:vAlign w:val="bottom"/>
          </w:tcPr>
          <w:p>
            <w:pPr>
              <w:jc w:val="center"/>
              <w:ind w:left="44"/>
              <w:spacing w:after="0"/>
              <w:rPr>
                <w:sz w:val="20"/>
                <w:szCs w:val="20"/>
                <w:color w:val="auto"/>
              </w:rPr>
            </w:pPr>
            <w:r>
              <w:rPr>
                <w:rFonts w:ascii="Arial" w:cs="Arial" w:eastAsia="Arial" w:hAnsi="Arial"/>
                <w:sz w:val="16"/>
                <w:szCs w:val="16"/>
                <w:color w:val="auto"/>
                <w:w w:val="99"/>
              </w:rPr>
              <w:t>35%</w:t>
            </w:r>
          </w:p>
        </w:tc>
        <w:tc>
          <w:tcPr>
            <w:tcW w:w="1820" w:type="dxa"/>
            <w:vAlign w:val="bottom"/>
          </w:tcPr>
          <w:p>
            <w:pPr>
              <w:jc w:val="center"/>
              <w:ind w:right="46"/>
              <w:spacing w:after="0"/>
              <w:rPr>
                <w:sz w:val="20"/>
                <w:szCs w:val="20"/>
                <w:color w:val="auto"/>
              </w:rPr>
            </w:pPr>
            <w:r>
              <w:rPr>
                <w:rFonts w:ascii="Arial" w:cs="Arial" w:eastAsia="Arial" w:hAnsi="Arial"/>
                <w:sz w:val="16"/>
                <w:szCs w:val="16"/>
                <w:color w:val="auto"/>
              </w:rPr>
              <w:t>$4.1B</w:t>
            </w:r>
          </w:p>
        </w:tc>
        <w:tc>
          <w:tcPr>
            <w:tcW w:w="1360" w:type="dxa"/>
            <w:vAlign w:val="bottom"/>
          </w:tcPr>
          <w:p>
            <w:pPr>
              <w:jc w:val="center"/>
              <w:ind w:left="146"/>
              <w:spacing w:after="0"/>
              <w:rPr>
                <w:sz w:val="20"/>
                <w:szCs w:val="20"/>
                <w:color w:val="auto"/>
              </w:rPr>
            </w:pPr>
            <w:r>
              <w:rPr>
                <w:rFonts w:ascii="Arial" w:cs="Arial" w:eastAsia="Arial" w:hAnsi="Arial"/>
                <w:sz w:val="16"/>
                <w:szCs w:val="16"/>
                <w:color w:val="auto"/>
              </w:rPr>
              <w:t>$4.3B</w:t>
            </w:r>
          </w:p>
        </w:tc>
        <w:tc>
          <w:tcPr>
            <w:tcW w:w="1860" w:type="dxa"/>
            <w:vAlign w:val="bottom"/>
          </w:tcPr>
          <w:p>
            <w:pPr>
              <w:jc w:val="center"/>
              <w:ind w:left="422"/>
              <w:spacing w:after="0"/>
              <w:rPr>
                <w:sz w:val="20"/>
                <w:szCs w:val="20"/>
                <w:color w:val="auto"/>
              </w:rPr>
            </w:pPr>
            <w:r>
              <w:rPr>
                <w:rFonts w:ascii="Arial" w:cs="Arial" w:eastAsia="Arial" w:hAnsi="Arial"/>
                <w:sz w:val="16"/>
                <w:szCs w:val="16"/>
                <w:color w:val="auto"/>
                <w:w w:val="99"/>
              </w:rPr>
              <w:t>57%</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4040" w:type="dxa"/>
            <w:vAlign w:val="bottom"/>
            <w:tcBorders>
              <w:bottom w:val="single" w:sz="8" w:color="BCBEC0"/>
            </w:tcBorders>
          </w:tcPr>
          <w:p>
            <w:pPr>
              <w:spacing w:after="0"/>
              <w:rPr>
                <w:sz w:val="2"/>
                <w:szCs w:val="2"/>
                <w:color w:val="auto"/>
              </w:rPr>
            </w:pPr>
          </w:p>
        </w:tc>
        <w:tc>
          <w:tcPr>
            <w:tcW w:w="1920" w:type="dxa"/>
            <w:vAlign w:val="bottom"/>
            <w:tcBorders>
              <w:bottom w:val="single" w:sz="8" w:color="BCBEC0"/>
            </w:tcBorders>
          </w:tcPr>
          <w:p>
            <w:pPr>
              <w:spacing w:after="0"/>
              <w:rPr>
                <w:sz w:val="2"/>
                <w:szCs w:val="2"/>
                <w:color w:val="auto"/>
              </w:rPr>
            </w:pPr>
          </w:p>
        </w:tc>
        <w:tc>
          <w:tcPr>
            <w:tcW w:w="1820" w:type="dxa"/>
            <w:vAlign w:val="bottom"/>
            <w:tcBorders>
              <w:bottom w:val="single" w:sz="8" w:color="BCBEC0"/>
            </w:tcBorders>
          </w:tcPr>
          <w:p>
            <w:pPr>
              <w:spacing w:after="0"/>
              <w:rPr>
                <w:sz w:val="2"/>
                <w:szCs w:val="2"/>
                <w:color w:val="auto"/>
              </w:rPr>
            </w:pPr>
          </w:p>
        </w:tc>
        <w:tc>
          <w:tcPr>
            <w:tcW w:w="1360" w:type="dxa"/>
            <w:vAlign w:val="bottom"/>
            <w:tcBorders>
              <w:bottom w:val="single" w:sz="8" w:color="BCBEC0"/>
            </w:tcBorders>
          </w:tcPr>
          <w:p>
            <w:pPr>
              <w:spacing w:after="0"/>
              <w:rPr>
                <w:sz w:val="2"/>
                <w:szCs w:val="2"/>
                <w:color w:val="auto"/>
              </w:rPr>
            </w:pPr>
          </w:p>
        </w:tc>
        <w:tc>
          <w:tcPr>
            <w:tcW w:w="1860" w:type="dxa"/>
            <w:vAlign w:val="bottom"/>
            <w:tcBorders>
              <w:bottom w:val="single" w:sz="8" w:color="BCBEC0"/>
            </w:tcBorders>
          </w:tcPr>
          <w:p>
            <w:pPr>
              <w:spacing w:after="0"/>
              <w:rPr>
                <w:sz w:val="2"/>
                <w:szCs w:val="2"/>
                <w:color w:val="auto"/>
              </w:rPr>
            </w:pPr>
          </w:p>
        </w:tc>
        <w:tc>
          <w:tcPr>
            <w:tcW w:w="200" w:type="dxa"/>
            <w:vAlign w:val="bottom"/>
            <w:tcBorders>
              <w:bottom w:val="single" w:sz="8" w:color="BCBEC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4040" w:type="dxa"/>
            <w:vAlign w:val="bottom"/>
          </w:tcPr>
          <w:p>
            <w:pPr>
              <w:ind w:left="20"/>
              <w:spacing w:after="0"/>
              <w:rPr>
                <w:sz w:val="20"/>
                <w:szCs w:val="20"/>
                <w:color w:val="auto"/>
              </w:rPr>
            </w:pPr>
            <w:r>
              <w:rPr>
                <w:rFonts w:ascii="Arial" w:cs="Arial" w:eastAsia="Arial" w:hAnsi="Arial"/>
                <w:sz w:val="16"/>
                <w:szCs w:val="16"/>
                <w:color w:val="auto"/>
              </w:rPr>
              <w:t>Pension-Adjusted OM Rate*</w:t>
            </w:r>
          </w:p>
        </w:tc>
        <w:tc>
          <w:tcPr>
            <w:tcW w:w="1920" w:type="dxa"/>
            <w:vAlign w:val="bottom"/>
          </w:tcPr>
          <w:p>
            <w:pPr>
              <w:jc w:val="center"/>
              <w:ind w:left="44"/>
              <w:spacing w:after="0"/>
              <w:rPr>
                <w:sz w:val="20"/>
                <w:szCs w:val="20"/>
                <w:color w:val="auto"/>
              </w:rPr>
            </w:pPr>
            <w:r>
              <w:rPr>
                <w:rFonts w:ascii="Arial" w:cs="Arial" w:eastAsia="Arial" w:hAnsi="Arial"/>
                <w:sz w:val="16"/>
                <w:szCs w:val="16"/>
                <w:color w:val="auto"/>
                <w:w w:val="99"/>
              </w:rPr>
              <w:t>20%</w:t>
            </w:r>
          </w:p>
        </w:tc>
        <w:tc>
          <w:tcPr>
            <w:tcW w:w="1820" w:type="dxa"/>
            <w:vAlign w:val="bottom"/>
          </w:tcPr>
          <w:p>
            <w:pPr>
              <w:jc w:val="center"/>
              <w:ind w:right="46"/>
              <w:spacing w:after="0"/>
              <w:rPr>
                <w:sz w:val="20"/>
                <w:szCs w:val="20"/>
                <w:color w:val="auto"/>
              </w:rPr>
            </w:pPr>
            <w:r>
              <w:rPr>
                <w:rFonts w:ascii="Arial" w:cs="Arial" w:eastAsia="Arial" w:hAnsi="Arial"/>
                <w:sz w:val="16"/>
                <w:szCs w:val="16"/>
                <w:color w:val="auto"/>
              </w:rPr>
              <w:t>10.6%</w:t>
            </w:r>
          </w:p>
        </w:tc>
        <w:tc>
          <w:tcPr>
            <w:tcW w:w="1360" w:type="dxa"/>
            <w:vAlign w:val="bottom"/>
          </w:tcPr>
          <w:p>
            <w:pPr>
              <w:jc w:val="center"/>
              <w:ind w:left="146"/>
              <w:spacing w:after="0"/>
              <w:rPr>
                <w:sz w:val="20"/>
                <w:szCs w:val="20"/>
                <w:color w:val="auto"/>
              </w:rPr>
            </w:pPr>
            <w:r>
              <w:rPr>
                <w:rFonts w:ascii="Arial" w:cs="Arial" w:eastAsia="Arial" w:hAnsi="Arial"/>
                <w:sz w:val="16"/>
                <w:szCs w:val="16"/>
                <w:color w:val="auto"/>
              </w:rPr>
              <w:t>10.4%</w:t>
            </w:r>
          </w:p>
        </w:tc>
        <w:tc>
          <w:tcPr>
            <w:tcW w:w="1860" w:type="dxa"/>
            <w:vAlign w:val="bottom"/>
          </w:tcPr>
          <w:p>
            <w:pPr>
              <w:jc w:val="center"/>
              <w:ind w:left="422"/>
              <w:spacing w:after="0"/>
              <w:rPr>
                <w:sz w:val="20"/>
                <w:szCs w:val="20"/>
                <w:color w:val="auto"/>
              </w:rPr>
            </w:pPr>
            <w:r>
              <w:rPr>
                <w:rFonts w:ascii="Arial" w:cs="Arial" w:eastAsia="Arial" w:hAnsi="Arial"/>
                <w:sz w:val="16"/>
                <w:szCs w:val="16"/>
                <w:color w:val="auto"/>
                <w:w w:val="99"/>
              </w:rPr>
              <w:t>17%</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4040" w:type="dxa"/>
            <w:vAlign w:val="bottom"/>
            <w:tcBorders>
              <w:bottom w:val="single" w:sz="8" w:color="BCBEC0"/>
            </w:tcBorders>
          </w:tcPr>
          <w:p>
            <w:pPr>
              <w:spacing w:after="0"/>
              <w:rPr>
                <w:sz w:val="2"/>
                <w:szCs w:val="2"/>
                <w:color w:val="auto"/>
              </w:rPr>
            </w:pPr>
          </w:p>
        </w:tc>
        <w:tc>
          <w:tcPr>
            <w:tcW w:w="1920" w:type="dxa"/>
            <w:vAlign w:val="bottom"/>
            <w:tcBorders>
              <w:bottom w:val="single" w:sz="8" w:color="BCBEC0"/>
            </w:tcBorders>
          </w:tcPr>
          <w:p>
            <w:pPr>
              <w:spacing w:after="0"/>
              <w:rPr>
                <w:sz w:val="2"/>
                <w:szCs w:val="2"/>
                <w:color w:val="auto"/>
              </w:rPr>
            </w:pPr>
          </w:p>
        </w:tc>
        <w:tc>
          <w:tcPr>
            <w:tcW w:w="1820" w:type="dxa"/>
            <w:vAlign w:val="bottom"/>
            <w:tcBorders>
              <w:bottom w:val="single" w:sz="8" w:color="BCBEC0"/>
            </w:tcBorders>
          </w:tcPr>
          <w:p>
            <w:pPr>
              <w:spacing w:after="0"/>
              <w:rPr>
                <w:sz w:val="2"/>
                <w:szCs w:val="2"/>
                <w:color w:val="auto"/>
              </w:rPr>
            </w:pPr>
          </w:p>
        </w:tc>
        <w:tc>
          <w:tcPr>
            <w:tcW w:w="1360" w:type="dxa"/>
            <w:vAlign w:val="bottom"/>
            <w:tcBorders>
              <w:bottom w:val="single" w:sz="8" w:color="BCBEC0"/>
            </w:tcBorders>
          </w:tcPr>
          <w:p>
            <w:pPr>
              <w:spacing w:after="0"/>
              <w:rPr>
                <w:sz w:val="2"/>
                <w:szCs w:val="2"/>
                <w:color w:val="auto"/>
              </w:rPr>
            </w:pPr>
          </w:p>
        </w:tc>
        <w:tc>
          <w:tcPr>
            <w:tcW w:w="1860" w:type="dxa"/>
            <w:vAlign w:val="bottom"/>
            <w:tcBorders>
              <w:bottom w:val="single" w:sz="8" w:color="BCBEC0"/>
            </w:tcBorders>
          </w:tcPr>
          <w:p>
            <w:pPr>
              <w:spacing w:after="0"/>
              <w:rPr>
                <w:sz w:val="2"/>
                <w:szCs w:val="2"/>
                <w:color w:val="auto"/>
              </w:rPr>
            </w:pPr>
          </w:p>
        </w:tc>
        <w:tc>
          <w:tcPr>
            <w:tcW w:w="200" w:type="dxa"/>
            <w:vAlign w:val="bottom"/>
            <w:tcBorders>
              <w:bottom w:val="single" w:sz="8" w:color="BCBEC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6"/>
                <w:szCs w:val="16"/>
                <w:b w:val="1"/>
                <w:bCs w:val="1"/>
                <w:color w:val="00249C"/>
              </w:rPr>
              <w:t>Financial Metric Results</w:t>
            </w:r>
          </w:p>
        </w:tc>
        <w:tc>
          <w:tcPr>
            <w:tcW w:w="1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60" w:type="dxa"/>
            <w:vAlign w:val="bottom"/>
          </w:tcPr>
          <w:p>
            <w:pPr>
              <w:jc w:val="center"/>
              <w:ind w:left="422"/>
              <w:spacing w:after="0"/>
              <w:rPr>
                <w:sz w:val="20"/>
                <w:szCs w:val="20"/>
                <w:color w:val="auto"/>
              </w:rPr>
            </w:pPr>
            <w:r>
              <w:rPr>
                <w:rFonts w:ascii="Arial" w:cs="Arial" w:eastAsia="Arial" w:hAnsi="Arial"/>
                <w:sz w:val="16"/>
                <w:szCs w:val="16"/>
                <w:b w:val="1"/>
                <w:bCs w:val="1"/>
                <w:color w:val="00249C"/>
                <w:w w:val="97"/>
              </w:rPr>
              <w:t>142%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tcBorders>
              <w:bottom w:val="single" w:sz="8" w:color="BCBEC0"/>
            </w:tcBorders>
            <w:gridSpan w:val="4"/>
          </w:tcPr>
          <w:p>
            <w:pPr>
              <w:spacing w:after="0" w:line="20" w:lineRule="exact"/>
              <w:rPr>
                <w:sz w:val="1"/>
                <w:szCs w:val="1"/>
                <w:color w:val="auto"/>
              </w:rPr>
            </w:pPr>
          </w:p>
        </w:tc>
        <w:tc>
          <w:tcPr>
            <w:tcW w:w="1860" w:type="dxa"/>
            <w:vAlign w:val="bottom"/>
            <w:tcBorders>
              <w:bottom w:val="single" w:sz="8" w:color="BCBEC0"/>
            </w:tcBorders>
          </w:tcPr>
          <w:p>
            <w:pPr>
              <w:spacing w:after="0" w:line="20" w:lineRule="exact"/>
              <w:rPr>
                <w:sz w:val="1"/>
                <w:szCs w:val="1"/>
                <w:color w:val="auto"/>
              </w:rPr>
            </w:pPr>
          </w:p>
        </w:tc>
        <w:tc>
          <w:tcPr>
            <w:tcW w:w="200" w:type="dxa"/>
            <w:vAlign w:val="bottom"/>
            <w:tcBorders>
              <w:bottom w:val="single" w:sz="8" w:color="BCBEC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9140" w:type="dxa"/>
            <w:vAlign w:val="bottom"/>
            <w:gridSpan w:val="4"/>
          </w:tcPr>
          <w:p>
            <w:pPr>
              <w:spacing w:after="0"/>
              <w:rPr>
                <w:sz w:val="20"/>
                <w:szCs w:val="20"/>
                <w:color w:val="auto"/>
              </w:rPr>
            </w:pPr>
            <w:r>
              <w:rPr>
                <w:rFonts w:ascii="Arial" w:cs="Arial" w:eastAsia="Arial" w:hAnsi="Arial"/>
                <w:sz w:val="14"/>
                <w:szCs w:val="14"/>
                <w:color w:val="auto"/>
              </w:rPr>
              <w:t>* This metric is a non-GAAP financial measure. For more information, see “Appendix A - Use of Non-GAAP Financial Measures.”</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0"/>
        </w:trPr>
        <w:tc>
          <w:tcPr>
            <w:tcW w:w="40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4"/>
                <w:szCs w:val="14"/>
                <w:color w:val="auto"/>
              </w:rPr>
              <w:t>2024 Proxy Statement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319"/>
        </w:trPr>
        <w:tc>
          <w:tcPr>
            <w:tcW w:w="40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NON-FINANCIAL METRICS</w:t>
      </w:r>
    </w:p>
    <w:p>
      <w:pPr>
        <w:spacing w:after="0" w:line="118"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The Company demonstrated strong performance in 2023 overall against the non-financial goals and the Compensation and Human Capital Committee approved a non-financial score of 148%, for a weighted payout of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125095</wp:posOffset>
            </wp:positionV>
            <wp:extent cx="291465" cy="291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91465" cy="29146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Exceeded our employee diversity goals in 2023, and continue to make significant progress towards our long-term goals.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9378D"/>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212090</wp:posOffset>
            </wp:positionV>
            <wp:extent cx="308610" cy="3086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9378D"/>
        </w:rPr>
        <w:t>EMPLOYEE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9378D"/>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168910</wp:posOffset>
            </wp:positionV>
            <wp:extent cx="291465" cy="291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9146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line="294" w:lineRule="auto"/>
        <w:rPr>
          <w:sz w:val="20"/>
          <w:szCs w:val="20"/>
          <w:color w:val="auto"/>
        </w:rPr>
      </w:pPr>
      <w:r>
        <w:rPr>
          <w:rFonts w:ascii="Arial" w:cs="Arial" w:eastAsia="Arial" w:hAnsi="Arial"/>
          <w:sz w:val="14"/>
          <w:szCs w:val="14"/>
          <w:b w:val="1"/>
          <w:bCs w:val="1"/>
          <w:color w:val="29378D"/>
        </w:rPr>
        <w:t>ENVIRONMENTAL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192405</wp:posOffset>
            </wp:positionV>
            <wp:extent cx="291465" cy="291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9146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9378D"/>
        </w:rPr>
        <w:t>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229235</wp:posOffset>
            </wp:positionV>
            <wp:extent cx="265430" cy="2571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6543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right="200"/>
        <w:spacing w:after="0" w:line="294" w:lineRule="auto"/>
        <w:rPr>
          <w:sz w:val="20"/>
          <w:szCs w:val="20"/>
          <w:color w:val="auto"/>
        </w:rPr>
      </w:pPr>
      <w:r>
        <w:rPr>
          <w:rFonts w:ascii="Arial" w:cs="Arial" w:eastAsia="Arial" w:hAnsi="Arial"/>
          <w:sz w:val="14"/>
          <w:szCs w:val="14"/>
          <w:b w:val="1"/>
          <w:bCs w:val="1"/>
          <w:color w:val="29378D"/>
        </w:rPr>
        <w:t>CUSTOMER SATISFACTION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Exceeded the 2023 target goals against the Qualtrics Global Norm. We achieved highly favorable and above benchmark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389255</wp:posOffset>
            </wp:positionV>
            <wp:extent cx="71323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color w:val="auto"/>
        </w:rPr>
        <w:t>Exceeded the annual target toward reducing greenhouse gas emissions, driving further progress towards our multi-year environmental sustainability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236220</wp:posOffset>
            </wp:positionV>
            <wp:extent cx="71323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Exceeded the quality target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346710</wp:posOffset>
            </wp:positionV>
            <wp:extent cx="71323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Achieved the customer satisfaction target for the year.</w:t>
      </w:r>
    </w:p>
    <w:p>
      <w:pPr>
        <w:spacing w:after="0" w:line="579" w:lineRule="exact"/>
        <w:rPr>
          <w:sz w:val="20"/>
          <w:szCs w:val="20"/>
          <w:color w:val="auto"/>
        </w:rPr>
      </w:pPr>
    </w:p>
    <w:p>
      <w:pPr>
        <w:sectPr>
          <w:pgSz w:w="11900" w:h="16838" w:orient="portrait"/>
          <w:cols w:equalWidth="0" w:num="2">
            <w:col w:w="1280" w:space="700"/>
            <w:col w:w="9260"/>
          </w:cols>
          <w:pgMar w:left="320" w:top="238"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6240" w:type="dxa"/>
            <w:vAlign w:val="bottom"/>
            <w:tcBorders>
              <w:top w:val="single" w:sz="8" w:color="BCBEC0"/>
            </w:tcBorders>
          </w:tcPr>
          <w:p>
            <w:pPr>
              <w:ind w:left="20"/>
              <w:spacing w:after="0"/>
              <w:rPr>
                <w:sz w:val="20"/>
                <w:szCs w:val="20"/>
                <w:color w:val="auto"/>
              </w:rPr>
            </w:pPr>
            <w:r>
              <w:rPr>
                <w:rFonts w:ascii="Arial" w:cs="Arial" w:eastAsia="Arial" w:hAnsi="Arial"/>
                <w:sz w:val="16"/>
                <w:szCs w:val="16"/>
                <w:b w:val="1"/>
                <w:bCs w:val="1"/>
                <w:color w:val="00249C"/>
              </w:rPr>
              <w:t>Non-Financial Metric</w:t>
            </w:r>
          </w:p>
        </w:tc>
        <w:tc>
          <w:tcPr>
            <w:tcW w:w="5000" w:type="dxa"/>
            <w:vAlign w:val="bottom"/>
            <w:tcBorders>
              <w:top w:val="single" w:sz="8" w:color="BCBEC0"/>
            </w:tcBorders>
            <w:vMerge w:val="restart"/>
          </w:tcPr>
          <w:p>
            <w:pPr>
              <w:jc w:val="right"/>
              <w:spacing w:after="0"/>
              <w:rPr>
                <w:sz w:val="20"/>
                <w:szCs w:val="20"/>
                <w:color w:val="auto"/>
              </w:rPr>
            </w:pPr>
            <w:r>
              <w:rPr>
                <w:rFonts w:ascii="Arial" w:cs="Arial" w:eastAsia="Arial" w:hAnsi="Arial"/>
                <w:sz w:val="16"/>
                <w:szCs w:val="16"/>
                <w:b w:val="1"/>
                <w:bCs w:val="1"/>
                <w:color w:val="00249C"/>
              </w:rPr>
              <w:t>15 %</w:t>
            </w:r>
          </w:p>
        </w:tc>
        <w:tc>
          <w:tcPr>
            <w:tcW w:w="0" w:type="dxa"/>
            <w:vAlign w:val="bottom"/>
          </w:tcPr>
          <w:p>
            <w:pPr>
              <w:spacing w:after="0"/>
              <w:rPr>
                <w:sz w:val="1"/>
                <w:szCs w:val="1"/>
                <w:color w:val="auto"/>
              </w:rPr>
            </w:pPr>
          </w:p>
        </w:tc>
      </w:tr>
      <w:tr>
        <w:trPr>
          <w:trHeight w:val="142"/>
        </w:trPr>
        <w:tc>
          <w:tcPr>
            <w:tcW w:w="6240" w:type="dxa"/>
            <w:vAlign w:val="bottom"/>
            <w:vMerge w:val="restart"/>
          </w:tcPr>
          <w:p>
            <w:pPr>
              <w:ind w:left="20"/>
              <w:spacing w:after="0"/>
              <w:rPr>
                <w:sz w:val="20"/>
                <w:szCs w:val="20"/>
                <w:color w:val="auto"/>
              </w:rPr>
            </w:pPr>
            <w:r>
              <w:rPr>
                <w:rFonts w:ascii="Arial" w:cs="Arial" w:eastAsia="Arial" w:hAnsi="Arial"/>
                <w:sz w:val="16"/>
                <w:szCs w:val="16"/>
                <w:b w:val="1"/>
                <w:bCs w:val="1"/>
                <w:color w:val="00249C"/>
              </w:rPr>
              <w:t>Results</w:t>
            </w:r>
          </w:p>
        </w:tc>
        <w:tc>
          <w:tcPr>
            <w:tcW w:w="5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6240" w:type="dxa"/>
            <w:vAlign w:val="bottom"/>
            <w:vMerge w:val="continue"/>
          </w:tcPr>
          <w:p>
            <w:pPr>
              <w:spacing w:after="0"/>
              <w:rPr>
                <w:sz w:val="7"/>
                <w:szCs w:val="7"/>
                <w:color w:val="auto"/>
              </w:rPr>
            </w:pPr>
          </w:p>
        </w:tc>
        <w:tc>
          <w:tcPr>
            <w:tcW w:w="5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6240" w:type="dxa"/>
            <w:vAlign w:val="bottom"/>
            <w:tcBorders>
              <w:bottom w:val="single" w:sz="8" w:color="BCBEC0"/>
            </w:tcBorders>
          </w:tcPr>
          <w:p>
            <w:pPr>
              <w:spacing w:after="0"/>
              <w:rPr>
                <w:sz w:val="3"/>
                <w:szCs w:val="3"/>
                <w:color w:val="auto"/>
              </w:rPr>
            </w:pPr>
          </w:p>
        </w:tc>
        <w:tc>
          <w:tcPr>
            <w:tcW w:w="500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hanging="494"/>
        <w:spacing w:after="0"/>
        <w:tabs>
          <w:tab w:leader="none" w:pos="520" w:val="left"/>
        </w:tabs>
        <w:numPr>
          <w:ilvl w:val="0"/>
          <w:numId w:val="122"/>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65" w:name="page66"/>
    <w:bookmarkEnd w:id="65"/>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6D6E71"/>
        </w:rPr>
        <w:t>Compensation and Human Capital Committee Discretion</w:t>
      </w:r>
    </w:p>
    <w:p>
      <w:pPr>
        <w:spacing w:after="0" w:line="118"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The Compensation and Human Capital Committee approves bonus amounts for all NEOs except the CEO, whose annual bonus is recommended by the Compensation and Human Capital Committee to the independent members of the Board for approval. The Compensation and Human Capital Committee has discretion to make adjustments to the annual bonus payouts for NEOs, other than the CEO, if it determines such adjustment is warranted due to unforeseen or unusual events. In 2023, the Compensation and Human Capital Committee made no additional adjustments to the recommended CPF or individual AIP participants’ awards.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2023 NEO AIP PAYOUTS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In consideration of both the financial and non-financial performance, the 2023 Company Performance Factor (CPF) was determined to be 157%.</w:t>
      </w:r>
    </w:p>
    <w:p>
      <w:pPr>
        <w:spacing w:after="0" w:line="113"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In February 2024, the Compensation and Human Capital Committee recommended, and the independent members of the Board approved, a 2023 annual incentive award of $5,082,875 for our CEO, Ms. Warden. Based on the CPF, Ms. Warden recommended, and the Compensation and Human Capital Committee approved, the other NEOs’ annual incentive awards.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80" w:type="dxa"/>
            <w:vAlign w:val="bottom"/>
            <w:tcBorders>
              <w:bottom w:val="single" w:sz="8" w:color="29378D"/>
            </w:tcBorders>
          </w:tcPr>
          <w:p>
            <w:pPr>
              <w:ind w:left="20"/>
              <w:spacing w:after="0"/>
              <w:rPr>
                <w:sz w:val="20"/>
                <w:szCs w:val="20"/>
                <w:color w:val="auto"/>
              </w:rPr>
            </w:pPr>
            <w:r>
              <w:rPr>
                <w:rFonts w:ascii="Arial" w:cs="Arial" w:eastAsia="Arial" w:hAnsi="Arial"/>
                <w:sz w:val="13"/>
                <w:szCs w:val="13"/>
                <w:b w:val="1"/>
                <w:bCs w:val="1"/>
                <w:color w:val="auto"/>
              </w:rPr>
              <w:t>Name</w:t>
            </w:r>
          </w:p>
        </w:tc>
        <w:tc>
          <w:tcPr>
            <w:tcW w:w="3420" w:type="dxa"/>
            <w:vAlign w:val="bottom"/>
            <w:tcBorders>
              <w:bottom w:val="single" w:sz="8" w:color="29378D"/>
            </w:tcBorders>
          </w:tcPr>
          <w:p>
            <w:pPr>
              <w:jc w:val="right"/>
              <w:ind w:right="262"/>
              <w:spacing w:after="0"/>
              <w:rPr>
                <w:sz w:val="20"/>
                <w:szCs w:val="20"/>
                <w:color w:val="auto"/>
              </w:rPr>
            </w:pPr>
            <w:r>
              <w:rPr>
                <w:rFonts w:ascii="Arial" w:cs="Arial" w:eastAsia="Arial" w:hAnsi="Arial"/>
                <w:sz w:val="13"/>
                <w:szCs w:val="13"/>
                <w:b w:val="1"/>
                <w:bCs w:val="1"/>
                <w:color w:val="auto"/>
              </w:rPr>
              <w:t>AIP Target % of Salary</w:t>
            </w:r>
          </w:p>
        </w:tc>
        <w:tc>
          <w:tcPr>
            <w:tcW w:w="1580" w:type="dxa"/>
            <w:vAlign w:val="bottom"/>
            <w:tcBorders>
              <w:bottom w:val="single" w:sz="8" w:color="29378D"/>
            </w:tcBorders>
          </w:tcPr>
          <w:p>
            <w:pPr>
              <w:jc w:val="right"/>
              <w:spacing w:after="0"/>
              <w:rPr>
                <w:sz w:val="20"/>
                <w:szCs w:val="20"/>
                <w:color w:val="auto"/>
              </w:rPr>
            </w:pPr>
            <w:r>
              <w:rPr>
                <w:rFonts w:ascii="Arial" w:cs="Arial" w:eastAsia="Arial" w:hAnsi="Arial"/>
                <w:sz w:val="13"/>
                <w:szCs w:val="13"/>
                <w:b w:val="1"/>
                <w:bCs w:val="1"/>
                <w:color w:val="auto"/>
              </w:rPr>
              <w:t>AIP Payout Range %</w:t>
            </w:r>
          </w:p>
        </w:tc>
        <w:tc>
          <w:tcPr>
            <w:tcW w:w="1900" w:type="dxa"/>
            <w:vAlign w:val="bottom"/>
            <w:tcBorders>
              <w:bottom w:val="single" w:sz="8" w:color="29378D"/>
            </w:tcBorders>
          </w:tcPr>
          <w:p>
            <w:pPr>
              <w:jc w:val="right"/>
              <w:ind w:right="262"/>
              <w:spacing w:after="0"/>
              <w:rPr>
                <w:sz w:val="20"/>
                <w:szCs w:val="20"/>
                <w:color w:val="auto"/>
              </w:rPr>
            </w:pPr>
            <w:r>
              <w:rPr>
                <w:rFonts w:ascii="Arial" w:cs="Arial" w:eastAsia="Arial" w:hAnsi="Arial"/>
                <w:sz w:val="13"/>
                <w:szCs w:val="13"/>
                <w:b w:val="1"/>
                <w:bCs w:val="1"/>
                <w:color w:val="auto"/>
              </w:rPr>
              <w:t>Performance Payout</w:t>
            </w:r>
          </w:p>
        </w:tc>
        <w:tc>
          <w:tcPr>
            <w:tcW w:w="1160" w:type="dxa"/>
            <w:vAlign w:val="bottom"/>
            <w:tcBorders>
              <w:bottom w:val="single" w:sz="8" w:color="29378D"/>
            </w:tcBorders>
          </w:tcPr>
          <w:p>
            <w:pPr>
              <w:jc w:val="right"/>
              <w:spacing w:after="0"/>
              <w:rPr>
                <w:sz w:val="20"/>
                <w:szCs w:val="20"/>
                <w:color w:val="auto"/>
              </w:rPr>
            </w:pPr>
            <w:r>
              <w:rPr>
                <w:rFonts w:ascii="Arial" w:cs="Arial" w:eastAsia="Arial" w:hAnsi="Arial"/>
                <w:sz w:val="13"/>
                <w:szCs w:val="13"/>
                <w:b w:val="1"/>
                <w:bCs w:val="1"/>
                <w:color w:val="auto"/>
              </w:rPr>
              <w:t>Actual Payout</w:t>
            </w:r>
            <w:r>
              <w:rPr>
                <w:rFonts w:ascii="Arial" w:cs="Arial" w:eastAsia="Arial" w:hAnsi="Arial"/>
                <w:sz w:val="16"/>
                <w:szCs w:val="16"/>
                <w:b w:val="1"/>
                <w:bCs w:val="1"/>
                <w:color w:val="auto"/>
                <w:vertAlign w:val="superscript"/>
              </w:rPr>
              <w:t>(1)</w:t>
            </w:r>
          </w:p>
        </w:tc>
      </w:tr>
      <w:tr>
        <w:trPr>
          <w:trHeight w:val="230"/>
        </w:trPr>
        <w:tc>
          <w:tcPr>
            <w:tcW w:w="3180" w:type="dxa"/>
            <w:vAlign w:val="bottom"/>
            <w:tcBorders>
              <w:bottom w:val="single" w:sz="8" w:color="BCBEC0"/>
            </w:tcBorders>
            <w:shd w:val="clear" w:color="auto" w:fill="E1E0EF"/>
          </w:tcPr>
          <w:p>
            <w:pPr>
              <w:ind w:left="20"/>
              <w:spacing w:after="0"/>
              <w:rPr>
                <w:sz w:val="20"/>
                <w:szCs w:val="20"/>
                <w:color w:val="auto"/>
              </w:rPr>
            </w:pPr>
            <w:r>
              <w:rPr>
                <w:rFonts w:ascii="Arial" w:cs="Arial" w:eastAsia="Arial" w:hAnsi="Arial"/>
                <w:sz w:val="16"/>
                <w:szCs w:val="16"/>
                <w:b w:val="1"/>
                <w:bCs w:val="1"/>
                <w:color w:val="29378D"/>
              </w:rPr>
              <w:t>Kathy J. Warden</w:t>
            </w:r>
          </w:p>
        </w:tc>
        <w:tc>
          <w:tcPr>
            <w:tcW w:w="3420" w:type="dxa"/>
            <w:vAlign w:val="bottom"/>
            <w:tcBorders>
              <w:bottom w:val="single" w:sz="8" w:color="BCBEC0"/>
            </w:tcBorders>
            <w:shd w:val="clear" w:color="auto" w:fill="E1E0EF"/>
          </w:tcPr>
          <w:p>
            <w:pPr>
              <w:jc w:val="right"/>
              <w:ind w:right="262"/>
              <w:spacing w:after="0"/>
              <w:rPr>
                <w:sz w:val="20"/>
                <w:szCs w:val="20"/>
                <w:color w:val="auto"/>
              </w:rPr>
            </w:pPr>
            <w:r>
              <w:rPr>
                <w:rFonts w:ascii="Arial" w:cs="Arial" w:eastAsia="Arial" w:hAnsi="Arial"/>
                <w:sz w:val="16"/>
                <w:szCs w:val="16"/>
                <w:color w:val="auto"/>
              </w:rPr>
              <w:t>185 %</w:t>
            </w:r>
          </w:p>
        </w:tc>
        <w:tc>
          <w:tcPr>
            <w:tcW w:w="1580" w:type="dxa"/>
            <w:vAlign w:val="bottom"/>
            <w:tcBorders>
              <w:bottom w:val="single" w:sz="8" w:color="BCBEC0"/>
            </w:tcBorders>
            <w:shd w:val="clear" w:color="auto" w:fill="E1E0EF"/>
          </w:tcPr>
          <w:p>
            <w:pPr>
              <w:jc w:val="right"/>
              <w:spacing w:after="0"/>
              <w:rPr>
                <w:sz w:val="20"/>
                <w:szCs w:val="20"/>
                <w:color w:val="auto"/>
              </w:rPr>
            </w:pPr>
            <w:r>
              <w:rPr>
                <w:rFonts w:ascii="Arial" w:cs="Arial" w:eastAsia="Arial" w:hAnsi="Arial"/>
                <w:sz w:val="16"/>
                <w:szCs w:val="16"/>
                <w:color w:val="auto"/>
              </w:rPr>
              <w:t>0% - 200%</w:t>
            </w:r>
          </w:p>
        </w:tc>
        <w:tc>
          <w:tcPr>
            <w:tcW w:w="1900" w:type="dxa"/>
            <w:vAlign w:val="bottom"/>
            <w:tcBorders>
              <w:bottom w:val="single" w:sz="8" w:color="BCBEC0"/>
            </w:tcBorders>
            <w:shd w:val="clear" w:color="auto" w:fill="DFDEEE"/>
          </w:tcPr>
          <w:p>
            <w:pPr>
              <w:jc w:val="right"/>
              <w:ind w:right="142"/>
              <w:spacing w:after="0"/>
              <w:rPr>
                <w:sz w:val="20"/>
                <w:szCs w:val="20"/>
                <w:color w:val="auto"/>
              </w:rPr>
            </w:pPr>
            <w:r>
              <w:rPr>
                <w:rFonts w:ascii="Arial" w:cs="Arial" w:eastAsia="Arial" w:hAnsi="Arial"/>
                <w:sz w:val="16"/>
                <w:szCs w:val="16"/>
                <w:color w:val="auto"/>
              </w:rPr>
              <w:t>157 % $</w:t>
            </w:r>
          </w:p>
        </w:tc>
        <w:tc>
          <w:tcPr>
            <w:tcW w:w="1160" w:type="dxa"/>
            <w:vAlign w:val="bottom"/>
            <w:tcBorders>
              <w:bottom w:val="single" w:sz="8" w:color="BCBEC0"/>
            </w:tcBorders>
            <w:shd w:val="clear" w:color="auto" w:fill="DFDEEE"/>
          </w:tcPr>
          <w:p>
            <w:pPr>
              <w:jc w:val="right"/>
              <w:ind w:right="2"/>
              <w:spacing w:after="0"/>
              <w:rPr>
                <w:sz w:val="20"/>
                <w:szCs w:val="20"/>
                <w:color w:val="auto"/>
              </w:rPr>
            </w:pPr>
            <w:r>
              <w:rPr>
                <w:rFonts w:ascii="Arial" w:cs="Arial" w:eastAsia="Arial" w:hAnsi="Arial"/>
                <w:sz w:val="16"/>
                <w:szCs w:val="16"/>
                <w:color w:val="auto"/>
              </w:rPr>
              <w:t>5,082,875</w:t>
            </w:r>
          </w:p>
        </w:tc>
      </w:tr>
      <w:tr>
        <w:trPr>
          <w:trHeight w:val="223"/>
        </w:trPr>
        <w:tc>
          <w:tcPr>
            <w:tcW w:w="3180" w:type="dxa"/>
            <w:vAlign w:val="bottom"/>
          </w:tcPr>
          <w:p>
            <w:pPr>
              <w:ind w:left="20"/>
              <w:spacing w:after="0"/>
              <w:rPr>
                <w:sz w:val="20"/>
                <w:szCs w:val="20"/>
                <w:color w:val="auto"/>
              </w:rPr>
            </w:pPr>
            <w:r>
              <w:rPr>
                <w:rFonts w:ascii="Arial" w:cs="Arial" w:eastAsia="Arial" w:hAnsi="Arial"/>
                <w:sz w:val="16"/>
                <w:szCs w:val="16"/>
                <w:b w:val="1"/>
                <w:bCs w:val="1"/>
                <w:color w:val="29378D"/>
              </w:rPr>
              <w:t>David F. Keffer</w:t>
            </w:r>
          </w:p>
        </w:tc>
        <w:tc>
          <w:tcPr>
            <w:tcW w:w="3420" w:type="dxa"/>
            <w:vAlign w:val="bottom"/>
          </w:tcPr>
          <w:p>
            <w:pPr>
              <w:jc w:val="right"/>
              <w:ind w:right="262"/>
              <w:spacing w:after="0"/>
              <w:rPr>
                <w:sz w:val="20"/>
                <w:szCs w:val="20"/>
                <w:color w:val="auto"/>
              </w:rPr>
            </w:pPr>
            <w:r>
              <w:rPr>
                <w:rFonts w:ascii="Arial" w:cs="Arial" w:eastAsia="Arial" w:hAnsi="Arial"/>
                <w:sz w:val="16"/>
                <w:szCs w:val="16"/>
                <w:color w:val="auto"/>
              </w:rPr>
              <w:t>105 %</w:t>
            </w:r>
          </w:p>
        </w:tc>
        <w:tc>
          <w:tcPr>
            <w:tcW w:w="1580" w:type="dxa"/>
            <w:vAlign w:val="bottom"/>
          </w:tcPr>
          <w:p>
            <w:pPr>
              <w:jc w:val="right"/>
              <w:spacing w:after="0"/>
              <w:rPr>
                <w:sz w:val="20"/>
                <w:szCs w:val="20"/>
                <w:color w:val="auto"/>
              </w:rPr>
            </w:pPr>
            <w:r>
              <w:rPr>
                <w:rFonts w:ascii="Arial" w:cs="Arial" w:eastAsia="Arial" w:hAnsi="Arial"/>
                <w:sz w:val="16"/>
                <w:szCs w:val="16"/>
                <w:color w:val="auto"/>
              </w:rPr>
              <w:t>0% - 200%</w:t>
            </w:r>
          </w:p>
        </w:tc>
        <w:tc>
          <w:tcPr>
            <w:tcW w:w="1900" w:type="dxa"/>
            <w:vAlign w:val="bottom"/>
          </w:tcPr>
          <w:p>
            <w:pPr>
              <w:jc w:val="right"/>
              <w:ind w:right="142"/>
              <w:spacing w:after="0"/>
              <w:rPr>
                <w:sz w:val="20"/>
                <w:szCs w:val="20"/>
                <w:color w:val="auto"/>
              </w:rPr>
            </w:pPr>
            <w:r>
              <w:rPr>
                <w:rFonts w:ascii="Arial" w:cs="Arial" w:eastAsia="Arial" w:hAnsi="Arial"/>
                <w:sz w:val="16"/>
                <w:szCs w:val="16"/>
                <w:color w:val="auto"/>
              </w:rPr>
              <w:t>157 % $</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1,409,468</w:t>
            </w:r>
          </w:p>
        </w:tc>
      </w:tr>
      <w:tr>
        <w:trPr>
          <w:trHeight w:val="20"/>
        </w:trPr>
        <w:tc>
          <w:tcPr>
            <w:tcW w:w="3180" w:type="dxa"/>
            <w:vAlign w:val="bottom"/>
            <w:tcBorders>
              <w:bottom w:val="single" w:sz="8" w:color="BCBEC0"/>
            </w:tcBorders>
          </w:tcPr>
          <w:p>
            <w:pPr>
              <w:spacing w:after="0" w:line="20" w:lineRule="exact"/>
              <w:rPr>
                <w:sz w:val="1"/>
                <w:szCs w:val="1"/>
                <w:color w:val="auto"/>
              </w:rPr>
            </w:pPr>
          </w:p>
        </w:tc>
        <w:tc>
          <w:tcPr>
            <w:tcW w:w="3420" w:type="dxa"/>
            <w:vAlign w:val="bottom"/>
            <w:tcBorders>
              <w:bottom w:val="single" w:sz="8" w:color="BCBEC0"/>
            </w:tcBorders>
          </w:tcPr>
          <w:p>
            <w:pPr>
              <w:spacing w:after="0" w:line="20" w:lineRule="exact"/>
              <w:rPr>
                <w:sz w:val="1"/>
                <w:szCs w:val="1"/>
                <w:color w:val="auto"/>
              </w:rPr>
            </w:pPr>
          </w:p>
        </w:tc>
        <w:tc>
          <w:tcPr>
            <w:tcW w:w="1580" w:type="dxa"/>
            <w:vAlign w:val="bottom"/>
            <w:tcBorders>
              <w:bottom w:val="single" w:sz="8" w:color="BCBEC0"/>
            </w:tcBorders>
          </w:tcPr>
          <w:p>
            <w:pPr>
              <w:spacing w:after="0" w:line="20" w:lineRule="exact"/>
              <w:rPr>
                <w:sz w:val="1"/>
                <w:szCs w:val="1"/>
                <w:color w:val="auto"/>
              </w:rPr>
            </w:pPr>
          </w:p>
        </w:tc>
        <w:tc>
          <w:tcPr>
            <w:tcW w:w="1900" w:type="dxa"/>
            <w:vAlign w:val="bottom"/>
            <w:tcBorders>
              <w:bottom w:val="single" w:sz="8" w:color="BCBEC0"/>
            </w:tcBorders>
          </w:tcPr>
          <w:p>
            <w:pPr>
              <w:spacing w:after="0" w:line="20" w:lineRule="exact"/>
              <w:rPr>
                <w:sz w:val="1"/>
                <w:szCs w:val="1"/>
                <w:color w:val="auto"/>
              </w:rPr>
            </w:pPr>
          </w:p>
        </w:tc>
        <w:tc>
          <w:tcPr>
            <w:tcW w:w="1160" w:type="dxa"/>
            <w:vAlign w:val="bottom"/>
            <w:tcBorders>
              <w:bottom w:val="single" w:sz="8" w:color="BCBEC0"/>
            </w:tcBorders>
          </w:tcPr>
          <w:p>
            <w:pPr>
              <w:spacing w:after="0" w:line="20" w:lineRule="exact"/>
              <w:rPr>
                <w:sz w:val="1"/>
                <w:szCs w:val="1"/>
                <w:color w:val="auto"/>
              </w:rPr>
            </w:pPr>
          </w:p>
        </w:tc>
      </w:tr>
      <w:tr>
        <w:trPr>
          <w:trHeight w:val="242"/>
        </w:trPr>
        <w:tc>
          <w:tcPr>
            <w:tcW w:w="3180" w:type="dxa"/>
            <w:vAlign w:val="bottom"/>
            <w:tcBorders>
              <w:bottom w:val="single" w:sz="8" w:color="E1E0EF"/>
            </w:tcBorders>
            <w:shd w:val="clear" w:color="auto" w:fill="E1E0EF"/>
          </w:tcPr>
          <w:p>
            <w:pPr>
              <w:ind w:left="20"/>
              <w:spacing w:after="0"/>
              <w:rPr>
                <w:sz w:val="20"/>
                <w:szCs w:val="20"/>
                <w:color w:val="auto"/>
              </w:rPr>
            </w:pPr>
            <w:r>
              <w:rPr>
                <w:rFonts w:ascii="Arial" w:cs="Arial" w:eastAsia="Arial" w:hAnsi="Arial"/>
                <w:sz w:val="16"/>
                <w:szCs w:val="16"/>
                <w:b w:val="1"/>
                <w:bCs w:val="1"/>
                <w:color w:val="29378D"/>
              </w:rPr>
              <w:t>Mark A. Caylor</w:t>
            </w:r>
          </w:p>
        </w:tc>
        <w:tc>
          <w:tcPr>
            <w:tcW w:w="3420" w:type="dxa"/>
            <w:vAlign w:val="bottom"/>
            <w:tcBorders>
              <w:bottom w:val="single" w:sz="8" w:color="E1E0EF"/>
            </w:tcBorders>
            <w:shd w:val="clear" w:color="auto" w:fill="E1E0EF"/>
          </w:tcPr>
          <w:p>
            <w:pPr>
              <w:jc w:val="right"/>
              <w:ind w:right="262"/>
              <w:spacing w:after="0"/>
              <w:rPr>
                <w:sz w:val="20"/>
                <w:szCs w:val="20"/>
                <w:color w:val="auto"/>
              </w:rPr>
            </w:pPr>
            <w:r>
              <w:rPr>
                <w:rFonts w:ascii="Arial" w:cs="Arial" w:eastAsia="Arial" w:hAnsi="Arial"/>
                <w:sz w:val="16"/>
                <w:szCs w:val="16"/>
                <w:color w:val="auto"/>
              </w:rPr>
              <w:t>100 %</w:t>
            </w:r>
          </w:p>
        </w:tc>
        <w:tc>
          <w:tcPr>
            <w:tcW w:w="1580" w:type="dxa"/>
            <w:vAlign w:val="bottom"/>
            <w:tcBorders>
              <w:bottom w:val="single" w:sz="8" w:color="E1E0EF"/>
            </w:tcBorders>
            <w:shd w:val="clear" w:color="auto" w:fill="E1E0EF"/>
          </w:tcPr>
          <w:p>
            <w:pPr>
              <w:jc w:val="right"/>
              <w:spacing w:after="0"/>
              <w:rPr>
                <w:sz w:val="20"/>
                <w:szCs w:val="20"/>
                <w:color w:val="auto"/>
              </w:rPr>
            </w:pPr>
            <w:r>
              <w:rPr>
                <w:rFonts w:ascii="Arial" w:cs="Arial" w:eastAsia="Arial" w:hAnsi="Arial"/>
                <w:sz w:val="16"/>
                <w:szCs w:val="16"/>
                <w:color w:val="auto"/>
              </w:rPr>
              <w:t>0% - 200%</w:t>
            </w:r>
          </w:p>
        </w:tc>
        <w:tc>
          <w:tcPr>
            <w:tcW w:w="1900" w:type="dxa"/>
            <w:vAlign w:val="bottom"/>
            <w:tcBorders>
              <w:bottom w:val="single" w:sz="8" w:color="DFDEEE"/>
            </w:tcBorders>
            <w:shd w:val="clear" w:color="auto" w:fill="DFDEEE"/>
          </w:tcPr>
          <w:p>
            <w:pPr>
              <w:jc w:val="right"/>
              <w:ind w:right="142"/>
              <w:spacing w:after="0"/>
              <w:rPr>
                <w:sz w:val="20"/>
                <w:szCs w:val="20"/>
                <w:color w:val="auto"/>
              </w:rPr>
            </w:pPr>
            <w:r>
              <w:rPr>
                <w:rFonts w:ascii="Arial" w:cs="Arial" w:eastAsia="Arial" w:hAnsi="Arial"/>
                <w:sz w:val="16"/>
                <w:szCs w:val="16"/>
                <w:color w:val="auto"/>
              </w:rPr>
              <w:t>157 % $</w:t>
            </w:r>
          </w:p>
        </w:tc>
        <w:tc>
          <w:tcPr>
            <w:tcW w:w="1160" w:type="dxa"/>
            <w:vAlign w:val="bottom"/>
            <w:tcBorders>
              <w:bottom w:val="single" w:sz="8" w:color="DFDEEE"/>
            </w:tcBorders>
            <w:shd w:val="clear" w:color="auto" w:fill="DFDEEE"/>
          </w:tcPr>
          <w:p>
            <w:pPr>
              <w:jc w:val="right"/>
              <w:ind w:right="2"/>
              <w:spacing w:after="0"/>
              <w:rPr>
                <w:sz w:val="20"/>
                <w:szCs w:val="20"/>
                <w:color w:val="auto"/>
              </w:rPr>
            </w:pPr>
            <w:r>
              <w:rPr>
                <w:rFonts w:ascii="Arial" w:cs="Arial" w:eastAsia="Arial" w:hAnsi="Arial"/>
                <w:sz w:val="16"/>
                <w:szCs w:val="16"/>
                <w:color w:val="auto"/>
              </w:rPr>
              <w:t>1,342,358</w:t>
            </w:r>
          </w:p>
        </w:tc>
      </w:tr>
      <w:tr>
        <w:trPr>
          <w:trHeight w:val="216"/>
        </w:trPr>
        <w:tc>
          <w:tcPr>
            <w:tcW w:w="3180" w:type="dxa"/>
            <w:vAlign w:val="bottom"/>
            <w:tcBorders>
              <w:top w:val="single" w:sz="8" w:color="BCBEC0"/>
            </w:tcBorders>
          </w:tcPr>
          <w:p>
            <w:pPr>
              <w:ind w:left="20"/>
              <w:spacing w:after="0"/>
              <w:rPr>
                <w:sz w:val="20"/>
                <w:szCs w:val="20"/>
                <w:color w:val="auto"/>
              </w:rPr>
            </w:pPr>
            <w:r>
              <w:rPr>
                <w:rFonts w:ascii="Arial" w:cs="Arial" w:eastAsia="Arial" w:hAnsi="Arial"/>
                <w:sz w:val="16"/>
                <w:szCs w:val="16"/>
                <w:b w:val="1"/>
                <w:bCs w:val="1"/>
                <w:color w:val="29378D"/>
              </w:rPr>
              <w:t>Thomas H. Jones</w:t>
            </w:r>
          </w:p>
        </w:tc>
        <w:tc>
          <w:tcPr>
            <w:tcW w:w="3420" w:type="dxa"/>
            <w:vAlign w:val="bottom"/>
            <w:tcBorders>
              <w:top w:val="single" w:sz="8" w:color="BCBEC0"/>
            </w:tcBorders>
          </w:tcPr>
          <w:p>
            <w:pPr>
              <w:jc w:val="right"/>
              <w:ind w:right="262"/>
              <w:spacing w:after="0"/>
              <w:rPr>
                <w:sz w:val="20"/>
                <w:szCs w:val="20"/>
                <w:color w:val="auto"/>
              </w:rPr>
            </w:pPr>
            <w:r>
              <w:rPr>
                <w:rFonts w:ascii="Arial" w:cs="Arial" w:eastAsia="Arial" w:hAnsi="Arial"/>
                <w:sz w:val="16"/>
                <w:szCs w:val="16"/>
                <w:color w:val="auto"/>
              </w:rPr>
              <w:t>100 %</w:t>
            </w:r>
          </w:p>
        </w:tc>
        <w:tc>
          <w:tcPr>
            <w:tcW w:w="1580" w:type="dxa"/>
            <w:vAlign w:val="bottom"/>
            <w:tcBorders>
              <w:top w:val="single" w:sz="8" w:color="BCBEC0"/>
            </w:tcBorders>
          </w:tcPr>
          <w:p>
            <w:pPr>
              <w:jc w:val="right"/>
              <w:spacing w:after="0"/>
              <w:rPr>
                <w:sz w:val="20"/>
                <w:szCs w:val="20"/>
                <w:color w:val="auto"/>
              </w:rPr>
            </w:pPr>
            <w:r>
              <w:rPr>
                <w:rFonts w:ascii="Arial" w:cs="Arial" w:eastAsia="Arial" w:hAnsi="Arial"/>
                <w:sz w:val="16"/>
                <w:szCs w:val="16"/>
                <w:color w:val="auto"/>
              </w:rPr>
              <w:t>0% - 200%</w:t>
            </w:r>
          </w:p>
        </w:tc>
        <w:tc>
          <w:tcPr>
            <w:tcW w:w="1900" w:type="dxa"/>
            <w:vAlign w:val="bottom"/>
            <w:tcBorders>
              <w:top w:val="single" w:sz="8" w:color="BCBEC0"/>
            </w:tcBorders>
          </w:tcPr>
          <w:p>
            <w:pPr>
              <w:jc w:val="right"/>
              <w:ind w:right="142"/>
              <w:spacing w:after="0"/>
              <w:rPr>
                <w:sz w:val="20"/>
                <w:szCs w:val="20"/>
                <w:color w:val="auto"/>
              </w:rPr>
            </w:pPr>
            <w:r>
              <w:rPr>
                <w:rFonts w:ascii="Arial" w:cs="Arial" w:eastAsia="Arial" w:hAnsi="Arial"/>
                <w:sz w:val="16"/>
                <w:szCs w:val="16"/>
                <w:color w:val="auto"/>
              </w:rPr>
              <w:t>157 % $</w:t>
            </w:r>
          </w:p>
        </w:tc>
        <w:tc>
          <w:tcPr>
            <w:tcW w:w="1160" w:type="dxa"/>
            <w:vAlign w:val="bottom"/>
            <w:tcBorders>
              <w:top w:val="single" w:sz="8" w:color="BCBEC0"/>
            </w:tcBorders>
          </w:tcPr>
          <w:p>
            <w:pPr>
              <w:jc w:val="right"/>
              <w:ind w:right="2"/>
              <w:spacing w:after="0"/>
              <w:rPr>
                <w:sz w:val="20"/>
                <w:szCs w:val="20"/>
                <w:color w:val="auto"/>
              </w:rPr>
            </w:pPr>
            <w:r>
              <w:rPr>
                <w:rFonts w:ascii="Arial" w:cs="Arial" w:eastAsia="Arial" w:hAnsi="Arial"/>
                <w:sz w:val="16"/>
                <w:szCs w:val="16"/>
                <w:color w:val="auto"/>
              </w:rPr>
              <w:t>1,240,300</w:t>
            </w:r>
          </w:p>
        </w:tc>
      </w:tr>
      <w:tr>
        <w:trPr>
          <w:trHeight w:val="20"/>
        </w:trPr>
        <w:tc>
          <w:tcPr>
            <w:tcW w:w="3180" w:type="dxa"/>
            <w:vAlign w:val="bottom"/>
            <w:tcBorders>
              <w:bottom w:val="single" w:sz="8" w:color="BCBEC0"/>
            </w:tcBorders>
          </w:tcPr>
          <w:p>
            <w:pPr>
              <w:spacing w:after="0" w:line="20" w:lineRule="exact"/>
              <w:rPr>
                <w:sz w:val="1"/>
                <w:szCs w:val="1"/>
                <w:color w:val="auto"/>
              </w:rPr>
            </w:pPr>
          </w:p>
        </w:tc>
        <w:tc>
          <w:tcPr>
            <w:tcW w:w="3420" w:type="dxa"/>
            <w:vAlign w:val="bottom"/>
            <w:tcBorders>
              <w:bottom w:val="single" w:sz="8" w:color="BCBEC0"/>
            </w:tcBorders>
          </w:tcPr>
          <w:p>
            <w:pPr>
              <w:spacing w:after="0" w:line="20" w:lineRule="exact"/>
              <w:rPr>
                <w:sz w:val="1"/>
                <w:szCs w:val="1"/>
                <w:color w:val="auto"/>
              </w:rPr>
            </w:pPr>
          </w:p>
        </w:tc>
        <w:tc>
          <w:tcPr>
            <w:tcW w:w="1580" w:type="dxa"/>
            <w:vAlign w:val="bottom"/>
            <w:tcBorders>
              <w:bottom w:val="single" w:sz="8" w:color="BCBEC0"/>
            </w:tcBorders>
          </w:tcPr>
          <w:p>
            <w:pPr>
              <w:spacing w:after="0" w:line="20" w:lineRule="exact"/>
              <w:rPr>
                <w:sz w:val="1"/>
                <w:szCs w:val="1"/>
                <w:color w:val="auto"/>
              </w:rPr>
            </w:pPr>
          </w:p>
        </w:tc>
        <w:tc>
          <w:tcPr>
            <w:tcW w:w="1900" w:type="dxa"/>
            <w:vAlign w:val="bottom"/>
            <w:tcBorders>
              <w:bottom w:val="single" w:sz="8" w:color="BCBEC0"/>
            </w:tcBorders>
          </w:tcPr>
          <w:p>
            <w:pPr>
              <w:spacing w:after="0" w:line="20" w:lineRule="exact"/>
              <w:rPr>
                <w:sz w:val="1"/>
                <w:szCs w:val="1"/>
                <w:color w:val="auto"/>
              </w:rPr>
            </w:pPr>
          </w:p>
        </w:tc>
        <w:tc>
          <w:tcPr>
            <w:tcW w:w="1160" w:type="dxa"/>
            <w:vAlign w:val="bottom"/>
            <w:tcBorders>
              <w:bottom w:val="single" w:sz="8" w:color="BCBEC0"/>
            </w:tcBorders>
          </w:tcPr>
          <w:p>
            <w:pPr>
              <w:spacing w:after="0" w:line="20" w:lineRule="exact"/>
              <w:rPr>
                <w:sz w:val="1"/>
                <w:szCs w:val="1"/>
                <w:color w:val="auto"/>
              </w:rPr>
            </w:pPr>
          </w:p>
        </w:tc>
      </w:tr>
      <w:tr>
        <w:trPr>
          <w:trHeight w:val="217"/>
        </w:trPr>
        <w:tc>
          <w:tcPr>
            <w:tcW w:w="318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6"/>
                <w:szCs w:val="16"/>
                <w:b w:val="1"/>
                <w:bCs w:val="1"/>
                <w:color w:val="29378D"/>
              </w:rPr>
              <w:t>Roshan S. Roeder</w:t>
            </w:r>
          </w:p>
        </w:tc>
        <w:tc>
          <w:tcPr>
            <w:tcW w:w="3420" w:type="dxa"/>
            <w:vAlign w:val="bottom"/>
            <w:tcBorders>
              <w:bottom w:val="single" w:sz="8" w:color="DFDEEE"/>
            </w:tcBorders>
            <w:shd w:val="clear" w:color="auto" w:fill="DFDEEE"/>
          </w:tcPr>
          <w:p>
            <w:pPr>
              <w:jc w:val="right"/>
              <w:ind w:right="262"/>
              <w:spacing w:after="0"/>
              <w:rPr>
                <w:sz w:val="20"/>
                <w:szCs w:val="20"/>
                <w:color w:val="auto"/>
              </w:rPr>
            </w:pPr>
            <w:r>
              <w:rPr>
                <w:rFonts w:ascii="Arial" w:cs="Arial" w:eastAsia="Arial" w:hAnsi="Arial"/>
                <w:sz w:val="16"/>
                <w:szCs w:val="16"/>
                <w:color w:val="auto"/>
              </w:rPr>
              <w:t>100 %</w:t>
            </w:r>
          </w:p>
        </w:tc>
        <w:tc>
          <w:tcPr>
            <w:tcW w:w="1580" w:type="dxa"/>
            <w:vAlign w:val="bottom"/>
            <w:tcBorders>
              <w:bottom w:val="single" w:sz="8" w:color="DFDEEE"/>
            </w:tcBorders>
            <w:shd w:val="clear" w:color="auto" w:fill="DFDEEE"/>
          </w:tcPr>
          <w:p>
            <w:pPr>
              <w:jc w:val="right"/>
              <w:spacing w:after="0"/>
              <w:rPr>
                <w:sz w:val="20"/>
                <w:szCs w:val="20"/>
                <w:color w:val="auto"/>
              </w:rPr>
            </w:pPr>
            <w:r>
              <w:rPr>
                <w:rFonts w:ascii="Arial" w:cs="Arial" w:eastAsia="Arial" w:hAnsi="Arial"/>
                <w:sz w:val="16"/>
                <w:szCs w:val="16"/>
                <w:color w:val="auto"/>
              </w:rPr>
              <w:t>0% - 200%</w:t>
            </w:r>
          </w:p>
        </w:tc>
        <w:tc>
          <w:tcPr>
            <w:tcW w:w="1900" w:type="dxa"/>
            <w:vAlign w:val="bottom"/>
            <w:tcBorders>
              <w:bottom w:val="single" w:sz="8" w:color="DFDEEE"/>
            </w:tcBorders>
            <w:shd w:val="clear" w:color="auto" w:fill="DFDEEE"/>
          </w:tcPr>
          <w:p>
            <w:pPr>
              <w:jc w:val="right"/>
              <w:ind w:right="142"/>
              <w:spacing w:after="0"/>
              <w:rPr>
                <w:sz w:val="20"/>
                <w:szCs w:val="20"/>
                <w:color w:val="auto"/>
              </w:rPr>
            </w:pPr>
            <w:r>
              <w:rPr>
                <w:rFonts w:ascii="Arial" w:cs="Arial" w:eastAsia="Arial" w:hAnsi="Arial"/>
                <w:sz w:val="16"/>
                <w:szCs w:val="16"/>
                <w:color w:val="auto"/>
              </w:rPr>
              <w:t>157 % $</w:t>
            </w:r>
          </w:p>
        </w:tc>
        <w:tc>
          <w:tcPr>
            <w:tcW w:w="1160" w:type="dxa"/>
            <w:vAlign w:val="bottom"/>
            <w:tcBorders>
              <w:bottom w:val="single" w:sz="8" w:color="DFDEEE"/>
            </w:tcBorders>
            <w:shd w:val="clear" w:color="auto" w:fill="DFDEEE"/>
          </w:tcPr>
          <w:p>
            <w:pPr>
              <w:jc w:val="right"/>
              <w:ind w:right="2"/>
              <w:spacing w:after="0"/>
              <w:rPr>
                <w:sz w:val="20"/>
                <w:szCs w:val="20"/>
                <w:color w:val="auto"/>
              </w:rPr>
            </w:pPr>
            <w:r>
              <w:rPr>
                <w:rFonts w:ascii="Arial" w:cs="Arial" w:eastAsia="Arial" w:hAnsi="Arial"/>
                <w:sz w:val="16"/>
                <w:szCs w:val="16"/>
                <w:color w:val="auto"/>
              </w:rPr>
              <w:t>1,177,500</w:t>
            </w:r>
          </w:p>
        </w:tc>
      </w:tr>
      <w:tr>
        <w:trPr>
          <w:trHeight w:val="20"/>
        </w:trPr>
        <w:tc>
          <w:tcPr>
            <w:tcW w:w="3180" w:type="dxa"/>
            <w:vAlign w:val="bottom"/>
            <w:shd w:val="clear" w:color="auto" w:fill="BCBEC0"/>
          </w:tcPr>
          <w:p>
            <w:pPr>
              <w:spacing w:after="0" w:line="20" w:lineRule="exact"/>
              <w:rPr>
                <w:sz w:val="1"/>
                <w:szCs w:val="1"/>
                <w:color w:val="auto"/>
              </w:rPr>
            </w:pPr>
          </w:p>
        </w:tc>
        <w:tc>
          <w:tcPr>
            <w:tcW w:w="3420" w:type="dxa"/>
            <w:vAlign w:val="bottom"/>
            <w:shd w:val="clear" w:color="auto" w:fill="BCBEC0"/>
          </w:tcPr>
          <w:p>
            <w:pPr>
              <w:spacing w:after="0" w:line="20" w:lineRule="exact"/>
              <w:rPr>
                <w:sz w:val="1"/>
                <w:szCs w:val="1"/>
                <w:color w:val="auto"/>
              </w:rPr>
            </w:pPr>
          </w:p>
        </w:tc>
        <w:tc>
          <w:tcPr>
            <w:tcW w:w="1580" w:type="dxa"/>
            <w:vAlign w:val="bottom"/>
            <w:shd w:val="clear" w:color="auto" w:fill="BCBEC0"/>
          </w:tcPr>
          <w:p>
            <w:pPr>
              <w:spacing w:after="0" w:line="20" w:lineRule="exact"/>
              <w:rPr>
                <w:sz w:val="1"/>
                <w:szCs w:val="1"/>
                <w:color w:val="auto"/>
              </w:rPr>
            </w:pPr>
          </w:p>
        </w:tc>
        <w:tc>
          <w:tcPr>
            <w:tcW w:w="1900" w:type="dxa"/>
            <w:vAlign w:val="bottom"/>
            <w:shd w:val="clear" w:color="auto" w:fill="BCBEC0"/>
          </w:tcPr>
          <w:p>
            <w:pPr>
              <w:spacing w:after="0" w:line="20" w:lineRule="exact"/>
              <w:rPr>
                <w:sz w:val="1"/>
                <w:szCs w:val="1"/>
                <w:color w:val="auto"/>
              </w:rPr>
            </w:pPr>
          </w:p>
        </w:tc>
        <w:tc>
          <w:tcPr>
            <w:tcW w:w="1160" w:type="dxa"/>
            <w:vAlign w:val="bottom"/>
            <w:shd w:val="clear" w:color="auto" w:fill="BCBEC0"/>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(1) Actual bonus payouts for 2023 performance are disclosed in this table and in the Summary Compensation Table.</w:t>
      </w:r>
    </w:p>
    <w:p>
      <w:pPr>
        <w:spacing w:after="0" w:line="236" w:lineRule="exact"/>
        <w:rPr>
          <w:sz w:val="20"/>
          <w:szCs w:val="20"/>
          <w:color w:val="auto"/>
        </w:rPr>
      </w:pPr>
    </w:p>
    <w:p>
      <w:pPr>
        <w:spacing w:after="0"/>
        <w:rPr>
          <w:sz w:val="20"/>
          <w:szCs w:val="20"/>
          <w:color w:val="auto"/>
        </w:rPr>
      </w:pPr>
      <w:r>
        <w:rPr>
          <w:rFonts w:ascii="Arial" w:cs="Arial" w:eastAsia="Arial" w:hAnsi="Arial"/>
          <w:sz w:val="23"/>
          <w:szCs w:val="23"/>
          <w:color w:val="auto"/>
        </w:rPr>
        <w:t>Long-Term Incentive Compensation</w:t>
      </w:r>
    </w:p>
    <w:p>
      <w:pPr>
        <w:spacing w:after="0" w:line="131"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In 2023, the Compensation and Human Capital Committee granted awards in the form of RPSRs and RSRs. The awards were comprised of 70% RPSRs and 30% RSRs. The Compensation and Human Capital Committee determined this long-term incentive mix would appropriately motivate and reward the NEOs to achieve our long-term objectives and further reinforce the link between their interests and the interests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74930</wp:posOffset>
            </wp:positionV>
            <wp:extent cx="436880" cy="4629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36880" cy="462915"/>
                    </a:xfrm>
                    <a:prstGeom prst="rect">
                      <a:avLst/>
                    </a:prstGeom>
                    <a:noFill/>
                  </pic:spPr>
                </pic:pic>
              </a:graphicData>
            </a:graphic>
          </wp:anchor>
        </w:drawing>
      </w:r>
    </w:p>
    <w:p>
      <w:pPr>
        <w:spacing w:after="0" w:line="111"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Restricted Performance Stock Rights (RPSRs)</w:t>
      </w:r>
    </w:p>
    <w:p>
      <w:pPr>
        <w:spacing w:after="0" w:line="21" w:lineRule="exact"/>
        <w:rPr>
          <w:sz w:val="20"/>
          <w:szCs w:val="20"/>
          <w:color w:val="auto"/>
        </w:rPr>
      </w:pPr>
    </w:p>
    <w:p>
      <w:pPr>
        <w:ind w:left="1260" w:right="500"/>
        <w:spacing w:after="0" w:line="283" w:lineRule="auto"/>
        <w:rPr>
          <w:sz w:val="20"/>
          <w:szCs w:val="20"/>
          <w:color w:val="auto"/>
        </w:rPr>
      </w:pPr>
      <w:r>
        <w:rPr>
          <w:rFonts w:ascii="Arial" w:cs="Arial" w:eastAsia="Arial" w:hAnsi="Arial"/>
          <w:sz w:val="16"/>
          <w:szCs w:val="16"/>
          <w:color w:val="auto"/>
        </w:rPr>
        <w:t>The RPSRs ensure sustainability and achievement of business goals over time. The RPSRs will vest and be distributed following the completion of the three-year performance period (commencing January 1, 2023, and ending December 31, 2025) if goals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143510</wp:posOffset>
            </wp:positionV>
            <wp:extent cx="436880" cy="42862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36880" cy="428625"/>
                    </a:xfrm>
                    <a:prstGeom prst="rect">
                      <a:avLst/>
                    </a:prstGeom>
                    <a:noFill/>
                  </pic:spPr>
                </pic:pic>
              </a:graphicData>
            </a:graphic>
          </wp:anchor>
        </w:drawing>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Restricted Stock Rights (RSRs)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RSRs provide retentive value and generally vest 100% after three years.</w:t>
      </w:r>
    </w:p>
    <w:p>
      <w:pPr>
        <w:spacing w:after="0" w:line="200" w:lineRule="exact"/>
        <w:rPr>
          <w:sz w:val="20"/>
          <w:szCs w:val="20"/>
          <w:color w:val="auto"/>
        </w:rPr>
      </w:pPr>
    </w:p>
    <w:p>
      <w:pPr>
        <w:spacing w:after="0" w:line="35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Earned RPSRs and RSRs may be paid in shares, cash or a combination of shares and cash at the Compensation and Human Capital Committee’s discretion. An executive generally must remain employed through the vesting period to earn an award. Vesting for termination due to death, disability, retirement or change in control is discussed in the “Termination Payments and Benefits” section on page 80. Dividend equivalents accrue on both RPSR and RSR awards earned and will be paid upon distribution of the RPSRs and RSRs. Following the distribution, 50% of all net after-tax shares received are subject to a three-year mandatory holding requirement.</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RESTRICTED PERFORMANCE STOCK RIGHTS</w:t>
      </w:r>
    </w:p>
    <w:p>
      <w:pPr>
        <w:spacing w:after="0" w:line="118"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The Compensation and Human Capital Committee evaluates RPSR performance requirements each year to ensure they are aligned with our business objectives. For the 2023 RPSR grant, the Compensation and Human Capital Committee determined that for the NEOs, performance metrics would be Relative Total Shareholder Return, Adjusted Cumulative FCF* and Return on Invested Capital* (ROIC), each equally weighted at 1/3. The current metrics and weightings reflect the Company’s continued emphasis on operational performance directly impacted by management decisions and behaviors, while maintaining strong alignment with shareholder interests. Based on the performance against these metrics, shares earned for 2023 RPSR grants can vary from 0% to 200% of the rights awarded.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63</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60" w:type="dxa"/>
            <w:vAlign w:val="bottom"/>
          </w:tcPr>
          <w:p>
            <w:pPr>
              <w:ind w:left="20"/>
              <w:spacing w:after="0"/>
              <w:rPr>
                <w:sz w:val="20"/>
                <w:szCs w:val="20"/>
                <w:color w:val="auto"/>
              </w:rPr>
            </w:pPr>
            <w:r>
              <w:rPr>
                <w:rFonts w:ascii="Arial" w:cs="Arial" w:eastAsia="Arial" w:hAnsi="Arial"/>
                <w:sz w:val="13"/>
                <w:szCs w:val="13"/>
                <w:b w:val="1"/>
                <w:bCs w:val="1"/>
                <w:color w:val="auto"/>
              </w:rPr>
              <w:t>Metric</w:t>
            </w:r>
          </w:p>
        </w:tc>
        <w:tc>
          <w:tcPr>
            <w:tcW w:w="1260" w:type="dxa"/>
            <w:vAlign w:val="bottom"/>
          </w:tcPr>
          <w:p>
            <w:pPr>
              <w:jc w:val="center"/>
              <w:ind w:left="244"/>
              <w:spacing w:after="0"/>
              <w:rPr>
                <w:sz w:val="20"/>
                <w:szCs w:val="20"/>
                <w:color w:val="auto"/>
              </w:rPr>
            </w:pPr>
            <w:r>
              <w:rPr>
                <w:rFonts w:ascii="Arial" w:cs="Arial" w:eastAsia="Arial" w:hAnsi="Arial"/>
                <w:sz w:val="13"/>
                <w:szCs w:val="13"/>
                <w:b w:val="1"/>
                <w:bCs w:val="1"/>
                <w:color w:val="auto"/>
                <w:w w:val="98"/>
              </w:rPr>
              <w:t>Weighting</w:t>
            </w:r>
          </w:p>
        </w:tc>
        <w:tc>
          <w:tcPr>
            <w:tcW w:w="7020" w:type="dxa"/>
            <w:vAlign w:val="bottom"/>
          </w:tcPr>
          <w:p>
            <w:pPr>
              <w:ind w:left="3300"/>
              <w:spacing w:after="0"/>
              <w:rPr>
                <w:sz w:val="20"/>
                <w:szCs w:val="20"/>
                <w:color w:val="auto"/>
              </w:rPr>
            </w:pPr>
            <w:r>
              <w:rPr>
                <w:rFonts w:ascii="Arial" w:cs="Arial" w:eastAsia="Arial" w:hAnsi="Arial"/>
                <w:sz w:val="13"/>
                <w:szCs w:val="13"/>
                <w:b w:val="1"/>
                <w:bCs w:val="1"/>
                <w:color w:val="auto"/>
              </w:rPr>
              <w:t>Rationale</w:t>
            </w:r>
          </w:p>
        </w:tc>
        <w:tc>
          <w:tcPr>
            <w:tcW w:w="0" w:type="dxa"/>
            <w:vAlign w:val="bottom"/>
          </w:tcPr>
          <w:p>
            <w:pPr>
              <w:spacing w:after="0"/>
              <w:rPr>
                <w:sz w:val="1"/>
                <w:szCs w:val="1"/>
                <w:color w:val="auto"/>
              </w:rPr>
            </w:pPr>
          </w:p>
        </w:tc>
      </w:tr>
      <w:tr>
        <w:trPr>
          <w:trHeight w:val="22"/>
        </w:trPr>
        <w:tc>
          <w:tcPr>
            <w:tcW w:w="2960" w:type="dxa"/>
            <w:vAlign w:val="bottom"/>
            <w:tcBorders>
              <w:bottom w:val="single" w:sz="8" w:color="29378D"/>
            </w:tcBorders>
          </w:tcPr>
          <w:p>
            <w:pPr>
              <w:spacing w:after="0" w:line="20" w:lineRule="exact"/>
              <w:rPr>
                <w:sz w:val="1"/>
                <w:szCs w:val="1"/>
                <w:color w:val="auto"/>
              </w:rPr>
            </w:pPr>
          </w:p>
        </w:tc>
        <w:tc>
          <w:tcPr>
            <w:tcW w:w="1260" w:type="dxa"/>
            <w:vAlign w:val="bottom"/>
            <w:tcBorders>
              <w:bottom w:val="single" w:sz="8" w:color="29378D"/>
            </w:tcBorders>
          </w:tcPr>
          <w:p>
            <w:pPr>
              <w:spacing w:after="0" w:line="20" w:lineRule="exact"/>
              <w:rPr>
                <w:sz w:val="1"/>
                <w:szCs w:val="1"/>
                <w:color w:val="auto"/>
              </w:rPr>
            </w:pPr>
          </w:p>
        </w:tc>
        <w:tc>
          <w:tcPr>
            <w:tcW w:w="702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Relative Total Shareholder Return</w:t>
            </w:r>
          </w:p>
        </w:tc>
        <w:tc>
          <w:tcPr>
            <w:tcW w:w="1260" w:type="dxa"/>
            <w:vAlign w:val="bottom"/>
            <w:tcBorders>
              <w:bottom w:val="single" w:sz="8" w:color="BCBEC0"/>
            </w:tcBorders>
          </w:tcPr>
          <w:p>
            <w:pPr>
              <w:jc w:val="center"/>
              <w:ind w:left="244"/>
              <w:spacing w:after="0"/>
              <w:rPr>
                <w:sz w:val="20"/>
                <w:szCs w:val="20"/>
                <w:color w:val="auto"/>
              </w:rPr>
            </w:pPr>
            <w:r>
              <w:rPr>
                <w:rFonts w:ascii="Arial" w:cs="Arial" w:eastAsia="Arial" w:hAnsi="Arial"/>
                <w:sz w:val="16"/>
                <w:szCs w:val="16"/>
                <w:color w:val="auto"/>
                <w:w w:val="98"/>
              </w:rPr>
              <w:t>1/3</w:t>
            </w:r>
          </w:p>
        </w:tc>
        <w:tc>
          <w:tcPr>
            <w:tcW w:w="7020" w:type="dxa"/>
            <w:vAlign w:val="bottom"/>
            <w:tcBorders>
              <w:bottom w:val="single" w:sz="8" w:color="BCBEC0"/>
            </w:tcBorders>
          </w:tcPr>
          <w:p>
            <w:pPr>
              <w:ind w:left="180"/>
              <w:spacing w:after="0"/>
              <w:rPr>
                <w:sz w:val="20"/>
                <w:szCs w:val="20"/>
                <w:color w:val="auto"/>
              </w:rPr>
            </w:pPr>
            <w:r>
              <w:rPr>
                <w:rFonts w:ascii="Arial" w:cs="Arial" w:eastAsia="Arial" w:hAnsi="Arial"/>
                <w:sz w:val="16"/>
                <w:szCs w:val="16"/>
                <w:color w:val="auto"/>
              </w:rPr>
              <w:t>Aligns the interests of executives with shareholders.</w:t>
            </w:r>
          </w:p>
        </w:tc>
        <w:tc>
          <w:tcPr>
            <w:tcW w:w="0" w:type="dxa"/>
            <w:vAlign w:val="bottom"/>
          </w:tcPr>
          <w:p>
            <w:pPr>
              <w:spacing w:after="0"/>
              <w:rPr>
                <w:sz w:val="1"/>
                <w:szCs w:val="1"/>
                <w:color w:val="auto"/>
              </w:rPr>
            </w:pPr>
          </w:p>
        </w:tc>
      </w:tr>
      <w:tr>
        <w:trPr>
          <w:trHeight w:val="202"/>
        </w:trPr>
        <w:tc>
          <w:tcPr>
            <w:tcW w:w="2960" w:type="dxa"/>
            <w:vAlign w:val="bottom"/>
            <w:vMerge w:val="restart"/>
          </w:tcPr>
          <w:p>
            <w:pPr>
              <w:ind w:left="20"/>
              <w:spacing w:after="0"/>
              <w:rPr>
                <w:sz w:val="20"/>
                <w:szCs w:val="20"/>
                <w:color w:val="auto"/>
              </w:rPr>
            </w:pPr>
            <w:r>
              <w:rPr>
                <w:rFonts w:ascii="Arial" w:cs="Arial" w:eastAsia="Arial" w:hAnsi="Arial"/>
                <w:sz w:val="16"/>
                <w:szCs w:val="16"/>
                <w:color w:val="auto"/>
              </w:rPr>
              <w:t>Adjusted Cumulative FCF*</w:t>
            </w:r>
          </w:p>
        </w:tc>
        <w:tc>
          <w:tcPr>
            <w:tcW w:w="1260" w:type="dxa"/>
            <w:vAlign w:val="bottom"/>
            <w:vMerge w:val="restart"/>
          </w:tcPr>
          <w:p>
            <w:pPr>
              <w:jc w:val="center"/>
              <w:ind w:left="244"/>
              <w:spacing w:after="0"/>
              <w:rPr>
                <w:sz w:val="20"/>
                <w:szCs w:val="20"/>
                <w:color w:val="auto"/>
              </w:rPr>
            </w:pPr>
            <w:r>
              <w:rPr>
                <w:rFonts w:ascii="Arial" w:cs="Arial" w:eastAsia="Arial" w:hAnsi="Arial"/>
                <w:sz w:val="16"/>
                <w:szCs w:val="16"/>
                <w:color w:val="auto"/>
                <w:w w:val="98"/>
              </w:rPr>
              <w:t>1/3</w:t>
            </w:r>
          </w:p>
        </w:tc>
        <w:tc>
          <w:tcPr>
            <w:tcW w:w="7020" w:type="dxa"/>
            <w:vAlign w:val="bottom"/>
          </w:tcPr>
          <w:p>
            <w:pPr>
              <w:ind w:left="180"/>
              <w:spacing w:after="0"/>
              <w:rPr>
                <w:sz w:val="20"/>
                <w:szCs w:val="20"/>
                <w:color w:val="auto"/>
              </w:rPr>
            </w:pPr>
            <w:r>
              <w:rPr>
                <w:rFonts w:ascii="Arial" w:cs="Arial" w:eastAsia="Arial" w:hAnsi="Arial"/>
                <w:sz w:val="16"/>
                <w:szCs w:val="16"/>
                <w:color w:val="auto"/>
              </w:rPr>
              <w:t>Focuses on cash generation to create shareholder value after investing in the business through</w:t>
            </w:r>
          </w:p>
        </w:tc>
        <w:tc>
          <w:tcPr>
            <w:tcW w:w="0" w:type="dxa"/>
            <w:vAlign w:val="bottom"/>
          </w:tcPr>
          <w:p>
            <w:pPr>
              <w:spacing w:after="0"/>
              <w:rPr>
                <w:sz w:val="1"/>
                <w:szCs w:val="1"/>
                <w:color w:val="auto"/>
              </w:rPr>
            </w:pPr>
          </w:p>
        </w:tc>
      </w:tr>
      <w:tr>
        <w:trPr>
          <w:trHeight w:val="120"/>
        </w:trPr>
        <w:tc>
          <w:tcPr>
            <w:tcW w:w="29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7020" w:type="dxa"/>
            <w:vAlign w:val="bottom"/>
            <w:vMerge w:val="restart"/>
          </w:tcPr>
          <w:p>
            <w:pPr>
              <w:ind w:left="180"/>
              <w:spacing w:after="0"/>
              <w:rPr>
                <w:sz w:val="20"/>
                <w:szCs w:val="20"/>
                <w:color w:val="auto"/>
              </w:rPr>
            </w:pPr>
            <w:r>
              <w:rPr>
                <w:rFonts w:ascii="Arial" w:cs="Arial" w:eastAsia="Arial" w:hAnsi="Arial"/>
                <w:sz w:val="16"/>
                <w:szCs w:val="16"/>
                <w:color w:val="auto"/>
              </w:rPr>
              <w:t>capital expenditures.</w:t>
            </w:r>
          </w:p>
        </w:tc>
        <w:tc>
          <w:tcPr>
            <w:tcW w:w="0" w:type="dxa"/>
            <w:vAlign w:val="bottom"/>
          </w:tcPr>
          <w:p>
            <w:pPr>
              <w:spacing w:after="0"/>
              <w:rPr>
                <w:sz w:val="1"/>
                <w:szCs w:val="1"/>
                <w:color w:val="auto"/>
              </w:rPr>
            </w:pPr>
          </w:p>
        </w:tc>
      </w:tr>
      <w:tr>
        <w:trPr>
          <w:trHeight w:val="94"/>
        </w:trPr>
        <w:tc>
          <w:tcPr>
            <w:tcW w:w="29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7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960" w:type="dxa"/>
            <w:vAlign w:val="bottom"/>
            <w:tcBorders>
              <w:bottom w:val="single" w:sz="8" w:color="BCBEC0"/>
            </w:tcBorders>
          </w:tcPr>
          <w:p>
            <w:pPr>
              <w:spacing w:after="0"/>
              <w:rPr>
                <w:sz w:val="2"/>
                <w:szCs w:val="2"/>
                <w:color w:val="auto"/>
              </w:rPr>
            </w:pPr>
          </w:p>
        </w:tc>
        <w:tc>
          <w:tcPr>
            <w:tcW w:w="1260" w:type="dxa"/>
            <w:vAlign w:val="bottom"/>
            <w:tcBorders>
              <w:bottom w:val="single" w:sz="8" w:color="BCBEC0"/>
            </w:tcBorders>
          </w:tcPr>
          <w:p>
            <w:pPr>
              <w:spacing w:after="0"/>
              <w:rPr>
                <w:sz w:val="2"/>
                <w:szCs w:val="2"/>
                <w:color w:val="auto"/>
              </w:rPr>
            </w:pPr>
          </w:p>
        </w:tc>
        <w:tc>
          <w:tcPr>
            <w:tcW w:w="702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Return on Invested Capital*</w:t>
            </w:r>
          </w:p>
        </w:tc>
        <w:tc>
          <w:tcPr>
            <w:tcW w:w="1260" w:type="dxa"/>
            <w:vAlign w:val="bottom"/>
            <w:tcBorders>
              <w:bottom w:val="single" w:sz="8" w:color="BCBEC0"/>
            </w:tcBorders>
          </w:tcPr>
          <w:p>
            <w:pPr>
              <w:jc w:val="center"/>
              <w:ind w:left="244"/>
              <w:spacing w:after="0"/>
              <w:rPr>
                <w:sz w:val="20"/>
                <w:szCs w:val="20"/>
                <w:color w:val="auto"/>
              </w:rPr>
            </w:pPr>
            <w:r>
              <w:rPr>
                <w:rFonts w:ascii="Arial" w:cs="Arial" w:eastAsia="Arial" w:hAnsi="Arial"/>
                <w:sz w:val="16"/>
                <w:szCs w:val="16"/>
                <w:color w:val="auto"/>
                <w:w w:val="98"/>
              </w:rPr>
              <w:t>1/3</w:t>
            </w:r>
          </w:p>
        </w:tc>
        <w:tc>
          <w:tcPr>
            <w:tcW w:w="7020" w:type="dxa"/>
            <w:vAlign w:val="bottom"/>
            <w:tcBorders>
              <w:bottom w:val="single" w:sz="8" w:color="BCBEC0"/>
            </w:tcBorders>
          </w:tcPr>
          <w:p>
            <w:pPr>
              <w:ind w:left="180"/>
              <w:spacing w:after="0"/>
              <w:rPr>
                <w:sz w:val="20"/>
                <w:szCs w:val="20"/>
                <w:color w:val="auto"/>
              </w:rPr>
            </w:pPr>
            <w:r>
              <w:rPr>
                <w:rFonts w:ascii="Arial" w:cs="Arial" w:eastAsia="Arial" w:hAnsi="Arial"/>
                <w:sz w:val="16"/>
                <w:szCs w:val="16"/>
                <w:color w:val="auto"/>
              </w:rPr>
              <w:t>Focuses on effective and profitable deployment of Invested Capital* resources</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 This metric is a non-GAAP financial measure. For more information, see “Appendix A - Use of Non-GAAP Financial Measures.”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29378D"/>
        </w:rPr>
        <w:t>2023 RPSR Performance Measures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40" w:type="dxa"/>
            <w:vAlign w:val="bottom"/>
          </w:tcPr>
          <w:p>
            <w:pPr>
              <w:ind w:left="20"/>
              <w:spacing w:after="0"/>
              <w:rPr>
                <w:sz w:val="20"/>
                <w:szCs w:val="20"/>
                <w:color w:val="auto"/>
              </w:rPr>
            </w:pPr>
            <w:r>
              <w:rPr>
                <w:rFonts w:ascii="Arial" w:cs="Arial" w:eastAsia="Arial" w:hAnsi="Arial"/>
                <w:sz w:val="13"/>
                <w:szCs w:val="13"/>
                <w:b w:val="1"/>
                <w:bCs w:val="1"/>
                <w:color w:val="auto"/>
              </w:rPr>
              <w:t>RPSR Metrics</w:t>
            </w:r>
          </w:p>
        </w:tc>
        <w:tc>
          <w:tcPr>
            <w:tcW w:w="8640" w:type="dxa"/>
            <w:vAlign w:val="bottom"/>
          </w:tcPr>
          <w:p>
            <w:pPr>
              <w:ind w:left="4040"/>
              <w:spacing w:after="0"/>
              <w:rPr>
                <w:sz w:val="20"/>
                <w:szCs w:val="20"/>
                <w:color w:val="auto"/>
              </w:rPr>
            </w:pPr>
            <w:r>
              <w:rPr>
                <w:rFonts w:ascii="Arial" w:cs="Arial" w:eastAsia="Arial" w:hAnsi="Arial"/>
                <w:sz w:val="13"/>
                <w:szCs w:val="13"/>
                <w:b w:val="1"/>
                <w:bCs w:val="1"/>
                <w:color w:val="auto"/>
              </w:rPr>
              <w:t>Calculation</w:t>
            </w:r>
          </w:p>
        </w:tc>
      </w:tr>
      <w:tr>
        <w:trPr>
          <w:trHeight w:val="22"/>
        </w:trPr>
        <w:tc>
          <w:tcPr>
            <w:tcW w:w="2240" w:type="dxa"/>
            <w:vAlign w:val="bottom"/>
            <w:tcBorders>
              <w:bottom w:val="single" w:sz="8" w:color="29378D"/>
            </w:tcBorders>
          </w:tcPr>
          <w:p>
            <w:pPr>
              <w:spacing w:after="0" w:line="20" w:lineRule="exact"/>
              <w:rPr>
                <w:sz w:val="1"/>
                <w:szCs w:val="1"/>
                <w:color w:val="auto"/>
              </w:rPr>
            </w:pPr>
          </w:p>
        </w:tc>
        <w:tc>
          <w:tcPr>
            <w:tcW w:w="8640" w:type="dxa"/>
            <w:vAlign w:val="bottom"/>
            <w:tcBorders>
              <w:bottom w:val="single" w:sz="8" w:color="29378D"/>
            </w:tcBorders>
          </w:tcPr>
          <w:p>
            <w:pPr>
              <w:spacing w:after="0" w:line="20" w:lineRule="exact"/>
              <w:rPr>
                <w:sz w:val="1"/>
                <w:szCs w:val="1"/>
                <w:color w:val="auto"/>
              </w:rPr>
            </w:pPr>
          </w:p>
        </w:tc>
      </w:tr>
      <w:tr>
        <w:trPr>
          <w:trHeight w:val="236"/>
        </w:trPr>
        <w:tc>
          <w:tcPr>
            <w:tcW w:w="2240" w:type="dxa"/>
            <w:vAlign w:val="bottom"/>
          </w:tcPr>
          <w:p>
            <w:pPr>
              <w:ind w:left="20"/>
              <w:spacing w:after="0"/>
              <w:rPr>
                <w:sz w:val="20"/>
                <w:szCs w:val="20"/>
                <w:color w:val="auto"/>
              </w:rPr>
            </w:pPr>
            <w:r>
              <w:rPr>
                <w:rFonts w:ascii="Arial" w:cs="Arial" w:eastAsia="Arial" w:hAnsi="Arial"/>
                <w:sz w:val="16"/>
                <w:szCs w:val="16"/>
                <w:b w:val="1"/>
                <w:bCs w:val="1"/>
                <w:color w:val="00249C"/>
              </w:rPr>
              <w:t>RELATIVE TOTAL</w:t>
            </w:r>
          </w:p>
        </w:tc>
        <w:tc>
          <w:tcPr>
            <w:tcW w:w="8640" w:type="dxa"/>
            <w:vAlign w:val="bottom"/>
          </w:tcPr>
          <w:p>
            <w:pPr>
              <w:ind w:left="260"/>
              <w:spacing w:after="0"/>
              <w:rPr>
                <w:sz w:val="20"/>
                <w:szCs w:val="20"/>
                <w:color w:val="auto"/>
              </w:rPr>
            </w:pPr>
            <w:r>
              <w:rPr>
                <w:rFonts w:ascii="Arial" w:cs="Arial" w:eastAsia="Arial" w:hAnsi="Arial"/>
                <w:sz w:val="16"/>
                <w:szCs w:val="16"/>
                <w:color w:val="auto"/>
              </w:rPr>
              <w:t>Relative TSR (rTSR) is measured by comparing cumulative stock price appreciation with reinvestment of dividends</w:t>
            </w:r>
          </w:p>
        </w:tc>
      </w:tr>
      <w:tr>
        <w:trPr>
          <w:trHeight w:val="203"/>
        </w:trPr>
        <w:tc>
          <w:tcPr>
            <w:tcW w:w="2240" w:type="dxa"/>
            <w:vAlign w:val="bottom"/>
          </w:tcPr>
          <w:p>
            <w:pPr>
              <w:ind w:left="20"/>
              <w:spacing w:after="0"/>
              <w:rPr>
                <w:sz w:val="20"/>
                <w:szCs w:val="20"/>
                <w:color w:val="auto"/>
              </w:rPr>
            </w:pPr>
            <w:r>
              <w:rPr>
                <w:rFonts w:ascii="Arial" w:cs="Arial" w:eastAsia="Arial" w:hAnsi="Arial"/>
                <w:sz w:val="16"/>
                <w:szCs w:val="16"/>
                <w:b w:val="1"/>
                <w:bCs w:val="1"/>
                <w:color w:val="00249C"/>
              </w:rPr>
              <w:t>SHAREHOLDER RETURN</w:t>
            </w:r>
          </w:p>
        </w:tc>
        <w:tc>
          <w:tcPr>
            <w:tcW w:w="8640" w:type="dxa"/>
            <w:vAlign w:val="bottom"/>
          </w:tcPr>
          <w:p>
            <w:pPr>
              <w:ind w:left="260"/>
              <w:spacing w:after="0"/>
              <w:rPr>
                <w:sz w:val="20"/>
                <w:szCs w:val="20"/>
                <w:color w:val="auto"/>
              </w:rPr>
            </w:pPr>
            <w:r>
              <w:rPr>
                <w:rFonts w:ascii="Arial" w:cs="Arial" w:eastAsia="Arial" w:hAnsi="Arial"/>
                <w:sz w:val="16"/>
                <w:szCs w:val="16"/>
                <w:color w:val="auto"/>
              </w:rPr>
              <w:t>over the three-year period to the TSR Peer Group (50% of rTSR portion of award) and to the S&amp;P Industrials (50% of</w:t>
            </w:r>
          </w:p>
        </w:tc>
      </w:tr>
      <w:tr>
        <w:trPr>
          <w:trHeight w:val="189"/>
        </w:trPr>
        <w:tc>
          <w:tcPr>
            <w:tcW w:w="2240" w:type="dxa"/>
            <w:vAlign w:val="bottom"/>
          </w:tcPr>
          <w:p>
            <w:pPr>
              <w:spacing w:after="0"/>
              <w:rPr>
                <w:sz w:val="16"/>
                <w:szCs w:val="16"/>
                <w:color w:val="auto"/>
              </w:rPr>
            </w:pPr>
          </w:p>
        </w:tc>
        <w:tc>
          <w:tcPr>
            <w:tcW w:w="8640" w:type="dxa"/>
            <w:vAlign w:val="bottom"/>
          </w:tcPr>
          <w:p>
            <w:pPr>
              <w:ind w:left="260"/>
              <w:spacing w:after="0"/>
              <w:rPr>
                <w:sz w:val="20"/>
                <w:szCs w:val="20"/>
                <w:color w:val="auto"/>
              </w:rPr>
            </w:pPr>
            <w:r>
              <w:rPr>
                <w:rFonts w:ascii="Arial" w:cs="Arial" w:eastAsia="Arial" w:hAnsi="Arial"/>
                <w:sz w:val="16"/>
                <w:szCs w:val="16"/>
                <w:color w:val="auto"/>
              </w:rPr>
              <w:t>rTSR portion of award), which comprises companies within the S&amp;P 500 classified as Industrials, reflecting the range</w:t>
            </w:r>
          </w:p>
        </w:tc>
      </w:tr>
      <w:tr>
        <w:trPr>
          <w:trHeight w:val="189"/>
        </w:trPr>
        <w:tc>
          <w:tcPr>
            <w:tcW w:w="2240" w:type="dxa"/>
            <w:vAlign w:val="bottom"/>
          </w:tcPr>
          <w:p>
            <w:pPr>
              <w:spacing w:after="0"/>
              <w:rPr>
                <w:sz w:val="16"/>
                <w:szCs w:val="16"/>
                <w:color w:val="auto"/>
              </w:rPr>
            </w:pPr>
          </w:p>
        </w:tc>
        <w:tc>
          <w:tcPr>
            <w:tcW w:w="8640" w:type="dxa"/>
            <w:vAlign w:val="bottom"/>
          </w:tcPr>
          <w:p>
            <w:pPr>
              <w:ind w:left="260"/>
              <w:spacing w:after="0"/>
              <w:rPr>
                <w:sz w:val="20"/>
                <w:szCs w:val="20"/>
                <w:color w:val="auto"/>
              </w:rPr>
            </w:pPr>
            <w:r>
              <w:rPr>
                <w:rFonts w:ascii="Arial" w:cs="Arial" w:eastAsia="Arial" w:hAnsi="Arial"/>
                <w:sz w:val="16"/>
                <w:szCs w:val="16"/>
                <w:color w:val="auto"/>
              </w:rPr>
              <w:t>of similar investment alternatives available to our shareholders. To smooth volatility in the market, the TSR</w:t>
            </w:r>
          </w:p>
        </w:tc>
      </w:tr>
      <w:tr>
        <w:trPr>
          <w:trHeight w:val="203"/>
        </w:trPr>
        <w:tc>
          <w:tcPr>
            <w:tcW w:w="2240" w:type="dxa"/>
            <w:vAlign w:val="bottom"/>
          </w:tcPr>
          <w:p>
            <w:pPr>
              <w:spacing w:after="0"/>
              <w:rPr>
                <w:sz w:val="17"/>
                <w:szCs w:val="17"/>
                <w:color w:val="auto"/>
              </w:rPr>
            </w:pPr>
          </w:p>
        </w:tc>
        <w:tc>
          <w:tcPr>
            <w:tcW w:w="8640" w:type="dxa"/>
            <w:vAlign w:val="bottom"/>
          </w:tcPr>
          <w:p>
            <w:pPr>
              <w:ind w:left="260"/>
              <w:spacing w:after="0"/>
              <w:rPr>
                <w:sz w:val="20"/>
                <w:szCs w:val="20"/>
                <w:color w:val="auto"/>
              </w:rPr>
            </w:pPr>
            <w:r>
              <w:rPr>
                <w:rFonts w:ascii="Arial" w:cs="Arial" w:eastAsia="Arial" w:hAnsi="Arial"/>
                <w:sz w:val="16"/>
                <w:szCs w:val="16"/>
                <w:color w:val="auto"/>
              </w:rPr>
              <w:t>calculation is based on the average of the three-year returns for each of the 30 calendar days, starting from the grant</w:t>
            </w:r>
          </w:p>
        </w:tc>
      </w:tr>
      <w:tr>
        <w:trPr>
          <w:trHeight w:val="189"/>
        </w:trPr>
        <w:tc>
          <w:tcPr>
            <w:tcW w:w="2240" w:type="dxa"/>
            <w:vAlign w:val="bottom"/>
          </w:tcPr>
          <w:p>
            <w:pPr>
              <w:spacing w:after="0"/>
              <w:rPr>
                <w:sz w:val="16"/>
                <w:szCs w:val="16"/>
                <w:color w:val="auto"/>
              </w:rPr>
            </w:pPr>
          </w:p>
        </w:tc>
        <w:tc>
          <w:tcPr>
            <w:tcW w:w="8640" w:type="dxa"/>
            <w:vAlign w:val="bottom"/>
          </w:tcPr>
          <w:p>
            <w:pPr>
              <w:ind w:left="260"/>
              <w:spacing w:after="0"/>
              <w:rPr>
                <w:sz w:val="20"/>
                <w:szCs w:val="20"/>
                <w:color w:val="auto"/>
              </w:rPr>
            </w:pPr>
            <w:r>
              <w:rPr>
                <w:rFonts w:ascii="Arial" w:cs="Arial" w:eastAsia="Arial" w:hAnsi="Arial"/>
                <w:sz w:val="16"/>
                <w:szCs w:val="16"/>
                <w:color w:val="auto"/>
              </w:rPr>
              <w:t>date, to the last 30 days of the performance period. The maximum rTSR payout is capped at 100% of target shares if</w:t>
            </w:r>
          </w:p>
        </w:tc>
      </w:tr>
      <w:tr>
        <w:trPr>
          <w:trHeight w:val="215"/>
        </w:trPr>
        <w:tc>
          <w:tcPr>
            <w:tcW w:w="2240" w:type="dxa"/>
            <w:vAlign w:val="bottom"/>
          </w:tcPr>
          <w:p>
            <w:pPr>
              <w:spacing w:after="0"/>
              <w:rPr>
                <w:sz w:val="18"/>
                <w:szCs w:val="18"/>
                <w:color w:val="auto"/>
              </w:rPr>
            </w:pPr>
          </w:p>
        </w:tc>
        <w:tc>
          <w:tcPr>
            <w:tcW w:w="8640" w:type="dxa"/>
            <w:vAlign w:val="bottom"/>
          </w:tcPr>
          <w:p>
            <w:pPr>
              <w:ind w:left="260"/>
              <w:spacing w:after="0"/>
              <w:rPr>
                <w:sz w:val="20"/>
                <w:szCs w:val="20"/>
                <w:color w:val="auto"/>
              </w:rPr>
            </w:pPr>
            <w:r>
              <w:rPr>
                <w:rFonts w:ascii="Arial" w:cs="Arial" w:eastAsia="Arial" w:hAnsi="Arial"/>
                <w:sz w:val="16"/>
                <w:szCs w:val="16"/>
                <w:color w:val="auto"/>
              </w:rPr>
              <w:t>the absolute TSR is negative, even if the rTSR would have resulted in a higher score.</w:t>
            </w:r>
          </w:p>
        </w:tc>
      </w:tr>
      <w:tr>
        <w:trPr>
          <w:trHeight w:val="29"/>
        </w:trPr>
        <w:tc>
          <w:tcPr>
            <w:tcW w:w="2240" w:type="dxa"/>
            <w:vAlign w:val="bottom"/>
            <w:tcBorders>
              <w:bottom w:val="single" w:sz="8" w:color="BCBEC0"/>
            </w:tcBorders>
          </w:tcPr>
          <w:p>
            <w:pPr>
              <w:spacing w:after="0"/>
              <w:rPr>
                <w:sz w:val="2"/>
                <w:szCs w:val="2"/>
                <w:color w:val="auto"/>
              </w:rPr>
            </w:pPr>
          </w:p>
        </w:tc>
        <w:tc>
          <w:tcPr>
            <w:tcW w:w="8640" w:type="dxa"/>
            <w:vAlign w:val="bottom"/>
            <w:tcBorders>
              <w:bottom w:val="single" w:sz="8" w:color="BCBEC0"/>
            </w:tcBorders>
          </w:tcPr>
          <w:p>
            <w:pPr>
              <w:spacing w:after="0"/>
              <w:rPr>
                <w:sz w:val="2"/>
                <w:szCs w:val="2"/>
                <w:color w:val="auto"/>
              </w:rPr>
            </w:pPr>
          </w:p>
        </w:tc>
      </w:tr>
      <w:tr>
        <w:trPr>
          <w:trHeight w:val="236"/>
        </w:trPr>
        <w:tc>
          <w:tcPr>
            <w:tcW w:w="2240" w:type="dxa"/>
            <w:vAlign w:val="bottom"/>
          </w:tcPr>
          <w:p>
            <w:pPr>
              <w:ind w:left="20"/>
              <w:spacing w:after="0"/>
              <w:rPr>
                <w:sz w:val="20"/>
                <w:szCs w:val="20"/>
                <w:color w:val="auto"/>
              </w:rPr>
            </w:pPr>
            <w:r>
              <w:rPr>
                <w:rFonts w:ascii="Arial" w:cs="Arial" w:eastAsia="Arial" w:hAnsi="Arial"/>
                <w:sz w:val="16"/>
                <w:szCs w:val="16"/>
                <w:b w:val="1"/>
                <w:bCs w:val="1"/>
                <w:color w:val="00249C"/>
              </w:rPr>
              <w:t>ADJUSTED CUMULATIVE</w:t>
            </w:r>
          </w:p>
        </w:tc>
        <w:tc>
          <w:tcPr>
            <w:tcW w:w="8640" w:type="dxa"/>
            <w:vAlign w:val="bottom"/>
          </w:tcPr>
          <w:p>
            <w:pPr>
              <w:ind w:left="260"/>
              <w:spacing w:after="0"/>
              <w:rPr>
                <w:sz w:val="20"/>
                <w:szCs w:val="20"/>
                <w:color w:val="auto"/>
              </w:rPr>
            </w:pPr>
            <w:r>
              <w:rPr>
                <w:rFonts w:ascii="Arial" w:cs="Arial" w:eastAsia="Arial" w:hAnsi="Arial"/>
                <w:sz w:val="16"/>
                <w:szCs w:val="16"/>
                <w:color w:val="auto"/>
              </w:rPr>
              <w:t>Adjusted Cumulative FCF* focuses on cash generation after capital investments and is calculated as the aggregate</w:t>
            </w:r>
          </w:p>
        </w:tc>
      </w:tr>
      <w:tr>
        <w:trPr>
          <w:trHeight w:val="203"/>
        </w:trPr>
        <w:tc>
          <w:tcPr>
            <w:tcW w:w="2240" w:type="dxa"/>
            <w:vAlign w:val="bottom"/>
          </w:tcPr>
          <w:p>
            <w:pPr>
              <w:ind w:left="20"/>
              <w:spacing w:after="0"/>
              <w:rPr>
                <w:sz w:val="20"/>
                <w:szCs w:val="20"/>
                <w:color w:val="auto"/>
              </w:rPr>
            </w:pPr>
            <w:r>
              <w:rPr>
                <w:rFonts w:ascii="Arial" w:cs="Arial" w:eastAsia="Arial" w:hAnsi="Arial"/>
                <w:sz w:val="16"/>
                <w:szCs w:val="16"/>
                <w:b w:val="1"/>
                <w:bCs w:val="1"/>
                <w:color w:val="00249C"/>
              </w:rPr>
              <w:t>FCF*</w:t>
            </w:r>
          </w:p>
        </w:tc>
        <w:tc>
          <w:tcPr>
            <w:tcW w:w="8640" w:type="dxa"/>
            <w:vAlign w:val="bottom"/>
          </w:tcPr>
          <w:p>
            <w:pPr>
              <w:ind w:left="260"/>
              <w:spacing w:after="0"/>
              <w:rPr>
                <w:sz w:val="20"/>
                <w:szCs w:val="20"/>
                <w:color w:val="auto"/>
              </w:rPr>
            </w:pPr>
            <w:r>
              <w:rPr>
                <w:rFonts w:ascii="Arial" w:cs="Arial" w:eastAsia="Arial" w:hAnsi="Arial"/>
                <w:sz w:val="16"/>
                <w:szCs w:val="16"/>
                <w:color w:val="auto"/>
              </w:rPr>
              <w:t>Transaction-Adjusted Free Cash Flow Before After-Tax Total Pension Funding*, adjusted to exclude total CAS</w:t>
            </w:r>
          </w:p>
        </w:tc>
      </w:tr>
      <w:tr>
        <w:trPr>
          <w:trHeight w:val="224"/>
        </w:trPr>
        <w:tc>
          <w:tcPr>
            <w:tcW w:w="2240" w:type="dxa"/>
            <w:vAlign w:val="bottom"/>
            <w:tcBorders>
              <w:bottom w:val="single" w:sz="8" w:color="BCBEC0"/>
            </w:tcBorders>
          </w:tcPr>
          <w:p>
            <w:pPr>
              <w:spacing w:after="0"/>
              <w:rPr>
                <w:sz w:val="19"/>
                <w:szCs w:val="19"/>
                <w:color w:val="auto"/>
              </w:rPr>
            </w:pPr>
          </w:p>
        </w:tc>
        <w:tc>
          <w:tcPr>
            <w:tcW w:w="8640" w:type="dxa"/>
            <w:vAlign w:val="bottom"/>
            <w:tcBorders>
              <w:bottom w:val="single" w:sz="8" w:color="BCBEC0"/>
            </w:tcBorders>
          </w:tcPr>
          <w:p>
            <w:pPr>
              <w:ind w:left="260"/>
              <w:spacing w:after="0"/>
              <w:rPr>
                <w:sz w:val="20"/>
                <w:szCs w:val="20"/>
                <w:color w:val="auto"/>
              </w:rPr>
            </w:pPr>
            <w:r>
              <w:rPr>
                <w:rFonts w:ascii="Arial" w:cs="Arial" w:eastAsia="Arial" w:hAnsi="Arial"/>
                <w:sz w:val="16"/>
                <w:szCs w:val="16"/>
                <w:color w:val="auto"/>
              </w:rPr>
              <w:t>pension recovery over a three year period.</w:t>
            </w:r>
          </w:p>
        </w:tc>
      </w:tr>
      <w:tr>
        <w:trPr>
          <w:trHeight w:val="242"/>
        </w:trPr>
        <w:tc>
          <w:tcPr>
            <w:tcW w:w="2240" w:type="dxa"/>
            <w:vAlign w:val="bottom"/>
          </w:tcPr>
          <w:p>
            <w:pPr>
              <w:ind w:left="20"/>
              <w:spacing w:after="0"/>
              <w:rPr>
                <w:sz w:val="20"/>
                <w:szCs w:val="20"/>
                <w:color w:val="auto"/>
              </w:rPr>
            </w:pPr>
            <w:r>
              <w:rPr>
                <w:rFonts w:ascii="Arial" w:cs="Arial" w:eastAsia="Arial" w:hAnsi="Arial"/>
                <w:sz w:val="16"/>
                <w:szCs w:val="16"/>
                <w:b w:val="1"/>
                <w:bCs w:val="1"/>
                <w:color w:val="00249C"/>
              </w:rPr>
              <w:t>RETURN ON INVESTED</w:t>
            </w:r>
          </w:p>
        </w:tc>
        <w:tc>
          <w:tcPr>
            <w:tcW w:w="8640" w:type="dxa"/>
            <w:vAlign w:val="bottom"/>
          </w:tcPr>
          <w:p>
            <w:pPr>
              <w:ind w:left="260"/>
              <w:spacing w:after="0"/>
              <w:rPr>
                <w:sz w:val="20"/>
                <w:szCs w:val="20"/>
                <w:color w:val="auto"/>
              </w:rPr>
            </w:pPr>
            <w:r>
              <w:rPr>
                <w:rFonts w:ascii="Arial" w:cs="Arial" w:eastAsia="Arial" w:hAnsi="Arial"/>
                <w:sz w:val="16"/>
                <w:szCs w:val="16"/>
                <w:color w:val="auto"/>
              </w:rPr>
              <w:t>Return on Invested Capital* is calculated as the three-year average of Pension-Adjusted Net Operating Profit After-</w:t>
            </w:r>
          </w:p>
        </w:tc>
      </w:tr>
      <w:tr>
        <w:trPr>
          <w:trHeight w:val="223"/>
        </w:trPr>
        <w:tc>
          <w:tcPr>
            <w:tcW w:w="2240" w:type="dxa"/>
            <w:vAlign w:val="bottom"/>
          </w:tcPr>
          <w:p>
            <w:pPr>
              <w:ind w:left="20"/>
              <w:spacing w:after="0"/>
              <w:rPr>
                <w:sz w:val="20"/>
                <w:szCs w:val="20"/>
                <w:color w:val="auto"/>
              </w:rPr>
            </w:pPr>
            <w:r>
              <w:rPr>
                <w:rFonts w:ascii="Arial" w:cs="Arial" w:eastAsia="Arial" w:hAnsi="Arial"/>
                <w:sz w:val="16"/>
                <w:szCs w:val="16"/>
                <w:b w:val="1"/>
                <w:bCs w:val="1"/>
                <w:color w:val="00249C"/>
              </w:rPr>
              <w:t>CAPITAL*</w:t>
            </w:r>
          </w:p>
        </w:tc>
        <w:tc>
          <w:tcPr>
            <w:tcW w:w="8640" w:type="dxa"/>
            <w:vAlign w:val="bottom"/>
          </w:tcPr>
          <w:p>
            <w:pPr>
              <w:ind w:left="260"/>
              <w:spacing w:after="0"/>
              <w:rPr>
                <w:sz w:val="20"/>
                <w:szCs w:val="20"/>
                <w:color w:val="auto"/>
              </w:rPr>
            </w:pPr>
            <w:r>
              <w:rPr>
                <w:rFonts w:ascii="Arial" w:cs="Arial" w:eastAsia="Arial" w:hAnsi="Arial"/>
                <w:sz w:val="16"/>
                <w:szCs w:val="16"/>
                <w:color w:val="auto"/>
              </w:rPr>
              <w:t>Tax* (Pension-Adjusted NOPAT*) divided by the three-year average of Invested Capital*.</w:t>
            </w:r>
          </w:p>
        </w:tc>
      </w:tr>
      <w:tr>
        <w:trPr>
          <w:trHeight w:val="21"/>
        </w:trPr>
        <w:tc>
          <w:tcPr>
            <w:tcW w:w="2240" w:type="dxa"/>
            <w:vAlign w:val="bottom"/>
            <w:tcBorders>
              <w:bottom w:val="single" w:sz="8" w:color="BCBEC0"/>
            </w:tcBorders>
          </w:tcPr>
          <w:p>
            <w:pPr>
              <w:spacing w:after="0" w:line="20" w:lineRule="exact"/>
              <w:rPr>
                <w:sz w:val="1"/>
                <w:szCs w:val="1"/>
                <w:color w:val="auto"/>
              </w:rPr>
            </w:pPr>
          </w:p>
        </w:tc>
        <w:tc>
          <w:tcPr>
            <w:tcW w:w="8640" w:type="dxa"/>
            <w:vAlign w:val="bottom"/>
            <w:tcBorders>
              <w:bottom w:val="single" w:sz="8" w:color="BCBEC0"/>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 This metric is a non-GAAP financial measure. For more information, see “Appendix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 w:hanging="494"/>
        <w:spacing w:after="0"/>
        <w:tabs>
          <w:tab w:leader="none" w:pos="520" w:val="left"/>
        </w:tabs>
        <w:numPr>
          <w:ilvl w:val="0"/>
          <w:numId w:val="123"/>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6D6E71"/>
        </w:rPr>
        <w:t>Recently Completed RPSR Performance Period (2021-2023)</w:t>
      </w:r>
    </w:p>
    <w:p>
      <w:pPr>
        <w:spacing w:after="0" w:line="11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In February 2021, when granting RPSRs to NEOs who were elected officers at the time of the grant, the Compensation and Human Capital Committee selected rTSR, Adjusted Cumulative FCF* and Operating Return on Net Assets*, equally weighted at 1/3, as the performance metrics for the awards and established the performance criteria for the awards as set forth in the table below. Based on the performance against these metrics, shares earned for 2021 RPSR grants can vary from 0% to 200% of the rights awarded.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Performance Required to Score</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Borders>
              <w:bottom w:val="single" w:sz="8" w:color="29378D"/>
            </w:tcBorders>
          </w:tcPr>
          <w:p>
            <w:pPr>
              <w:spacing w:after="0" w:line="20" w:lineRule="exact"/>
              <w:rPr>
                <w:sz w:val="1"/>
                <w:szCs w:val="1"/>
                <w:color w:val="auto"/>
              </w:rPr>
            </w:pPr>
          </w:p>
        </w:tc>
        <w:tc>
          <w:tcPr>
            <w:tcW w:w="1320" w:type="dxa"/>
            <w:vAlign w:val="bottom"/>
            <w:tcBorders>
              <w:bottom w:val="single" w:sz="8" w:color="29378D"/>
            </w:tcBorders>
          </w:tcPr>
          <w:p>
            <w:pPr>
              <w:spacing w:after="0" w:line="20" w:lineRule="exact"/>
              <w:rPr>
                <w:sz w:val="1"/>
                <w:szCs w:val="1"/>
                <w:color w:val="auto"/>
              </w:rPr>
            </w:pPr>
          </w:p>
        </w:tc>
        <w:tc>
          <w:tcPr>
            <w:tcW w:w="80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jc w:val="center"/>
              <w:ind w:left="17"/>
              <w:spacing w:after="0"/>
              <w:rPr>
                <w:sz w:val="20"/>
                <w:szCs w:val="20"/>
                <w:color w:val="auto"/>
              </w:rPr>
            </w:pPr>
            <w:r>
              <w:rPr>
                <w:rFonts w:ascii="Arial" w:cs="Arial" w:eastAsia="Arial" w:hAnsi="Arial"/>
                <w:sz w:val="13"/>
                <w:szCs w:val="13"/>
                <w:b w:val="1"/>
                <w:bCs w:val="1"/>
                <w:color w:val="auto"/>
                <w:w w:val="95"/>
              </w:rPr>
              <w:t>Threshold</w:t>
            </w:r>
          </w:p>
        </w:tc>
        <w:tc>
          <w:tcPr>
            <w:tcW w:w="1320" w:type="dxa"/>
            <w:vAlign w:val="bottom"/>
          </w:tcPr>
          <w:p>
            <w:pPr>
              <w:jc w:val="center"/>
              <w:ind w:left="717"/>
              <w:spacing w:after="0"/>
              <w:rPr>
                <w:sz w:val="20"/>
                <w:szCs w:val="20"/>
                <w:color w:val="auto"/>
              </w:rPr>
            </w:pPr>
            <w:r>
              <w:rPr>
                <w:rFonts w:ascii="Arial" w:cs="Arial" w:eastAsia="Arial" w:hAnsi="Arial"/>
                <w:sz w:val="13"/>
                <w:szCs w:val="13"/>
                <w:b w:val="1"/>
                <w:bCs w:val="1"/>
                <w:color w:val="auto"/>
                <w:w w:val="95"/>
              </w:rPr>
              <w:t>Target</w:t>
            </w:r>
          </w:p>
        </w:tc>
        <w:tc>
          <w:tcPr>
            <w:tcW w:w="800" w:type="dxa"/>
            <w:vAlign w:val="bottom"/>
          </w:tcPr>
          <w:p>
            <w:pPr>
              <w:spacing w:after="0"/>
              <w:rPr>
                <w:sz w:val="18"/>
                <w:szCs w:val="18"/>
                <w:color w:val="auto"/>
              </w:rPr>
            </w:pPr>
          </w:p>
        </w:tc>
        <w:tc>
          <w:tcPr>
            <w:tcW w:w="90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Maximum</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Borders>
              <w:bottom w:val="single" w:sz="8" w:color="29378D"/>
            </w:tcBorders>
          </w:tcPr>
          <w:p>
            <w:pPr>
              <w:spacing w:after="0" w:line="20" w:lineRule="exact"/>
              <w:rPr>
                <w:sz w:val="1"/>
                <w:szCs w:val="1"/>
                <w:color w:val="auto"/>
              </w:rPr>
            </w:pPr>
          </w:p>
        </w:tc>
        <w:tc>
          <w:tcPr>
            <w:tcW w:w="1320" w:type="dxa"/>
            <w:vAlign w:val="bottom"/>
            <w:tcBorders>
              <w:bottom w:val="single" w:sz="8" w:color="29378D"/>
            </w:tcBorders>
          </w:tcPr>
          <w:p>
            <w:pPr>
              <w:spacing w:after="0" w:line="20" w:lineRule="exact"/>
              <w:rPr>
                <w:sz w:val="1"/>
                <w:szCs w:val="1"/>
                <w:color w:val="auto"/>
              </w:rPr>
            </w:pPr>
          </w:p>
        </w:tc>
        <w:tc>
          <w:tcPr>
            <w:tcW w:w="80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jc w:val="center"/>
              <w:ind w:right="137"/>
              <w:spacing w:after="0"/>
              <w:rPr>
                <w:sz w:val="20"/>
                <w:szCs w:val="20"/>
                <w:color w:val="auto"/>
              </w:rPr>
            </w:pPr>
            <w:r>
              <w:rPr>
                <w:rFonts w:ascii="Arial" w:cs="Arial" w:eastAsia="Arial" w:hAnsi="Arial"/>
                <w:sz w:val="13"/>
                <w:szCs w:val="13"/>
                <w:b w:val="1"/>
                <w:bCs w:val="1"/>
                <w:color w:val="auto"/>
                <w:w w:val="92"/>
              </w:rPr>
              <w:t>Low</w:t>
            </w:r>
          </w:p>
        </w:tc>
        <w:tc>
          <w:tcPr>
            <w:tcW w:w="800" w:type="dxa"/>
            <w:vAlign w:val="bottom"/>
          </w:tcPr>
          <w:p>
            <w:pPr>
              <w:ind w:left="80"/>
              <w:spacing w:after="0"/>
              <w:rPr>
                <w:sz w:val="20"/>
                <w:szCs w:val="20"/>
                <w:color w:val="auto"/>
              </w:rPr>
            </w:pPr>
            <w:r>
              <w:rPr>
                <w:rFonts w:ascii="Arial" w:cs="Arial" w:eastAsia="Arial" w:hAnsi="Arial"/>
                <w:sz w:val="13"/>
                <w:szCs w:val="13"/>
                <w:b w:val="1"/>
                <w:bCs w:val="1"/>
                <w:color w:val="auto"/>
              </w:rPr>
              <w:t>High</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500" w:type="dxa"/>
            <w:vAlign w:val="bottom"/>
          </w:tcPr>
          <w:p>
            <w:pPr>
              <w:ind w:left="20"/>
              <w:spacing w:after="0"/>
              <w:rPr>
                <w:sz w:val="20"/>
                <w:szCs w:val="20"/>
                <w:color w:val="auto"/>
              </w:rPr>
            </w:pPr>
            <w:r>
              <w:rPr>
                <w:rFonts w:ascii="Arial" w:cs="Arial" w:eastAsia="Arial" w:hAnsi="Arial"/>
                <w:sz w:val="13"/>
                <w:szCs w:val="13"/>
                <w:b w:val="1"/>
                <w:bCs w:val="1"/>
                <w:color w:val="auto"/>
              </w:rPr>
              <w:t>RPSR Metrics</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Weighting</w:t>
            </w:r>
          </w:p>
        </w:tc>
        <w:tc>
          <w:tcPr>
            <w:tcW w:w="920" w:type="dxa"/>
            <w:vAlign w:val="bottom"/>
          </w:tcPr>
          <w:p>
            <w:pPr>
              <w:jc w:val="right"/>
              <w:ind w:right="277"/>
              <w:spacing w:after="0"/>
              <w:rPr>
                <w:sz w:val="20"/>
                <w:szCs w:val="20"/>
                <w:color w:val="auto"/>
              </w:rPr>
            </w:pPr>
            <w:r>
              <w:rPr>
                <w:rFonts w:ascii="Arial" w:cs="Arial" w:eastAsia="Arial" w:hAnsi="Arial"/>
                <w:sz w:val="13"/>
                <w:szCs w:val="13"/>
                <w:b w:val="1"/>
                <w:bCs w:val="1"/>
                <w:color w:val="auto"/>
              </w:rPr>
              <w:t>0%</w:t>
            </w:r>
          </w:p>
        </w:tc>
        <w:tc>
          <w:tcPr>
            <w:tcW w:w="1320" w:type="dxa"/>
            <w:vAlign w:val="bottom"/>
          </w:tcPr>
          <w:p>
            <w:pPr>
              <w:jc w:val="right"/>
              <w:ind w:right="537"/>
              <w:spacing w:after="0"/>
              <w:rPr>
                <w:sz w:val="20"/>
                <w:szCs w:val="20"/>
                <w:color w:val="auto"/>
              </w:rPr>
            </w:pPr>
            <w:r>
              <w:rPr>
                <w:rFonts w:ascii="Arial" w:cs="Arial" w:eastAsia="Arial" w:hAnsi="Arial"/>
                <w:sz w:val="13"/>
                <w:szCs w:val="13"/>
                <w:b w:val="1"/>
                <w:bCs w:val="1"/>
                <w:color w:val="auto"/>
              </w:rPr>
              <w:t>100%</w:t>
            </w:r>
          </w:p>
        </w:tc>
        <w:tc>
          <w:tcPr>
            <w:tcW w:w="800" w:type="dxa"/>
            <w:vAlign w:val="bottom"/>
          </w:tcPr>
          <w:p>
            <w:pPr>
              <w:ind w:left="60"/>
              <w:spacing w:after="0"/>
              <w:rPr>
                <w:sz w:val="20"/>
                <w:szCs w:val="20"/>
                <w:color w:val="auto"/>
              </w:rPr>
            </w:pPr>
            <w:r>
              <w:rPr>
                <w:rFonts w:ascii="Arial" w:cs="Arial" w:eastAsia="Arial" w:hAnsi="Arial"/>
                <w:sz w:val="13"/>
                <w:szCs w:val="13"/>
                <w:b w:val="1"/>
                <w:bCs w:val="1"/>
                <w:color w:val="auto"/>
              </w:rPr>
              <w:t>100%</w:t>
            </w:r>
          </w:p>
        </w:tc>
        <w:tc>
          <w:tcPr>
            <w:tcW w:w="900" w:type="dxa"/>
            <w:vAlign w:val="bottom"/>
          </w:tcPr>
          <w:p>
            <w:pPr>
              <w:jc w:val="right"/>
              <w:ind w:right="257"/>
              <w:spacing w:after="0"/>
              <w:rPr>
                <w:sz w:val="20"/>
                <w:szCs w:val="20"/>
                <w:color w:val="auto"/>
              </w:rPr>
            </w:pPr>
            <w:r>
              <w:rPr>
                <w:rFonts w:ascii="Arial" w:cs="Arial" w:eastAsia="Arial" w:hAnsi="Arial"/>
                <w:sz w:val="13"/>
                <w:szCs w:val="13"/>
                <w:b w:val="1"/>
                <w:bCs w:val="1"/>
                <w:color w:val="auto"/>
              </w:rPr>
              <w:t>200%</w:t>
            </w:r>
          </w:p>
        </w:tc>
        <w:tc>
          <w:tcPr>
            <w:tcW w:w="960" w:type="dxa"/>
            <w:vAlign w:val="bottom"/>
          </w:tcPr>
          <w:p>
            <w:pPr>
              <w:ind w:left="160"/>
              <w:spacing w:after="0"/>
              <w:rPr>
                <w:sz w:val="20"/>
                <w:szCs w:val="20"/>
                <w:color w:val="auto"/>
              </w:rPr>
            </w:pPr>
            <w:r>
              <w:rPr>
                <w:rFonts w:ascii="Arial" w:cs="Arial" w:eastAsia="Arial" w:hAnsi="Arial"/>
                <w:sz w:val="13"/>
                <w:szCs w:val="13"/>
                <w:b w:val="1"/>
                <w:bCs w:val="1"/>
                <w:color w:val="auto"/>
              </w:rPr>
              <w:t>2023 Score</w:t>
            </w:r>
          </w:p>
        </w:tc>
        <w:tc>
          <w:tcPr>
            <w:tcW w:w="0" w:type="dxa"/>
            <w:vAlign w:val="bottom"/>
          </w:tcPr>
          <w:p>
            <w:pPr>
              <w:spacing w:after="0"/>
              <w:rPr>
                <w:sz w:val="1"/>
                <w:szCs w:val="1"/>
                <w:color w:val="auto"/>
              </w:rPr>
            </w:pPr>
          </w:p>
        </w:tc>
      </w:tr>
      <w:tr>
        <w:trPr>
          <w:trHeight w:val="22"/>
        </w:trPr>
        <w:tc>
          <w:tcPr>
            <w:tcW w:w="2500" w:type="dxa"/>
            <w:vAlign w:val="bottom"/>
            <w:tcBorders>
              <w:bottom w:val="single" w:sz="8" w:color="29378D"/>
            </w:tcBorders>
          </w:tcPr>
          <w:p>
            <w:pPr>
              <w:spacing w:after="0" w:line="20" w:lineRule="exact"/>
              <w:rPr>
                <w:sz w:val="1"/>
                <w:szCs w:val="1"/>
                <w:color w:val="auto"/>
              </w:rPr>
            </w:pPr>
          </w:p>
        </w:tc>
        <w:tc>
          <w:tcPr>
            <w:tcW w:w="1340" w:type="dxa"/>
            <w:vAlign w:val="bottom"/>
            <w:tcBorders>
              <w:bottom w:val="single" w:sz="8" w:color="29378D"/>
            </w:tcBorders>
          </w:tcPr>
          <w:p>
            <w:pPr>
              <w:spacing w:after="0" w:line="20" w:lineRule="exact"/>
              <w:rPr>
                <w:sz w:val="1"/>
                <w:szCs w:val="1"/>
                <w:color w:val="auto"/>
              </w:rPr>
            </w:pPr>
          </w:p>
        </w:tc>
        <w:tc>
          <w:tcPr>
            <w:tcW w:w="920" w:type="dxa"/>
            <w:vAlign w:val="bottom"/>
            <w:tcBorders>
              <w:bottom w:val="single" w:sz="8" w:color="29378D"/>
            </w:tcBorders>
          </w:tcPr>
          <w:p>
            <w:pPr>
              <w:spacing w:after="0" w:line="20" w:lineRule="exact"/>
              <w:rPr>
                <w:sz w:val="1"/>
                <w:szCs w:val="1"/>
                <w:color w:val="auto"/>
              </w:rPr>
            </w:pPr>
          </w:p>
        </w:tc>
        <w:tc>
          <w:tcPr>
            <w:tcW w:w="1320" w:type="dxa"/>
            <w:vAlign w:val="bottom"/>
            <w:tcBorders>
              <w:bottom w:val="single" w:sz="8" w:color="29378D"/>
            </w:tcBorders>
          </w:tcPr>
          <w:p>
            <w:pPr>
              <w:spacing w:after="0" w:line="20" w:lineRule="exact"/>
              <w:rPr>
                <w:sz w:val="1"/>
                <w:szCs w:val="1"/>
                <w:color w:val="auto"/>
              </w:rPr>
            </w:pPr>
          </w:p>
        </w:tc>
        <w:tc>
          <w:tcPr>
            <w:tcW w:w="80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96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2500" w:type="dxa"/>
            <w:vAlign w:val="bottom"/>
            <w:vMerge w:val="restart"/>
          </w:tcPr>
          <w:p>
            <w:pPr>
              <w:ind w:left="20"/>
              <w:spacing w:after="0"/>
              <w:rPr>
                <w:sz w:val="20"/>
                <w:szCs w:val="20"/>
                <w:color w:val="auto"/>
              </w:rPr>
            </w:pPr>
            <w:r>
              <w:rPr>
                <w:rFonts w:ascii="Arial" w:cs="Arial" w:eastAsia="Arial" w:hAnsi="Arial"/>
                <w:sz w:val="16"/>
                <w:szCs w:val="16"/>
                <w:color w:val="auto"/>
              </w:rPr>
              <w:t>Relative TSR - 2021 TSR Peer</w:t>
            </w: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500" w:type="dxa"/>
            <w:vAlign w:val="bottom"/>
            <w:vMerge w:val="continue"/>
          </w:tcPr>
          <w:p>
            <w:pPr>
              <w:spacing w:after="0"/>
              <w:rPr>
                <w:sz w:val="15"/>
                <w:szCs w:val="15"/>
                <w:color w:val="auto"/>
              </w:rPr>
            </w:pPr>
          </w:p>
        </w:tc>
        <w:tc>
          <w:tcPr>
            <w:tcW w:w="1340" w:type="dxa"/>
            <w:vAlign w:val="bottom"/>
            <w:tcBorders>
              <w:left w:val="single" w:sz="8" w:color="CCD4DB"/>
            </w:tcBorders>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20"/>
              <w:spacing w:after="0"/>
              <w:rPr>
                <w:sz w:val="20"/>
                <w:szCs w:val="20"/>
                <w:color w:val="auto"/>
              </w:rPr>
            </w:pPr>
            <w:r>
              <w:rPr>
                <w:rFonts w:ascii="Arial" w:cs="Arial" w:eastAsia="Arial" w:hAnsi="Arial"/>
                <w:sz w:val="16"/>
                <w:szCs w:val="16"/>
                <w:color w:val="auto"/>
              </w:rPr>
              <w:t>Group</w:t>
            </w:r>
          </w:p>
        </w:tc>
        <w:tc>
          <w:tcPr>
            <w:tcW w:w="1340" w:type="dxa"/>
            <w:vAlign w:val="bottom"/>
            <w:tcBorders>
              <w:left w:val="single" w:sz="8" w:color="CCD4DB"/>
            </w:tcBorders>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99"/>
              </w:rPr>
              <w:t>28%</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340" w:type="dxa"/>
            <w:vAlign w:val="bottom"/>
            <w:tcBorders>
              <w:left w:val="single" w:sz="8" w:color="CCD4DB"/>
            </w:tcBorders>
          </w:tcPr>
          <w:p>
            <w:pPr>
              <w:spacing w:after="0"/>
              <w:rPr>
                <w:sz w:val="5"/>
                <w:szCs w:val="5"/>
                <w:color w:val="auto"/>
              </w:rPr>
            </w:pPr>
          </w:p>
        </w:tc>
        <w:tc>
          <w:tcPr>
            <w:tcW w:w="9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0"/>
        </w:trPr>
        <w:tc>
          <w:tcPr>
            <w:tcW w:w="2500" w:type="dxa"/>
            <w:vAlign w:val="bottom"/>
            <w:vMerge w:val="restart"/>
          </w:tcPr>
          <w:p>
            <w:pPr>
              <w:ind w:left="20"/>
              <w:spacing w:after="0"/>
              <w:rPr>
                <w:sz w:val="20"/>
                <w:szCs w:val="20"/>
                <w:color w:val="auto"/>
              </w:rPr>
            </w:pPr>
            <w:r>
              <w:rPr>
                <w:rFonts w:ascii="Arial" w:cs="Arial" w:eastAsia="Arial" w:hAnsi="Arial"/>
                <w:sz w:val="16"/>
                <w:szCs w:val="16"/>
                <w:color w:val="auto"/>
              </w:rPr>
              <w:t>Relative TSR - S&amp;P Industrials</w:t>
            </w:r>
          </w:p>
        </w:tc>
        <w:tc>
          <w:tcPr>
            <w:tcW w:w="1340" w:type="dxa"/>
            <w:vAlign w:val="bottom"/>
            <w:tcBorders>
              <w:left w:val="single" w:sz="8" w:color="CCD4DB"/>
            </w:tcBorders>
          </w:tcPr>
          <w:p>
            <w:pPr>
              <w:jc w:val="center"/>
              <w:spacing w:after="0"/>
              <w:rPr>
                <w:sz w:val="20"/>
                <w:szCs w:val="20"/>
                <w:color w:val="auto"/>
              </w:rPr>
            </w:pPr>
            <w:r>
              <w:rPr>
                <w:rFonts w:ascii="Arial" w:cs="Arial" w:eastAsia="Arial" w:hAnsi="Arial"/>
                <w:sz w:val="16"/>
                <w:szCs w:val="16"/>
                <w:color w:val="auto"/>
              </w:rPr>
              <w:t>1/3</w:t>
            </w:r>
          </w:p>
        </w:tc>
        <w:tc>
          <w:tcPr>
            <w:tcW w:w="920" w:type="dxa"/>
            <w:vAlign w:val="bottom"/>
            <w:tcBorders>
              <w:bottom w:val="single" w:sz="8" w:color="BCBEC0"/>
            </w:tcBorders>
          </w:tcPr>
          <w:p>
            <w:pPr>
              <w:spacing w:after="0"/>
              <w:rPr>
                <w:sz w:val="24"/>
                <w:szCs w:val="24"/>
                <w:color w:val="auto"/>
              </w:rPr>
            </w:pPr>
          </w:p>
        </w:tc>
        <w:tc>
          <w:tcPr>
            <w:tcW w:w="1320" w:type="dxa"/>
            <w:vAlign w:val="bottom"/>
            <w:tcBorders>
              <w:bottom w:val="single" w:sz="8" w:color="BCBEC0"/>
            </w:tcBorders>
          </w:tcPr>
          <w:p>
            <w:pPr>
              <w:spacing w:after="0"/>
              <w:rPr>
                <w:sz w:val="24"/>
                <w:szCs w:val="24"/>
                <w:color w:val="auto"/>
              </w:rPr>
            </w:pPr>
          </w:p>
        </w:tc>
        <w:tc>
          <w:tcPr>
            <w:tcW w:w="800" w:type="dxa"/>
            <w:vAlign w:val="bottom"/>
            <w:tcBorders>
              <w:bottom w:val="single" w:sz="8" w:color="BCBEC0"/>
            </w:tcBorders>
          </w:tcPr>
          <w:p>
            <w:pPr>
              <w:spacing w:after="0"/>
              <w:rPr>
                <w:sz w:val="24"/>
                <w:szCs w:val="24"/>
                <w:color w:val="auto"/>
              </w:rPr>
            </w:pPr>
          </w:p>
        </w:tc>
        <w:tc>
          <w:tcPr>
            <w:tcW w:w="900" w:type="dxa"/>
            <w:vAlign w:val="bottom"/>
            <w:tcBorders>
              <w:bottom w:val="single" w:sz="8" w:color="BCBEC0"/>
            </w:tcBorders>
          </w:tcPr>
          <w:p>
            <w:pPr>
              <w:spacing w:after="0"/>
              <w:rPr>
                <w:sz w:val="24"/>
                <w:szCs w:val="24"/>
                <w:color w:val="auto"/>
              </w:rPr>
            </w:pPr>
          </w:p>
        </w:tc>
        <w:tc>
          <w:tcPr>
            <w:tcW w:w="960" w:type="dxa"/>
            <w:vAlign w:val="bottom"/>
            <w:tcBorders>
              <w:bottom w:val="single" w:sz="8" w:color="CCD4DB"/>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500" w:type="dxa"/>
            <w:vAlign w:val="bottom"/>
            <w:vMerge w:val="continue"/>
          </w:tcPr>
          <w:p>
            <w:pPr>
              <w:spacing w:after="0"/>
              <w:rPr>
                <w:sz w:val="16"/>
                <w:szCs w:val="16"/>
                <w:color w:val="auto"/>
              </w:rPr>
            </w:pPr>
          </w:p>
        </w:tc>
        <w:tc>
          <w:tcPr>
            <w:tcW w:w="1340" w:type="dxa"/>
            <w:vAlign w:val="bottom"/>
            <w:tcBorders>
              <w:left w:val="single" w:sz="8" w:color="CCD4DB"/>
            </w:tcBorders>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500" w:type="dxa"/>
            <w:vAlign w:val="bottom"/>
          </w:tcPr>
          <w:p>
            <w:pPr>
              <w:spacing w:after="0"/>
              <w:rPr>
                <w:sz w:val="22"/>
                <w:szCs w:val="22"/>
                <w:color w:val="auto"/>
              </w:rPr>
            </w:pPr>
          </w:p>
        </w:tc>
        <w:tc>
          <w:tcPr>
            <w:tcW w:w="1340" w:type="dxa"/>
            <w:vAlign w:val="bottom"/>
            <w:tcBorders>
              <w:left w:val="single" w:sz="8" w:color="CCD4DB"/>
            </w:tcBorders>
          </w:tcPr>
          <w:p>
            <w:pPr>
              <w:spacing w:after="0"/>
              <w:rPr>
                <w:sz w:val="22"/>
                <w:szCs w:val="22"/>
                <w:color w:val="auto"/>
              </w:rPr>
            </w:pPr>
          </w:p>
        </w:tc>
        <w:tc>
          <w:tcPr>
            <w:tcW w:w="9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33%</w:t>
            </w:r>
          </w:p>
        </w:tc>
        <w:tc>
          <w:tcPr>
            <w:tcW w:w="0" w:type="dxa"/>
            <w:vAlign w:val="bottom"/>
          </w:tcPr>
          <w:p>
            <w:pPr>
              <w:spacing w:after="0"/>
              <w:rPr>
                <w:sz w:val="1"/>
                <w:szCs w:val="1"/>
                <w:color w:val="auto"/>
              </w:rPr>
            </w:pPr>
          </w:p>
        </w:tc>
      </w:tr>
      <w:tr>
        <w:trPr>
          <w:trHeight w:val="326"/>
        </w:trPr>
        <w:tc>
          <w:tcPr>
            <w:tcW w:w="2500" w:type="dxa"/>
            <w:vAlign w:val="bottom"/>
            <w:tcBorders>
              <w:bottom w:val="single" w:sz="8" w:color="CCD4DB"/>
            </w:tcBorders>
          </w:tcPr>
          <w:p>
            <w:pPr>
              <w:spacing w:after="0"/>
              <w:rPr>
                <w:sz w:val="24"/>
                <w:szCs w:val="24"/>
                <w:color w:val="auto"/>
              </w:rPr>
            </w:pPr>
          </w:p>
        </w:tc>
        <w:tc>
          <w:tcPr>
            <w:tcW w:w="1340" w:type="dxa"/>
            <w:vAlign w:val="bottom"/>
            <w:tcBorders>
              <w:left w:val="single" w:sz="8" w:color="CCD4DB"/>
              <w:bottom w:val="single" w:sz="8" w:color="CCD4DB"/>
            </w:tcBorders>
          </w:tcPr>
          <w:p>
            <w:pPr>
              <w:spacing w:after="0"/>
              <w:rPr>
                <w:sz w:val="24"/>
                <w:szCs w:val="24"/>
                <w:color w:val="auto"/>
              </w:rPr>
            </w:pPr>
          </w:p>
        </w:tc>
        <w:tc>
          <w:tcPr>
            <w:tcW w:w="920" w:type="dxa"/>
            <w:vAlign w:val="bottom"/>
            <w:tcBorders>
              <w:bottom w:val="single" w:sz="8" w:color="CCD4DB"/>
            </w:tcBorders>
          </w:tcPr>
          <w:p>
            <w:pPr>
              <w:spacing w:after="0"/>
              <w:rPr>
                <w:sz w:val="24"/>
                <w:szCs w:val="24"/>
                <w:color w:val="auto"/>
              </w:rPr>
            </w:pPr>
          </w:p>
        </w:tc>
        <w:tc>
          <w:tcPr>
            <w:tcW w:w="1320" w:type="dxa"/>
            <w:vAlign w:val="bottom"/>
            <w:tcBorders>
              <w:bottom w:val="single" w:sz="8" w:color="CCD4DB"/>
            </w:tcBorders>
          </w:tcPr>
          <w:p>
            <w:pPr>
              <w:spacing w:after="0"/>
              <w:rPr>
                <w:sz w:val="24"/>
                <w:szCs w:val="24"/>
                <w:color w:val="auto"/>
              </w:rPr>
            </w:pPr>
          </w:p>
        </w:tc>
        <w:tc>
          <w:tcPr>
            <w:tcW w:w="800" w:type="dxa"/>
            <w:vAlign w:val="bottom"/>
            <w:tcBorders>
              <w:bottom w:val="single" w:sz="8" w:color="CCD4DB"/>
            </w:tcBorders>
          </w:tcPr>
          <w:p>
            <w:pPr>
              <w:spacing w:after="0"/>
              <w:rPr>
                <w:sz w:val="24"/>
                <w:szCs w:val="24"/>
                <w:color w:val="auto"/>
              </w:rPr>
            </w:pPr>
          </w:p>
        </w:tc>
        <w:tc>
          <w:tcPr>
            <w:tcW w:w="900" w:type="dxa"/>
            <w:vAlign w:val="bottom"/>
            <w:tcBorders>
              <w:bottom w:val="single" w:sz="8" w:color="CCD4DB"/>
            </w:tcBorders>
          </w:tcPr>
          <w:p>
            <w:pPr>
              <w:spacing w:after="0"/>
              <w:rPr>
                <w:sz w:val="24"/>
                <w:szCs w:val="24"/>
                <w:color w:val="auto"/>
              </w:rPr>
            </w:pPr>
          </w:p>
        </w:tc>
        <w:tc>
          <w:tcPr>
            <w:tcW w:w="960" w:type="dxa"/>
            <w:vAlign w:val="bottom"/>
            <w:tcBorders>
              <w:bottom w:val="single" w:sz="8" w:color="CCD4DB"/>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500" w:type="dxa"/>
            <w:vAlign w:val="bottom"/>
          </w:tcPr>
          <w:p>
            <w:pPr>
              <w:ind w:left="20"/>
              <w:spacing w:after="0"/>
              <w:rPr>
                <w:sz w:val="20"/>
                <w:szCs w:val="20"/>
                <w:color w:val="auto"/>
              </w:rPr>
            </w:pPr>
            <w:r>
              <w:rPr>
                <w:rFonts w:ascii="Arial" w:cs="Arial" w:eastAsia="Arial" w:hAnsi="Arial"/>
                <w:sz w:val="16"/>
                <w:szCs w:val="16"/>
                <w:color w:val="auto"/>
              </w:rPr>
              <w:t>Adjusted Cumulative FCF*</w:t>
            </w:r>
          </w:p>
        </w:tc>
        <w:tc>
          <w:tcPr>
            <w:tcW w:w="1340" w:type="dxa"/>
            <w:vAlign w:val="bottom"/>
            <w:tcBorders>
              <w:left w:val="single" w:sz="8" w:color="CCD4DB"/>
            </w:tcBorders>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500" w:type="dxa"/>
            <w:vAlign w:val="bottom"/>
          </w:tcPr>
          <w:p>
            <w:pPr>
              <w:spacing w:after="0"/>
              <w:rPr>
                <w:sz w:val="21"/>
                <w:szCs w:val="21"/>
                <w:color w:val="auto"/>
              </w:rPr>
            </w:pPr>
          </w:p>
        </w:tc>
        <w:tc>
          <w:tcPr>
            <w:tcW w:w="1340" w:type="dxa"/>
            <w:vAlign w:val="bottom"/>
            <w:tcBorders>
              <w:left w:val="single" w:sz="8" w:color="CCD4DB"/>
            </w:tcBorders>
          </w:tcPr>
          <w:p>
            <w:pPr>
              <w:jc w:val="center"/>
              <w:spacing w:after="0"/>
              <w:rPr>
                <w:sz w:val="20"/>
                <w:szCs w:val="20"/>
                <w:color w:val="auto"/>
              </w:rPr>
            </w:pPr>
            <w:r>
              <w:rPr>
                <w:rFonts w:ascii="Arial" w:cs="Arial" w:eastAsia="Arial" w:hAnsi="Arial"/>
                <w:sz w:val="16"/>
                <w:szCs w:val="16"/>
                <w:color w:val="auto"/>
              </w:rPr>
              <w:t>1/3</w:t>
            </w:r>
          </w:p>
        </w:tc>
        <w:tc>
          <w:tcPr>
            <w:tcW w:w="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47%</w:t>
            </w:r>
          </w:p>
        </w:tc>
        <w:tc>
          <w:tcPr>
            <w:tcW w:w="0" w:type="dxa"/>
            <w:vAlign w:val="bottom"/>
          </w:tcPr>
          <w:p>
            <w:pPr>
              <w:spacing w:after="0"/>
              <w:rPr>
                <w:sz w:val="1"/>
                <w:szCs w:val="1"/>
                <w:color w:val="auto"/>
              </w:rPr>
            </w:pPr>
          </w:p>
        </w:tc>
      </w:tr>
      <w:tr>
        <w:trPr>
          <w:trHeight w:val="272"/>
        </w:trPr>
        <w:tc>
          <w:tcPr>
            <w:tcW w:w="2500" w:type="dxa"/>
            <w:vAlign w:val="bottom"/>
            <w:tcBorders>
              <w:bottom w:val="single" w:sz="8" w:color="CCD4DB"/>
            </w:tcBorders>
          </w:tcPr>
          <w:p>
            <w:pPr>
              <w:spacing w:after="0"/>
              <w:rPr>
                <w:sz w:val="23"/>
                <w:szCs w:val="23"/>
                <w:color w:val="auto"/>
              </w:rPr>
            </w:pPr>
          </w:p>
        </w:tc>
        <w:tc>
          <w:tcPr>
            <w:tcW w:w="1340" w:type="dxa"/>
            <w:vAlign w:val="bottom"/>
            <w:tcBorders>
              <w:left w:val="single" w:sz="8" w:color="CCD4DB"/>
              <w:bottom w:val="single" w:sz="8" w:color="CCD4DB"/>
            </w:tcBorders>
          </w:tcPr>
          <w:p>
            <w:pPr>
              <w:spacing w:after="0"/>
              <w:rPr>
                <w:sz w:val="23"/>
                <w:szCs w:val="23"/>
                <w:color w:val="auto"/>
              </w:rPr>
            </w:pPr>
          </w:p>
        </w:tc>
        <w:tc>
          <w:tcPr>
            <w:tcW w:w="920" w:type="dxa"/>
            <w:vAlign w:val="bottom"/>
            <w:tcBorders>
              <w:bottom w:val="single" w:sz="8" w:color="CCD4DB"/>
            </w:tcBorders>
          </w:tcPr>
          <w:p>
            <w:pPr>
              <w:spacing w:after="0"/>
              <w:rPr>
                <w:sz w:val="23"/>
                <w:szCs w:val="23"/>
                <w:color w:val="auto"/>
              </w:rPr>
            </w:pPr>
          </w:p>
        </w:tc>
        <w:tc>
          <w:tcPr>
            <w:tcW w:w="1320" w:type="dxa"/>
            <w:vAlign w:val="bottom"/>
            <w:tcBorders>
              <w:bottom w:val="single" w:sz="8" w:color="CCD4DB"/>
            </w:tcBorders>
          </w:tcPr>
          <w:p>
            <w:pPr>
              <w:spacing w:after="0"/>
              <w:rPr>
                <w:sz w:val="23"/>
                <w:szCs w:val="23"/>
                <w:color w:val="auto"/>
              </w:rPr>
            </w:pPr>
          </w:p>
        </w:tc>
        <w:tc>
          <w:tcPr>
            <w:tcW w:w="800" w:type="dxa"/>
            <w:vAlign w:val="bottom"/>
            <w:tcBorders>
              <w:bottom w:val="single" w:sz="8" w:color="CCD4DB"/>
            </w:tcBorders>
          </w:tcPr>
          <w:p>
            <w:pPr>
              <w:spacing w:after="0"/>
              <w:rPr>
                <w:sz w:val="23"/>
                <w:szCs w:val="23"/>
                <w:color w:val="auto"/>
              </w:rPr>
            </w:pPr>
          </w:p>
        </w:tc>
        <w:tc>
          <w:tcPr>
            <w:tcW w:w="900" w:type="dxa"/>
            <w:vAlign w:val="bottom"/>
            <w:tcBorders>
              <w:bottom w:val="single" w:sz="8" w:color="CCD4DB"/>
            </w:tcBorders>
          </w:tcPr>
          <w:p>
            <w:pPr>
              <w:spacing w:after="0"/>
              <w:rPr>
                <w:sz w:val="23"/>
                <w:szCs w:val="23"/>
                <w:color w:val="auto"/>
              </w:rPr>
            </w:pPr>
          </w:p>
        </w:tc>
        <w:tc>
          <w:tcPr>
            <w:tcW w:w="960" w:type="dxa"/>
            <w:vAlign w:val="bottom"/>
            <w:tcBorders>
              <w:bottom w:val="single" w:sz="8" w:color="CCD4DB"/>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500" w:type="dxa"/>
            <w:vAlign w:val="bottom"/>
          </w:tcPr>
          <w:p>
            <w:pPr>
              <w:ind w:left="20"/>
              <w:spacing w:after="0"/>
              <w:rPr>
                <w:sz w:val="20"/>
                <w:szCs w:val="20"/>
                <w:color w:val="auto"/>
              </w:rPr>
            </w:pPr>
            <w:r>
              <w:rPr>
                <w:rFonts w:ascii="Arial" w:cs="Arial" w:eastAsia="Arial" w:hAnsi="Arial"/>
                <w:sz w:val="16"/>
                <w:szCs w:val="16"/>
                <w:color w:val="auto"/>
              </w:rPr>
              <w:t>Operating Return on Net Assets*</w:t>
            </w:r>
          </w:p>
        </w:tc>
        <w:tc>
          <w:tcPr>
            <w:tcW w:w="1340" w:type="dxa"/>
            <w:vAlign w:val="bottom"/>
            <w:tcBorders>
              <w:left w:val="single" w:sz="8" w:color="CCD4DB"/>
            </w:tcBorders>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500" w:type="dxa"/>
            <w:vAlign w:val="bottom"/>
          </w:tcPr>
          <w:p>
            <w:pPr>
              <w:spacing w:after="0"/>
              <w:rPr>
                <w:sz w:val="21"/>
                <w:szCs w:val="21"/>
                <w:color w:val="auto"/>
              </w:rPr>
            </w:pPr>
          </w:p>
        </w:tc>
        <w:tc>
          <w:tcPr>
            <w:tcW w:w="1340" w:type="dxa"/>
            <w:vAlign w:val="bottom"/>
            <w:tcBorders>
              <w:left w:val="single" w:sz="8" w:color="CCD4DB"/>
            </w:tcBorders>
          </w:tcPr>
          <w:p>
            <w:pPr>
              <w:jc w:val="center"/>
              <w:spacing w:after="0"/>
              <w:rPr>
                <w:sz w:val="20"/>
                <w:szCs w:val="20"/>
                <w:color w:val="auto"/>
              </w:rPr>
            </w:pPr>
            <w:r>
              <w:rPr>
                <w:rFonts w:ascii="Arial" w:cs="Arial" w:eastAsia="Arial" w:hAnsi="Arial"/>
                <w:sz w:val="16"/>
                <w:szCs w:val="16"/>
                <w:color w:val="auto"/>
              </w:rPr>
              <w:t>1/3</w:t>
            </w:r>
          </w:p>
        </w:tc>
        <w:tc>
          <w:tcPr>
            <w:tcW w:w="9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33%</w:t>
            </w:r>
          </w:p>
        </w:tc>
        <w:tc>
          <w:tcPr>
            <w:tcW w:w="0" w:type="dxa"/>
            <w:vAlign w:val="bottom"/>
          </w:tcPr>
          <w:p>
            <w:pPr>
              <w:spacing w:after="0"/>
              <w:rPr>
                <w:sz w:val="1"/>
                <w:szCs w:val="1"/>
                <w:color w:val="auto"/>
              </w:rPr>
            </w:pPr>
          </w:p>
        </w:tc>
      </w:tr>
      <w:tr>
        <w:trPr>
          <w:trHeight w:val="272"/>
        </w:trPr>
        <w:tc>
          <w:tcPr>
            <w:tcW w:w="2500" w:type="dxa"/>
            <w:vAlign w:val="bottom"/>
            <w:tcBorders>
              <w:bottom w:val="single" w:sz="8" w:color="29378D"/>
            </w:tcBorders>
          </w:tcPr>
          <w:p>
            <w:pPr>
              <w:spacing w:after="0"/>
              <w:rPr>
                <w:sz w:val="23"/>
                <w:szCs w:val="23"/>
                <w:color w:val="auto"/>
              </w:rPr>
            </w:pPr>
          </w:p>
        </w:tc>
        <w:tc>
          <w:tcPr>
            <w:tcW w:w="1340" w:type="dxa"/>
            <w:vAlign w:val="bottom"/>
            <w:tcBorders>
              <w:left w:val="single" w:sz="8" w:color="CCD4DB"/>
              <w:bottom w:val="single" w:sz="8" w:color="29378D"/>
            </w:tcBorders>
          </w:tcPr>
          <w:p>
            <w:pPr>
              <w:spacing w:after="0"/>
              <w:rPr>
                <w:sz w:val="23"/>
                <w:szCs w:val="23"/>
                <w:color w:val="auto"/>
              </w:rPr>
            </w:pPr>
          </w:p>
        </w:tc>
        <w:tc>
          <w:tcPr>
            <w:tcW w:w="920" w:type="dxa"/>
            <w:vAlign w:val="bottom"/>
            <w:tcBorders>
              <w:bottom w:val="single" w:sz="8" w:color="00249C"/>
            </w:tcBorders>
          </w:tcPr>
          <w:p>
            <w:pPr>
              <w:spacing w:after="0"/>
              <w:rPr>
                <w:sz w:val="23"/>
                <w:szCs w:val="23"/>
                <w:color w:val="auto"/>
              </w:rPr>
            </w:pPr>
          </w:p>
        </w:tc>
        <w:tc>
          <w:tcPr>
            <w:tcW w:w="1320" w:type="dxa"/>
            <w:vAlign w:val="bottom"/>
            <w:tcBorders>
              <w:bottom w:val="single" w:sz="8" w:color="00249C"/>
            </w:tcBorders>
          </w:tcPr>
          <w:p>
            <w:pPr>
              <w:spacing w:after="0"/>
              <w:rPr>
                <w:sz w:val="23"/>
                <w:szCs w:val="23"/>
                <w:color w:val="auto"/>
              </w:rPr>
            </w:pPr>
          </w:p>
        </w:tc>
        <w:tc>
          <w:tcPr>
            <w:tcW w:w="800" w:type="dxa"/>
            <w:vAlign w:val="bottom"/>
            <w:tcBorders>
              <w:bottom w:val="single" w:sz="8" w:color="00249C"/>
            </w:tcBorders>
          </w:tcPr>
          <w:p>
            <w:pPr>
              <w:spacing w:after="0"/>
              <w:rPr>
                <w:sz w:val="23"/>
                <w:szCs w:val="23"/>
                <w:color w:val="auto"/>
              </w:rPr>
            </w:pPr>
          </w:p>
        </w:tc>
        <w:tc>
          <w:tcPr>
            <w:tcW w:w="900" w:type="dxa"/>
            <w:vAlign w:val="bottom"/>
            <w:tcBorders>
              <w:bottom w:val="single" w:sz="8" w:color="00249C"/>
            </w:tcBorders>
          </w:tcPr>
          <w:p>
            <w:pPr>
              <w:spacing w:after="0"/>
              <w:rPr>
                <w:sz w:val="23"/>
                <w:szCs w:val="23"/>
                <w:color w:val="auto"/>
              </w:rPr>
            </w:pPr>
          </w:p>
        </w:tc>
        <w:tc>
          <w:tcPr>
            <w:tcW w:w="960" w:type="dxa"/>
            <w:vAlign w:val="bottom"/>
            <w:tcBorders>
              <w:bottom w:val="single" w:sz="8" w:color="00249C"/>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20"/>
              <w:spacing w:after="0"/>
              <w:rPr>
                <w:sz w:val="20"/>
                <w:szCs w:val="20"/>
                <w:color w:val="auto"/>
              </w:rPr>
            </w:pPr>
            <w:r>
              <w:rPr>
                <w:rFonts w:ascii="Arial" w:cs="Arial" w:eastAsia="Arial" w:hAnsi="Arial"/>
                <w:sz w:val="16"/>
                <w:szCs w:val="16"/>
                <w:color w:val="auto"/>
              </w:rPr>
              <w:t>RPSR Performance Factor**</w:t>
            </w:r>
          </w:p>
        </w:tc>
        <w:tc>
          <w:tcPr>
            <w:tcW w:w="1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141%</w:t>
            </w:r>
          </w:p>
        </w:tc>
        <w:tc>
          <w:tcPr>
            <w:tcW w:w="0" w:type="dxa"/>
            <w:vAlign w:val="bottom"/>
          </w:tcPr>
          <w:p>
            <w:pPr>
              <w:spacing w:after="0"/>
              <w:rPr>
                <w:sz w:val="1"/>
                <w:szCs w:val="1"/>
                <w:color w:val="auto"/>
              </w:rPr>
            </w:pPr>
          </w:p>
        </w:tc>
      </w:tr>
      <w:tr>
        <w:trPr>
          <w:trHeight w:val="48"/>
        </w:trPr>
        <w:tc>
          <w:tcPr>
            <w:tcW w:w="2500" w:type="dxa"/>
            <w:vAlign w:val="bottom"/>
            <w:tcBorders>
              <w:bottom w:val="single" w:sz="8" w:color="29378D"/>
            </w:tcBorders>
          </w:tcPr>
          <w:p>
            <w:pPr>
              <w:spacing w:after="0"/>
              <w:rPr>
                <w:sz w:val="4"/>
                <w:szCs w:val="4"/>
                <w:color w:val="auto"/>
              </w:rPr>
            </w:pPr>
          </w:p>
        </w:tc>
        <w:tc>
          <w:tcPr>
            <w:tcW w:w="1340" w:type="dxa"/>
            <w:vAlign w:val="bottom"/>
            <w:tcBorders>
              <w:bottom w:val="single" w:sz="8" w:color="29378D"/>
            </w:tcBorders>
          </w:tcPr>
          <w:p>
            <w:pPr>
              <w:spacing w:after="0"/>
              <w:rPr>
                <w:sz w:val="4"/>
                <w:szCs w:val="4"/>
                <w:color w:val="auto"/>
              </w:rPr>
            </w:pPr>
          </w:p>
        </w:tc>
        <w:tc>
          <w:tcPr>
            <w:tcW w:w="920" w:type="dxa"/>
            <w:vAlign w:val="bottom"/>
            <w:tcBorders>
              <w:bottom w:val="single" w:sz="8" w:color="00249C"/>
            </w:tcBorders>
          </w:tcPr>
          <w:p>
            <w:pPr>
              <w:spacing w:after="0"/>
              <w:rPr>
                <w:sz w:val="4"/>
                <w:szCs w:val="4"/>
                <w:color w:val="auto"/>
              </w:rPr>
            </w:pPr>
          </w:p>
        </w:tc>
        <w:tc>
          <w:tcPr>
            <w:tcW w:w="1320" w:type="dxa"/>
            <w:vAlign w:val="bottom"/>
            <w:tcBorders>
              <w:bottom w:val="single" w:sz="8" w:color="00249C"/>
            </w:tcBorders>
          </w:tcPr>
          <w:p>
            <w:pPr>
              <w:spacing w:after="0"/>
              <w:rPr>
                <w:sz w:val="4"/>
                <w:szCs w:val="4"/>
                <w:color w:val="auto"/>
              </w:rPr>
            </w:pPr>
          </w:p>
        </w:tc>
        <w:tc>
          <w:tcPr>
            <w:tcW w:w="800" w:type="dxa"/>
            <w:vAlign w:val="bottom"/>
            <w:tcBorders>
              <w:bottom w:val="single" w:sz="8" w:color="00249C"/>
            </w:tcBorders>
          </w:tcPr>
          <w:p>
            <w:pPr>
              <w:spacing w:after="0"/>
              <w:rPr>
                <w:sz w:val="4"/>
                <w:szCs w:val="4"/>
                <w:color w:val="auto"/>
              </w:rPr>
            </w:pPr>
          </w:p>
        </w:tc>
        <w:tc>
          <w:tcPr>
            <w:tcW w:w="900" w:type="dxa"/>
            <w:vAlign w:val="bottom"/>
            <w:tcBorders>
              <w:bottom w:val="single" w:sz="8" w:color="00249C"/>
            </w:tcBorders>
          </w:tcPr>
          <w:p>
            <w:pPr>
              <w:spacing w:after="0"/>
              <w:rPr>
                <w:sz w:val="4"/>
                <w:szCs w:val="4"/>
                <w:color w:val="auto"/>
              </w:rPr>
            </w:pPr>
          </w:p>
        </w:tc>
        <w:tc>
          <w:tcPr>
            <w:tcW w:w="960" w:type="dxa"/>
            <w:vAlign w:val="bottom"/>
            <w:tcBorders>
              <w:bottom w:val="single" w:sz="8" w:color="00249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-2125345</wp:posOffset>
            </wp:positionV>
            <wp:extent cx="2280285" cy="3600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280285" cy="36004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-1619885</wp:posOffset>
            </wp:positionV>
            <wp:extent cx="2280285" cy="3600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280285" cy="36004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-1113790</wp:posOffset>
            </wp:positionV>
            <wp:extent cx="2280285" cy="3600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280285" cy="36004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-633730</wp:posOffset>
            </wp:positionV>
            <wp:extent cx="2280285" cy="3511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280285" cy="3511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 This metric is a non-GAAP financial measure. For more information, see “Appendix A - Use of Non-GAAP Financial Measures.”</w:t>
      </w:r>
    </w:p>
    <w:p>
      <w:pPr>
        <w:spacing w:after="0" w:line="123" w:lineRule="exact"/>
        <w:rPr>
          <w:sz w:val="20"/>
          <w:szCs w:val="20"/>
          <w:color w:val="auto"/>
        </w:rPr>
      </w:pPr>
    </w:p>
    <w:p>
      <w:pPr>
        <w:ind w:left="200" w:right="100" w:hanging="192"/>
        <w:spacing w:after="0" w:line="264" w:lineRule="auto"/>
        <w:tabs>
          <w:tab w:leader="none" w:pos="158"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As approved by the Compensation and Human Capital Committee, Adjusted Cumulative FCF* and Operating Return on Net Assets* metrics for the 2021 RPSRs were adjusted, as applicable, to neutralize the impact of business conditions and certain costs unforeseen at the time of grant setting. Adjustments include federal and state taxes related to the sale of minority investments, CAS variance to plan, the IT services divestiture, impacts related to international trade restrictions, landlord funded leasehold improvements, and the impact of a charge associated with the low-rate initial production phase of the B-21 program. The Committee believed that this adjustment was appropriate as the charge was largely associated with fixed pricing established nearly 10 years ago for options on the low rate initial production phase of the program, and therefore, inclusion of the charge would not be reflective of the Company's strong financial performance during the vesting period. All adjustments were made by the Committee using its discretion, as provided in our plan, to measure 2021-2023 performance while maintaining flexibility to provide equitable adjustments that address the impact of material non-operational and unforeseen events. Details are outlined in Appendix A - Use of Non-GAAP Financial Measures.</w:t>
      </w:r>
    </w:p>
    <w:p>
      <w:pPr>
        <w:spacing w:after="0" w:line="200" w:lineRule="exact"/>
        <w:rPr>
          <w:sz w:val="20"/>
          <w:szCs w:val="20"/>
          <w:color w:val="auto"/>
        </w:rPr>
      </w:pPr>
    </w:p>
    <w:p>
      <w:pPr>
        <w:spacing w:after="0" w:line="228"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color w:val="auto"/>
        </w:rPr>
        <w:t>In February 2024, the Compensation and Human Capital Committee reviewed performance for the January 1, 2021 to December 31, 2023 RPSR performance period. The combined weighted score for the metrics generated an overall performance score of 141%.</w:t>
      </w:r>
    </w:p>
    <w:p>
      <w:pPr>
        <w:spacing w:after="0" w:line="4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In February 2024, the NEOs received payouts in stock with respect to the outstanding RPSR awards that were granted in February 2021 for the three-year performance period ending December 31, 2023 (as described further in footnote three of the Outstanding Equity Awards Table on page 74).</w:t>
      </w:r>
    </w:p>
    <w:p>
      <w:pPr>
        <w:spacing w:after="0" w:line="194"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Other NEO Benefits</w:t>
      </w:r>
    </w:p>
    <w:p>
      <w:pPr>
        <w:spacing w:after="0" w:line="123"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This section describes other benefits the NEOs receive. These benefits are not performance related and are designed to provide a competitive package for purposes of attracting and retaining the executive talent needed to achieve our business objectives. These benefits include retirement benefits, certain perquisites and severance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color w:val="auto"/>
        </w:rPr>
        <w:t>Retirement Benefits</w:t>
      </w:r>
    </w:p>
    <w:p>
      <w:pPr>
        <w:spacing w:after="0" w:line="13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maintain tax-qualified retirement plans (both defined benefit pension plans and defined contribution savings plans) that cover most of our workforce, including the NEOs. We also maintain nonqualified retirement plans that are available to our NEOs, which are designed to restore benefits that were limited under the tax-qualified plans or to provide supplemental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65</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benefits. Compensation, age and years of service factor into the amount of benefits provided under the plans. Thus, the plans are structured to reward and retain employees of long service and recognize higher performance levels as evidenced by increases in annual pay. The nonqualified supplemental defined benefit plans in which our NEOs participate were frozen as to pay and service as of December 31, 2014.</w:t>
      </w:r>
    </w:p>
    <w:p>
      <w:pPr>
        <w:spacing w:after="0" w:line="5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Compensation and Human Capital Committee assesses aggregate benefits available to the NEOs and has previously imposed an overall cap, generally limited to no more than 60% of final average pay, on pension benefits for the NEOs (except for small variations due to contractual restrictions under the plans). Additional information about these retirement plans and the NEO benefits under these plans can be found in the Pension Benefits Table and Nonqualified Deferred Compensation Table, on pages 76 and 79,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23"/>
          <w:szCs w:val="23"/>
          <w:color w:val="auto"/>
        </w:rPr>
        <w:t>Perquisites</w:t>
      </w:r>
    </w:p>
    <w:p>
      <w:pPr>
        <w:spacing w:after="0" w:line="131"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Our NEOs are eligible for certain limited executive perquisites that include financial planning and income tax preparation, physical exams and personal liability insurance. The Compensation and Human Capital Committee believes these perquisites are common within the competitive market for total compensation packages for executives and are useful in attracting, retaining and motivating talented executives. Perquisites provided to the NEOs in 2023 are detailed in the Summary Compensation Table on page 71.</w:t>
      </w:r>
    </w:p>
    <w:p>
      <w:pPr>
        <w:spacing w:after="0" w:line="196" w:lineRule="exact"/>
        <w:rPr>
          <w:sz w:val="20"/>
          <w:szCs w:val="20"/>
          <w:color w:val="auto"/>
        </w:rPr>
      </w:pPr>
    </w:p>
    <w:p>
      <w:pPr>
        <w:spacing w:after="0"/>
        <w:rPr>
          <w:sz w:val="20"/>
          <w:szCs w:val="20"/>
          <w:color w:val="auto"/>
        </w:rPr>
      </w:pPr>
      <w:r>
        <w:rPr>
          <w:rFonts w:ascii="Arial" w:cs="Arial" w:eastAsia="Arial" w:hAnsi="Arial"/>
          <w:sz w:val="23"/>
          <w:szCs w:val="23"/>
          <w:color w:val="auto"/>
        </w:rPr>
        <w:t>Security Arrangements</w:t>
      </w:r>
    </w:p>
    <w:p>
      <w:pPr>
        <w:spacing w:after="0" w:line="13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Given the nature of our business, we maintain a comprehensive security program. Executive protection, including residential and/or travel, is based on a risk assessment and may change based on the individual’s profile. These security requirements are continuously assessed for each member and provided to the Board for informational purposes generally every three years. In selecting the level and form of protection, we and the Board consider security risks faced by those in our industry in general and security risks specific to our Company and its individuals. Based on security threat information obtained and an ongoing dialogue with law enforcement and security specialists, the Board has required that Ms. Warden and other NEOs receive varying levels of residential and travel protection.</w:t>
      </w:r>
    </w:p>
    <w:p>
      <w:pPr>
        <w:spacing w:after="0" w:line="6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Since we require this protection under a comprehensive security program and it is not designed to provide a personal benefit (other than the intended security), we do not view these security arrangements as compensation to the individuals. We report these security arrangements as perquisites as required under applicable SEC rules. In addition, we report them as taxable compensation to the individuals if they are not excludable from income as working condition fringe benefits under Section 132 of the Internal Revenue Code.</w:t>
      </w:r>
    </w:p>
    <w:p>
      <w:pPr>
        <w:spacing w:after="0" w:line="65"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Board has determined that the CEO should avoid traveling by commercial aircraft for purposes of security, rapid availability and communications connectivity during travel, and should use Company-provided aircraft for all air travel. If, as a result, the CEO uses Company-provided aircraft for personal travel, the costs of such travel are imputed as income and are subject to the appropriate tax reporting according to Internal Revenue Code regulations.</w:t>
      </w:r>
    </w:p>
    <w:p>
      <w:pPr>
        <w:spacing w:after="0" w:line="7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We regularly review the nature of the security threat and associated vulnerabilities with law enforcement and security specialists and will continue to adapt our security program as appropriate.</w:t>
      </w:r>
    </w:p>
    <w:p>
      <w:pPr>
        <w:spacing w:after="0" w:line="179" w:lineRule="exact"/>
        <w:rPr>
          <w:sz w:val="20"/>
          <w:szCs w:val="20"/>
          <w:color w:val="auto"/>
        </w:rPr>
      </w:pPr>
    </w:p>
    <w:p>
      <w:pPr>
        <w:spacing w:after="0"/>
        <w:rPr>
          <w:sz w:val="20"/>
          <w:szCs w:val="20"/>
          <w:color w:val="auto"/>
        </w:rPr>
      </w:pPr>
      <w:r>
        <w:rPr>
          <w:rFonts w:ascii="Arial" w:cs="Arial" w:eastAsia="Arial" w:hAnsi="Arial"/>
          <w:sz w:val="23"/>
          <w:szCs w:val="23"/>
          <w:color w:val="auto"/>
        </w:rPr>
        <w:t>Severance Benefits</w:t>
      </w:r>
    </w:p>
    <w:p>
      <w:pPr>
        <w:spacing w:after="0" w:line="131"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maintain the Severance Plan for Elected and Appointed Officers of Northrop Grumman Corporation (Severance Plan), which is available to Ms. Warden and other NEOs who qualify and are approved to receive such benefits. The purpose of the Severance Plan is to help bridge the gap in an executive’s income and health coverage during a period of unemployment following a qualified termination, and to ensure certain benefits for the Company.</w:t>
      </w:r>
    </w:p>
    <w:p>
      <w:pPr>
        <w:spacing w:after="0" w:line="77"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We do not maintain any change in control (CIC) severance plans. In addition, we do not provide excise tax gross-ups for any payments received upon termination after a change in control.</w:t>
      </w:r>
    </w:p>
    <w:p>
      <w:pPr>
        <w:spacing w:after="0" w:line="4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Upon a “qualifying termination” (defined below) the Company may provide severance benefits to eligible NEOs under the Severance Plan. Provided the NEO signs a release and agrees to certain restrictions, he or she may receive: (i) a lump sum severance benefit equal to one and one-half times annual base salary and target bonus, (ii) a prorated performance bonus for the year of termination, (iii) continued medical and dental coverage for the 18-month severance period, (iv) income tax preparation/financial planning fees for the year of termination and the following year and (v) outplacement expenses up to 15% of salary, all subject to management approval. The cost of providing continued medical and dental coverage is based upon current premium costs. The cost of providing income tax preparation and financial planning is capped for the year of termination and for the year following termination. The annual cap for the CEO is $30,000 and for the rest of the NEOs is $18,500.</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 “qualifying termination” includes one of the following:</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 w:hanging="494"/>
        <w:spacing w:after="0"/>
        <w:tabs>
          <w:tab w:leader="none" w:pos="520" w:val="left"/>
        </w:tabs>
        <w:numPr>
          <w:ilvl w:val="0"/>
          <w:numId w:val="125"/>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69" w:name="page70"/>
    <w:bookmarkEnd w:id="69"/>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0" w:hanging="132"/>
        <w:spacing w:after="0"/>
        <w:tabs>
          <w:tab w:leader="none" w:pos="140" w:val="left"/>
        </w:tabs>
        <w:numPr>
          <w:ilvl w:val="0"/>
          <w:numId w:val="126"/>
        </w:numPr>
        <w:rPr>
          <w:rFonts w:ascii="Arial" w:cs="Arial" w:eastAsia="Arial" w:hAnsi="Arial"/>
          <w:sz w:val="16"/>
          <w:szCs w:val="16"/>
          <w:b w:val="1"/>
          <w:bCs w:val="1"/>
          <w:color w:val="29378D"/>
        </w:rPr>
      </w:pPr>
      <w:r>
        <w:rPr>
          <w:rFonts w:ascii="Arial" w:cs="Arial" w:eastAsia="Arial" w:hAnsi="Arial"/>
          <w:sz w:val="16"/>
          <w:szCs w:val="16"/>
          <w:color w:val="auto"/>
        </w:rPr>
        <w:t>involuntary termination, other than for cause or mandatory retirement; or</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126"/>
        </w:numPr>
        <w:rPr>
          <w:rFonts w:ascii="Arial" w:cs="Arial" w:eastAsia="Arial" w:hAnsi="Arial"/>
          <w:sz w:val="16"/>
          <w:szCs w:val="16"/>
          <w:b w:val="1"/>
          <w:bCs w:val="1"/>
          <w:color w:val="29378D"/>
        </w:rPr>
      </w:pPr>
      <w:r>
        <w:rPr>
          <w:rFonts w:ascii="Arial" w:cs="Arial" w:eastAsia="Arial" w:hAnsi="Arial"/>
          <w:sz w:val="16"/>
          <w:szCs w:val="16"/>
          <w:color w:val="auto"/>
        </w:rPr>
        <w:t>election to terminate in lieu of accepting a downgrade to a non-officer position (i.e., good reason).</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color w:val="auto"/>
        </w:rPr>
        <w:t>Change in Control Benefits</w:t>
      </w:r>
    </w:p>
    <w:p>
      <w:pPr>
        <w:spacing w:after="0" w:line="131"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We do not maintain separate CIC programs or agreements. The only CIC benefits available to the NEOs are those described in the terms and conditions of the grants under the 2011 Long-Term Incentive Stock Plan (2011 Plan).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67</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Policies and Procedures</w:t>
      </w:r>
    </w:p>
    <w:p>
      <w:pPr>
        <w:spacing w:after="0" w:line="241" w:lineRule="exact"/>
        <w:rPr>
          <w:sz w:val="20"/>
          <w:szCs w:val="20"/>
          <w:color w:val="auto"/>
        </w:rPr>
      </w:pPr>
    </w:p>
    <w:p>
      <w:pPr>
        <w:spacing w:after="0"/>
        <w:rPr>
          <w:sz w:val="20"/>
          <w:szCs w:val="20"/>
          <w:color w:val="auto"/>
        </w:rPr>
      </w:pPr>
      <w:r>
        <w:rPr>
          <w:rFonts w:ascii="Arial" w:cs="Arial" w:eastAsia="Arial" w:hAnsi="Arial"/>
          <w:sz w:val="23"/>
          <w:szCs w:val="23"/>
          <w:color w:val="auto"/>
        </w:rPr>
        <w:t>Stock Ownership Guidelines</w:t>
      </w:r>
    </w:p>
    <w:p>
      <w:pPr>
        <w:spacing w:after="0" w:line="131"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auto"/>
        </w:rPr>
        <w:t>We maintain stock ownership guidelines for our NEOs to further promote alignment of management and shareholder interests. These guidelines require that NEOs own Company stock with a value denominated as a multiple of their annual salaries, which can be accumulated over a five-year period from the date of hire or promotion into an elected officer position.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guidelines are as follows:</w:t>
      </w:r>
    </w:p>
    <w:p>
      <w:pPr>
        <w:spacing w:after="0" w:line="177" w:lineRule="exact"/>
        <w:rPr>
          <w:sz w:val="20"/>
          <w:szCs w:val="20"/>
          <w:color w:val="auto"/>
        </w:rPr>
      </w:pPr>
    </w:p>
    <w:p>
      <w:pPr>
        <w:ind w:left="20"/>
        <w:spacing w:after="0"/>
        <w:tabs>
          <w:tab w:leader="none" w:pos="3880" w:val="left"/>
        </w:tabs>
        <w:rPr>
          <w:sz w:val="20"/>
          <w:szCs w:val="20"/>
          <w:color w:val="auto"/>
        </w:rPr>
      </w:pPr>
      <w:r>
        <w:rPr>
          <w:rFonts w:ascii="Arial" w:cs="Arial" w:eastAsia="Arial" w:hAnsi="Arial"/>
          <w:sz w:val="13"/>
          <w:szCs w:val="13"/>
          <w:b w:val="1"/>
          <w:bCs w:val="1"/>
          <w:color w:val="auto"/>
        </w:rPr>
        <w:t>Position</w:t>
      </w:r>
      <w:r>
        <w:rPr>
          <w:sz w:val="20"/>
          <w:szCs w:val="20"/>
          <w:color w:val="auto"/>
        </w:rPr>
        <w:tab/>
      </w:r>
      <w:r>
        <w:rPr>
          <w:rFonts w:ascii="Arial" w:cs="Arial" w:eastAsia="Arial" w:hAnsi="Arial"/>
          <w:sz w:val="13"/>
          <w:szCs w:val="13"/>
          <w:b w:val="1"/>
          <w:bCs w:val="1"/>
          <w:color w:val="auto"/>
        </w:rPr>
        <w:t>Stock Value as a Multiple of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5549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55498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79375</wp:posOffset>
            </wp:positionV>
            <wp:extent cx="4440555" cy="24003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440555" cy="240030"/>
                    </a:xfrm>
                    <a:prstGeom prst="rect">
                      <a:avLst/>
                    </a:prstGeom>
                    <a:noFill/>
                  </pic:spPr>
                </pic:pic>
              </a:graphicData>
            </a:graphic>
          </wp:anchor>
        </w:drawing>
      </w:r>
    </w:p>
    <w:p>
      <w:pPr>
        <w:spacing w:after="0" w:line="131" w:lineRule="exact"/>
        <w:rPr>
          <w:sz w:val="20"/>
          <w:szCs w:val="20"/>
          <w:color w:val="auto"/>
        </w:rPr>
      </w:pPr>
    </w:p>
    <w:p>
      <w:pPr>
        <w:ind w:left="20" w:right="10000"/>
        <w:spacing w:after="0" w:line="286" w:lineRule="auto"/>
        <w:rPr>
          <w:sz w:val="20"/>
          <w:szCs w:val="20"/>
          <w:color w:val="auto"/>
        </w:rPr>
      </w:pPr>
      <w:r>
        <w:rPr>
          <w:rFonts w:ascii="Arial" w:cs="Arial" w:eastAsia="Arial" w:hAnsi="Arial"/>
          <w:sz w:val="16"/>
          <w:szCs w:val="16"/>
          <w:color w:val="auto"/>
        </w:rPr>
        <w:t>Chair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55549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55549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Shares that satisfy the stock ownership guidelines include:</w:t>
      </w:r>
    </w:p>
    <w:p>
      <w:pPr>
        <w:spacing w:after="0" w:line="127" w:lineRule="exact"/>
        <w:rPr>
          <w:sz w:val="20"/>
          <w:szCs w:val="20"/>
          <w:color w:val="auto"/>
        </w:rPr>
      </w:pPr>
    </w:p>
    <w:p>
      <w:pPr>
        <w:ind w:left="140" w:hanging="132"/>
        <w:spacing w:after="0"/>
        <w:tabs>
          <w:tab w:leader="none" w:pos="140" w:val="left"/>
        </w:tabs>
        <w:numPr>
          <w:ilvl w:val="0"/>
          <w:numId w:val="127"/>
        </w:numPr>
        <w:rPr>
          <w:rFonts w:ascii="Arial" w:cs="Arial" w:eastAsia="Arial" w:hAnsi="Arial"/>
          <w:sz w:val="16"/>
          <w:szCs w:val="16"/>
          <w:b w:val="1"/>
          <w:bCs w:val="1"/>
          <w:color w:val="29378D"/>
        </w:rPr>
      </w:pPr>
      <w:r>
        <w:rPr>
          <w:rFonts w:ascii="Arial" w:cs="Arial" w:eastAsia="Arial" w:hAnsi="Arial"/>
          <w:sz w:val="16"/>
          <w:szCs w:val="16"/>
          <w:color w:val="auto"/>
        </w:rPr>
        <w:t>Company stock owned outright;</w:t>
      </w:r>
    </w:p>
    <w:p>
      <w:pPr>
        <w:spacing w:after="0" w:line="72" w:lineRule="exact"/>
        <w:rPr>
          <w:rFonts w:ascii="Arial" w:cs="Arial" w:eastAsia="Arial" w:hAnsi="Arial"/>
          <w:sz w:val="16"/>
          <w:szCs w:val="16"/>
          <w:b w:val="1"/>
          <w:bCs w:val="1"/>
          <w:color w:val="29378D"/>
        </w:rPr>
      </w:pPr>
    </w:p>
    <w:p>
      <w:pPr>
        <w:ind w:left="140" w:hanging="132"/>
        <w:spacing w:after="0"/>
        <w:tabs>
          <w:tab w:leader="none" w:pos="140" w:val="left"/>
        </w:tabs>
        <w:numPr>
          <w:ilvl w:val="0"/>
          <w:numId w:val="127"/>
        </w:numPr>
        <w:rPr>
          <w:rFonts w:ascii="Arial" w:cs="Arial" w:eastAsia="Arial" w:hAnsi="Arial"/>
          <w:sz w:val="16"/>
          <w:szCs w:val="16"/>
          <w:b w:val="1"/>
          <w:bCs w:val="1"/>
          <w:color w:val="29378D"/>
        </w:rPr>
      </w:pPr>
      <w:r>
        <w:rPr>
          <w:rFonts w:ascii="Arial" w:cs="Arial" w:eastAsia="Arial" w:hAnsi="Arial"/>
          <w:sz w:val="16"/>
          <w:szCs w:val="16"/>
          <w:color w:val="auto"/>
        </w:rPr>
        <w:t>unvested RSRs; and</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127"/>
        </w:numPr>
        <w:rPr>
          <w:rFonts w:ascii="Arial" w:cs="Arial" w:eastAsia="Arial" w:hAnsi="Arial"/>
          <w:sz w:val="16"/>
          <w:szCs w:val="16"/>
          <w:b w:val="1"/>
          <w:bCs w:val="1"/>
          <w:color w:val="29378D"/>
        </w:rPr>
      </w:pPr>
      <w:r>
        <w:rPr>
          <w:rFonts w:ascii="Arial" w:cs="Arial" w:eastAsia="Arial" w:hAnsi="Arial"/>
          <w:sz w:val="16"/>
          <w:szCs w:val="16"/>
          <w:color w:val="auto"/>
        </w:rPr>
        <w:t>the value of shares held in the Northrop Grumman Savings Plan or Northrop Grumman Financial Security and Savings Program.</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Unvested RPSRs are not included in calculating ownership until they are converted to actual shares owned.</w:t>
      </w:r>
    </w:p>
    <w:p>
      <w:pPr>
        <w:spacing w:after="0" w:line="113"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Compensation and Human Capital Committee reviews compliance with our stock ownership guidelines on an annual basis. As of December 31, 2023, all NEOs were in compliance with the ownership guidelines or on track to meet the requirement by the end of the five-year period referenced above. The Compensation and Human Capital Committee continues to monitor compliance and will conduct a full review again in 2024.</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color w:val="auto"/>
        </w:rPr>
        <w:t>Stock Holding Requirements</w:t>
      </w:r>
    </w:p>
    <w:p>
      <w:pPr>
        <w:spacing w:after="0" w:line="13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have holding period requirements for payouts from long-term incentive grants, further emphasizing the importance of sustainable performance and appropriate risk-management behaviors. Under this policy, NEOs are required to hold, for a period of three years, 50% of their net after-tax shares received from RPSR and RSR distributions. These restrictions generally continue following termination and retirement; however, shares acquired from RPSR distributions more than one year after separation from the Company are not subject to the holding requirement.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60" w:type="dxa"/>
            <w:vAlign w:val="bottom"/>
            <w:shd w:val="clear" w:color="auto" w:fill="BCBEC0"/>
          </w:tcPr>
          <w:p>
            <w:pPr>
              <w:spacing w:after="0"/>
              <w:rPr>
                <w:sz w:val="9"/>
                <w:szCs w:val="9"/>
                <w:color w:val="auto"/>
              </w:rPr>
            </w:pPr>
          </w:p>
        </w:tc>
        <w:tc>
          <w:tcPr>
            <w:tcW w:w="3060" w:type="dxa"/>
            <w:vAlign w:val="bottom"/>
            <w:shd w:val="clear" w:color="auto" w:fill="BCBEC0"/>
          </w:tcPr>
          <w:p>
            <w:pPr>
              <w:spacing w:after="0"/>
              <w:rPr>
                <w:sz w:val="9"/>
                <w:szCs w:val="9"/>
                <w:color w:val="auto"/>
              </w:rPr>
            </w:pPr>
          </w:p>
        </w:tc>
        <w:tc>
          <w:tcPr>
            <w:tcW w:w="160" w:type="dxa"/>
            <w:vAlign w:val="bottom"/>
            <w:shd w:val="clear" w:color="auto" w:fill="BCBEC0"/>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shd w:val="clear" w:color="auto" w:fill="BCBEC0"/>
          </w:tcPr>
          <w:p>
            <w:pPr>
              <w:spacing w:after="0"/>
              <w:rPr>
                <w:sz w:val="9"/>
                <w:szCs w:val="9"/>
                <w:color w:val="auto"/>
              </w:rPr>
            </w:pPr>
          </w:p>
        </w:tc>
        <w:tc>
          <w:tcPr>
            <w:tcW w:w="3060" w:type="dxa"/>
            <w:vAlign w:val="bottom"/>
            <w:shd w:val="clear" w:color="auto" w:fill="BCBEC0"/>
          </w:tcPr>
          <w:p>
            <w:pPr>
              <w:spacing w:after="0"/>
              <w:rPr>
                <w:sz w:val="9"/>
                <w:szCs w:val="9"/>
                <w:color w:val="auto"/>
              </w:rPr>
            </w:pPr>
          </w:p>
        </w:tc>
        <w:tc>
          <w:tcPr>
            <w:tcW w:w="160" w:type="dxa"/>
            <w:vAlign w:val="bottom"/>
            <w:shd w:val="clear" w:color="auto" w:fill="BCBEC0"/>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shd w:val="clear" w:color="auto" w:fill="29378D"/>
          </w:tcPr>
          <w:p>
            <w:pPr>
              <w:spacing w:after="0"/>
              <w:rPr>
                <w:sz w:val="9"/>
                <w:szCs w:val="9"/>
                <w:color w:val="auto"/>
              </w:rPr>
            </w:pPr>
          </w:p>
        </w:tc>
        <w:tc>
          <w:tcPr>
            <w:tcW w:w="3100" w:type="dxa"/>
            <w:vAlign w:val="bottom"/>
            <w:shd w:val="clear" w:color="auto" w:fill="29378D"/>
          </w:tcPr>
          <w:p>
            <w:pPr>
              <w:spacing w:after="0"/>
              <w:rPr>
                <w:sz w:val="9"/>
                <w:szCs w:val="9"/>
                <w:color w:val="auto"/>
              </w:rPr>
            </w:pPr>
          </w:p>
        </w:tc>
        <w:tc>
          <w:tcPr>
            <w:tcW w:w="160" w:type="dxa"/>
            <w:vAlign w:val="bottom"/>
            <w:shd w:val="clear" w:color="auto" w:fill="29378D"/>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60" w:type="dxa"/>
            <w:vAlign w:val="bottom"/>
            <w:shd w:val="clear" w:color="auto" w:fill="BCBEC0"/>
          </w:tcPr>
          <w:p>
            <w:pPr>
              <w:spacing w:after="0"/>
              <w:rPr>
                <w:sz w:val="20"/>
                <w:szCs w:val="20"/>
                <w:color w:val="auto"/>
              </w:rPr>
            </w:pPr>
          </w:p>
        </w:tc>
        <w:tc>
          <w:tcPr>
            <w:tcW w:w="3060" w:type="dxa"/>
            <w:vAlign w:val="bottom"/>
          </w:tcPr>
          <w:p>
            <w:pPr>
              <w:spacing w:after="0"/>
              <w:rPr>
                <w:sz w:val="20"/>
                <w:szCs w:val="20"/>
                <w:color w:val="auto"/>
              </w:rPr>
            </w:pPr>
          </w:p>
        </w:tc>
        <w:tc>
          <w:tcPr>
            <w:tcW w:w="160" w:type="dxa"/>
            <w:vAlign w:val="bottom"/>
            <w:shd w:val="clear" w:color="auto" w:fill="BCBEC0"/>
          </w:tcPr>
          <w:p>
            <w:pPr>
              <w:spacing w:after="0"/>
              <w:rPr>
                <w:sz w:val="20"/>
                <w:szCs w:val="20"/>
                <w:color w:val="auto"/>
              </w:rPr>
            </w:pPr>
          </w:p>
        </w:tc>
        <w:tc>
          <w:tcPr>
            <w:tcW w:w="520" w:type="dxa"/>
            <w:vAlign w:val="bottom"/>
            <w:vMerge w:val="restart"/>
          </w:tcPr>
          <w:p>
            <w:pPr>
              <w:jc w:val="right"/>
              <w:ind w:right="59"/>
              <w:spacing w:after="0"/>
              <w:rPr>
                <w:sz w:val="20"/>
                <w:szCs w:val="20"/>
                <w:color w:val="auto"/>
              </w:rPr>
            </w:pPr>
            <w:r>
              <w:rPr>
                <w:rFonts w:ascii="Arial" w:cs="Arial" w:eastAsia="Arial" w:hAnsi="Arial"/>
                <w:sz w:val="24"/>
                <w:szCs w:val="24"/>
                <w:b w:val="1"/>
                <w:bCs w:val="1"/>
                <w:color w:val="auto"/>
              </w:rPr>
              <w:t>+</w:t>
            </w:r>
          </w:p>
        </w:tc>
        <w:tc>
          <w:tcPr>
            <w:tcW w:w="180" w:type="dxa"/>
            <w:vAlign w:val="bottom"/>
            <w:shd w:val="clear" w:color="auto" w:fill="BCBEC0"/>
          </w:tcPr>
          <w:p>
            <w:pPr>
              <w:spacing w:after="0"/>
              <w:rPr>
                <w:sz w:val="20"/>
                <w:szCs w:val="20"/>
                <w:color w:val="auto"/>
              </w:rPr>
            </w:pPr>
          </w:p>
        </w:tc>
        <w:tc>
          <w:tcPr>
            <w:tcW w:w="3060" w:type="dxa"/>
            <w:vAlign w:val="bottom"/>
          </w:tcPr>
          <w:p>
            <w:pPr>
              <w:spacing w:after="0"/>
              <w:rPr>
                <w:sz w:val="20"/>
                <w:szCs w:val="20"/>
                <w:color w:val="auto"/>
              </w:rPr>
            </w:pPr>
          </w:p>
        </w:tc>
        <w:tc>
          <w:tcPr>
            <w:tcW w:w="160" w:type="dxa"/>
            <w:vAlign w:val="bottom"/>
            <w:shd w:val="clear" w:color="auto" w:fill="BCBEC0"/>
          </w:tcPr>
          <w:p>
            <w:pPr>
              <w:spacing w:after="0"/>
              <w:rPr>
                <w:sz w:val="20"/>
                <w:szCs w:val="20"/>
                <w:color w:val="auto"/>
              </w:rPr>
            </w:pPr>
          </w:p>
        </w:tc>
        <w:tc>
          <w:tcPr>
            <w:tcW w:w="520" w:type="dxa"/>
            <w:vAlign w:val="bottom"/>
            <w:vMerge w:val="restart"/>
          </w:tcPr>
          <w:p>
            <w:pPr>
              <w:jc w:val="right"/>
              <w:ind w:right="59"/>
              <w:spacing w:after="0"/>
              <w:rPr>
                <w:sz w:val="20"/>
                <w:szCs w:val="20"/>
                <w:color w:val="auto"/>
              </w:rPr>
            </w:pPr>
            <w:r>
              <w:rPr>
                <w:rFonts w:ascii="Arial" w:cs="Arial" w:eastAsia="Arial" w:hAnsi="Arial"/>
                <w:sz w:val="24"/>
                <w:szCs w:val="24"/>
                <w:b w:val="1"/>
                <w:bCs w:val="1"/>
                <w:color w:val="auto"/>
              </w:rPr>
              <w:t>=</w:t>
            </w:r>
          </w:p>
        </w:tc>
        <w:tc>
          <w:tcPr>
            <w:tcW w:w="160" w:type="dxa"/>
            <w:vAlign w:val="bottom"/>
            <w:shd w:val="clear" w:color="auto" w:fill="29378D"/>
          </w:tcPr>
          <w:p>
            <w:pPr>
              <w:spacing w:after="0"/>
              <w:rPr>
                <w:sz w:val="20"/>
                <w:szCs w:val="20"/>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29378D"/>
              </w:rPr>
              <w:t>SHAREHOLDER ALIGNMENT</w:t>
            </w:r>
          </w:p>
        </w:tc>
        <w:tc>
          <w:tcPr>
            <w:tcW w:w="160" w:type="dxa"/>
            <w:vAlign w:val="bottom"/>
            <w:shd w:val="clear" w:color="auto" w:fill="29378D"/>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60" w:type="dxa"/>
            <w:vAlign w:val="bottom"/>
            <w:shd w:val="clear" w:color="auto" w:fill="BCBEC0"/>
          </w:tcPr>
          <w:p>
            <w:pPr>
              <w:spacing w:after="0"/>
              <w:rPr>
                <w:sz w:val="14"/>
                <w:szCs w:val="14"/>
                <w:color w:val="auto"/>
              </w:rPr>
            </w:pPr>
          </w:p>
        </w:tc>
        <w:tc>
          <w:tcPr>
            <w:tcW w:w="3060" w:type="dxa"/>
            <w:vAlign w:val="bottom"/>
          </w:tcPr>
          <w:p>
            <w:pPr>
              <w:ind w:left="820"/>
              <w:spacing w:after="0"/>
              <w:rPr>
                <w:sz w:val="20"/>
                <w:szCs w:val="20"/>
                <w:color w:val="auto"/>
              </w:rPr>
            </w:pPr>
            <w:r>
              <w:rPr>
                <w:rFonts w:ascii="Arial" w:cs="Arial" w:eastAsia="Arial" w:hAnsi="Arial"/>
                <w:sz w:val="14"/>
                <w:szCs w:val="14"/>
                <w:b w:val="1"/>
                <w:bCs w:val="1"/>
                <w:color w:val="auto"/>
              </w:rPr>
              <w:t>STOCK OWNERSHIP</w:t>
            </w:r>
          </w:p>
        </w:tc>
        <w:tc>
          <w:tcPr>
            <w:tcW w:w="160" w:type="dxa"/>
            <w:vAlign w:val="bottom"/>
            <w:shd w:val="clear" w:color="auto" w:fill="BCBEC0"/>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shd w:val="clear" w:color="auto" w:fill="BCBEC0"/>
          </w:tcPr>
          <w:p>
            <w:pPr>
              <w:spacing w:after="0"/>
              <w:rPr>
                <w:sz w:val="14"/>
                <w:szCs w:val="14"/>
                <w:color w:val="auto"/>
              </w:rPr>
            </w:pPr>
          </w:p>
        </w:tc>
        <w:tc>
          <w:tcPr>
            <w:tcW w:w="3060" w:type="dxa"/>
            <w:vAlign w:val="bottom"/>
          </w:tcPr>
          <w:p>
            <w:pPr>
              <w:ind w:left="920"/>
              <w:spacing w:after="0"/>
              <w:rPr>
                <w:sz w:val="20"/>
                <w:szCs w:val="20"/>
                <w:color w:val="auto"/>
              </w:rPr>
            </w:pPr>
            <w:r>
              <w:rPr>
                <w:rFonts w:ascii="Arial" w:cs="Arial" w:eastAsia="Arial" w:hAnsi="Arial"/>
                <w:sz w:val="14"/>
                <w:szCs w:val="14"/>
                <w:b w:val="1"/>
                <w:bCs w:val="1"/>
                <w:color w:val="auto"/>
              </w:rPr>
              <w:t>STOCK HOLDING</w:t>
            </w:r>
          </w:p>
        </w:tc>
        <w:tc>
          <w:tcPr>
            <w:tcW w:w="160" w:type="dxa"/>
            <w:vAlign w:val="bottom"/>
            <w:shd w:val="clear" w:color="auto" w:fill="BCBEC0"/>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shd w:val="clear" w:color="auto" w:fill="29378D"/>
          </w:tcPr>
          <w:p>
            <w:pPr>
              <w:spacing w:after="0"/>
              <w:rPr>
                <w:sz w:val="14"/>
                <w:szCs w:val="14"/>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29378D"/>
              </w:rPr>
              <w:t>AND FOCUS ON LONG-TERM,</w:t>
            </w:r>
          </w:p>
        </w:tc>
        <w:tc>
          <w:tcPr>
            <w:tcW w:w="160" w:type="dxa"/>
            <w:vAlign w:val="bottom"/>
            <w:shd w:val="clear" w:color="auto" w:fill="29378D"/>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0" w:type="dxa"/>
            <w:vAlign w:val="bottom"/>
            <w:shd w:val="clear" w:color="auto" w:fill="BCBEC0"/>
          </w:tcPr>
          <w:p>
            <w:pPr>
              <w:spacing w:after="0"/>
              <w:rPr>
                <w:sz w:val="17"/>
                <w:szCs w:val="17"/>
                <w:color w:val="auto"/>
              </w:rPr>
            </w:pPr>
          </w:p>
        </w:tc>
        <w:tc>
          <w:tcPr>
            <w:tcW w:w="3060" w:type="dxa"/>
            <w:vAlign w:val="bottom"/>
          </w:tcPr>
          <w:p>
            <w:pPr>
              <w:spacing w:after="0"/>
              <w:rPr>
                <w:sz w:val="17"/>
                <w:szCs w:val="17"/>
                <w:color w:val="auto"/>
              </w:rPr>
            </w:pPr>
          </w:p>
        </w:tc>
        <w:tc>
          <w:tcPr>
            <w:tcW w:w="160" w:type="dxa"/>
            <w:vAlign w:val="bottom"/>
            <w:shd w:val="clear" w:color="auto" w:fill="BCBEC0"/>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shd w:val="clear" w:color="auto" w:fill="BCBEC0"/>
          </w:tcPr>
          <w:p>
            <w:pPr>
              <w:spacing w:after="0"/>
              <w:rPr>
                <w:sz w:val="17"/>
                <w:szCs w:val="17"/>
                <w:color w:val="auto"/>
              </w:rPr>
            </w:pPr>
          </w:p>
        </w:tc>
        <w:tc>
          <w:tcPr>
            <w:tcW w:w="3060" w:type="dxa"/>
            <w:vAlign w:val="bottom"/>
          </w:tcPr>
          <w:p>
            <w:pPr>
              <w:spacing w:after="0"/>
              <w:rPr>
                <w:sz w:val="17"/>
                <w:szCs w:val="17"/>
                <w:color w:val="auto"/>
              </w:rPr>
            </w:pPr>
          </w:p>
        </w:tc>
        <w:tc>
          <w:tcPr>
            <w:tcW w:w="160" w:type="dxa"/>
            <w:vAlign w:val="bottom"/>
            <w:shd w:val="clear" w:color="auto" w:fill="BCBEC0"/>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shd w:val="clear" w:color="auto" w:fill="29378D"/>
          </w:tcPr>
          <w:p>
            <w:pPr>
              <w:spacing w:after="0"/>
              <w:rPr>
                <w:sz w:val="17"/>
                <w:szCs w:val="17"/>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29378D"/>
              </w:rPr>
              <w:t>SUSTAINABLE GROWTH</w:t>
            </w:r>
          </w:p>
        </w:tc>
        <w:tc>
          <w:tcPr>
            <w:tcW w:w="160" w:type="dxa"/>
            <w:vAlign w:val="bottom"/>
            <w:shd w:val="clear" w:color="auto" w:fill="29378D"/>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60" w:type="dxa"/>
            <w:vAlign w:val="bottom"/>
            <w:shd w:val="clear" w:color="auto" w:fill="BCBEC0"/>
          </w:tcPr>
          <w:p>
            <w:pPr>
              <w:spacing w:after="0"/>
              <w:rPr>
                <w:sz w:val="5"/>
                <w:szCs w:val="5"/>
                <w:color w:val="auto"/>
              </w:rPr>
            </w:pPr>
          </w:p>
        </w:tc>
        <w:tc>
          <w:tcPr>
            <w:tcW w:w="3060" w:type="dxa"/>
            <w:vAlign w:val="bottom"/>
          </w:tcPr>
          <w:p>
            <w:pPr>
              <w:spacing w:after="0"/>
              <w:rPr>
                <w:sz w:val="5"/>
                <w:szCs w:val="5"/>
                <w:color w:val="auto"/>
              </w:rPr>
            </w:pPr>
          </w:p>
        </w:tc>
        <w:tc>
          <w:tcPr>
            <w:tcW w:w="160" w:type="dxa"/>
            <w:vAlign w:val="bottom"/>
            <w:shd w:val="clear" w:color="auto" w:fill="BCBEC0"/>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shd w:val="clear" w:color="auto" w:fill="BCBEC0"/>
          </w:tcPr>
          <w:p>
            <w:pPr>
              <w:spacing w:after="0"/>
              <w:rPr>
                <w:sz w:val="5"/>
                <w:szCs w:val="5"/>
                <w:color w:val="auto"/>
              </w:rPr>
            </w:pPr>
          </w:p>
        </w:tc>
        <w:tc>
          <w:tcPr>
            <w:tcW w:w="3060" w:type="dxa"/>
            <w:vAlign w:val="bottom"/>
          </w:tcPr>
          <w:p>
            <w:pPr>
              <w:spacing w:after="0"/>
              <w:rPr>
                <w:sz w:val="5"/>
                <w:szCs w:val="5"/>
                <w:color w:val="auto"/>
              </w:rPr>
            </w:pPr>
          </w:p>
        </w:tc>
        <w:tc>
          <w:tcPr>
            <w:tcW w:w="160" w:type="dxa"/>
            <w:vAlign w:val="bottom"/>
            <w:shd w:val="clear" w:color="auto" w:fill="BCBEC0"/>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shd w:val="clear" w:color="auto" w:fill="29378D"/>
          </w:tcPr>
          <w:p>
            <w:pPr>
              <w:spacing w:after="0"/>
              <w:rPr>
                <w:sz w:val="5"/>
                <w:szCs w:val="5"/>
                <w:color w:val="auto"/>
              </w:rPr>
            </w:pPr>
          </w:p>
        </w:tc>
        <w:tc>
          <w:tcPr>
            <w:tcW w:w="3100" w:type="dxa"/>
            <w:vAlign w:val="bottom"/>
          </w:tcPr>
          <w:p>
            <w:pPr>
              <w:spacing w:after="0"/>
              <w:rPr>
                <w:sz w:val="5"/>
                <w:szCs w:val="5"/>
                <w:color w:val="auto"/>
              </w:rPr>
            </w:pPr>
          </w:p>
        </w:tc>
        <w:tc>
          <w:tcPr>
            <w:tcW w:w="160" w:type="dxa"/>
            <w:vAlign w:val="bottom"/>
            <w:shd w:val="clear" w:color="auto" w:fill="29378D"/>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60" w:type="dxa"/>
            <w:vAlign w:val="bottom"/>
            <w:shd w:val="clear" w:color="auto" w:fill="BCBEC0"/>
          </w:tcPr>
          <w:p>
            <w:pPr>
              <w:spacing w:after="0"/>
              <w:rPr>
                <w:sz w:val="9"/>
                <w:szCs w:val="9"/>
                <w:color w:val="auto"/>
              </w:rPr>
            </w:pPr>
          </w:p>
        </w:tc>
        <w:tc>
          <w:tcPr>
            <w:tcW w:w="3060" w:type="dxa"/>
            <w:vAlign w:val="bottom"/>
            <w:shd w:val="clear" w:color="auto" w:fill="BCBEC0"/>
          </w:tcPr>
          <w:p>
            <w:pPr>
              <w:spacing w:after="0"/>
              <w:rPr>
                <w:sz w:val="9"/>
                <w:szCs w:val="9"/>
                <w:color w:val="auto"/>
              </w:rPr>
            </w:pPr>
          </w:p>
        </w:tc>
        <w:tc>
          <w:tcPr>
            <w:tcW w:w="160" w:type="dxa"/>
            <w:vAlign w:val="bottom"/>
            <w:shd w:val="clear" w:color="auto" w:fill="BCBEC0"/>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shd w:val="clear" w:color="auto" w:fill="BCBEC0"/>
          </w:tcPr>
          <w:p>
            <w:pPr>
              <w:spacing w:after="0"/>
              <w:rPr>
                <w:sz w:val="9"/>
                <w:szCs w:val="9"/>
                <w:color w:val="auto"/>
              </w:rPr>
            </w:pPr>
          </w:p>
        </w:tc>
        <w:tc>
          <w:tcPr>
            <w:tcW w:w="3060" w:type="dxa"/>
            <w:vAlign w:val="bottom"/>
            <w:shd w:val="clear" w:color="auto" w:fill="BCBEC0"/>
          </w:tcPr>
          <w:p>
            <w:pPr>
              <w:spacing w:after="0"/>
              <w:rPr>
                <w:sz w:val="9"/>
                <w:szCs w:val="9"/>
                <w:color w:val="auto"/>
              </w:rPr>
            </w:pPr>
          </w:p>
        </w:tc>
        <w:tc>
          <w:tcPr>
            <w:tcW w:w="160" w:type="dxa"/>
            <w:vAlign w:val="bottom"/>
            <w:shd w:val="clear" w:color="auto" w:fill="BCBEC0"/>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shd w:val="clear" w:color="auto" w:fill="29378D"/>
          </w:tcPr>
          <w:p>
            <w:pPr>
              <w:spacing w:after="0"/>
              <w:rPr>
                <w:sz w:val="9"/>
                <w:szCs w:val="9"/>
                <w:color w:val="auto"/>
              </w:rPr>
            </w:pPr>
          </w:p>
        </w:tc>
        <w:tc>
          <w:tcPr>
            <w:tcW w:w="3100" w:type="dxa"/>
            <w:vAlign w:val="bottom"/>
            <w:shd w:val="clear" w:color="auto" w:fill="29378D"/>
          </w:tcPr>
          <w:p>
            <w:pPr>
              <w:spacing w:after="0"/>
              <w:rPr>
                <w:sz w:val="9"/>
                <w:szCs w:val="9"/>
                <w:color w:val="auto"/>
              </w:rPr>
            </w:pPr>
          </w:p>
        </w:tc>
        <w:tc>
          <w:tcPr>
            <w:tcW w:w="160" w:type="dxa"/>
            <w:vAlign w:val="bottom"/>
            <w:shd w:val="clear" w:color="auto" w:fill="29378D"/>
          </w:tcPr>
          <w:p>
            <w:pPr>
              <w:spacing w:after="0"/>
              <w:rPr>
                <w:sz w:val="9"/>
                <w:szCs w:val="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23"/>
          <w:szCs w:val="23"/>
          <w:color w:val="auto"/>
        </w:rPr>
        <w:t>Anti-Hedging and Anti-Pledging Policy</w:t>
      </w:r>
    </w:p>
    <w:p>
      <w:pPr>
        <w:spacing w:after="0" w:line="13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Company policy prohibits our NEOs and other elected officers from hedging or entering into margin transactions involving Company stock, and pledging Company securities as collateral for loans or other transactions. Additional information about our policy can be found in “Compensation of Directors - Stock Ownership Requirements and Anti-Hedging and Pledging Policy” on page 46.</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color w:val="auto"/>
        </w:rPr>
        <w:t>Recoupment Policy</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recoupment policy generally provides that:</w:t>
      </w:r>
    </w:p>
    <w:p>
      <w:pPr>
        <w:spacing w:after="0" w:line="113" w:lineRule="exact"/>
        <w:rPr>
          <w:sz w:val="20"/>
          <w:szCs w:val="20"/>
          <w:color w:val="auto"/>
        </w:rPr>
      </w:pPr>
    </w:p>
    <w:p>
      <w:pPr>
        <w:ind w:left="200" w:right="100" w:hanging="192"/>
        <w:spacing w:after="0" w:line="304" w:lineRule="auto"/>
        <w:tabs>
          <w:tab w:leader="none" w:pos="143" w:val="left"/>
        </w:tabs>
        <w:numPr>
          <w:ilvl w:val="0"/>
          <w:numId w:val="128"/>
        </w:numPr>
        <w:rPr>
          <w:rFonts w:ascii="Arial" w:cs="Arial" w:eastAsia="Arial" w:hAnsi="Arial"/>
          <w:sz w:val="16"/>
          <w:szCs w:val="16"/>
          <w:b w:val="1"/>
          <w:bCs w:val="1"/>
          <w:color w:val="29378D"/>
        </w:rPr>
      </w:pPr>
      <w:r>
        <w:rPr>
          <w:rFonts w:ascii="Arial" w:cs="Arial" w:eastAsia="Arial" w:hAnsi="Arial"/>
          <w:sz w:val="16"/>
          <w:szCs w:val="16"/>
          <w:color w:val="auto"/>
        </w:rPr>
        <w:t>if the Company is required to restate its financial results, the Company will attempt to recover reasonably promptly from each executive officer the amount of any erroneously awarded compensation that was received by such officer;</w:t>
      </w:r>
    </w:p>
    <w:p>
      <w:pPr>
        <w:spacing w:after="0" w:line="200" w:lineRule="exact"/>
        <w:rPr>
          <w:sz w:val="20"/>
          <w:szCs w:val="20"/>
          <w:color w:val="auto"/>
        </w:rPr>
      </w:pPr>
    </w:p>
    <w:p>
      <w:pPr>
        <w:spacing w:after="0" w:line="392" w:lineRule="exact"/>
        <w:rPr>
          <w:sz w:val="20"/>
          <w:szCs w:val="20"/>
          <w:color w:val="auto"/>
        </w:rPr>
      </w:pPr>
    </w:p>
    <w:p>
      <w:pPr>
        <w:ind w:left="520" w:hanging="494"/>
        <w:spacing w:after="0"/>
        <w:tabs>
          <w:tab w:leader="none" w:pos="520" w:val="left"/>
        </w:tabs>
        <w:numPr>
          <w:ilvl w:val="0"/>
          <w:numId w:val="129"/>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200" w:right="60" w:hanging="192"/>
        <w:spacing w:after="0" w:line="275" w:lineRule="auto"/>
        <w:tabs>
          <w:tab w:leader="none" w:pos="157" w:val="left"/>
        </w:tabs>
        <w:numPr>
          <w:ilvl w:val="0"/>
          <w:numId w:val="130"/>
        </w:numPr>
        <w:rPr>
          <w:rFonts w:ascii="Arial" w:cs="Arial" w:eastAsia="Arial" w:hAnsi="Arial"/>
          <w:sz w:val="16"/>
          <w:szCs w:val="16"/>
          <w:color w:val="29378D"/>
        </w:rPr>
      </w:pPr>
      <w:r>
        <w:rPr>
          <w:rFonts w:ascii="Arial" w:cs="Arial" w:eastAsia="Arial" w:hAnsi="Arial"/>
          <w:sz w:val="16"/>
          <w:szCs w:val="16"/>
          <w:color w:val="auto"/>
        </w:rPr>
        <w:t>the Board has discretion to recoup performance-based annual or long-term cash or equity incentive payments (collectively, "incentive compensation") paid to an elected officer in the event of a restatement or if an elected officer engages in illegal conduct that causes significant financial or reputational harm to the Company;</w:t>
      </w:r>
    </w:p>
    <w:p>
      <w:pPr>
        <w:spacing w:after="0" w:line="29" w:lineRule="exact"/>
        <w:rPr>
          <w:rFonts w:ascii="Arial" w:cs="Arial" w:eastAsia="Arial" w:hAnsi="Arial"/>
          <w:sz w:val="16"/>
          <w:szCs w:val="16"/>
          <w:color w:val="29378D"/>
        </w:rPr>
      </w:pPr>
    </w:p>
    <w:p>
      <w:pPr>
        <w:ind w:left="200" w:right="180" w:hanging="192"/>
        <w:spacing w:after="0" w:line="286" w:lineRule="auto"/>
        <w:tabs>
          <w:tab w:leader="none" w:pos="143" w:val="left"/>
        </w:tabs>
        <w:numPr>
          <w:ilvl w:val="0"/>
          <w:numId w:val="130"/>
        </w:numPr>
        <w:rPr>
          <w:rFonts w:ascii="Arial" w:cs="Arial" w:eastAsia="Arial" w:hAnsi="Arial"/>
          <w:sz w:val="16"/>
          <w:szCs w:val="16"/>
          <w:b w:val="1"/>
          <w:bCs w:val="1"/>
          <w:color w:val="29378D"/>
        </w:rPr>
      </w:pPr>
      <w:r>
        <w:rPr>
          <w:rFonts w:ascii="Arial" w:cs="Arial" w:eastAsia="Arial" w:hAnsi="Arial"/>
          <w:sz w:val="16"/>
          <w:szCs w:val="16"/>
          <w:color w:val="auto"/>
        </w:rPr>
        <w:t>the Board has discretion to recoup incentive compensation paid to the elected officer in the event the elected officer fails to report misconduct of another, or is grossly negligent in fulfilling his or her supervisory responsibilities to prevent such misconduct; and</w:t>
      </w:r>
    </w:p>
    <w:p>
      <w:pPr>
        <w:spacing w:after="0" w:line="20" w:lineRule="exact"/>
        <w:rPr>
          <w:rFonts w:ascii="Arial" w:cs="Arial" w:eastAsia="Arial" w:hAnsi="Arial"/>
          <w:sz w:val="16"/>
          <w:szCs w:val="16"/>
          <w:b w:val="1"/>
          <w:bCs w:val="1"/>
          <w:color w:val="29378D"/>
        </w:rPr>
      </w:pPr>
    </w:p>
    <w:p>
      <w:pPr>
        <w:ind w:left="140" w:hanging="132"/>
        <w:spacing w:after="0"/>
        <w:tabs>
          <w:tab w:leader="none" w:pos="140" w:val="left"/>
        </w:tabs>
        <w:numPr>
          <w:ilvl w:val="0"/>
          <w:numId w:val="130"/>
        </w:numPr>
        <w:rPr>
          <w:rFonts w:ascii="Arial" w:cs="Arial" w:eastAsia="Arial" w:hAnsi="Arial"/>
          <w:sz w:val="16"/>
          <w:szCs w:val="16"/>
          <w:b w:val="1"/>
          <w:bCs w:val="1"/>
          <w:color w:val="29378D"/>
        </w:rPr>
      </w:pPr>
      <w:r>
        <w:rPr>
          <w:rFonts w:ascii="Arial" w:cs="Arial" w:eastAsia="Arial" w:hAnsi="Arial"/>
          <w:sz w:val="16"/>
          <w:szCs w:val="16"/>
          <w:color w:val="auto"/>
        </w:rPr>
        <w:t>the CEO has discretion to recoup under similar circumstances incentive compensation provided to non-elected officers or other employees.</w:t>
      </w:r>
    </w:p>
    <w:p>
      <w:pPr>
        <w:spacing w:after="0" w:line="113"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The Company’s recoupment policy includes a three-year look back for recovery of the erroneously awarded compensation or other incentive compensation. It also provides for certain disclosure in the event of recoupment, consistent with SEC and other legal requirements. The Company's Recoupment Policy is filed as Exhibit 97 to our 2023 Form 10-K.</w:t>
      </w: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color w:val="auto"/>
        </w:rPr>
        <w:t>Risk Management</w:t>
      </w:r>
    </w:p>
    <w:p>
      <w:pPr>
        <w:spacing w:after="0" w:line="117"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Compensation and Human Capital Committee annually reviews our compensation programs and together with the Independent Compensation Consultant assesses potential compensation-related risks to the Company. Based on this assessment for 2023, the Compensation and Human Capital Committee determined that the risk profile is appropriate and substantial risk management features are incorporated into our compensation programs. This determination reflects the following conclusions from the detailed risk assessment:</w:t>
      </w:r>
    </w:p>
    <w:p>
      <w:pPr>
        <w:spacing w:after="0" w:line="78" w:lineRule="exact"/>
        <w:rPr>
          <w:sz w:val="20"/>
          <w:szCs w:val="20"/>
          <w:color w:val="auto"/>
        </w:rPr>
      </w:pPr>
    </w:p>
    <w:p>
      <w:pPr>
        <w:ind w:left="200" w:right="100" w:hanging="192"/>
        <w:spacing w:after="0" w:line="286" w:lineRule="auto"/>
        <w:tabs>
          <w:tab w:leader="none" w:pos="143" w:val="left"/>
        </w:tabs>
        <w:numPr>
          <w:ilvl w:val="0"/>
          <w:numId w:val="131"/>
        </w:numPr>
        <w:rPr>
          <w:rFonts w:ascii="Arial" w:cs="Arial" w:eastAsia="Arial" w:hAnsi="Arial"/>
          <w:sz w:val="16"/>
          <w:szCs w:val="16"/>
          <w:b w:val="1"/>
          <w:bCs w:val="1"/>
          <w:color w:val="29378D"/>
        </w:rPr>
      </w:pPr>
      <w:r>
        <w:rPr>
          <w:rFonts w:ascii="Arial" w:cs="Arial" w:eastAsia="Arial" w:hAnsi="Arial"/>
          <w:sz w:val="16"/>
          <w:szCs w:val="16"/>
          <w:color w:val="auto"/>
        </w:rPr>
        <w:t>there is appropriate balance to mitigate compensation-related risk in the executive compensation programs’ designs between fixed and variable pay, cash and stock components, annual and long-term measures, financial and non-financial measures and formulaic and discretionary decisions;</w:t>
      </w:r>
    </w:p>
    <w:p>
      <w:pPr>
        <w:spacing w:after="0" w:line="20" w:lineRule="exact"/>
        <w:rPr>
          <w:rFonts w:ascii="Arial" w:cs="Arial" w:eastAsia="Arial" w:hAnsi="Arial"/>
          <w:sz w:val="16"/>
          <w:szCs w:val="16"/>
          <w:b w:val="1"/>
          <w:bCs w:val="1"/>
          <w:color w:val="29378D"/>
        </w:rPr>
      </w:pPr>
    </w:p>
    <w:p>
      <w:pPr>
        <w:ind w:left="200" w:right="20" w:hanging="192"/>
        <w:spacing w:after="0" w:line="286" w:lineRule="auto"/>
        <w:tabs>
          <w:tab w:leader="none" w:pos="143" w:val="left"/>
        </w:tabs>
        <w:numPr>
          <w:ilvl w:val="0"/>
          <w:numId w:val="131"/>
        </w:numPr>
        <w:rPr>
          <w:rFonts w:ascii="Arial" w:cs="Arial" w:eastAsia="Arial" w:hAnsi="Arial"/>
          <w:sz w:val="16"/>
          <w:szCs w:val="16"/>
          <w:b w:val="1"/>
          <w:bCs w:val="1"/>
          <w:color w:val="29378D"/>
        </w:rPr>
      </w:pPr>
      <w:r>
        <w:rPr>
          <w:rFonts w:ascii="Arial" w:cs="Arial" w:eastAsia="Arial" w:hAnsi="Arial"/>
          <w:sz w:val="16"/>
          <w:szCs w:val="16"/>
          <w:color w:val="auto"/>
        </w:rPr>
        <w:t>there are appropriate policies in place to mitigate compensation-related risk, including the Compensation and Human Capital Committee’s and its advisor’s independence, transparent disclosure, officer stock ownership guidelines and holding period requirements, and hedging and recoupment policies; and</w:t>
      </w:r>
    </w:p>
    <w:p>
      <w:pPr>
        <w:spacing w:after="0" w:line="20" w:lineRule="exact"/>
        <w:rPr>
          <w:rFonts w:ascii="Arial" w:cs="Arial" w:eastAsia="Arial" w:hAnsi="Arial"/>
          <w:sz w:val="16"/>
          <w:szCs w:val="16"/>
          <w:b w:val="1"/>
          <w:bCs w:val="1"/>
          <w:color w:val="29378D"/>
        </w:rPr>
      </w:pPr>
    </w:p>
    <w:p>
      <w:pPr>
        <w:ind w:left="140" w:hanging="132"/>
        <w:spacing w:after="0"/>
        <w:tabs>
          <w:tab w:leader="none" w:pos="140" w:val="left"/>
        </w:tabs>
        <w:numPr>
          <w:ilvl w:val="0"/>
          <w:numId w:val="131"/>
        </w:numPr>
        <w:rPr>
          <w:rFonts w:ascii="Arial" w:cs="Arial" w:eastAsia="Arial" w:hAnsi="Arial"/>
          <w:sz w:val="16"/>
          <w:szCs w:val="16"/>
          <w:b w:val="1"/>
          <w:bCs w:val="1"/>
          <w:color w:val="29378D"/>
        </w:rPr>
      </w:pPr>
      <w:r>
        <w:rPr>
          <w:rFonts w:ascii="Arial" w:cs="Arial" w:eastAsia="Arial" w:hAnsi="Arial"/>
          <w:sz w:val="16"/>
          <w:szCs w:val="16"/>
          <w:color w:val="auto"/>
        </w:rPr>
        <w:t>there are no incentive or commission arrangements below the executive level that potentially encourage excessive risk-taking behavior.</w:t>
      </w:r>
    </w:p>
    <w:p>
      <w:pPr>
        <w:spacing w:after="0" w:line="244" w:lineRule="exact"/>
        <w:rPr>
          <w:sz w:val="20"/>
          <w:szCs w:val="20"/>
          <w:color w:val="auto"/>
        </w:rPr>
      </w:pPr>
    </w:p>
    <w:p>
      <w:pPr>
        <w:spacing w:after="0"/>
        <w:rPr>
          <w:sz w:val="20"/>
          <w:szCs w:val="20"/>
          <w:color w:val="auto"/>
        </w:rPr>
      </w:pPr>
      <w:r>
        <w:rPr>
          <w:rFonts w:ascii="Arial" w:cs="Arial" w:eastAsia="Arial" w:hAnsi="Arial"/>
          <w:sz w:val="23"/>
          <w:szCs w:val="23"/>
          <w:color w:val="auto"/>
        </w:rPr>
        <w:t>Tax Deductibility of Pay</w:t>
      </w:r>
    </w:p>
    <w:p>
      <w:pPr>
        <w:spacing w:after="0" w:line="131"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Section 162(m) of the Internal Revenue Code generally limits the annual tax deduction to $1 million per person for compensation paid to the Company’s ”covered employees,” defined to include the CEO, CFO, and the next three highest-paid NEOs excluding the CEO and CFO. The limitation also applies to individuals who were covered employees in any year after 2016.</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and Human Capital Committee Report</w:t>
      </w:r>
    </w:p>
    <w:p>
      <w:pPr>
        <w:spacing w:after="0" w:line="14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Compensation and Human Capital Committee reviewed and discussed the CD&amp;A with management. Based on such review and discussion, the Compensation and Human Capital Committee recommended to the Board that the CD&amp;A be included in this Proxy Statement. The Board has approved the recommendation.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and Human Capital Committee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David P. Abney, Chair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Madeleine A. Kleiner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Arvind Krishna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Graham N. Robinson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Gary Roughead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Mary A. Winston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hanging="494"/>
        <w:spacing w:after="0"/>
        <w:tabs>
          <w:tab w:leader="none" w:pos="520" w:val="left"/>
        </w:tabs>
        <w:numPr>
          <w:ilvl w:val="0"/>
          <w:numId w:val="132"/>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38" w:right="459" w:bottom="1440" w:gutter="0" w:footer="0" w:header="0"/>
        </w:sectPr>
      </w:pPr>
    </w:p>
    <w:bookmarkStart w:id="73" w:name="page74"/>
    <w:bookmarkEnd w:id="73"/>
    <w:p>
      <w:pPr>
        <w:spacing w:after="0"/>
        <w:rPr>
          <w:sz w:val="20"/>
          <w:szCs w:val="20"/>
          <w:color w:val="auto"/>
        </w:rPr>
      </w:pPr>
      <w:r>
        <w:rPr>
          <w:rFonts w:ascii="Arial" w:cs="Arial" w:eastAsia="Arial" w:hAnsi="Arial"/>
          <w:sz w:val="43"/>
          <w:szCs w:val="43"/>
          <w:b w:val="1"/>
          <w:bCs w:val="1"/>
          <w:color w:val="29378D"/>
        </w:rPr>
        <w:t>Compensation Tables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Summary Compensation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Change in Pension</w:t>
            </w:r>
          </w:p>
        </w:tc>
        <w:tc>
          <w:tcPr>
            <w:tcW w:w="1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Value and Non-</w:t>
            </w:r>
          </w:p>
        </w:tc>
        <w:tc>
          <w:tcPr>
            <w:tcW w:w="1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Qualified Deferred</w:t>
            </w:r>
          </w:p>
        </w:tc>
        <w:tc>
          <w:tcPr>
            <w:tcW w:w="1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Stock</w:t>
            </w:r>
          </w:p>
        </w:tc>
        <w:tc>
          <w:tcPr>
            <w:tcW w:w="140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Non-Equity Incentive</w:t>
            </w:r>
          </w:p>
        </w:tc>
        <w:tc>
          <w:tcPr>
            <w:tcW w:w="13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Compensation</w:t>
            </w:r>
          </w:p>
        </w:tc>
        <w:tc>
          <w:tcPr>
            <w:tcW w:w="140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All Other</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Salary</w:t>
            </w:r>
            <w:r>
              <w:rPr>
                <w:rFonts w:ascii="Arial" w:cs="Arial" w:eastAsia="Arial" w:hAnsi="Arial"/>
                <w:sz w:val="15"/>
                <w:szCs w:val="15"/>
                <w:b w:val="1"/>
                <w:bCs w:val="1"/>
                <w:color w:val="auto"/>
                <w:vertAlign w:val="superscript"/>
              </w:rPr>
              <w:t>(1)</w:t>
            </w:r>
          </w:p>
        </w:tc>
        <w:tc>
          <w:tcPr>
            <w:tcW w:w="6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Bonus</w:t>
            </w:r>
          </w:p>
        </w:tc>
        <w:tc>
          <w:tcPr>
            <w:tcW w:w="12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5"/>
                <w:szCs w:val="15"/>
                <w:b w:val="1"/>
                <w:bCs w:val="1"/>
                <w:color w:val="auto"/>
                <w:vertAlign w:val="superscript"/>
              </w:rPr>
              <w:t>(2)</w:t>
            </w:r>
          </w:p>
        </w:tc>
        <w:tc>
          <w:tcPr>
            <w:tcW w:w="140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Plan Compensation</w:t>
            </w:r>
            <w:r>
              <w:rPr>
                <w:rFonts w:ascii="Arial" w:cs="Arial" w:eastAsia="Arial" w:hAnsi="Arial"/>
                <w:sz w:val="15"/>
                <w:szCs w:val="15"/>
                <w:b w:val="1"/>
                <w:bCs w:val="1"/>
                <w:color w:val="auto"/>
                <w:vertAlign w:val="superscript"/>
              </w:rPr>
              <w:t>(3)</w:t>
            </w:r>
          </w:p>
        </w:tc>
        <w:tc>
          <w:tcPr>
            <w:tcW w:w="13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Earnings</w:t>
            </w:r>
            <w:r>
              <w:rPr>
                <w:rFonts w:ascii="Arial" w:cs="Arial" w:eastAsia="Arial" w:hAnsi="Arial"/>
                <w:sz w:val="15"/>
                <w:szCs w:val="15"/>
                <w:b w:val="1"/>
                <w:bCs w:val="1"/>
                <w:color w:val="auto"/>
                <w:vertAlign w:val="superscript"/>
              </w:rPr>
              <w:t>(4)</w:t>
            </w:r>
          </w:p>
        </w:tc>
        <w:tc>
          <w:tcPr>
            <w:tcW w:w="140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5"/>
                <w:szCs w:val="15"/>
                <w:b w:val="1"/>
                <w:bCs w:val="1"/>
                <w:color w:val="auto"/>
                <w:vertAlign w:val="superscript"/>
              </w:rPr>
              <w:t>(5)</w:t>
            </w:r>
          </w:p>
        </w:tc>
        <w:tc>
          <w:tcPr>
            <w:tcW w:w="120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0"/>
        </w:trPr>
        <w:tc>
          <w:tcPr>
            <w:tcW w:w="2340" w:type="dxa"/>
            <w:vAlign w:val="bottom"/>
          </w:tcPr>
          <w:p>
            <w:pPr>
              <w:ind w:left="20"/>
              <w:spacing w:after="0"/>
              <w:rPr>
                <w:sz w:val="20"/>
                <w:szCs w:val="20"/>
                <w:color w:val="auto"/>
              </w:rPr>
            </w:pPr>
            <w:r>
              <w:rPr>
                <w:rFonts w:ascii="Arial" w:cs="Arial" w:eastAsia="Arial" w:hAnsi="Arial"/>
                <w:sz w:val="12"/>
                <w:szCs w:val="12"/>
                <w:b w:val="1"/>
                <w:bCs w:val="1"/>
                <w:color w:val="auto"/>
              </w:rPr>
              <w:t>Name &amp; Principal Position</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Year</w:t>
            </w:r>
          </w:p>
        </w:tc>
        <w:tc>
          <w:tcPr>
            <w:tcW w:w="10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4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6"/>
        </w:trPr>
        <w:tc>
          <w:tcPr>
            <w:tcW w:w="2340" w:type="dxa"/>
            <w:vAlign w:val="bottom"/>
            <w:tcBorders>
              <w:bottom w:val="single" w:sz="8" w:color="29378D"/>
            </w:tcBorders>
          </w:tcPr>
          <w:p>
            <w:pPr>
              <w:spacing w:after="0"/>
              <w:rPr>
                <w:sz w:val="2"/>
                <w:szCs w:val="2"/>
                <w:color w:val="auto"/>
              </w:rPr>
            </w:pPr>
          </w:p>
        </w:tc>
        <w:tc>
          <w:tcPr>
            <w:tcW w:w="620" w:type="dxa"/>
            <w:vAlign w:val="bottom"/>
            <w:tcBorders>
              <w:bottom w:val="single" w:sz="8" w:color="29378D"/>
            </w:tcBorders>
          </w:tcPr>
          <w:p>
            <w:pPr>
              <w:spacing w:after="0"/>
              <w:rPr>
                <w:sz w:val="2"/>
                <w:szCs w:val="2"/>
                <w:color w:val="auto"/>
              </w:rPr>
            </w:pPr>
          </w:p>
        </w:tc>
        <w:tc>
          <w:tcPr>
            <w:tcW w:w="1080" w:type="dxa"/>
            <w:vAlign w:val="bottom"/>
            <w:tcBorders>
              <w:bottom w:val="single" w:sz="8" w:color="29378D"/>
            </w:tcBorders>
          </w:tcPr>
          <w:p>
            <w:pPr>
              <w:spacing w:after="0"/>
              <w:rPr>
                <w:sz w:val="2"/>
                <w:szCs w:val="2"/>
                <w:color w:val="auto"/>
              </w:rPr>
            </w:pPr>
          </w:p>
        </w:tc>
        <w:tc>
          <w:tcPr>
            <w:tcW w:w="640" w:type="dxa"/>
            <w:vAlign w:val="bottom"/>
            <w:tcBorders>
              <w:bottom w:val="single" w:sz="8" w:color="29378D"/>
            </w:tcBorders>
          </w:tcPr>
          <w:p>
            <w:pPr>
              <w:spacing w:after="0"/>
              <w:rPr>
                <w:sz w:val="2"/>
                <w:szCs w:val="2"/>
                <w:color w:val="auto"/>
              </w:rPr>
            </w:pPr>
          </w:p>
        </w:tc>
        <w:tc>
          <w:tcPr>
            <w:tcW w:w="1240" w:type="dxa"/>
            <w:vAlign w:val="bottom"/>
            <w:tcBorders>
              <w:bottom w:val="single" w:sz="8" w:color="494949"/>
            </w:tcBorders>
          </w:tcPr>
          <w:p>
            <w:pPr>
              <w:spacing w:after="0"/>
              <w:rPr>
                <w:sz w:val="2"/>
                <w:szCs w:val="2"/>
                <w:color w:val="auto"/>
              </w:rPr>
            </w:pPr>
          </w:p>
        </w:tc>
        <w:tc>
          <w:tcPr>
            <w:tcW w:w="1400" w:type="dxa"/>
            <w:vAlign w:val="bottom"/>
            <w:tcBorders>
              <w:bottom w:val="single" w:sz="8" w:color="29378D"/>
            </w:tcBorders>
          </w:tcPr>
          <w:p>
            <w:pPr>
              <w:spacing w:after="0"/>
              <w:rPr>
                <w:sz w:val="2"/>
                <w:szCs w:val="2"/>
                <w:color w:val="auto"/>
              </w:rPr>
            </w:pPr>
          </w:p>
        </w:tc>
        <w:tc>
          <w:tcPr>
            <w:tcW w:w="1320" w:type="dxa"/>
            <w:vAlign w:val="bottom"/>
            <w:tcBorders>
              <w:bottom w:val="single" w:sz="8" w:color="29378D"/>
            </w:tcBorders>
          </w:tcPr>
          <w:p>
            <w:pPr>
              <w:spacing w:after="0"/>
              <w:rPr>
                <w:sz w:val="2"/>
                <w:szCs w:val="2"/>
                <w:color w:val="auto"/>
              </w:rPr>
            </w:pPr>
          </w:p>
        </w:tc>
        <w:tc>
          <w:tcPr>
            <w:tcW w:w="1400" w:type="dxa"/>
            <w:vAlign w:val="bottom"/>
            <w:tcBorders>
              <w:bottom w:val="single" w:sz="8" w:color="29378D"/>
            </w:tcBorders>
          </w:tcPr>
          <w:p>
            <w:pPr>
              <w:spacing w:after="0"/>
              <w:rPr>
                <w:sz w:val="2"/>
                <w:szCs w:val="2"/>
                <w:color w:val="auto"/>
              </w:rPr>
            </w:pPr>
          </w:p>
        </w:tc>
        <w:tc>
          <w:tcPr>
            <w:tcW w:w="1200" w:type="dxa"/>
            <w:vAlign w:val="bottom"/>
            <w:tcBorders>
              <w:bottom w:val="single" w:sz="8" w:color="29378D"/>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40" w:type="dxa"/>
            <w:vAlign w:val="bottom"/>
          </w:tcPr>
          <w:p>
            <w:pPr>
              <w:ind w:left="20"/>
              <w:spacing w:after="0"/>
              <w:rPr>
                <w:sz w:val="20"/>
                <w:szCs w:val="20"/>
                <w:color w:val="auto"/>
              </w:rPr>
            </w:pPr>
            <w:r>
              <w:rPr>
                <w:rFonts w:ascii="Arial" w:cs="Arial" w:eastAsia="Arial" w:hAnsi="Arial"/>
                <w:sz w:val="15"/>
                <w:szCs w:val="15"/>
                <w:b w:val="1"/>
                <w:bCs w:val="1"/>
                <w:color w:val="00249C"/>
              </w:rPr>
              <w:t>Kathy J. Warden</w:t>
            </w:r>
          </w:p>
        </w:tc>
        <w:tc>
          <w:tcPr>
            <w:tcW w:w="62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2023</w:t>
            </w:r>
          </w:p>
        </w:tc>
        <w:tc>
          <w:tcPr>
            <w:tcW w:w="10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1,730,769</w:t>
            </w:r>
          </w:p>
        </w:tc>
        <w:tc>
          <w:tcPr>
            <w:tcW w:w="640" w:type="dxa"/>
            <w:vAlign w:val="bottom"/>
            <w:tcBorders>
              <w:bottom w:val="single" w:sz="8" w:color="BCBEC0"/>
            </w:tcBorders>
            <w:shd w:val="clear" w:color="auto" w:fill="DFDEEE"/>
          </w:tcPr>
          <w:p>
            <w:pPr>
              <w:ind w:left="4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CBEC0"/>
            </w:tcBorders>
            <w:shd w:val="clear" w:color="auto" w:fill="E1E0EF"/>
          </w:tcPr>
          <w:p>
            <w:pPr>
              <w:jc w:val="right"/>
              <w:spacing w:after="0"/>
              <w:rPr>
                <w:sz w:val="20"/>
                <w:szCs w:val="20"/>
                <w:color w:val="auto"/>
              </w:rPr>
            </w:pPr>
            <w:r>
              <w:rPr>
                <w:rFonts w:ascii="Arial" w:cs="Arial" w:eastAsia="Arial" w:hAnsi="Arial"/>
                <w:sz w:val="14"/>
                <w:szCs w:val="14"/>
                <w:color w:val="auto"/>
              </w:rPr>
              <w:t>16,000,440</w:t>
            </w:r>
          </w:p>
        </w:tc>
        <w:tc>
          <w:tcPr>
            <w:tcW w:w="1400" w:type="dxa"/>
            <w:vAlign w:val="bottom"/>
            <w:tcBorders>
              <w:bottom w:val="single" w:sz="8" w:color="BCBEC0"/>
            </w:tcBorders>
            <w:shd w:val="clear" w:color="auto" w:fill="DFDEEE"/>
          </w:tcPr>
          <w:p>
            <w:pPr>
              <w:jc w:val="right"/>
              <w:ind w:right="11"/>
              <w:spacing w:after="0"/>
              <w:rPr>
                <w:sz w:val="20"/>
                <w:szCs w:val="20"/>
                <w:color w:val="auto"/>
              </w:rPr>
            </w:pPr>
            <w:r>
              <w:rPr>
                <w:rFonts w:ascii="Arial" w:cs="Arial" w:eastAsia="Arial" w:hAnsi="Arial"/>
                <w:sz w:val="14"/>
                <w:szCs w:val="14"/>
                <w:color w:val="auto"/>
              </w:rPr>
              <w:t>5,082,875</w:t>
            </w:r>
          </w:p>
        </w:tc>
        <w:tc>
          <w:tcPr>
            <w:tcW w:w="1320" w:type="dxa"/>
            <w:vAlign w:val="bottom"/>
            <w:tcBorders>
              <w:bottom w:val="single" w:sz="8" w:color="BCBEC0"/>
            </w:tcBorders>
            <w:shd w:val="clear" w:color="auto" w:fill="DFDEEE"/>
          </w:tcPr>
          <w:p>
            <w:pPr>
              <w:jc w:val="right"/>
              <w:ind w:right="13"/>
              <w:spacing w:after="0"/>
              <w:rPr>
                <w:sz w:val="20"/>
                <w:szCs w:val="20"/>
                <w:color w:val="auto"/>
              </w:rPr>
            </w:pPr>
            <w:r>
              <w:rPr>
                <w:rFonts w:ascii="Arial" w:cs="Arial" w:eastAsia="Arial" w:hAnsi="Arial"/>
                <w:sz w:val="14"/>
                <w:szCs w:val="14"/>
                <w:color w:val="auto"/>
              </w:rPr>
              <w:t>1,205,310</w:t>
            </w:r>
          </w:p>
        </w:tc>
        <w:tc>
          <w:tcPr>
            <w:tcW w:w="140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718,099</w:t>
            </w:r>
          </w:p>
        </w:tc>
        <w:tc>
          <w:tcPr>
            <w:tcW w:w="120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24,737,493</w:t>
            </w:r>
          </w:p>
        </w:tc>
        <w:tc>
          <w:tcPr>
            <w:tcW w:w="0" w:type="dxa"/>
            <w:vAlign w:val="bottom"/>
          </w:tcPr>
          <w:p>
            <w:pPr>
              <w:spacing w:after="0"/>
              <w:rPr>
                <w:sz w:val="1"/>
                <w:szCs w:val="1"/>
                <w:color w:val="auto"/>
              </w:rPr>
            </w:pPr>
          </w:p>
        </w:tc>
      </w:tr>
      <w:tr>
        <w:trPr>
          <w:trHeight w:val="214"/>
        </w:trPr>
        <w:tc>
          <w:tcPr>
            <w:tcW w:w="2340" w:type="dxa"/>
            <w:vAlign w:val="bottom"/>
          </w:tcPr>
          <w:p>
            <w:pPr>
              <w:ind w:left="20"/>
              <w:spacing w:after="0" w:line="160" w:lineRule="exact"/>
              <w:rPr>
                <w:sz w:val="20"/>
                <w:szCs w:val="20"/>
                <w:color w:val="auto"/>
              </w:rPr>
            </w:pPr>
            <w:r>
              <w:rPr>
                <w:rFonts w:ascii="Arial" w:cs="Arial" w:eastAsia="Arial" w:hAnsi="Arial"/>
                <w:sz w:val="14"/>
                <w:szCs w:val="14"/>
                <w:color w:val="auto"/>
              </w:rPr>
              <w:t>Chair, Chief Executive Officer and</w:t>
            </w:r>
          </w:p>
        </w:tc>
        <w:tc>
          <w:tcPr>
            <w:tcW w:w="620" w:type="dxa"/>
            <w:vAlign w:val="bottom"/>
            <w:tcBorders>
              <w:bottom w:val="single" w:sz="8" w:color="E1E0EF"/>
            </w:tcBorders>
            <w:shd w:val="clear" w:color="auto" w:fill="E1E0EF"/>
          </w:tcPr>
          <w:p>
            <w:pPr>
              <w:jc w:val="right"/>
              <w:spacing w:after="0" w:line="160" w:lineRule="exact"/>
              <w:rPr>
                <w:sz w:val="20"/>
                <w:szCs w:val="20"/>
                <w:color w:val="auto"/>
              </w:rPr>
            </w:pPr>
            <w:r>
              <w:rPr>
                <w:rFonts w:ascii="Arial" w:cs="Arial" w:eastAsia="Arial" w:hAnsi="Arial"/>
                <w:sz w:val="14"/>
                <w:szCs w:val="14"/>
                <w:color w:val="auto"/>
              </w:rPr>
              <w:t>2022</w:t>
            </w:r>
          </w:p>
        </w:tc>
        <w:tc>
          <w:tcPr>
            <w:tcW w:w="1080" w:type="dxa"/>
            <w:vAlign w:val="bottom"/>
            <w:tcBorders>
              <w:bottom w:val="single" w:sz="8" w:color="E1E0EF"/>
            </w:tcBorders>
            <w:shd w:val="clear" w:color="auto" w:fill="E1E0EF"/>
          </w:tcPr>
          <w:p>
            <w:pPr>
              <w:jc w:val="right"/>
              <w:spacing w:after="0" w:line="160" w:lineRule="exact"/>
              <w:rPr>
                <w:sz w:val="20"/>
                <w:szCs w:val="20"/>
                <w:color w:val="auto"/>
              </w:rPr>
            </w:pPr>
            <w:r>
              <w:rPr>
                <w:rFonts w:ascii="Arial" w:cs="Arial" w:eastAsia="Arial" w:hAnsi="Arial"/>
                <w:sz w:val="14"/>
                <w:szCs w:val="14"/>
                <w:color w:val="auto"/>
              </w:rPr>
              <w:t>1,640,388</w:t>
            </w:r>
          </w:p>
        </w:tc>
        <w:tc>
          <w:tcPr>
            <w:tcW w:w="640" w:type="dxa"/>
            <w:vAlign w:val="bottom"/>
            <w:tcBorders>
              <w:bottom w:val="single" w:sz="8" w:color="E1E0EF"/>
            </w:tcBorders>
            <w:shd w:val="clear" w:color="auto" w:fill="E1E0EF"/>
          </w:tcPr>
          <w:p>
            <w:pPr>
              <w:ind w:left="420"/>
              <w:spacing w:after="0" w:line="160"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E1E0EF"/>
            </w:tcBorders>
            <w:shd w:val="clear" w:color="auto" w:fill="E1E0EF"/>
          </w:tcPr>
          <w:p>
            <w:pPr>
              <w:jc w:val="right"/>
              <w:spacing w:after="0" w:line="160" w:lineRule="exact"/>
              <w:rPr>
                <w:sz w:val="20"/>
                <w:szCs w:val="20"/>
                <w:color w:val="auto"/>
              </w:rPr>
            </w:pPr>
            <w:r>
              <w:rPr>
                <w:rFonts w:ascii="Arial" w:cs="Arial" w:eastAsia="Arial" w:hAnsi="Arial"/>
                <w:sz w:val="14"/>
                <w:szCs w:val="14"/>
                <w:color w:val="auto"/>
              </w:rPr>
              <w:t>14,250,021</w:t>
            </w:r>
          </w:p>
        </w:tc>
        <w:tc>
          <w:tcPr>
            <w:tcW w:w="1400" w:type="dxa"/>
            <w:vAlign w:val="bottom"/>
            <w:tcBorders>
              <w:bottom w:val="single" w:sz="8" w:color="E1E0EF"/>
            </w:tcBorders>
            <w:shd w:val="clear" w:color="auto" w:fill="E1E0EF"/>
          </w:tcPr>
          <w:p>
            <w:pPr>
              <w:jc w:val="right"/>
              <w:ind w:right="11"/>
              <w:spacing w:after="0" w:line="160" w:lineRule="exact"/>
              <w:rPr>
                <w:sz w:val="20"/>
                <w:szCs w:val="20"/>
                <w:color w:val="auto"/>
              </w:rPr>
            </w:pPr>
            <w:r>
              <w:rPr>
                <w:rFonts w:ascii="Arial" w:cs="Arial" w:eastAsia="Arial" w:hAnsi="Arial"/>
                <w:sz w:val="14"/>
                <w:szCs w:val="14"/>
                <w:color w:val="auto"/>
              </w:rPr>
              <w:t>3,979,800</w:t>
            </w:r>
          </w:p>
        </w:tc>
        <w:tc>
          <w:tcPr>
            <w:tcW w:w="1320" w:type="dxa"/>
            <w:vAlign w:val="bottom"/>
            <w:tcBorders>
              <w:bottom w:val="single" w:sz="8" w:color="E1E0EF"/>
            </w:tcBorders>
            <w:shd w:val="clear" w:color="auto" w:fill="E1E0EF"/>
          </w:tcPr>
          <w:p>
            <w:pPr>
              <w:jc w:val="right"/>
              <w:ind w:right="13"/>
              <w:spacing w:after="0" w:line="160"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E1E0EF"/>
            </w:tcBorders>
            <w:shd w:val="clear" w:color="auto" w:fill="E1E0EF"/>
          </w:tcPr>
          <w:p>
            <w:pPr>
              <w:jc w:val="right"/>
              <w:spacing w:after="0" w:line="160" w:lineRule="exact"/>
              <w:rPr>
                <w:sz w:val="20"/>
                <w:szCs w:val="20"/>
                <w:color w:val="auto"/>
              </w:rPr>
            </w:pPr>
            <w:r>
              <w:rPr>
                <w:rFonts w:ascii="Arial" w:cs="Arial" w:eastAsia="Arial" w:hAnsi="Arial"/>
                <w:sz w:val="14"/>
                <w:szCs w:val="14"/>
                <w:color w:val="auto"/>
              </w:rPr>
              <w:t>801,863</w:t>
            </w:r>
          </w:p>
        </w:tc>
        <w:tc>
          <w:tcPr>
            <w:tcW w:w="1200" w:type="dxa"/>
            <w:vAlign w:val="bottom"/>
            <w:tcBorders>
              <w:bottom w:val="single" w:sz="8" w:color="E1E0EF"/>
            </w:tcBorders>
            <w:shd w:val="clear" w:color="auto" w:fill="E1E0EF"/>
          </w:tcPr>
          <w:p>
            <w:pPr>
              <w:jc w:val="right"/>
              <w:spacing w:after="0" w:line="160" w:lineRule="exact"/>
              <w:rPr>
                <w:sz w:val="20"/>
                <w:szCs w:val="20"/>
                <w:color w:val="auto"/>
              </w:rPr>
            </w:pPr>
            <w:r>
              <w:rPr>
                <w:rFonts w:ascii="Arial" w:cs="Arial" w:eastAsia="Arial" w:hAnsi="Arial"/>
                <w:sz w:val="14"/>
                <w:szCs w:val="14"/>
                <w:color w:val="auto"/>
              </w:rPr>
              <w:t>20,672,072</w:t>
            </w:r>
          </w:p>
        </w:tc>
        <w:tc>
          <w:tcPr>
            <w:tcW w:w="0" w:type="dxa"/>
            <w:vAlign w:val="bottom"/>
          </w:tcPr>
          <w:p>
            <w:pPr>
              <w:spacing w:after="0"/>
              <w:rPr>
                <w:sz w:val="1"/>
                <w:szCs w:val="1"/>
                <w:color w:val="auto"/>
              </w:rPr>
            </w:pPr>
          </w:p>
        </w:tc>
      </w:tr>
      <w:tr>
        <w:trPr>
          <w:trHeight w:val="120"/>
        </w:trPr>
        <w:tc>
          <w:tcPr>
            <w:tcW w:w="2340" w:type="dxa"/>
            <w:vAlign w:val="bottom"/>
          </w:tcPr>
          <w:p>
            <w:pPr>
              <w:ind w:left="20"/>
              <w:spacing w:after="0" w:line="121" w:lineRule="exact"/>
              <w:rPr>
                <w:sz w:val="20"/>
                <w:szCs w:val="20"/>
                <w:color w:val="auto"/>
              </w:rPr>
            </w:pPr>
            <w:r>
              <w:rPr>
                <w:rFonts w:ascii="Arial" w:cs="Arial" w:eastAsia="Arial" w:hAnsi="Arial"/>
                <w:sz w:val="13"/>
                <w:szCs w:val="13"/>
                <w:color w:val="auto"/>
              </w:rPr>
              <w:t>President</w:t>
            </w:r>
          </w:p>
        </w:tc>
        <w:tc>
          <w:tcPr>
            <w:tcW w:w="620" w:type="dxa"/>
            <w:vAlign w:val="bottom"/>
            <w:tcBorders>
              <w:top w:val="single" w:sz="8" w:color="BCBEC0"/>
            </w:tcBorders>
            <w:vMerge w:val="restart"/>
            <w:shd w:val="clear" w:color="auto" w:fill="E1E0EF"/>
          </w:tcPr>
          <w:p>
            <w:pPr>
              <w:jc w:val="right"/>
              <w:spacing w:after="0"/>
              <w:rPr>
                <w:sz w:val="20"/>
                <w:szCs w:val="20"/>
                <w:color w:val="auto"/>
              </w:rPr>
            </w:pPr>
            <w:r>
              <w:rPr>
                <w:rFonts w:ascii="Arial" w:cs="Arial" w:eastAsia="Arial" w:hAnsi="Arial"/>
                <w:sz w:val="14"/>
                <w:szCs w:val="14"/>
                <w:color w:val="auto"/>
              </w:rPr>
              <w:t>2021</w:t>
            </w:r>
          </w:p>
        </w:tc>
        <w:tc>
          <w:tcPr>
            <w:tcW w:w="1080" w:type="dxa"/>
            <w:vAlign w:val="bottom"/>
            <w:tcBorders>
              <w:top w:val="single" w:sz="8" w:color="BCBEC0"/>
            </w:tcBorders>
            <w:vMerge w:val="restart"/>
            <w:shd w:val="clear" w:color="auto" w:fill="E1E0EF"/>
          </w:tcPr>
          <w:p>
            <w:pPr>
              <w:jc w:val="right"/>
              <w:spacing w:after="0"/>
              <w:rPr>
                <w:sz w:val="20"/>
                <w:szCs w:val="20"/>
                <w:color w:val="auto"/>
              </w:rPr>
            </w:pPr>
            <w:r>
              <w:rPr>
                <w:rFonts w:ascii="Arial" w:cs="Arial" w:eastAsia="Arial" w:hAnsi="Arial"/>
                <w:sz w:val="14"/>
                <w:szCs w:val="14"/>
                <w:color w:val="auto"/>
              </w:rPr>
              <w:t>1,589,439</w:t>
            </w:r>
          </w:p>
        </w:tc>
        <w:tc>
          <w:tcPr>
            <w:tcW w:w="640" w:type="dxa"/>
            <w:vAlign w:val="bottom"/>
            <w:tcBorders>
              <w:top w:val="single" w:sz="8" w:color="BCBEC0"/>
            </w:tcBorders>
            <w:vMerge w:val="restart"/>
            <w:shd w:val="clear" w:color="auto" w:fill="E1E0EF"/>
          </w:tcPr>
          <w:p>
            <w:pPr>
              <w:ind w:left="42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BCBEC0"/>
            </w:tcBorders>
            <w:vMerge w:val="restart"/>
            <w:shd w:val="clear" w:color="auto" w:fill="E1E0EF"/>
          </w:tcPr>
          <w:p>
            <w:pPr>
              <w:jc w:val="right"/>
              <w:spacing w:after="0"/>
              <w:rPr>
                <w:sz w:val="20"/>
                <w:szCs w:val="20"/>
                <w:color w:val="auto"/>
              </w:rPr>
            </w:pPr>
            <w:r>
              <w:rPr>
                <w:rFonts w:ascii="Arial" w:cs="Arial" w:eastAsia="Arial" w:hAnsi="Arial"/>
                <w:sz w:val="14"/>
                <w:szCs w:val="14"/>
                <w:color w:val="auto"/>
              </w:rPr>
              <w:t>13,500,119</w:t>
            </w:r>
          </w:p>
        </w:tc>
        <w:tc>
          <w:tcPr>
            <w:tcW w:w="1400" w:type="dxa"/>
            <w:vAlign w:val="bottom"/>
            <w:tcBorders>
              <w:top w:val="single" w:sz="8" w:color="BCBEC0"/>
            </w:tcBorders>
            <w:vMerge w:val="restart"/>
            <w:shd w:val="clear" w:color="auto" w:fill="E1E0EF"/>
          </w:tcPr>
          <w:p>
            <w:pPr>
              <w:jc w:val="right"/>
              <w:ind w:right="11"/>
              <w:spacing w:after="0"/>
              <w:rPr>
                <w:sz w:val="20"/>
                <w:szCs w:val="20"/>
                <w:color w:val="auto"/>
              </w:rPr>
            </w:pPr>
            <w:r>
              <w:rPr>
                <w:rFonts w:ascii="Arial" w:cs="Arial" w:eastAsia="Arial" w:hAnsi="Arial"/>
                <w:sz w:val="14"/>
                <w:szCs w:val="14"/>
                <w:color w:val="auto"/>
              </w:rPr>
              <w:t>3,744,000</w:t>
            </w:r>
          </w:p>
        </w:tc>
        <w:tc>
          <w:tcPr>
            <w:tcW w:w="1320" w:type="dxa"/>
            <w:vAlign w:val="bottom"/>
            <w:tcBorders>
              <w:top w:val="single" w:sz="8" w:color="BCBEC0"/>
            </w:tcBorders>
            <w:vMerge w:val="restart"/>
            <w:shd w:val="clear" w:color="auto" w:fill="E1E0EF"/>
          </w:tcPr>
          <w:p>
            <w:pPr>
              <w:jc w:val="right"/>
              <w:ind w:right="13"/>
              <w:spacing w:after="0"/>
              <w:rPr>
                <w:sz w:val="20"/>
                <w:szCs w:val="20"/>
                <w:color w:val="auto"/>
              </w:rPr>
            </w:pPr>
            <w:r>
              <w:rPr>
                <w:rFonts w:ascii="Arial" w:cs="Arial" w:eastAsia="Arial" w:hAnsi="Arial"/>
                <w:sz w:val="14"/>
                <w:szCs w:val="14"/>
                <w:color w:val="auto"/>
              </w:rPr>
              <w:t>371,464</w:t>
            </w:r>
          </w:p>
        </w:tc>
        <w:tc>
          <w:tcPr>
            <w:tcW w:w="1400" w:type="dxa"/>
            <w:vAlign w:val="bottom"/>
            <w:tcBorders>
              <w:top w:val="single" w:sz="8" w:color="BCBEC0"/>
            </w:tcBorders>
            <w:vMerge w:val="restart"/>
            <w:shd w:val="clear" w:color="auto" w:fill="E1E0EF"/>
          </w:tcPr>
          <w:p>
            <w:pPr>
              <w:jc w:val="right"/>
              <w:spacing w:after="0"/>
              <w:rPr>
                <w:sz w:val="20"/>
                <w:szCs w:val="20"/>
                <w:color w:val="auto"/>
              </w:rPr>
            </w:pPr>
            <w:r>
              <w:rPr>
                <w:rFonts w:ascii="Arial" w:cs="Arial" w:eastAsia="Arial" w:hAnsi="Arial"/>
                <w:sz w:val="14"/>
                <w:szCs w:val="14"/>
                <w:color w:val="auto"/>
              </w:rPr>
              <w:t>671,745</w:t>
            </w:r>
          </w:p>
        </w:tc>
        <w:tc>
          <w:tcPr>
            <w:tcW w:w="1200" w:type="dxa"/>
            <w:vAlign w:val="bottom"/>
            <w:tcBorders>
              <w:top w:val="single" w:sz="8" w:color="BCBEC0"/>
            </w:tcBorders>
            <w:vMerge w:val="restart"/>
            <w:shd w:val="clear" w:color="auto" w:fill="E1E0EF"/>
          </w:tcPr>
          <w:p>
            <w:pPr>
              <w:jc w:val="right"/>
              <w:spacing w:after="0"/>
              <w:rPr>
                <w:sz w:val="20"/>
                <w:szCs w:val="20"/>
                <w:color w:val="auto"/>
              </w:rPr>
            </w:pPr>
            <w:r>
              <w:rPr>
                <w:rFonts w:ascii="Arial" w:cs="Arial" w:eastAsia="Arial" w:hAnsi="Arial"/>
                <w:sz w:val="14"/>
                <w:szCs w:val="14"/>
                <w:color w:val="auto"/>
              </w:rPr>
              <w:t>19,876,767</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620" w:type="dxa"/>
            <w:vAlign w:val="bottom"/>
            <w:vMerge w:val="continue"/>
            <w:shd w:val="clear" w:color="auto" w:fill="E1E0EF"/>
          </w:tcPr>
          <w:p>
            <w:pPr>
              <w:spacing w:after="0"/>
              <w:rPr>
                <w:sz w:val="7"/>
                <w:szCs w:val="7"/>
                <w:color w:val="auto"/>
              </w:rPr>
            </w:pPr>
          </w:p>
        </w:tc>
        <w:tc>
          <w:tcPr>
            <w:tcW w:w="1080" w:type="dxa"/>
            <w:vAlign w:val="bottom"/>
            <w:vMerge w:val="continue"/>
            <w:shd w:val="clear" w:color="auto" w:fill="E1E0EF"/>
          </w:tcPr>
          <w:p>
            <w:pPr>
              <w:spacing w:after="0"/>
              <w:rPr>
                <w:sz w:val="7"/>
                <w:szCs w:val="7"/>
                <w:color w:val="auto"/>
              </w:rPr>
            </w:pPr>
          </w:p>
        </w:tc>
        <w:tc>
          <w:tcPr>
            <w:tcW w:w="640" w:type="dxa"/>
            <w:vAlign w:val="bottom"/>
            <w:vMerge w:val="continue"/>
            <w:shd w:val="clear" w:color="auto" w:fill="E1E0EF"/>
          </w:tcPr>
          <w:p>
            <w:pPr>
              <w:spacing w:after="0"/>
              <w:rPr>
                <w:sz w:val="7"/>
                <w:szCs w:val="7"/>
                <w:color w:val="auto"/>
              </w:rPr>
            </w:pPr>
          </w:p>
        </w:tc>
        <w:tc>
          <w:tcPr>
            <w:tcW w:w="1240" w:type="dxa"/>
            <w:vAlign w:val="bottom"/>
            <w:vMerge w:val="continue"/>
            <w:shd w:val="clear" w:color="auto" w:fill="E1E0EF"/>
          </w:tcPr>
          <w:p>
            <w:pPr>
              <w:spacing w:after="0"/>
              <w:rPr>
                <w:sz w:val="7"/>
                <w:szCs w:val="7"/>
                <w:color w:val="auto"/>
              </w:rPr>
            </w:pPr>
          </w:p>
        </w:tc>
        <w:tc>
          <w:tcPr>
            <w:tcW w:w="1400" w:type="dxa"/>
            <w:vAlign w:val="bottom"/>
            <w:vMerge w:val="continue"/>
            <w:shd w:val="clear" w:color="auto" w:fill="E1E0EF"/>
          </w:tcPr>
          <w:p>
            <w:pPr>
              <w:spacing w:after="0"/>
              <w:rPr>
                <w:sz w:val="7"/>
                <w:szCs w:val="7"/>
                <w:color w:val="auto"/>
              </w:rPr>
            </w:pPr>
          </w:p>
        </w:tc>
        <w:tc>
          <w:tcPr>
            <w:tcW w:w="1320" w:type="dxa"/>
            <w:vAlign w:val="bottom"/>
            <w:vMerge w:val="continue"/>
            <w:shd w:val="clear" w:color="auto" w:fill="E1E0EF"/>
          </w:tcPr>
          <w:p>
            <w:pPr>
              <w:spacing w:after="0"/>
              <w:rPr>
                <w:sz w:val="7"/>
                <w:szCs w:val="7"/>
                <w:color w:val="auto"/>
              </w:rPr>
            </w:pPr>
          </w:p>
        </w:tc>
        <w:tc>
          <w:tcPr>
            <w:tcW w:w="1400" w:type="dxa"/>
            <w:vAlign w:val="bottom"/>
            <w:vMerge w:val="continue"/>
            <w:shd w:val="clear" w:color="auto" w:fill="E1E0EF"/>
          </w:tcPr>
          <w:p>
            <w:pPr>
              <w:spacing w:after="0"/>
              <w:rPr>
                <w:sz w:val="7"/>
                <w:szCs w:val="7"/>
                <w:color w:val="auto"/>
              </w:rPr>
            </w:pPr>
          </w:p>
        </w:tc>
        <w:tc>
          <w:tcPr>
            <w:tcW w:w="1200" w:type="dxa"/>
            <w:vAlign w:val="bottom"/>
            <w:vMerge w:val="continue"/>
            <w:shd w:val="clear" w:color="auto" w:fill="E1E0EF"/>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340" w:type="dxa"/>
            <w:vAlign w:val="bottom"/>
            <w:tcBorders>
              <w:bottom w:val="single" w:sz="8" w:color="BCBEC0"/>
            </w:tcBorders>
          </w:tcPr>
          <w:p>
            <w:pPr>
              <w:spacing w:after="0"/>
              <w:rPr>
                <w:sz w:val="7"/>
                <w:szCs w:val="7"/>
                <w:color w:val="auto"/>
              </w:rPr>
            </w:pPr>
          </w:p>
        </w:tc>
        <w:tc>
          <w:tcPr>
            <w:tcW w:w="620" w:type="dxa"/>
            <w:vAlign w:val="bottom"/>
            <w:tcBorders>
              <w:bottom w:val="single" w:sz="8" w:color="BCBEC0"/>
            </w:tcBorders>
            <w:shd w:val="clear" w:color="auto" w:fill="E1E0EF"/>
          </w:tcPr>
          <w:p>
            <w:pPr>
              <w:spacing w:after="0"/>
              <w:rPr>
                <w:sz w:val="7"/>
                <w:szCs w:val="7"/>
                <w:color w:val="auto"/>
              </w:rPr>
            </w:pPr>
          </w:p>
        </w:tc>
        <w:tc>
          <w:tcPr>
            <w:tcW w:w="1080" w:type="dxa"/>
            <w:vAlign w:val="bottom"/>
            <w:tcBorders>
              <w:bottom w:val="single" w:sz="8" w:color="BCBEC0"/>
            </w:tcBorders>
            <w:shd w:val="clear" w:color="auto" w:fill="E1E0EF"/>
          </w:tcPr>
          <w:p>
            <w:pPr>
              <w:spacing w:after="0"/>
              <w:rPr>
                <w:sz w:val="7"/>
                <w:szCs w:val="7"/>
                <w:color w:val="auto"/>
              </w:rPr>
            </w:pPr>
          </w:p>
        </w:tc>
        <w:tc>
          <w:tcPr>
            <w:tcW w:w="640" w:type="dxa"/>
            <w:vAlign w:val="bottom"/>
            <w:tcBorders>
              <w:bottom w:val="single" w:sz="8" w:color="BCBEC0"/>
            </w:tcBorders>
            <w:shd w:val="clear" w:color="auto" w:fill="E1E0EF"/>
          </w:tcPr>
          <w:p>
            <w:pPr>
              <w:spacing w:after="0"/>
              <w:rPr>
                <w:sz w:val="7"/>
                <w:szCs w:val="7"/>
                <w:color w:val="auto"/>
              </w:rPr>
            </w:pPr>
          </w:p>
        </w:tc>
        <w:tc>
          <w:tcPr>
            <w:tcW w:w="1240" w:type="dxa"/>
            <w:vAlign w:val="bottom"/>
            <w:tcBorders>
              <w:bottom w:val="single" w:sz="8" w:color="BCBEC0"/>
            </w:tcBorders>
            <w:shd w:val="clear" w:color="auto" w:fill="E1E0EF"/>
          </w:tcPr>
          <w:p>
            <w:pPr>
              <w:spacing w:after="0"/>
              <w:rPr>
                <w:sz w:val="7"/>
                <w:szCs w:val="7"/>
                <w:color w:val="auto"/>
              </w:rPr>
            </w:pPr>
          </w:p>
        </w:tc>
        <w:tc>
          <w:tcPr>
            <w:tcW w:w="1400" w:type="dxa"/>
            <w:vAlign w:val="bottom"/>
            <w:tcBorders>
              <w:bottom w:val="single" w:sz="8" w:color="BCBEC0"/>
            </w:tcBorders>
            <w:shd w:val="clear" w:color="auto" w:fill="E1E0EF"/>
          </w:tcPr>
          <w:p>
            <w:pPr>
              <w:spacing w:after="0"/>
              <w:rPr>
                <w:sz w:val="7"/>
                <w:szCs w:val="7"/>
                <w:color w:val="auto"/>
              </w:rPr>
            </w:pPr>
          </w:p>
        </w:tc>
        <w:tc>
          <w:tcPr>
            <w:tcW w:w="1320" w:type="dxa"/>
            <w:vAlign w:val="bottom"/>
            <w:tcBorders>
              <w:bottom w:val="single" w:sz="8" w:color="BCBEC0"/>
            </w:tcBorders>
            <w:shd w:val="clear" w:color="auto" w:fill="E1E0EF"/>
          </w:tcPr>
          <w:p>
            <w:pPr>
              <w:spacing w:after="0"/>
              <w:rPr>
                <w:sz w:val="7"/>
                <w:szCs w:val="7"/>
                <w:color w:val="auto"/>
              </w:rPr>
            </w:pPr>
          </w:p>
        </w:tc>
        <w:tc>
          <w:tcPr>
            <w:tcW w:w="1400" w:type="dxa"/>
            <w:vAlign w:val="bottom"/>
            <w:tcBorders>
              <w:bottom w:val="single" w:sz="8" w:color="BCBEC0"/>
            </w:tcBorders>
            <w:shd w:val="clear" w:color="auto" w:fill="E1E0EF"/>
          </w:tcPr>
          <w:p>
            <w:pPr>
              <w:spacing w:after="0"/>
              <w:rPr>
                <w:sz w:val="7"/>
                <w:szCs w:val="7"/>
                <w:color w:val="auto"/>
              </w:rPr>
            </w:pPr>
          </w:p>
        </w:tc>
        <w:tc>
          <w:tcPr>
            <w:tcW w:w="1200" w:type="dxa"/>
            <w:vAlign w:val="bottom"/>
            <w:tcBorders>
              <w:bottom w:val="single" w:sz="8" w:color="BCBEC0"/>
            </w:tcBorders>
            <w:shd w:val="clear" w:color="auto" w:fill="E1E0EF"/>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340" w:type="dxa"/>
            <w:vAlign w:val="bottom"/>
          </w:tcPr>
          <w:p>
            <w:pPr>
              <w:ind w:left="20"/>
              <w:spacing w:after="0"/>
              <w:rPr>
                <w:sz w:val="20"/>
                <w:szCs w:val="20"/>
                <w:color w:val="auto"/>
              </w:rPr>
            </w:pPr>
            <w:r>
              <w:rPr>
                <w:rFonts w:ascii="Arial" w:cs="Arial" w:eastAsia="Arial" w:hAnsi="Arial"/>
                <w:sz w:val="15"/>
                <w:szCs w:val="15"/>
                <w:b w:val="1"/>
                <w:bCs w:val="1"/>
                <w:color w:val="29378D"/>
              </w:rPr>
              <w:t>David F. Keffer</w:t>
            </w:r>
          </w:p>
        </w:tc>
        <w:tc>
          <w:tcPr>
            <w:tcW w:w="620" w:type="dxa"/>
            <w:vAlign w:val="bottom"/>
          </w:tcPr>
          <w:p>
            <w:pPr>
              <w:jc w:val="right"/>
              <w:spacing w:after="0"/>
              <w:rPr>
                <w:sz w:val="20"/>
                <w:szCs w:val="20"/>
                <w:color w:val="auto"/>
              </w:rPr>
            </w:pPr>
            <w:r>
              <w:rPr>
                <w:rFonts w:ascii="Arial" w:cs="Arial" w:eastAsia="Arial" w:hAnsi="Arial"/>
                <w:sz w:val="14"/>
                <w:szCs w:val="14"/>
                <w:color w:val="auto"/>
              </w:rPr>
              <w:t>2023</w:t>
            </w:r>
          </w:p>
        </w:tc>
        <w:tc>
          <w:tcPr>
            <w:tcW w:w="1080" w:type="dxa"/>
            <w:vAlign w:val="bottom"/>
          </w:tcPr>
          <w:p>
            <w:pPr>
              <w:jc w:val="right"/>
              <w:spacing w:after="0"/>
              <w:rPr>
                <w:sz w:val="20"/>
                <w:szCs w:val="20"/>
                <w:color w:val="auto"/>
              </w:rPr>
            </w:pPr>
            <w:r>
              <w:rPr>
                <w:rFonts w:ascii="Arial" w:cs="Arial" w:eastAsia="Arial" w:hAnsi="Arial"/>
                <w:sz w:val="14"/>
                <w:szCs w:val="14"/>
                <w:color w:val="auto"/>
              </w:rPr>
              <w:t>849,039</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3,399,870</w:t>
            </w:r>
          </w:p>
        </w:tc>
        <w:tc>
          <w:tcPr>
            <w:tcW w:w="1400" w:type="dxa"/>
            <w:vAlign w:val="bottom"/>
          </w:tcPr>
          <w:p>
            <w:pPr>
              <w:jc w:val="right"/>
              <w:ind w:right="11"/>
              <w:spacing w:after="0"/>
              <w:rPr>
                <w:sz w:val="20"/>
                <w:szCs w:val="20"/>
                <w:color w:val="auto"/>
              </w:rPr>
            </w:pPr>
            <w:r>
              <w:rPr>
                <w:rFonts w:ascii="Arial" w:cs="Arial" w:eastAsia="Arial" w:hAnsi="Arial"/>
                <w:sz w:val="14"/>
                <w:szCs w:val="14"/>
                <w:color w:val="auto"/>
              </w:rPr>
              <w:t>1,409,468</w:t>
            </w:r>
          </w:p>
        </w:tc>
        <w:tc>
          <w:tcPr>
            <w:tcW w:w="13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228,011</w:t>
            </w:r>
          </w:p>
        </w:tc>
        <w:tc>
          <w:tcPr>
            <w:tcW w:w="1200" w:type="dxa"/>
            <w:vAlign w:val="bottom"/>
          </w:tcPr>
          <w:p>
            <w:pPr>
              <w:jc w:val="right"/>
              <w:spacing w:after="0"/>
              <w:rPr>
                <w:sz w:val="20"/>
                <w:szCs w:val="20"/>
                <w:color w:val="auto"/>
              </w:rPr>
            </w:pPr>
            <w:r>
              <w:rPr>
                <w:rFonts w:ascii="Arial" w:cs="Arial" w:eastAsia="Arial" w:hAnsi="Arial"/>
                <w:sz w:val="14"/>
                <w:szCs w:val="14"/>
                <w:color w:val="auto"/>
              </w:rPr>
              <w:t>5,886,388</w:t>
            </w:r>
          </w:p>
        </w:tc>
        <w:tc>
          <w:tcPr>
            <w:tcW w:w="0" w:type="dxa"/>
            <w:vAlign w:val="bottom"/>
          </w:tcPr>
          <w:p>
            <w:pPr>
              <w:spacing w:after="0"/>
              <w:rPr>
                <w:sz w:val="1"/>
                <w:szCs w:val="1"/>
                <w:color w:val="auto"/>
              </w:rPr>
            </w:pPr>
          </w:p>
        </w:tc>
      </w:tr>
      <w:tr>
        <w:trPr>
          <w:trHeight w:val="23"/>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Corporate Vice President and Chief</w:t>
            </w:r>
          </w:p>
        </w:tc>
        <w:tc>
          <w:tcPr>
            <w:tcW w:w="620" w:type="dxa"/>
            <w:vAlign w:val="bottom"/>
            <w:tcBorders>
              <w:bottom w:val="single" w:sz="8" w:color="BCBEC0"/>
            </w:tcBorders>
          </w:tcPr>
          <w:p>
            <w:pPr>
              <w:spacing w:after="0" w:line="20" w:lineRule="exact"/>
              <w:rPr>
                <w:sz w:val="1"/>
                <w:szCs w:val="1"/>
                <w:color w:val="auto"/>
              </w:rPr>
            </w:pPr>
          </w:p>
        </w:tc>
        <w:tc>
          <w:tcPr>
            <w:tcW w:w="1080" w:type="dxa"/>
            <w:vAlign w:val="bottom"/>
            <w:tcBorders>
              <w:bottom w:val="single" w:sz="8" w:color="BCBEC0"/>
            </w:tcBorders>
          </w:tcPr>
          <w:p>
            <w:pPr>
              <w:spacing w:after="0" w:line="20" w:lineRule="exact"/>
              <w:rPr>
                <w:sz w:val="1"/>
                <w:szCs w:val="1"/>
                <w:color w:val="auto"/>
              </w:rPr>
            </w:pPr>
          </w:p>
        </w:tc>
        <w:tc>
          <w:tcPr>
            <w:tcW w:w="640" w:type="dxa"/>
            <w:vAlign w:val="bottom"/>
            <w:tcBorders>
              <w:bottom w:val="single" w:sz="8" w:color="BCBEC0"/>
            </w:tcBorders>
          </w:tcPr>
          <w:p>
            <w:pPr>
              <w:spacing w:after="0" w:line="20" w:lineRule="exact"/>
              <w:rPr>
                <w:sz w:val="1"/>
                <w:szCs w:val="1"/>
                <w:color w:val="auto"/>
              </w:rPr>
            </w:pPr>
          </w:p>
        </w:tc>
        <w:tc>
          <w:tcPr>
            <w:tcW w:w="1240" w:type="dxa"/>
            <w:vAlign w:val="bottom"/>
            <w:tcBorders>
              <w:bottom w:val="single" w:sz="8" w:color="BCBEC0"/>
            </w:tcBorders>
          </w:tcPr>
          <w:p>
            <w:pPr>
              <w:spacing w:after="0" w:line="20" w:lineRule="exact"/>
              <w:rPr>
                <w:sz w:val="1"/>
                <w:szCs w:val="1"/>
                <w:color w:val="auto"/>
              </w:rPr>
            </w:pPr>
          </w:p>
        </w:tc>
        <w:tc>
          <w:tcPr>
            <w:tcW w:w="1400" w:type="dxa"/>
            <w:vAlign w:val="bottom"/>
            <w:tcBorders>
              <w:bottom w:val="single" w:sz="8" w:color="BCBEC0"/>
            </w:tcBorders>
          </w:tcPr>
          <w:p>
            <w:pPr>
              <w:spacing w:after="0" w:line="20" w:lineRule="exact"/>
              <w:rPr>
                <w:sz w:val="1"/>
                <w:szCs w:val="1"/>
                <w:color w:val="auto"/>
              </w:rPr>
            </w:pPr>
          </w:p>
        </w:tc>
        <w:tc>
          <w:tcPr>
            <w:tcW w:w="1320" w:type="dxa"/>
            <w:vAlign w:val="bottom"/>
            <w:tcBorders>
              <w:bottom w:val="single" w:sz="8" w:color="BCBEC0"/>
            </w:tcBorders>
          </w:tcPr>
          <w:p>
            <w:pPr>
              <w:spacing w:after="0" w:line="20" w:lineRule="exact"/>
              <w:rPr>
                <w:sz w:val="1"/>
                <w:szCs w:val="1"/>
                <w:color w:val="auto"/>
              </w:rPr>
            </w:pPr>
          </w:p>
        </w:tc>
        <w:tc>
          <w:tcPr>
            <w:tcW w:w="1400" w:type="dxa"/>
            <w:vAlign w:val="bottom"/>
            <w:tcBorders>
              <w:bottom w:val="single" w:sz="8" w:color="BCBEC0"/>
            </w:tcBorders>
          </w:tcPr>
          <w:p>
            <w:pPr>
              <w:spacing w:after="0" w:line="20" w:lineRule="exact"/>
              <w:rPr>
                <w:sz w:val="1"/>
                <w:szCs w:val="1"/>
                <w:color w:val="auto"/>
              </w:rPr>
            </w:pPr>
          </w:p>
        </w:tc>
        <w:tc>
          <w:tcPr>
            <w:tcW w:w="120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2340" w:type="dxa"/>
            <w:vAlign w:val="bottom"/>
            <w:vMerge w:val="continue"/>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2022</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819,387</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3,200,346</w:t>
            </w:r>
          </w:p>
        </w:tc>
        <w:tc>
          <w:tcPr>
            <w:tcW w:w="1400" w:type="dxa"/>
            <w:vAlign w:val="bottom"/>
            <w:vMerge w:val="restart"/>
          </w:tcPr>
          <w:p>
            <w:pPr>
              <w:jc w:val="right"/>
              <w:ind w:right="11"/>
              <w:spacing w:after="0"/>
              <w:rPr>
                <w:sz w:val="20"/>
                <w:szCs w:val="20"/>
                <w:color w:val="auto"/>
              </w:rPr>
            </w:pPr>
            <w:r>
              <w:rPr>
                <w:rFonts w:ascii="Arial" w:cs="Arial" w:eastAsia="Arial" w:hAnsi="Arial"/>
                <w:sz w:val="14"/>
                <w:szCs w:val="14"/>
                <w:color w:val="auto"/>
              </w:rPr>
              <w:t>1,104,160</w:t>
            </w:r>
          </w:p>
        </w:tc>
        <w:tc>
          <w:tcPr>
            <w:tcW w:w="132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211,043</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5,334,936</w:t>
            </w:r>
          </w:p>
        </w:tc>
        <w:tc>
          <w:tcPr>
            <w:tcW w:w="0" w:type="dxa"/>
            <w:vAlign w:val="bottom"/>
          </w:tcPr>
          <w:p>
            <w:pPr>
              <w:spacing w:after="0"/>
              <w:rPr>
                <w:sz w:val="1"/>
                <w:szCs w:val="1"/>
                <w:color w:val="auto"/>
              </w:rPr>
            </w:pPr>
          </w:p>
        </w:tc>
      </w:tr>
      <w:tr>
        <w:trPr>
          <w:trHeight w:val="91"/>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Financial Officer</w:t>
            </w:r>
          </w:p>
        </w:tc>
        <w:tc>
          <w:tcPr>
            <w:tcW w:w="620" w:type="dxa"/>
            <w:vAlign w:val="bottom"/>
            <w:tcBorders>
              <w:bottom w:val="single" w:sz="8" w:color="BCBEC0"/>
            </w:tcBorders>
            <w:vMerge w:val="continue"/>
          </w:tcPr>
          <w:p>
            <w:pPr>
              <w:spacing w:after="0"/>
              <w:rPr>
                <w:sz w:val="7"/>
                <w:szCs w:val="7"/>
                <w:color w:val="auto"/>
              </w:rPr>
            </w:pPr>
          </w:p>
        </w:tc>
        <w:tc>
          <w:tcPr>
            <w:tcW w:w="1080" w:type="dxa"/>
            <w:vAlign w:val="bottom"/>
            <w:tcBorders>
              <w:bottom w:val="single" w:sz="8" w:color="BCBEC0"/>
            </w:tcBorders>
            <w:vMerge w:val="continue"/>
          </w:tcPr>
          <w:p>
            <w:pPr>
              <w:spacing w:after="0"/>
              <w:rPr>
                <w:sz w:val="7"/>
                <w:szCs w:val="7"/>
                <w:color w:val="auto"/>
              </w:rPr>
            </w:pPr>
          </w:p>
        </w:tc>
        <w:tc>
          <w:tcPr>
            <w:tcW w:w="640" w:type="dxa"/>
            <w:vAlign w:val="bottom"/>
            <w:tcBorders>
              <w:bottom w:val="single" w:sz="8" w:color="BCBEC0"/>
            </w:tcBorders>
            <w:vMerge w:val="continue"/>
          </w:tcPr>
          <w:p>
            <w:pPr>
              <w:spacing w:after="0"/>
              <w:rPr>
                <w:sz w:val="7"/>
                <w:szCs w:val="7"/>
                <w:color w:val="auto"/>
              </w:rPr>
            </w:pPr>
          </w:p>
        </w:tc>
        <w:tc>
          <w:tcPr>
            <w:tcW w:w="1240" w:type="dxa"/>
            <w:vAlign w:val="bottom"/>
            <w:tcBorders>
              <w:bottom w:val="single" w:sz="8" w:color="BCBEC0"/>
            </w:tcBorders>
            <w:vMerge w:val="continue"/>
          </w:tcPr>
          <w:p>
            <w:pPr>
              <w:spacing w:after="0"/>
              <w:rPr>
                <w:sz w:val="7"/>
                <w:szCs w:val="7"/>
                <w:color w:val="auto"/>
              </w:rPr>
            </w:pPr>
          </w:p>
        </w:tc>
        <w:tc>
          <w:tcPr>
            <w:tcW w:w="1400" w:type="dxa"/>
            <w:vAlign w:val="bottom"/>
            <w:tcBorders>
              <w:bottom w:val="single" w:sz="8" w:color="BCBEC0"/>
            </w:tcBorders>
            <w:vMerge w:val="continue"/>
          </w:tcPr>
          <w:p>
            <w:pPr>
              <w:spacing w:after="0"/>
              <w:rPr>
                <w:sz w:val="7"/>
                <w:szCs w:val="7"/>
                <w:color w:val="auto"/>
              </w:rPr>
            </w:pPr>
          </w:p>
        </w:tc>
        <w:tc>
          <w:tcPr>
            <w:tcW w:w="1320" w:type="dxa"/>
            <w:vAlign w:val="bottom"/>
            <w:tcBorders>
              <w:bottom w:val="single" w:sz="8" w:color="BCBEC0"/>
            </w:tcBorders>
            <w:vMerge w:val="continue"/>
          </w:tcPr>
          <w:p>
            <w:pPr>
              <w:spacing w:after="0"/>
              <w:rPr>
                <w:sz w:val="7"/>
                <w:szCs w:val="7"/>
                <w:color w:val="auto"/>
              </w:rPr>
            </w:pPr>
          </w:p>
        </w:tc>
        <w:tc>
          <w:tcPr>
            <w:tcW w:w="1400" w:type="dxa"/>
            <w:vAlign w:val="bottom"/>
            <w:tcBorders>
              <w:bottom w:val="single" w:sz="8" w:color="BCBEC0"/>
            </w:tcBorders>
            <w:vMerge w:val="continue"/>
          </w:tcPr>
          <w:p>
            <w:pPr>
              <w:spacing w:after="0"/>
              <w:rPr>
                <w:sz w:val="7"/>
                <w:szCs w:val="7"/>
                <w:color w:val="auto"/>
              </w:rPr>
            </w:pPr>
          </w:p>
        </w:tc>
        <w:tc>
          <w:tcPr>
            <w:tcW w:w="1200" w:type="dxa"/>
            <w:vAlign w:val="bottom"/>
            <w:tcBorders>
              <w:bottom w:val="single" w:sz="8" w:color="BCBEC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340" w:type="dxa"/>
            <w:vAlign w:val="bottom"/>
            <w:vMerge w:val="continue"/>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2021</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790,392</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3,000,038</w:t>
            </w:r>
          </w:p>
        </w:tc>
        <w:tc>
          <w:tcPr>
            <w:tcW w:w="1400" w:type="dxa"/>
            <w:vAlign w:val="bottom"/>
            <w:vMerge w:val="restart"/>
          </w:tcPr>
          <w:p>
            <w:pPr>
              <w:jc w:val="right"/>
              <w:ind w:right="11"/>
              <w:spacing w:after="0"/>
              <w:rPr>
                <w:sz w:val="20"/>
                <w:szCs w:val="20"/>
                <w:color w:val="auto"/>
              </w:rPr>
            </w:pPr>
            <w:r>
              <w:rPr>
                <w:rFonts w:ascii="Arial" w:cs="Arial" w:eastAsia="Arial" w:hAnsi="Arial"/>
                <w:sz w:val="14"/>
                <w:szCs w:val="14"/>
                <w:color w:val="auto"/>
              </w:rPr>
              <w:t>1,040,000</w:t>
            </w:r>
          </w:p>
        </w:tc>
        <w:tc>
          <w:tcPr>
            <w:tcW w:w="132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195,335</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5,025,765</w:t>
            </w:r>
          </w:p>
        </w:tc>
        <w:tc>
          <w:tcPr>
            <w:tcW w:w="0" w:type="dxa"/>
            <w:vAlign w:val="bottom"/>
          </w:tcPr>
          <w:p>
            <w:pPr>
              <w:spacing w:after="0"/>
              <w:rPr>
                <w:sz w:val="1"/>
                <w:szCs w:val="1"/>
                <w:color w:val="auto"/>
              </w:rPr>
            </w:pPr>
          </w:p>
        </w:tc>
      </w:tr>
      <w:tr>
        <w:trPr>
          <w:trHeight w:val="122"/>
        </w:trPr>
        <w:tc>
          <w:tcPr>
            <w:tcW w:w="23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340" w:type="dxa"/>
            <w:vAlign w:val="bottom"/>
            <w:tcBorders>
              <w:bottom w:val="single" w:sz="8" w:color="BCBEC0"/>
            </w:tcBorders>
          </w:tcPr>
          <w:p>
            <w:pPr>
              <w:spacing w:after="0"/>
              <w:rPr>
                <w:sz w:val="7"/>
                <w:szCs w:val="7"/>
                <w:color w:val="auto"/>
              </w:rPr>
            </w:pPr>
          </w:p>
        </w:tc>
        <w:tc>
          <w:tcPr>
            <w:tcW w:w="620" w:type="dxa"/>
            <w:vAlign w:val="bottom"/>
            <w:tcBorders>
              <w:bottom w:val="single" w:sz="8" w:color="BCBEC0"/>
            </w:tcBorders>
          </w:tcPr>
          <w:p>
            <w:pPr>
              <w:spacing w:after="0"/>
              <w:rPr>
                <w:sz w:val="7"/>
                <w:szCs w:val="7"/>
                <w:color w:val="auto"/>
              </w:rPr>
            </w:pPr>
          </w:p>
        </w:tc>
        <w:tc>
          <w:tcPr>
            <w:tcW w:w="1080" w:type="dxa"/>
            <w:vAlign w:val="bottom"/>
            <w:tcBorders>
              <w:bottom w:val="single" w:sz="8" w:color="BCBEC0"/>
            </w:tcBorders>
          </w:tcPr>
          <w:p>
            <w:pPr>
              <w:spacing w:after="0"/>
              <w:rPr>
                <w:sz w:val="7"/>
                <w:szCs w:val="7"/>
                <w:color w:val="auto"/>
              </w:rPr>
            </w:pPr>
          </w:p>
        </w:tc>
        <w:tc>
          <w:tcPr>
            <w:tcW w:w="640" w:type="dxa"/>
            <w:vAlign w:val="bottom"/>
            <w:tcBorders>
              <w:bottom w:val="single" w:sz="8" w:color="BCBEC0"/>
            </w:tcBorders>
          </w:tcPr>
          <w:p>
            <w:pPr>
              <w:spacing w:after="0"/>
              <w:rPr>
                <w:sz w:val="7"/>
                <w:szCs w:val="7"/>
                <w:color w:val="auto"/>
              </w:rPr>
            </w:pPr>
          </w:p>
        </w:tc>
        <w:tc>
          <w:tcPr>
            <w:tcW w:w="1240" w:type="dxa"/>
            <w:vAlign w:val="bottom"/>
            <w:tcBorders>
              <w:bottom w:val="single" w:sz="8" w:color="BCBEC0"/>
            </w:tcBorders>
          </w:tcPr>
          <w:p>
            <w:pPr>
              <w:spacing w:after="0"/>
              <w:rPr>
                <w:sz w:val="7"/>
                <w:szCs w:val="7"/>
                <w:color w:val="auto"/>
              </w:rPr>
            </w:pPr>
          </w:p>
        </w:tc>
        <w:tc>
          <w:tcPr>
            <w:tcW w:w="1400" w:type="dxa"/>
            <w:vAlign w:val="bottom"/>
            <w:tcBorders>
              <w:bottom w:val="single" w:sz="8" w:color="BCBEC0"/>
            </w:tcBorders>
          </w:tcPr>
          <w:p>
            <w:pPr>
              <w:spacing w:after="0"/>
              <w:rPr>
                <w:sz w:val="7"/>
                <w:szCs w:val="7"/>
                <w:color w:val="auto"/>
              </w:rPr>
            </w:pPr>
          </w:p>
        </w:tc>
        <w:tc>
          <w:tcPr>
            <w:tcW w:w="1320" w:type="dxa"/>
            <w:vAlign w:val="bottom"/>
            <w:tcBorders>
              <w:bottom w:val="single" w:sz="8" w:color="BCBEC0"/>
            </w:tcBorders>
          </w:tcPr>
          <w:p>
            <w:pPr>
              <w:spacing w:after="0"/>
              <w:rPr>
                <w:sz w:val="7"/>
                <w:szCs w:val="7"/>
                <w:color w:val="auto"/>
              </w:rPr>
            </w:pPr>
          </w:p>
        </w:tc>
        <w:tc>
          <w:tcPr>
            <w:tcW w:w="1400" w:type="dxa"/>
            <w:vAlign w:val="bottom"/>
            <w:tcBorders>
              <w:bottom w:val="single" w:sz="8" w:color="BCBEC0"/>
            </w:tcBorders>
          </w:tcPr>
          <w:p>
            <w:pPr>
              <w:spacing w:after="0"/>
              <w:rPr>
                <w:sz w:val="7"/>
                <w:szCs w:val="7"/>
                <w:color w:val="auto"/>
              </w:rPr>
            </w:pPr>
          </w:p>
        </w:tc>
        <w:tc>
          <w:tcPr>
            <w:tcW w:w="1200" w:type="dxa"/>
            <w:vAlign w:val="bottom"/>
            <w:tcBorders>
              <w:bottom w:val="single" w:sz="8" w:color="BCBEC0"/>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340" w:type="dxa"/>
            <w:vAlign w:val="bottom"/>
          </w:tcPr>
          <w:p>
            <w:pPr>
              <w:ind w:left="20"/>
              <w:spacing w:after="0"/>
              <w:rPr>
                <w:sz w:val="20"/>
                <w:szCs w:val="20"/>
                <w:color w:val="auto"/>
              </w:rPr>
            </w:pPr>
            <w:r>
              <w:rPr>
                <w:rFonts w:ascii="Arial" w:cs="Arial" w:eastAsia="Arial" w:hAnsi="Arial"/>
                <w:sz w:val="15"/>
                <w:szCs w:val="15"/>
                <w:b w:val="1"/>
                <w:bCs w:val="1"/>
                <w:color w:val="29378D"/>
              </w:rPr>
              <w:t>Mark A. Caylor</w:t>
            </w:r>
          </w:p>
        </w:tc>
        <w:tc>
          <w:tcPr>
            <w:tcW w:w="620" w:type="dxa"/>
            <w:vAlign w:val="bottom"/>
            <w:shd w:val="clear" w:color="auto" w:fill="DFDEEE"/>
          </w:tcPr>
          <w:p>
            <w:pPr>
              <w:jc w:val="right"/>
              <w:spacing w:after="0"/>
              <w:rPr>
                <w:sz w:val="20"/>
                <w:szCs w:val="20"/>
                <w:color w:val="auto"/>
              </w:rPr>
            </w:pPr>
            <w:r>
              <w:rPr>
                <w:rFonts w:ascii="Arial" w:cs="Arial" w:eastAsia="Arial" w:hAnsi="Arial"/>
                <w:sz w:val="14"/>
                <w:szCs w:val="14"/>
                <w:color w:val="auto"/>
              </w:rPr>
              <w:t>2023</w:t>
            </w:r>
          </w:p>
        </w:tc>
        <w:tc>
          <w:tcPr>
            <w:tcW w:w="1080" w:type="dxa"/>
            <w:vAlign w:val="bottom"/>
            <w:shd w:val="clear" w:color="auto" w:fill="DFDEEE"/>
          </w:tcPr>
          <w:p>
            <w:pPr>
              <w:jc w:val="right"/>
              <w:spacing w:after="0"/>
              <w:rPr>
                <w:sz w:val="20"/>
                <w:szCs w:val="20"/>
                <w:color w:val="auto"/>
              </w:rPr>
            </w:pPr>
            <w:r>
              <w:rPr>
                <w:rFonts w:ascii="Arial" w:cs="Arial" w:eastAsia="Arial" w:hAnsi="Arial"/>
                <w:sz w:val="14"/>
                <w:szCs w:val="14"/>
                <w:color w:val="auto"/>
              </w:rPr>
              <w:t>855,005</w:t>
            </w:r>
          </w:p>
        </w:tc>
        <w:tc>
          <w:tcPr>
            <w:tcW w:w="640" w:type="dxa"/>
            <w:vAlign w:val="bottom"/>
            <w:shd w:val="clear" w:color="auto" w:fill="DFDEEE"/>
          </w:tcPr>
          <w:p>
            <w:pPr>
              <w:ind w:left="4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0EF"/>
          </w:tcPr>
          <w:p>
            <w:pPr>
              <w:jc w:val="right"/>
              <w:spacing w:after="0"/>
              <w:rPr>
                <w:sz w:val="20"/>
                <w:szCs w:val="20"/>
                <w:color w:val="auto"/>
              </w:rPr>
            </w:pPr>
            <w:r>
              <w:rPr>
                <w:rFonts w:ascii="Arial" w:cs="Arial" w:eastAsia="Arial" w:hAnsi="Arial"/>
                <w:sz w:val="14"/>
                <w:szCs w:val="14"/>
                <w:color w:val="auto"/>
              </w:rPr>
              <w:t>3,200,380</w:t>
            </w:r>
          </w:p>
        </w:tc>
        <w:tc>
          <w:tcPr>
            <w:tcW w:w="1400" w:type="dxa"/>
            <w:vAlign w:val="bottom"/>
            <w:shd w:val="clear" w:color="auto" w:fill="DFDEEE"/>
          </w:tcPr>
          <w:p>
            <w:pPr>
              <w:jc w:val="right"/>
              <w:ind w:right="11"/>
              <w:spacing w:after="0"/>
              <w:rPr>
                <w:sz w:val="20"/>
                <w:szCs w:val="20"/>
                <w:color w:val="auto"/>
              </w:rPr>
            </w:pPr>
            <w:r>
              <w:rPr>
                <w:rFonts w:ascii="Arial" w:cs="Arial" w:eastAsia="Arial" w:hAnsi="Arial"/>
                <w:sz w:val="14"/>
                <w:szCs w:val="14"/>
                <w:color w:val="auto"/>
              </w:rPr>
              <w:t>1,342,358</w:t>
            </w:r>
          </w:p>
        </w:tc>
        <w:tc>
          <w:tcPr>
            <w:tcW w:w="1320" w:type="dxa"/>
            <w:vAlign w:val="bottom"/>
            <w:shd w:val="clear" w:color="auto" w:fill="DFDEEE"/>
          </w:tcPr>
          <w:p>
            <w:pPr>
              <w:jc w:val="right"/>
              <w:ind w:right="13"/>
              <w:spacing w:after="0"/>
              <w:rPr>
                <w:sz w:val="20"/>
                <w:szCs w:val="20"/>
                <w:color w:val="auto"/>
              </w:rPr>
            </w:pPr>
            <w:r>
              <w:rPr>
                <w:rFonts w:ascii="Arial" w:cs="Arial" w:eastAsia="Arial" w:hAnsi="Arial"/>
                <w:sz w:val="14"/>
                <w:szCs w:val="14"/>
                <w:color w:val="auto"/>
              </w:rPr>
              <w:t>662,262</w:t>
            </w:r>
          </w:p>
        </w:tc>
        <w:tc>
          <w:tcPr>
            <w:tcW w:w="1400" w:type="dxa"/>
            <w:vAlign w:val="bottom"/>
            <w:shd w:val="clear" w:color="auto" w:fill="DFDEEE"/>
          </w:tcPr>
          <w:p>
            <w:pPr>
              <w:jc w:val="right"/>
              <w:spacing w:after="0"/>
              <w:rPr>
                <w:sz w:val="20"/>
                <w:szCs w:val="20"/>
                <w:color w:val="auto"/>
              </w:rPr>
            </w:pPr>
            <w:r>
              <w:rPr>
                <w:rFonts w:ascii="Arial" w:cs="Arial" w:eastAsia="Arial" w:hAnsi="Arial"/>
                <w:sz w:val="14"/>
                <w:szCs w:val="14"/>
                <w:color w:val="auto"/>
              </w:rPr>
              <w:t>130,593</w:t>
            </w:r>
          </w:p>
        </w:tc>
        <w:tc>
          <w:tcPr>
            <w:tcW w:w="1200" w:type="dxa"/>
            <w:vAlign w:val="bottom"/>
            <w:shd w:val="clear" w:color="auto" w:fill="DFDEEE"/>
          </w:tcPr>
          <w:p>
            <w:pPr>
              <w:jc w:val="right"/>
              <w:spacing w:after="0"/>
              <w:rPr>
                <w:sz w:val="20"/>
                <w:szCs w:val="20"/>
                <w:color w:val="auto"/>
              </w:rPr>
            </w:pPr>
            <w:r>
              <w:rPr>
                <w:rFonts w:ascii="Arial" w:cs="Arial" w:eastAsia="Arial" w:hAnsi="Arial"/>
                <w:sz w:val="14"/>
                <w:szCs w:val="14"/>
                <w:color w:val="auto"/>
              </w:rPr>
              <w:t>6,190,598</w:t>
            </w:r>
          </w:p>
        </w:tc>
        <w:tc>
          <w:tcPr>
            <w:tcW w:w="0" w:type="dxa"/>
            <w:vAlign w:val="bottom"/>
          </w:tcPr>
          <w:p>
            <w:pPr>
              <w:spacing w:after="0"/>
              <w:rPr>
                <w:sz w:val="1"/>
                <w:szCs w:val="1"/>
                <w:color w:val="auto"/>
              </w:rPr>
            </w:pPr>
          </w:p>
        </w:tc>
      </w:tr>
      <w:tr>
        <w:trPr>
          <w:trHeight w:val="63"/>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Corporate Vice President and</w:t>
            </w:r>
          </w:p>
        </w:tc>
        <w:tc>
          <w:tcPr>
            <w:tcW w:w="620" w:type="dxa"/>
            <w:vAlign w:val="bottom"/>
            <w:tcBorders>
              <w:bottom w:val="single" w:sz="8" w:color="BCBEC0"/>
            </w:tcBorders>
            <w:shd w:val="clear" w:color="auto" w:fill="DFDEEE"/>
          </w:tcPr>
          <w:p>
            <w:pPr>
              <w:spacing w:after="0"/>
              <w:rPr>
                <w:sz w:val="5"/>
                <w:szCs w:val="5"/>
                <w:color w:val="auto"/>
              </w:rPr>
            </w:pPr>
          </w:p>
        </w:tc>
        <w:tc>
          <w:tcPr>
            <w:tcW w:w="1080" w:type="dxa"/>
            <w:vAlign w:val="bottom"/>
            <w:tcBorders>
              <w:bottom w:val="single" w:sz="8" w:color="BCBEC0"/>
            </w:tcBorders>
            <w:shd w:val="clear" w:color="auto" w:fill="DFDEEE"/>
          </w:tcPr>
          <w:p>
            <w:pPr>
              <w:spacing w:after="0"/>
              <w:rPr>
                <w:sz w:val="5"/>
                <w:szCs w:val="5"/>
                <w:color w:val="auto"/>
              </w:rPr>
            </w:pPr>
          </w:p>
        </w:tc>
        <w:tc>
          <w:tcPr>
            <w:tcW w:w="640" w:type="dxa"/>
            <w:vAlign w:val="bottom"/>
            <w:tcBorders>
              <w:bottom w:val="single" w:sz="8" w:color="BCBEC0"/>
            </w:tcBorders>
            <w:shd w:val="clear" w:color="auto" w:fill="DFDEEE"/>
          </w:tcPr>
          <w:p>
            <w:pPr>
              <w:spacing w:after="0"/>
              <w:rPr>
                <w:sz w:val="5"/>
                <w:szCs w:val="5"/>
                <w:color w:val="auto"/>
              </w:rPr>
            </w:pPr>
          </w:p>
        </w:tc>
        <w:tc>
          <w:tcPr>
            <w:tcW w:w="1240" w:type="dxa"/>
            <w:vAlign w:val="bottom"/>
            <w:tcBorders>
              <w:bottom w:val="single" w:sz="8" w:color="BCBEC0"/>
            </w:tcBorders>
            <w:shd w:val="clear" w:color="auto" w:fill="E1E0EF"/>
          </w:tcPr>
          <w:p>
            <w:pPr>
              <w:spacing w:after="0"/>
              <w:rPr>
                <w:sz w:val="5"/>
                <w:szCs w:val="5"/>
                <w:color w:val="auto"/>
              </w:rPr>
            </w:pPr>
          </w:p>
        </w:tc>
        <w:tc>
          <w:tcPr>
            <w:tcW w:w="1400" w:type="dxa"/>
            <w:vAlign w:val="bottom"/>
            <w:tcBorders>
              <w:bottom w:val="single" w:sz="8" w:color="BCBEC0"/>
            </w:tcBorders>
            <w:shd w:val="clear" w:color="auto" w:fill="DFDEEE"/>
          </w:tcPr>
          <w:p>
            <w:pPr>
              <w:spacing w:after="0"/>
              <w:rPr>
                <w:sz w:val="5"/>
                <w:szCs w:val="5"/>
                <w:color w:val="auto"/>
              </w:rPr>
            </w:pPr>
          </w:p>
        </w:tc>
        <w:tc>
          <w:tcPr>
            <w:tcW w:w="1320" w:type="dxa"/>
            <w:vAlign w:val="bottom"/>
            <w:tcBorders>
              <w:bottom w:val="single" w:sz="8" w:color="BCBEC0"/>
            </w:tcBorders>
            <w:shd w:val="clear" w:color="auto" w:fill="DFDEEE"/>
          </w:tcPr>
          <w:p>
            <w:pPr>
              <w:spacing w:after="0"/>
              <w:rPr>
                <w:sz w:val="5"/>
                <w:szCs w:val="5"/>
                <w:color w:val="auto"/>
              </w:rPr>
            </w:pPr>
          </w:p>
        </w:tc>
        <w:tc>
          <w:tcPr>
            <w:tcW w:w="1400" w:type="dxa"/>
            <w:vAlign w:val="bottom"/>
            <w:tcBorders>
              <w:bottom w:val="single" w:sz="8" w:color="BCBEC0"/>
            </w:tcBorders>
            <w:shd w:val="clear" w:color="auto" w:fill="DFDEEE"/>
          </w:tcPr>
          <w:p>
            <w:pPr>
              <w:spacing w:after="0"/>
              <w:rPr>
                <w:sz w:val="5"/>
                <w:szCs w:val="5"/>
                <w:color w:val="auto"/>
              </w:rPr>
            </w:pPr>
          </w:p>
        </w:tc>
        <w:tc>
          <w:tcPr>
            <w:tcW w:w="1200" w:type="dxa"/>
            <w:vAlign w:val="bottom"/>
            <w:tcBorders>
              <w:bottom w:val="single" w:sz="8" w:color="BCBEC0"/>
            </w:tcBorders>
            <w:shd w:val="clear" w:color="auto" w:fill="DFDEE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340" w:type="dxa"/>
            <w:vAlign w:val="bottom"/>
            <w:vMerge w:val="continue"/>
          </w:tcPr>
          <w:p>
            <w:pPr>
              <w:spacing w:after="0"/>
              <w:rPr>
                <w:sz w:val="6"/>
                <w:szCs w:val="6"/>
                <w:color w:val="auto"/>
              </w:rPr>
            </w:pPr>
          </w:p>
        </w:tc>
        <w:tc>
          <w:tcPr>
            <w:tcW w:w="620" w:type="dxa"/>
            <w:vAlign w:val="bottom"/>
            <w:vMerge w:val="restart"/>
            <w:shd w:val="clear" w:color="auto" w:fill="E1E0EF"/>
          </w:tcPr>
          <w:p>
            <w:pPr>
              <w:jc w:val="right"/>
              <w:spacing w:after="0"/>
              <w:rPr>
                <w:sz w:val="20"/>
                <w:szCs w:val="20"/>
                <w:color w:val="auto"/>
              </w:rPr>
            </w:pPr>
            <w:r>
              <w:rPr>
                <w:rFonts w:ascii="Arial" w:cs="Arial" w:eastAsia="Arial" w:hAnsi="Arial"/>
                <w:sz w:val="14"/>
                <w:szCs w:val="14"/>
                <w:color w:val="auto"/>
              </w:rPr>
              <w:t>2022</w:t>
            </w:r>
          </w:p>
        </w:tc>
        <w:tc>
          <w:tcPr>
            <w:tcW w:w="1080" w:type="dxa"/>
            <w:vAlign w:val="bottom"/>
            <w:vMerge w:val="restart"/>
            <w:shd w:val="clear" w:color="auto" w:fill="E1E0EF"/>
          </w:tcPr>
          <w:p>
            <w:pPr>
              <w:jc w:val="right"/>
              <w:spacing w:after="0"/>
              <w:rPr>
                <w:sz w:val="20"/>
                <w:szCs w:val="20"/>
                <w:color w:val="auto"/>
              </w:rPr>
            </w:pPr>
            <w:r>
              <w:rPr>
                <w:rFonts w:ascii="Arial" w:cs="Arial" w:eastAsia="Arial" w:hAnsi="Arial"/>
                <w:sz w:val="14"/>
                <w:szCs w:val="14"/>
                <w:color w:val="auto"/>
              </w:rPr>
              <w:t>855,005</w:t>
            </w:r>
          </w:p>
        </w:tc>
        <w:tc>
          <w:tcPr>
            <w:tcW w:w="640" w:type="dxa"/>
            <w:vAlign w:val="bottom"/>
            <w:vMerge w:val="restart"/>
            <w:shd w:val="clear" w:color="auto" w:fill="E1E0EF"/>
          </w:tcPr>
          <w:p>
            <w:pPr>
              <w:ind w:left="420"/>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E1E0EF"/>
          </w:tcPr>
          <w:p>
            <w:pPr>
              <w:jc w:val="right"/>
              <w:spacing w:after="0"/>
              <w:rPr>
                <w:sz w:val="20"/>
                <w:szCs w:val="20"/>
                <w:color w:val="auto"/>
              </w:rPr>
            </w:pPr>
            <w:r>
              <w:rPr>
                <w:rFonts w:ascii="Arial" w:cs="Arial" w:eastAsia="Arial" w:hAnsi="Arial"/>
                <w:sz w:val="14"/>
                <w:szCs w:val="14"/>
                <w:color w:val="auto"/>
              </w:rPr>
              <w:t>2,999,816</w:t>
            </w:r>
          </w:p>
        </w:tc>
        <w:tc>
          <w:tcPr>
            <w:tcW w:w="1400" w:type="dxa"/>
            <w:vAlign w:val="bottom"/>
            <w:vMerge w:val="restart"/>
            <w:shd w:val="clear" w:color="auto" w:fill="E1E0EF"/>
          </w:tcPr>
          <w:p>
            <w:pPr>
              <w:jc w:val="right"/>
              <w:ind w:right="11"/>
              <w:spacing w:after="0"/>
              <w:rPr>
                <w:sz w:val="20"/>
                <w:szCs w:val="20"/>
                <w:color w:val="auto"/>
              </w:rPr>
            </w:pPr>
            <w:r>
              <w:rPr>
                <w:rFonts w:ascii="Arial" w:cs="Arial" w:eastAsia="Arial" w:hAnsi="Arial"/>
                <w:sz w:val="14"/>
                <w:szCs w:val="14"/>
                <w:color w:val="auto"/>
              </w:rPr>
              <w:t>1,145,706</w:t>
            </w:r>
          </w:p>
        </w:tc>
        <w:tc>
          <w:tcPr>
            <w:tcW w:w="1320" w:type="dxa"/>
            <w:vAlign w:val="bottom"/>
            <w:vMerge w:val="restart"/>
            <w:shd w:val="clear" w:color="auto" w:fill="E1E0EF"/>
          </w:tcPr>
          <w:p>
            <w:pPr>
              <w:jc w:val="right"/>
              <w:ind w:right="13"/>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E1E0EF"/>
          </w:tcPr>
          <w:p>
            <w:pPr>
              <w:jc w:val="right"/>
              <w:spacing w:after="0"/>
              <w:rPr>
                <w:sz w:val="20"/>
                <w:szCs w:val="20"/>
                <w:color w:val="auto"/>
              </w:rPr>
            </w:pPr>
            <w:r>
              <w:rPr>
                <w:rFonts w:ascii="Arial" w:cs="Arial" w:eastAsia="Arial" w:hAnsi="Arial"/>
                <w:sz w:val="14"/>
                <w:szCs w:val="14"/>
                <w:color w:val="auto"/>
              </w:rPr>
              <w:t>128,645</w:t>
            </w:r>
          </w:p>
        </w:tc>
        <w:tc>
          <w:tcPr>
            <w:tcW w:w="1200" w:type="dxa"/>
            <w:vAlign w:val="bottom"/>
            <w:vMerge w:val="restart"/>
            <w:shd w:val="clear" w:color="auto" w:fill="E1E0EF"/>
          </w:tcPr>
          <w:p>
            <w:pPr>
              <w:jc w:val="right"/>
              <w:spacing w:after="0"/>
              <w:rPr>
                <w:sz w:val="20"/>
                <w:szCs w:val="20"/>
                <w:color w:val="auto"/>
              </w:rPr>
            </w:pPr>
            <w:r>
              <w:rPr>
                <w:rFonts w:ascii="Arial" w:cs="Arial" w:eastAsia="Arial" w:hAnsi="Arial"/>
                <w:sz w:val="14"/>
                <w:szCs w:val="14"/>
                <w:color w:val="auto"/>
              </w:rPr>
              <w:t>5,129,172</w:t>
            </w:r>
          </w:p>
        </w:tc>
        <w:tc>
          <w:tcPr>
            <w:tcW w:w="0" w:type="dxa"/>
            <w:vAlign w:val="bottom"/>
          </w:tcPr>
          <w:p>
            <w:pPr>
              <w:spacing w:after="0"/>
              <w:rPr>
                <w:sz w:val="1"/>
                <w:szCs w:val="1"/>
                <w:color w:val="auto"/>
              </w:rPr>
            </w:pPr>
          </w:p>
        </w:tc>
      </w:tr>
      <w:tr>
        <w:trPr>
          <w:trHeight w:val="132"/>
        </w:trPr>
        <w:tc>
          <w:tcPr>
            <w:tcW w:w="2340" w:type="dxa"/>
            <w:vAlign w:val="bottom"/>
          </w:tcPr>
          <w:p>
            <w:pPr>
              <w:ind w:left="20"/>
              <w:spacing w:after="0" w:line="125" w:lineRule="exact"/>
              <w:rPr>
                <w:sz w:val="20"/>
                <w:szCs w:val="20"/>
                <w:color w:val="auto"/>
              </w:rPr>
            </w:pPr>
            <w:r>
              <w:rPr>
                <w:rFonts w:ascii="Arial" w:cs="Arial" w:eastAsia="Arial" w:hAnsi="Arial"/>
                <w:sz w:val="14"/>
                <w:szCs w:val="14"/>
                <w:color w:val="auto"/>
              </w:rPr>
              <w:t>President, Mission Systems</w:t>
            </w:r>
          </w:p>
        </w:tc>
        <w:tc>
          <w:tcPr>
            <w:tcW w:w="620" w:type="dxa"/>
            <w:vAlign w:val="bottom"/>
            <w:tcBorders>
              <w:bottom w:val="single" w:sz="8" w:color="BCBEC0"/>
            </w:tcBorders>
            <w:vMerge w:val="continue"/>
            <w:shd w:val="clear" w:color="auto" w:fill="E1E0EF"/>
          </w:tcPr>
          <w:p>
            <w:pPr>
              <w:spacing w:after="0"/>
              <w:rPr>
                <w:sz w:val="11"/>
                <w:szCs w:val="11"/>
                <w:color w:val="auto"/>
              </w:rPr>
            </w:pPr>
          </w:p>
        </w:tc>
        <w:tc>
          <w:tcPr>
            <w:tcW w:w="1080" w:type="dxa"/>
            <w:vAlign w:val="bottom"/>
            <w:tcBorders>
              <w:bottom w:val="single" w:sz="8" w:color="BCBEC0"/>
            </w:tcBorders>
            <w:vMerge w:val="continue"/>
            <w:shd w:val="clear" w:color="auto" w:fill="E1E0EF"/>
          </w:tcPr>
          <w:p>
            <w:pPr>
              <w:spacing w:after="0"/>
              <w:rPr>
                <w:sz w:val="11"/>
                <w:szCs w:val="11"/>
                <w:color w:val="auto"/>
              </w:rPr>
            </w:pPr>
          </w:p>
        </w:tc>
        <w:tc>
          <w:tcPr>
            <w:tcW w:w="640" w:type="dxa"/>
            <w:vAlign w:val="bottom"/>
            <w:tcBorders>
              <w:bottom w:val="single" w:sz="8" w:color="BCBEC0"/>
            </w:tcBorders>
            <w:vMerge w:val="continue"/>
            <w:shd w:val="clear" w:color="auto" w:fill="E1E0EF"/>
          </w:tcPr>
          <w:p>
            <w:pPr>
              <w:spacing w:after="0"/>
              <w:rPr>
                <w:sz w:val="11"/>
                <w:szCs w:val="11"/>
                <w:color w:val="auto"/>
              </w:rPr>
            </w:pPr>
          </w:p>
        </w:tc>
        <w:tc>
          <w:tcPr>
            <w:tcW w:w="1240" w:type="dxa"/>
            <w:vAlign w:val="bottom"/>
            <w:tcBorders>
              <w:bottom w:val="single" w:sz="8" w:color="BCBEC0"/>
            </w:tcBorders>
            <w:vMerge w:val="continue"/>
            <w:shd w:val="clear" w:color="auto" w:fill="E1E0EF"/>
          </w:tcPr>
          <w:p>
            <w:pPr>
              <w:spacing w:after="0"/>
              <w:rPr>
                <w:sz w:val="11"/>
                <w:szCs w:val="11"/>
                <w:color w:val="auto"/>
              </w:rPr>
            </w:pPr>
          </w:p>
        </w:tc>
        <w:tc>
          <w:tcPr>
            <w:tcW w:w="1400" w:type="dxa"/>
            <w:vAlign w:val="bottom"/>
            <w:tcBorders>
              <w:bottom w:val="single" w:sz="8" w:color="BCBEC0"/>
            </w:tcBorders>
            <w:vMerge w:val="continue"/>
            <w:shd w:val="clear" w:color="auto" w:fill="E1E0EF"/>
          </w:tcPr>
          <w:p>
            <w:pPr>
              <w:spacing w:after="0"/>
              <w:rPr>
                <w:sz w:val="11"/>
                <w:szCs w:val="11"/>
                <w:color w:val="auto"/>
              </w:rPr>
            </w:pPr>
          </w:p>
        </w:tc>
        <w:tc>
          <w:tcPr>
            <w:tcW w:w="1320" w:type="dxa"/>
            <w:vAlign w:val="bottom"/>
            <w:tcBorders>
              <w:bottom w:val="single" w:sz="8" w:color="BCBEC0"/>
            </w:tcBorders>
            <w:vMerge w:val="continue"/>
            <w:shd w:val="clear" w:color="auto" w:fill="E1E0EF"/>
          </w:tcPr>
          <w:p>
            <w:pPr>
              <w:spacing w:after="0"/>
              <w:rPr>
                <w:sz w:val="11"/>
                <w:szCs w:val="11"/>
                <w:color w:val="auto"/>
              </w:rPr>
            </w:pPr>
          </w:p>
        </w:tc>
        <w:tc>
          <w:tcPr>
            <w:tcW w:w="1400" w:type="dxa"/>
            <w:vAlign w:val="bottom"/>
            <w:tcBorders>
              <w:bottom w:val="single" w:sz="8" w:color="BCBEC0"/>
            </w:tcBorders>
            <w:vMerge w:val="continue"/>
            <w:shd w:val="clear" w:color="auto" w:fill="E1E0EF"/>
          </w:tcPr>
          <w:p>
            <w:pPr>
              <w:spacing w:after="0"/>
              <w:rPr>
                <w:sz w:val="11"/>
                <w:szCs w:val="11"/>
                <w:color w:val="auto"/>
              </w:rPr>
            </w:pPr>
          </w:p>
        </w:tc>
        <w:tc>
          <w:tcPr>
            <w:tcW w:w="1200" w:type="dxa"/>
            <w:vAlign w:val="bottom"/>
            <w:tcBorders>
              <w:bottom w:val="single" w:sz="8" w:color="BCBEC0"/>
            </w:tcBorders>
            <w:vMerge w:val="continue"/>
            <w:shd w:val="clear" w:color="auto" w:fill="E1E0E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340" w:type="dxa"/>
            <w:vAlign w:val="bottom"/>
            <w:tcBorders>
              <w:bottom w:val="single" w:sz="8" w:color="BCBEC0"/>
            </w:tcBorders>
          </w:tcPr>
          <w:p>
            <w:pPr>
              <w:spacing w:after="0"/>
              <w:rPr>
                <w:sz w:val="18"/>
                <w:szCs w:val="18"/>
                <w:color w:val="auto"/>
              </w:rPr>
            </w:pPr>
          </w:p>
        </w:tc>
        <w:tc>
          <w:tcPr>
            <w:tcW w:w="620" w:type="dxa"/>
            <w:vAlign w:val="bottom"/>
            <w:tcBorders>
              <w:bottom w:val="single" w:sz="8" w:color="BCBEC0"/>
            </w:tcBorders>
            <w:shd w:val="clear" w:color="auto" w:fill="E1E0EF"/>
          </w:tcPr>
          <w:p>
            <w:pPr>
              <w:jc w:val="right"/>
              <w:spacing w:after="0"/>
              <w:rPr>
                <w:sz w:val="20"/>
                <w:szCs w:val="20"/>
                <w:color w:val="auto"/>
              </w:rPr>
            </w:pPr>
            <w:r>
              <w:rPr>
                <w:rFonts w:ascii="Arial" w:cs="Arial" w:eastAsia="Arial" w:hAnsi="Arial"/>
                <w:sz w:val="14"/>
                <w:szCs w:val="14"/>
                <w:color w:val="auto"/>
              </w:rPr>
              <w:t>2021</w:t>
            </w:r>
          </w:p>
        </w:tc>
        <w:tc>
          <w:tcPr>
            <w:tcW w:w="1080" w:type="dxa"/>
            <w:vAlign w:val="bottom"/>
            <w:tcBorders>
              <w:bottom w:val="single" w:sz="8" w:color="BCBEC0"/>
            </w:tcBorders>
            <w:shd w:val="clear" w:color="auto" w:fill="E1E0EF"/>
          </w:tcPr>
          <w:p>
            <w:pPr>
              <w:jc w:val="right"/>
              <w:spacing w:after="0"/>
              <w:rPr>
                <w:sz w:val="20"/>
                <w:szCs w:val="20"/>
                <w:color w:val="auto"/>
              </w:rPr>
            </w:pPr>
            <w:r>
              <w:rPr>
                <w:rFonts w:ascii="Arial" w:cs="Arial" w:eastAsia="Arial" w:hAnsi="Arial"/>
                <w:sz w:val="14"/>
                <w:szCs w:val="14"/>
                <w:color w:val="auto"/>
              </w:rPr>
              <w:t>855,002</w:t>
            </w:r>
          </w:p>
        </w:tc>
        <w:tc>
          <w:tcPr>
            <w:tcW w:w="640" w:type="dxa"/>
            <w:vAlign w:val="bottom"/>
            <w:tcBorders>
              <w:bottom w:val="single" w:sz="8" w:color="BCBEC0"/>
            </w:tcBorders>
            <w:shd w:val="clear" w:color="auto" w:fill="E1E0EF"/>
          </w:tcPr>
          <w:p>
            <w:pPr>
              <w:ind w:left="4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CBEC0"/>
            </w:tcBorders>
            <w:shd w:val="clear" w:color="auto" w:fill="E1E0EF"/>
          </w:tcPr>
          <w:p>
            <w:pPr>
              <w:jc w:val="right"/>
              <w:spacing w:after="0"/>
              <w:rPr>
                <w:sz w:val="20"/>
                <w:szCs w:val="20"/>
                <w:color w:val="auto"/>
              </w:rPr>
            </w:pPr>
            <w:r>
              <w:rPr>
                <w:rFonts w:ascii="Arial" w:cs="Arial" w:eastAsia="Arial" w:hAnsi="Arial"/>
                <w:sz w:val="14"/>
                <w:szCs w:val="14"/>
                <w:color w:val="auto"/>
              </w:rPr>
              <w:t>3,000,038</w:t>
            </w:r>
          </w:p>
        </w:tc>
        <w:tc>
          <w:tcPr>
            <w:tcW w:w="1400" w:type="dxa"/>
            <w:vAlign w:val="bottom"/>
            <w:tcBorders>
              <w:bottom w:val="single" w:sz="8" w:color="BCBEC0"/>
            </w:tcBorders>
            <w:shd w:val="clear" w:color="auto" w:fill="E1E0EF"/>
          </w:tcPr>
          <w:p>
            <w:pPr>
              <w:jc w:val="right"/>
              <w:ind w:right="11"/>
              <w:spacing w:after="0"/>
              <w:rPr>
                <w:sz w:val="20"/>
                <w:szCs w:val="20"/>
                <w:color w:val="auto"/>
              </w:rPr>
            </w:pPr>
            <w:r>
              <w:rPr>
                <w:rFonts w:ascii="Arial" w:cs="Arial" w:eastAsia="Arial" w:hAnsi="Arial"/>
                <w:sz w:val="14"/>
                <w:szCs w:val="14"/>
                <w:color w:val="auto"/>
              </w:rPr>
              <w:t>1,112,000</w:t>
            </w:r>
          </w:p>
        </w:tc>
        <w:tc>
          <w:tcPr>
            <w:tcW w:w="1320" w:type="dxa"/>
            <w:vAlign w:val="bottom"/>
            <w:tcBorders>
              <w:bottom w:val="single" w:sz="8" w:color="BCBEC0"/>
            </w:tcBorders>
            <w:shd w:val="clear" w:color="auto" w:fill="E1E0EF"/>
          </w:tcPr>
          <w:p>
            <w:pPr>
              <w:jc w:val="right"/>
              <w:ind w:right="13"/>
              <w:spacing w:after="0"/>
              <w:rPr>
                <w:sz w:val="20"/>
                <w:szCs w:val="20"/>
                <w:color w:val="auto"/>
              </w:rPr>
            </w:pPr>
            <w:r>
              <w:rPr>
                <w:rFonts w:ascii="Arial" w:cs="Arial" w:eastAsia="Arial" w:hAnsi="Arial"/>
                <w:sz w:val="14"/>
                <w:szCs w:val="14"/>
                <w:color w:val="auto"/>
              </w:rPr>
              <w:t>206,044</w:t>
            </w:r>
          </w:p>
        </w:tc>
        <w:tc>
          <w:tcPr>
            <w:tcW w:w="1400" w:type="dxa"/>
            <w:vAlign w:val="bottom"/>
            <w:tcBorders>
              <w:bottom w:val="single" w:sz="8" w:color="BCBEC0"/>
            </w:tcBorders>
            <w:shd w:val="clear" w:color="auto" w:fill="E1E0EF"/>
          </w:tcPr>
          <w:p>
            <w:pPr>
              <w:jc w:val="right"/>
              <w:spacing w:after="0"/>
              <w:rPr>
                <w:sz w:val="20"/>
                <w:szCs w:val="20"/>
                <w:color w:val="auto"/>
              </w:rPr>
            </w:pPr>
            <w:r>
              <w:rPr>
                <w:rFonts w:ascii="Arial" w:cs="Arial" w:eastAsia="Arial" w:hAnsi="Arial"/>
                <w:sz w:val="14"/>
                <w:szCs w:val="14"/>
                <w:color w:val="auto"/>
              </w:rPr>
              <w:t>138,474</w:t>
            </w:r>
          </w:p>
        </w:tc>
        <w:tc>
          <w:tcPr>
            <w:tcW w:w="1200" w:type="dxa"/>
            <w:vAlign w:val="bottom"/>
            <w:tcBorders>
              <w:bottom w:val="single" w:sz="8" w:color="D1D3D4"/>
            </w:tcBorders>
            <w:shd w:val="clear" w:color="auto" w:fill="E1E0EF"/>
          </w:tcPr>
          <w:p>
            <w:pPr>
              <w:jc w:val="right"/>
              <w:spacing w:after="0"/>
              <w:rPr>
                <w:sz w:val="20"/>
                <w:szCs w:val="20"/>
                <w:color w:val="auto"/>
              </w:rPr>
            </w:pPr>
            <w:r>
              <w:rPr>
                <w:rFonts w:ascii="Arial" w:cs="Arial" w:eastAsia="Arial" w:hAnsi="Arial"/>
                <w:sz w:val="14"/>
                <w:szCs w:val="14"/>
                <w:color w:val="auto"/>
              </w:rPr>
              <w:t>5,311,558</w:t>
            </w:r>
          </w:p>
        </w:tc>
        <w:tc>
          <w:tcPr>
            <w:tcW w:w="0" w:type="dxa"/>
            <w:vAlign w:val="bottom"/>
          </w:tcPr>
          <w:p>
            <w:pPr>
              <w:spacing w:after="0"/>
              <w:rPr>
                <w:sz w:val="1"/>
                <w:szCs w:val="1"/>
                <w:color w:val="auto"/>
              </w:rPr>
            </w:pPr>
          </w:p>
        </w:tc>
      </w:tr>
      <w:tr>
        <w:trPr>
          <w:trHeight w:val="191"/>
        </w:trPr>
        <w:tc>
          <w:tcPr>
            <w:tcW w:w="2340" w:type="dxa"/>
            <w:vAlign w:val="bottom"/>
          </w:tcPr>
          <w:p>
            <w:pPr>
              <w:ind w:left="20"/>
              <w:spacing w:after="0"/>
              <w:rPr>
                <w:sz w:val="20"/>
                <w:szCs w:val="20"/>
                <w:color w:val="auto"/>
              </w:rPr>
            </w:pPr>
            <w:r>
              <w:rPr>
                <w:rFonts w:ascii="Arial" w:cs="Arial" w:eastAsia="Arial" w:hAnsi="Arial"/>
                <w:sz w:val="15"/>
                <w:szCs w:val="15"/>
                <w:b w:val="1"/>
                <w:bCs w:val="1"/>
                <w:color w:val="29378D"/>
              </w:rPr>
              <w:t>Thomas H. Jones</w:t>
            </w:r>
          </w:p>
        </w:tc>
        <w:tc>
          <w:tcPr>
            <w:tcW w:w="620" w:type="dxa"/>
            <w:vAlign w:val="bottom"/>
          </w:tcPr>
          <w:p>
            <w:pPr>
              <w:jc w:val="right"/>
              <w:spacing w:after="0"/>
              <w:rPr>
                <w:sz w:val="20"/>
                <w:szCs w:val="20"/>
                <w:color w:val="auto"/>
              </w:rPr>
            </w:pPr>
            <w:r>
              <w:rPr>
                <w:rFonts w:ascii="Arial" w:cs="Arial" w:eastAsia="Arial" w:hAnsi="Arial"/>
                <w:sz w:val="14"/>
                <w:szCs w:val="14"/>
                <w:color w:val="auto"/>
              </w:rPr>
              <w:t>2023</w:t>
            </w:r>
          </w:p>
        </w:tc>
        <w:tc>
          <w:tcPr>
            <w:tcW w:w="1080" w:type="dxa"/>
            <w:vAlign w:val="bottom"/>
          </w:tcPr>
          <w:p>
            <w:pPr>
              <w:jc w:val="right"/>
              <w:spacing w:after="0"/>
              <w:rPr>
                <w:sz w:val="20"/>
                <w:szCs w:val="20"/>
                <w:color w:val="auto"/>
              </w:rPr>
            </w:pPr>
            <w:r>
              <w:rPr>
                <w:rFonts w:ascii="Arial" w:cs="Arial" w:eastAsia="Arial" w:hAnsi="Arial"/>
                <w:sz w:val="14"/>
                <w:szCs w:val="14"/>
                <w:color w:val="auto"/>
              </w:rPr>
              <w:t>785,192</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3,200,380</w:t>
            </w:r>
          </w:p>
        </w:tc>
        <w:tc>
          <w:tcPr>
            <w:tcW w:w="1400" w:type="dxa"/>
            <w:vAlign w:val="bottom"/>
          </w:tcPr>
          <w:p>
            <w:pPr>
              <w:jc w:val="right"/>
              <w:ind w:right="11"/>
              <w:spacing w:after="0"/>
              <w:rPr>
                <w:sz w:val="20"/>
                <w:szCs w:val="20"/>
                <w:color w:val="auto"/>
              </w:rPr>
            </w:pPr>
            <w:r>
              <w:rPr>
                <w:rFonts w:ascii="Arial" w:cs="Arial" w:eastAsia="Arial" w:hAnsi="Arial"/>
                <w:sz w:val="14"/>
                <w:szCs w:val="14"/>
                <w:color w:val="auto"/>
              </w:rPr>
              <w:t>1,240,300</w:t>
            </w:r>
          </w:p>
        </w:tc>
        <w:tc>
          <w:tcPr>
            <w:tcW w:w="13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270,042</w:t>
            </w:r>
          </w:p>
        </w:tc>
        <w:tc>
          <w:tcPr>
            <w:tcW w:w="1200" w:type="dxa"/>
            <w:vAlign w:val="bottom"/>
          </w:tcPr>
          <w:p>
            <w:pPr>
              <w:jc w:val="right"/>
              <w:spacing w:after="0"/>
              <w:rPr>
                <w:sz w:val="20"/>
                <w:szCs w:val="20"/>
                <w:color w:val="auto"/>
              </w:rPr>
            </w:pPr>
            <w:r>
              <w:rPr>
                <w:rFonts w:ascii="Arial" w:cs="Arial" w:eastAsia="Arial" w:hAnsi="Arial"/>
                <w:sz w:val="14"/>
                <w:szCs w:val="14"/>
                <w:color w:val="auto"/>
              </w:rPr>
              <w:t>5,495,914</w:t>
            </w:r>
          </w:p>
        </w:tc>
        <w:tc>
          <w:tcPr>
            <w:tcW w:w="0" w:type="dxa"/>
            <w:vAlign w:val="bottom"/>
          </w:tcPr>
          <w:p>
            <w:pPr>
              <w:spacing w:after="0"/>
              <w:rPr>
                <w:sz w:val="1"/>
                <w:szCs w:val="1"/>
                <w:color w:val="auto"/>
              </w:rPr>
            </w:pPr>
          </w:p>
        </w:tc>
      </w:tr>
      <w:tr>
        <w:trPr>
          <w:trHeight w:val="23"/>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Corporate Vice President and</w:t>
            </w:r>
          </w:p>
        </w:tc>
        <w:tc>
          <w:tcPr>
            <w:tcW w:w="620" w:type="dxa"/>
            <w:vAlign w:val="bottom"/>
            <w:tcBorders>
              <w:bottom w:val="single" w:sz="8" w:color="BCBEC0"/>
            </w:tcBorders>
          </w:tcPr>
          <w:p>
            <w:pPr>
              <w:spacing w:after="0" w:line="20" w:lineRule="exact"/>
              <w:rPr>
                <w:sz w:val="1"/>
                <w:szCs w:val="1"/>
                <w:color w:val="auto"/>
              </w:rPr>
            </w:pPr>
          </w:p>
        </w:tc>
        <w:tc>
          <w:tcPr>
            <w:tcW w:w="1080" w:type="dxa"/>
            <w:vAlign w:val="bottom"/>
            <w:tcBorders>
              <w:bottom w:val="single" w:sz="8" w:color="BCBEC0"/>
            </w:tcBorders>
          </w:tcPr>
          <w:p>
            <w:pPr>
              <w:spacing w:after="0" w:line="20" w:lineRule="exact"/>
              <w:rPr>
                <w:sz w:val="1"/>
                <w:szCs w:val="1"/>
                <w:color w:val="auto"/>
              </w:rPr>
            </w:pPr>
          </w:p>
        </w:tc>
        <w:tc>
          <w:tcPr>
            <w:tcW w:w="640" w:type="dxa"/>
            <w:vAlign w:val="bottom"/>
            <w:tcBorders>
              <w:bottom w:val="single" w:sz="8" w:color="BCBEC0"/>
            </w:tcBorders>
          </w:tcPr>
          <w:p>
            <w:pPr>
              <w:spacing w:after="0" w:line="20" w:lineRule="exact"/>
              <w:rPr>
                <w:sz w:val="1"/>
                <w:szCs w:val="1"/>
                <w:color w:val="auto"/>
              </w:rPr>
            </w:pPr>
          </w:p>
        </w:tc>
        <w:tc>
          <w:tcPr>
            <w:tcW w:w="1240" w:type="dxa"/>
            <w:vAlign w:val="bottom"/>
            <w:tcBorders>
              <w:bottom w:val="single" w:sz="8" w:color="BCBEC0"/>
            </w:tcBorders>
          </w:tcPr>
          <w:p>
            <w:pPr>
              <w:spacing w:after="0" w:line="20" w:lineRule="exact"/>
              <w:rPr>
                <w:sz w:val="1"/>
                <w:szCs w:val="1"/>
                <w:color w:val="auto"/>
              </w:rPr>
            </w:pPr>
          </w:p>
        </w:tc>
        <w:tc>
          <w:tcPr>
            <w:tcW w:w="1400" w:type="dxa"/>
            <w:vAlign w:val="bottom"/>
            <w:tcBorders>
              <w:bottom w:val="single" w:sz="8" w:color="BCBEC0"/>
            </w:tcBorders>
          </w:tcPr>
          <w:p>
            <w:pPr>
              <w:spacing w:after="0" w:line="20" w:lineRule="exact"/>
              <w:rPr>
                <w:sz w:val="1"/>
                <w:szCs w:val="1"/>
                <w:color w:val="auto"/>
              </w:rPr>
            </w:pPr>
          </w:p>
        </w:tc>
        <w:tc>
          <w:tcPr>
            <w:tcW w:w="1320" w:type="dxa"/>
            <w:vAlign w:val="bottom"/>
            <w:tcBorders>
              <w:bottom w:val="single" w:sz="8" w:color="BCBEC0"/>
            </w:tcBorders>
          </w:tcPr>
          <w:p>
            <w:pPr>
              <w:spacing w:after="0" w:line="20" w:lineRule="exact"/>
              <w:rPr>
                <w:sz w:val="1"/>
                <w:szCs w:val="1"/>
                <w:color w:val="auto"/>
              </w:rPr>
            </w:pPr>
          </w:p>
        </w:tc>
        <w:tc>
          <w:tcPr>
            <w:tcW w:w="1400" w:type="dxa"/>
            <w:vAlign w:val="bottom"/>
            <w:tcBorders>
              <w:bottom w:val="single" w:sz="8" w:color="BCBEC0"/>
            </w:tcBorders>
          </w:tcPr>
          <w:p>
            <w:pPr>
              <w:spacing w:after="0" w:line="20" w:lineRule="exact"/>
              <w:rPr>
                <w:sz w:val="1"/>
                <w:szCs w:val="1"/>
                <w:color w:val="auto"/>
              </w:rPr>
            </w:pPr>
          </w:p>
        </w:tc>
        <w:tc>
          <w:tcPr>
            <w:tcW w:w="120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2340" w:type="dxa"/>
            <w:vAlign w:val="bottom"/>
            <w:vMerge w:val="continue"/>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2022</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762,117</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2,999,816</w:t>
            </w:r>
          </w:p>
        </w:tc>
        <w:tc>
          <w:tcPr>
            <w:tcW w:w="1400" w:type="dxa"/>
            <w:vAlign w:val="bottom"/>
            <w:vMerge w:val="restart"/>
          </w:tcPr>
          <w:p>
            <w:pPr>
              <w:jc w:val="right"/>
              <w:ind w:right="11"/>
              <w:spacing w:after="0"/>
              <w:rPr>
                <w:sz w:val="20"/>
                <w:szCs w:val="20"/>
                <w:color w:val="auto"/>
              </w:rPr>
            </w:pPr>
            <w:r>
              <w:rPr>
                <w:rFonts w:ascii="Arial" w:cs="Arial" w:eastAsia="Arial" w:hAnsi="Arial"/>
                <w:sz w:val="14"/>
                <w:szCs w:val="14"/>
                <w:color w:val="auto"/>
              </w:rPr>
              <w:t>1,025,100</w:t>
            </w:r>
          </w:p>
        </w:tc>
        <w:tc>
          <w:tcPr>
            <w:tcW w:w="1320" w:type="dxa"/>
            <w:vAlign w:val="bottom"/>
            <w:vMerge w:val="restart"/>
          </w:tcPr>
          <w:p>
            <w:pPr>
              <w:jc w:val="right"/>
              <w:ind w:right="13"/>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auto"/>
              </w:rPr>
              <w:t>282,197</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5,069,230</w:t>
            </w:r>
          </w:p>
        </w:tc>
        <w:tc>
          <w:tcPr>
            <w:tcW w:w="0" w:type="dxa"/>
            <w:vAlign w:val="bottom"/>
          </w:tcPr>
          <w:p>
            <w:pPr>
              <w:spacing w:after="0"/>
              <w:rPr>
                <w:sz w:val="1"/>
                <w:szCs w:val="1"/>
                <w:color w:val="auto"/>
              </w:rPr>
            </w:pPr>
          </w:p>
        </w:tc>
      </w:tr>
      <w:tr>
        <w:trPr>
          <w:trHeight w:val="91"/>
        </w:trPr>
        <w:tc>
          <w:tcPr>
            <w:tcW w:w="2340" w:type="dxa"/>
            <w:vAlign w:val="bottom"/>
            <w:vMerge w:val="restart"/>
          </w:tcPr>
          <w:p>
            <w:pPr>
              <w:ind w:left="20"/>
              <w:spacing w:after="0"/>
              <w:rPr>
                <w:sz w:val="20"/>
                <w:szCs w:val="20"/>
                <w:color w:val="auto"/>
              </w:rPr>
            </w:pPr>
            <w:r>
              <w:rPr>
                <w:rFonts w:ascii="Arial" w:cs="Arial" w:eastAsia="Arial" w:hAnsi="Arial"/>
                <w:sz w:val="14"/>
                <w:szCs w:val="14"/>
                <w:color w:val="auto"/>
              </w:rPr>
              <w:t>President, Aeronautics Systems</w:t>
            </w:r>
          </w:p>
        </w:tc>
        <w:tc>
          <w:tcPr>
            <w:tcW w:w="620" w:type="dxa"/>
            <w:vAlign w:val="bottom"/>
            <w:tcBorders>
              <w:bottom w:val="single" w:sz="8" w:color="BCBEC0"/>
            </w:tcBorders>
            <w:vMerge w:val="continue"/>
          </w:tcPr>
          <w:p>
            <w:pPr>
              <w:spacing w:after="0"/>
              <w:rPr>
                <w:sz w:val="7"/>
                <w:szCs w:val="7"/>
                <w:color w:val="auto"/>
              </w:rPr>
            </w:pPr>
          </w:p>
        </w:tc>
        <w:tc>
          <w:tcPr>
            <w:tcW w:w="1080" w:type="dxa"/>
            <w:vAlign w:val="bottom"/>
            <w:tcBorders>
              <w:bottom w:val="single" w:sz="8" w:color="BCBEC0"/>
            </w:tcBorders>
            <w:vMerge w:val="continue"/>
          </w:tcPr>
          <w:p>
            <w:pPr>
              <w:spacing w:after="0"/>
              <w:rPr>
                <w:sz w:val="7"/>
                <w:szCs w:val="7"/>
                <w:color w:val="auto"/>
              </w:rPr>
            </w:pPr>
          </w:p>
        </w:tc>
        <w:tc>
          <w:tcPr>
            <w:tcW w:w="640" w:type="dxa"/>
            <w:vAlign w:val="bottom"/>
            <w:tcBorders>
              <w:bottom w:val="single" w:sz="8" w:color="BCBEC0"/>
            </w:tcBorders>
            <w:vMerge w:val="continue"/>
          </w:tcPr>
          <w:p>
            <w:pPr>
              <w:spacing w:after="0"/>
              <w:rPr>
                <w:sz w:val="7"/>
                <w:szCs w:val="7"/>
                <w:color w:val="auto"/>
              </w:rPr>
            </w:pPr>
          </w:p>
        </w:tc>
        <w:tc>
          <w:tcPr>
            <w:tcW w:w="1240" w:type="dxa"/>
            <w:vAlign w:val="bottom"/>
            <w:tcBorders>
              <w:bottom w:val="single" w:sz="8" w:color="BCBEC0"/>
            </w:tcBorders>
            <w:vMerge w:val="continue"/>
          </w:tcPr>
          <w:p>
            <w:pPr>
              <w:spacing w:after="0"/>
              <w:rPr>
                <w:sz w:val="7"/>
                <w:szCs w:val="7"/>
                <w:color w:val="auto"/>
              </w:rPr>
            </w:pPr>
          </w:p>
        </w:tc>
        <w:tc>
          <w:tcPr>
            <w:tcW w:w="1400" w:type="dxa"/>
            <w:vAlign w:val="bottom"/>
            <w:tcBorders>
              <w:bottom w:val="single" w:sz="8" w:color="BCBEC0"/>
            </w:tcBorders>
            <w:vMerge w:val="continue"/>
          </w:tcPr>
          <w:p>
            <w:pPr>
              <w:spacing w:after="0"/>
              <w:rPr>
                <w:sz w:val="7"/>
                <w:szCs w:val="7"/>
                <w:color w:val="auto"/>
              </w:rPr>
            </w:pPr>
          </w:p>
        </w:tc>
        <w:tc>
          <w:tcPr>
            <w:tcW w:w="1320" w:type="dxa"/>
            <w:vAlign w:val="bottom"/>
            <w:tcBorders>
              <w:bottom w:val="single" w:sz="8" w:color="BCBEC0"/>
            </w:tcBorders>
            <w:vMerge w:val="continue"/>
          </w:tcPr>
          <w:p>
            <w:pPr>
              <w:spacing w:after="0"/>
              <w:rPr>
                <w:sz w:val="7"/>
                <w:szCs w:val="7"/>
                <w:color w:val="auto"/>
              </w:rPr>
            </w:pPr>
          </w:p>
        </w:tc>
        <w:tc>
          <w:tcPr>
            <w:tcW w:w="1400" w:type="dxa"/>
            <w:vAlign w:val="bottom"/>
            <w:tcBorders>
              <w:bottom w:val="single" w:sz="8" w:color="BCBEC0"/>
            </w:tcBorders>
            <w:vMerge w:val="continue"/>
          </w:tcPr>
          <w:p>
            <w:pPr>
              <w:spacing w:after="0"/>
              <w:rPr>
                <w:sz w:val="7"/>
                <w:szCs w:val="7"/>
                <w:color w:val="auto"/>
              </w:rPr>
            </w:pPr>
          </w:p>
        </w:tc>
        <w:tc>
          <w:tcPr>
            <w:tcW w:w="1200" w:type="dxa"/>
            <w:vAlign w:val="bottom"/>
            <w:tcBorders>
              <w:bottom w:val="single" w:sz="8" w:color="BCBEC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3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340" w:type="dxa"/>
            <w:vAlign w:val="bottom"/>
            <w:tcBorders>
              <w:bottom w:val="single" w:sz="8" w:color="BCBEC0"/>
            </w:tcBorders>
          </w:tcPr>
          <w:p>
            <w:pPr>
              <w:spacing w:after="0"/>
              <w:rPr>
                <w:sz w:val="18"/>
                <w:szCs w:val="18"/>
                <w:color w:val="auto"/>
              </w:rPr>
            </w:pPr>
          </w:p>
        </w:tc>
        <w:tc>
          <w:tcPr>
            <w:tcW w:w="620" w:type="dxa"/>
            <w:vAlign w:val="bottom"/>
            <w:tcBorders>
              <w:bottom w:val="single" w:sz="8" w:color="BCBEC0"/>
            </w:tcBorders>
          </w:tcPr>
          <w:p>
            <w:pPr>
              <w:spacing w:after="0"/>
              <w:rPr>
                <w:sz w:val="18"/>
                <w:szCs w:val="18"/>
                <w:color w:val="auto"/>
              </w:rPr>
            </w:pPr>
          </w:p>
        </w:tc>
        <w:tc>
          <w:tcPr>
            <w:tcW w:w="1080" w:type="dxa"/>
            <w:vAlign w:val="bottom"/>
            <w:tcBorders>
              <w:bottom w:val="single" w:sz="8" w:color="BCBEC0"/>
            </w:tcBorders>
          </w:tcPr>
          <w:p>
            <w:pPr>
              <w:spacing w:after="0"/>
              <w:rPr>
                <w:sz w:val="18"/>
                <w:szCs w:val="18"/>
                <w:color w:val="auto"/>
              </w:rPr>
            </w:pPr>
          </w:p>
        </w:tc>
        <w:tc>
          <w:tcPr>
            <w:tcW w:w="640" w:type="dxa"/>
            <w:vAlign w:val="bottom"/>
            <w:tcBorders>
              <w:bottom w:val="single" w:sz="8" w:color="BCBEC0"/>
            </w:tcBorders>
          </w:tcPr>
          <w:p>
            <w:pPr>
              <w:spacing w:after="0"/>
              <w:rPr>
                <w:sz w:val="18"/>
                <w:szCs w:val="18"/>
                <w:color w:val="auto"/>
              </w:rPr>
            </w:pPr>
          </w:p>
        </w:tc>
        <w:tc>
          <w:tcPr>
            <w:tcW w:w="1240" w:type="dxa"/>
            <w:vAlign w:val="bottom"/>
            <w:tcBorders>
              <w:bottom w:val="single" w:sz="8" w:color="BCBEC0"/>
            </w:tcBorders>
          </w:tcPr>
          <w:p>
            <w:pPr>
              <w:spacing w:after="0"/>
              <w:rPr>
                <w:sz w:val="18"/>
                <w:szCs w:val="18"/>
                <w:color w:val="auto"/>
              </w:rPr>
            </w:pPr>
          </w:p>
        </w:tc>
        <w:tc>
          <w:tcPr>
            <w:tcW w:w="1400" w:type="dxa"/>
            <w:vAlign w:val="bottom"/>
            <w:tcBorders>
              <w:bottom w:val="single" w:sz="8" w:color="BCBEC0"/>
            </w:tcBorders>
          </w:tcPr>
          <w:p>
            <w:pPr>
              <w:spacing w:after="0"/>
              <w:rPr>
                <w:sz w:val="18"/>
                <w:szCs w:val="18"/>
                <w:color w:val="auto"/>
              </w:rPr>
            </w:pPr>
          </w:p>
        </w:tc>
        <w:tc>
          <w:tcPr>
            <w:tcW w:w="1320" w:type="dxa"/>
            <w:vAlign w:val="bottom"/>
            <w:tcBorders>
              <w:bottom w:val="single" w:sz="8" w:color="BCBEC0"/>
            </w:tcBorders>
          </w:tcPr>
          <w:p>
            <w:pPr>
              <w:spacing w:after="0"/>
              <w:rPr>
                <w:sz w:val="18"/>
                <w:szCs w:val="18"/>
                <w:color w:val="auto"/>
              </w:rPr>
            </w:pPr>
          </w:p>
        </w:tc>
        <w:tc>
          <w:tcPr>
            <w:tcW w:w="1400" w:type="dxa"/>
            <w:vAlign w:val="bottom"/>
            <w:tcBorders>
              <w:bottom w:val="single" w:sz="8" w:color="BCBEC0"/>
            </w:tcBorders>
          </w:tcPr>
          <w:p>
            <w:pPr>
              <w:spacing w:after="0"/>
              <w:rPr>
                <w:sz w:val="18"/>
                <w:szCs w:val="18"/>
                <w:color w:val="auto"/>
              </w:rPr>
            </w:pPr>
          </w:p>
        </w:tc>
        <w:tc>
          <w:tcPr>
            <w:tcW w:w="12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40" w:type="dxa"/>
            <w:vAlign w:val="bottom"/>
          </w:tcPr>
          <w:p>
            <w:pPr>
              <w:ind w:left="20"/>
              <w:spacing w:after="0"/>
              <w:rPr>
                <w:sz w:val="20"/>
                <w:szCs w:val="20"/>
                <w:color w:val="auto"/>
              </w:rPr>
            </w:pPr>
            <w:r>
              <w:rPr>
                <w:rFonts w:ascii="Arial" w:cs="Arial" w:eastAsia="Arial" w:hAnsi="Arial"/>
                <w:sz w:val="15"/>
                <w:szCs w:val="15"/>
                <w:b w:val="1"/>
                <w:bCs w:val="1"/>
                <w:color w:val="29378D"/>
              </w:rPr>
              <w:t>Roshan S. Roeder (6)</w:t>
            </w:r>
          </w:p>
        </w:tc>
        <w:tc>
          <w:tcPr>
            <w:tcW w:w="620" w:type="dxa"/>
            <w:vAlign w:val="bottom"/>
            <w:tcBorders>
              <w:bottom w:val="single" w:sz="8" w:color="DFDEEE"/>
            </w:tcBorders>
            <w:shd w:val="clear" w:color="auto" w:fill="DFDEEE"/>
          </w:tcPr>
          <w:p>
            <w:pPr>
              <w:jc w:val="right"/>
              <w:spacing w:after="0"/>
              <w:rPr>
                <w:sz w:val="20"/>
                <w:szCs w:val="20"/>
                <w:color w:val="auto"/>
              </w:rPr>
            </w:pPr>
            <w:r>
              <w:rPr>
                <w:rFonts w:ascii="Arial" w:cs="Arial" w:eastAsia="Arial" w:hAnsi="Arial"/>
                <w:sz w:val="14"/>
                <w:szCs w:val="14"/>
                <w:color w:val="auto"/>
              </w:rPr>
              <w:t>2023</w:t>
            </w:r>
          </w:p>
        </w:tc>
        <w:tc>
          <w:tcPr>
            <w:tcW w:w="1080" w:type="dxa"/>
            <w:vAlign w:val="bottom"/>
            <w:tcBorders>
              <w:bottom w:val="single" w:sz="8" w:color="DFDEEE"/>
            </w:tcBorders>
            <w:shd w:val="clear" w:color="auto" w:fill="DFDEEE"/>
          </w:tcPr>
          <w:p>
            <w:pPr>
              <w:jc w:val="right"/>
              <w:spacing w:after="0"/>
              <w:rPr>
                <w:sz w:val="20"/>
                <w:szCs w:val="20"/>
                <w:color w:val="auto"/>
              </w:rPr>
            </w:pPr>
            <w:r>
              <w:rPr>
                <w:rFonts w:ascii="Arial" w:cs="Arial" w:eastAsia="Arial" w:hAnsi="Arial"/>
                <w:sz w:val="14"/>
                <w:szCs w:val="14"/>
                <w:color w:val="auto"/>
              </w:rPr>
              <w:t>750,000</w:t>
            </w:r>
          </w:p>
        </w:tc>
        <w:tc>
          <w:tcPr>
            <w:tcW w:w="640" w:type="dxa"/>
            <w:vAlign w:val="bottom"/>
            <w:tcBorders>
              <w:bottom w:val="single" w:sz="8" w:color="DFDEEE"/>
            </w:tcBorders>
            <w:shd w:val="clear" w:color="auto" w:fill="DFDEEE"/>
          </w:tcPr>
          <w:p>
            <w:pPr>
              <w:ind w:left="42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E1E0EF"/>
            </w:tcBorders>
            <w:shd w:val="clear" w:color="auto" w:fill="E1E0EF"/>
          </w:tcPr>
          <w:p>
            <w:pPr>
              <w:jc w:val="right"/>
              <w:spacing w:after="0"/>
              <w:rPr>
                <w:sz w:val="20"/>
                <w:szCs w:val="20"/>
                <w:color w:val="auto"/>
              </w:rPr>
            </w:pPr>
            <w:r>
              <w:rPr>
                <w:rFonts w:ascii="Arial" w:cs="Arial" w:eastAsia="Arial" w:hAnsi="Arial"/>
                <w:sz w:val="14"/>
                <w:szCs w:val="14"/>
                <w:color w:val="auto"/>
              </w:rPr>
              <w:t>3,149,450</w:t>
            </w:r>
          </w:p>
        </w:tc>
        <w:tc>
          <w:tcPr>
            <w:tcW w:w="1400" w:type="dxa"/>
            <w:vAlign w:val="bottom"/>
            <w:tcBorders>
              <w:bottom w:val="single" w:sz="8" w:color="DFDEEE"/>
            </w:tcBorders>
            <w:shd w:val="clear" w:color="auto" w:fill="DFDEEE"/>
          </w:tcPr>
          <w:p>
            <w:pPr>
              <w:jc w:val="right"/>
              <w:ind w:right="11"/>
              <w:spacing w:after="0"/>
              <w:rPr>
                <w:sz w:val="20"/>
                <w:szCs w:val="20"/>
                <w:color w:val="auto"/>
              </w:rPr>
            </w:pPr>
            <w:r>
              <w:rPr>
                <w:rFonts w:ascii="Arial" w:cs="Arial" w:eastAsia="Arial" w:hAnsi="Arial"/>
                <w:sz w:val="14"/>
                <w:szCs w:val="14"/>
                <w:color w:val="auto"/>
              </w:rPr>
              <w:t>1,177,500</w:t>
            </w:r>
          </w:p>
        </w:tc>
        <w:tc>
          <w:tcPr>
            <w:tcW w:w="1320" w:type="dxa"/>
            <w:vAlign w:val="bottom"/>
            <w:tcBorders>
              <w:bottom w:val="single" w:sz="8" w:color="DFDEEE"/>
            </w:tcBorders>
            <w:shd w:val="clear" w:color="auto" w:fill="DFDEEE"/>
          </w:tcPr>
          <w:p>
            <w:pPr>
              <w:jc w:val="right"/>
              <w:ind w:right="13"/>
              <w:spacing w:after="0"/>
              <w:rPr>
                <w:sz w:val="20"/>
                <w:szCs w:val="20"/>
                <w:color w:val="auto"/>
              </w:rPr>
            </w:pPr>
            <w:r>
              <w:rPr>
                <w:rFonts w:ascii="Arial" w:cs="Arial" w:eastAsia="Arial" w:hAnsi="Arial"/>
                <w:sz w:val="14"/>
                <w:szCs w:val="14"/>
                <w:color w:val="auto"/>
              </w:rPr>
              <w:t>238,461</w:t>
            </w:r>
          </w:p>
        </w:tc>
        <w:tc>
          <w:tcPr>
            <w:tcW w:w="1400" w:type="dxa"/>
            <w:vAlign w:val="bottom"/>
            <w:tcBorders>
              <w:bottom w:val="single" w:sz="8" w:color="DFDEEE"/>
            </w:tcBorders>
            <w:shd w:val="clear" w:color="auto" w:fill="DFDEEE"/>
          </w:tcPr>
          <w:p>
            <w:pPr>
              <w:jc w:val="right"/>
              <w:spacing w:after="0"/>
              <w:rPr>
                <w:sz w:val="20"/>
                <w:szCs w:val="20"/>
                <w:color w:val="auto"/>
              </w:rPr>
            </w:pPr>
            <w:r>
              <w:rPr>
                <w:rFonts w:ascii="Arial" w:cs="Arial" w:eastAsia="Arial" w:hAnsi="Arial"/>
                <w:sz w:val="14"/>
                <w:szCs w:val="14"/>
                <w:color w:val="auto"/>
              </w:rPr>
              <w:t>116,021</w:t>
            </w:r>
          </w:p>
        </w:tc>
        <w:tc>
          <w:tcPr>
            <w:tcW w:w="1200" w:type="dxa"/>
            <w:vAlign w:val="bottom"/>
            <w:tcBorders>
              <w:bottom w:val="single" w:sz="8" w:color="DFDEEE"/>
            </w:tcBorders>
            <w:shd w:val="clear" w:color="auto" w:fill="DFDEEE"/>
          </w:tcPr>
          <w:p>
            <w:pPr>
              <w:jc w:val="right"/>
              <w:spacing w:after="0"/>
              <w:rPr>
                <w:sz w:val="20"/>
                <w:szCs w:val="20"/>
                <w:color w:val="auto"/>
              </w:rPr>
            </w:pPr>
            <w:r>
              <w:rPr>
                <w:rFonts w:ascii="Arial" w:cs="Arial" w:eastAsia="Arial" w:hAnsi="Arial"/>
                <w:sz w:val="14"/>
                <w:szCs w:val="14"/>
                <w:color w:val="auto"/>
              </w:rPr>
              <w:t>5,431,432</w:t>
            </w:r>
          </w:p>
        </w:tc>
        <w:tc>
          <w:tcPr>
            <w:tcW w:w="0" w:type="dxa"/>
            <w:vAlign w:val="bottom"/>
          </w:tcPr>
          <w:p>
            <w:pPr>
              <w:spacing w:after="0"/>
              <w:rPr>
                <w:sz w:val="1"/>
                <w:szCs w:val="1"/>
                <w:color w:val="auto"/>
              </w:rPr>
            </w:pPr>
          </w:p>
        </w:tc>
      </w:tr>
      <w:tr>
        <w:trPr>
          <w:trHeight w:val="119"/>
        </w:trPr>
        <w:tc>
          <w:tcPr>
            <w:tcW w:w="2340" w:type="dxa"/>
            <w:vAlign w:val="bottom"/>
          </w:tcPr>
          <w:p>
            <w:pPr>
              <w:ind w:left="20"/>
              <w:spacing w:after="0" w:line="119" w:lineRule="exact"/>
              <w:rPr>
                <w:sz w:val="20"/>
                <w:szCs w:val="20"/>
                <w:color w:val="auto"/>
              </w:rPr>
            </w:pPr>
            <w:r>
              <w:rPr>
                <w:rFonts w:ascii="Arial" w:cs="Arial" w:eastAsia="Arial" w:hAnsi="Arial"/>
                <w:sz w:val="13"/>
                <w:szCs w:val="13"/>
                <w:color w:val="auto"/>
              </w:rPr>
              <w:t>Corporate Vice President and</w:t>
            </w:r>
          </w:p>
        </w:tc>
        <w:tc>
          <w:tcPr>
            <w:tcW w:w="620" w:type="dxa"/>
            <w:vAlign w:val="bottom"/>
            <w:tcBorders>
              <w:top w:val="single" w:sz="8" w:color="BCBEC0"/>
            </w:tcBorders>
            <w:shd w:val="clear" w:color="auto" w:fill="DFDEEE"/>
          </w:tcPr>
          <w:p>
            <w:pPr>
              <w:spacing w:after="0"/>
              <w:rPr>
                <w:sz w:val="10"/>
                <w:szCs w:val="10"/>
                <w:color w:val="auto"/>
              </w:rPr>
            </w:pPr>
          </w:p>
        </w:tc>
        <w:tc>
          <w:tcPr>
            <w:tcW w:w="1080" w:type="dxa"/>
            <w:vAlign w:val="bottom"/>
            <w:tcBorders>
              <w:top w:val="single" w:sz="8" w:color="BCBEC0"/>
            </w:tcBorders>
            <w:shd w:val="clear" w:color="auto" w:fill="DFDEEE"/>
          </w:tcPr>
          <w:p>
            <w:pPr>
              <w:spacing w:after="0"/>
              <w:rPr>
                <w:sz w:val="10"/>
                <w:szCs w:val="10"/>
                <w:color w:val="auto"/>
              </w:rPr>
            </w:pPr>
          </w:p>
        </w:tc>
        <w:tc>
          <w:tcPr>
            <w:tcW w:w="640" w:type="dxa"/>
            <w:vAlign w:val="bottom"/>
            <w:tcBorders>
              <w:top w:val="single" w:sz="8" w:color="BCBEC0"/>
            </w:tcBorders>
            <w:shd w:val="clear" w:color="auto" w:fill="DFDEEE"/>
          </w:tcPr>
          <w:p>
            <w:pPr>
              <w:spacing w:after="0"/>
              <w:rPr>
                <w:sz w:val="10"/>
                <w:szCs w:val="10"/>
                <w:color w:val="auto"/>
              </w:rPr>
            </w:pPr>
          </w:p>
        </w:tc>
        <w:tc>
          <w:tcPr>
            <w:tcW w:w="1240" w:type="dxa"/>
            <w:vAlign w:val="bottom"/>
            <w:tcBorders>
              <w:top w:val="single" w:sz="8" w:color="BCBEC0"/>
            </w:tcBorders>
            <w:shd w:val="clear" w:color="auto" w:fill="DFDEEE"/>
          </w:tcPr>
          <w:p>
            <w:pPr>
              <w:spacing w:after="0"/>
              <w:rPr>
                <w:sz w:val="10"/>
                <w:szCs w:val="10"/>
                <w:color w:val="auto"/>
              </w:rPr>
            </w:pPr>
          </w:p>
        </w:tc>
        <w:tc>
          <w:tcPr>
            <w:tcW w:w="1400" w:type="dxa"/>
            <w:vAlign w:val="bottom"/>
            <w:tcBorders>
              <w:top w:val="single" w:sz="8" w:color="BCBEC0"/>
            </w:tcBorders>
            <w:shd w:val="clear" w:color="auto" w:fill="DFDEEE"/>
          </w:tcPr>
          <w:p>
            <w:pPr>
              <w:spacing w:after="0"/>
              <w:rPr>
                <w:sz w:val="10"/>
                <w:szCs w:val="10"/>
                <w:color w:val="auto"/>
              </w:rPr>
            </w:pPr>
          </w:p>
        </w:tc>
        <w:tc>
          <w:tcPr>
            <w:tcW w:w="1320" w:type="dxa"/>
            <w:vAlign w:val="bottom"/>
            <w:tcBorders>
              <w:top w:val="single" w:sz="8" w:color="BCBEC0"/>
            </w:tcBorders>
            <w:shd w:val="clear" w:color="auto" w:fill="DFDEEE"/>
          </w:tcPr>
          <w:p>
            <w:pPr>
              <w:spacing w:after="0"/>
              <w:rPr>
                <w:sz w:val="10"/>
                <w:szCs w:val="10"/>
                <w:color w:val="auto"/>
              </w:rPr>
            </w:pPr>
          </w:p>
        </w:tc>
        <w:tc>
          <w:tcPr>
            <w:tcW w:w="1400" w:type="dxa"/>
            <w:vAlign w:val="bottom"/>
            <w:tcBorders>
              <w:top w:val="single" w:sz="8" w:color="BCBEC0"/>
            </w:tcBorders>
            <w:shd w:val="clear" w:color="auto" w:fill="DFDEEE"/>
          </w:tcPr>
          <w:p>
            <w:pPr>
              <w:spacing w:after="0"/>
              <w:rPr>
                <w:sz w:val="10"/>
                <w:szCs w:val="10"/>
                <w:color w:val="auto"/>
              </w:rPr>
            </w:pPr>
          </w:p>
        </w:tc>
        <w:tc>
          <w:tcPr>
            <w:tcW w:w="1200" w:type="dxa"/>
            <w:vAlign w:val="bottom"/>
            <w:tcBorders>
              <w:top w:val="single" w:sz="8" w:color="BCBEC0"/>
            </w:tcBorders>
            <w:shd w:val="clear" w:color="auto" w:fill="DFDEE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340" w:type="dxa"/>
            <w:vAlign w:val="bottom"/>
          </w:tcPr>
          <w:p>
            <w:pPr>
              <w:ind w:left="20"/>
              <w:spacing w:after="0"/>
              <w:rPr>
                <w:sz w:val="20"/>
                <w:szCs w:val="20"/>
                <w:color w:val="auto"/>
              </w:rPr>
            </w:pPr>
            <w:r>
              <w:rPr>
                <w:rFonts w:ascii="Arial" w:cs="Arial" w:eastAsia="Arial" w:hAnsi="Arial"/>
                <w:sz w:val="14"/>
                <w:szCs w:val="14"/>
                <w:color w:val="auto"/>
              </w:rPr>
              <w:t>President, Defense Systems</w:t>
            </w:r>
          </w:p>
        </w:tc>
        <w:tc>
          <w:tcPr>
            <w:tcW w:w="620" w:type="dxa"/>
            <w:vAlign w:val="bottom"/>
            <w:shd w:val="clear" w:color="auto" w:fill="DFDEEE"/>
          </w:tcPr>
          <w:p>
            <w:pPr>
              <w:spacing w:after="0"/>
              <w:rPr>
                <w:sz w:val="16"/>
                <w:szCs w:val="16"/>
                <w:color w:val="auto"/>
              </w:rPr>
            </w:pPr>
          </w:p>
        </w:tc>
        <w:tc>
          <w:tcPr>
            <w:tcW w:w="1080" w:type="dxa"/>
            <w:vAlign w:val="bottom"/>
            <w:shd w:val="clear" w:color="auto" w:fill="DFDEEE"/>
          </w:tcPr>
          <w:p>
            <w:pPr>
              <w:spacing w:after="0"/>
              <w:rPr>
                <w:sz w:val="16"/>
                <w:szCs w:val="16"/>
                <w:color w:val="auto"/>
              </w:rPr>
            </w:pPr>
          </w:p>
        </w:tc>
        <w:tc>
          <w:tcPr>
            <w:tcW w:w="640" w:type="dxa"/>
            <w:vAlign w:val="bottom"/>
            <w:shd w:val="clear" w:color="auto" w:fill="DFDEEE"/>
          </w:tcPr>
          <w:p>
            <w:pPr>
              <w:spacing w:after="0"/>
              <w:rPr>
                <w:sz w:val="16"/>
                <w:szCs w:val="16"/>
                <w:color w:val="auto"/>
              </w:rPr>
            </w:pPr>
          </w:p>
        </w:tc>
        <w:tc>
          <w:tcPr>
            <w:tcW w:w="1240" w:type="dxa"/>
            <w:vAlign w:val="bottom"/>
            <w:shd w:val="clear" w:color="auto" w:fill="DFDEEE"/>
          </w:tcPr>
          <w:p>
            <w:pPr>
              <w:spacing w:after="0"/>
              <w:rPr>
                <w:sz w:val="16"/>
                <w:szCs w:val="16"/>
                <w:color w:val="auto"/>
              </w:rPr>
            </w:pPr>
          </w:p>
        </w:tc>
        <w:tc>
          <w:tcPr>
            <w:tcW w:w="1400" w:type="dxa"/>
            <w:vAlign w:val="bottom"/>
            <w:shd w:val="clear" w:color="auto" w:fill="DFDEEE"/>
          </w:tcPr>
          <w:p>
            <w:pPr>
              <w:spacing w:after="0"/>
              <w:rPr>
                <w:sz w:val="16"/>
                <w:szCs w:val="16"/>
                <w:color w:val="auto"/>
              </w:rPr>
            </w:pPr>
          </w:p>
        </w:tc>
        <w:tc>
          <w:tcPr>
            <w:tcW w:w="1320" w:type="dxa"/>
            <w:vAlign w:val="bottom"/>
            <w:shd w:val="clear" w:color="auto" w:fill="DFDEEE"/>
          </w:tcPr>
          <w:p>
            <w:pPr>
              <w:spacing w:after="0"/>
              <w:rPr>
                <w:sz w:val="16"/>
                <w:szCs w:val="16"/>
                <w:color w:val="auto"/>
              </w:rPr>
            </w:pPr>
          </w:p>
        </w:tc>
        <w:tc>
          <w:tcPr>
            <w:tcW w:w="1400" w:type="dxa"/>
            <w:vAlign w:val="bottom"/>
            <w:shd w:val="clear" w:color="auto" w:fill="DFDEEE"/>
          </w:tcPr>
          <w:p>
            <w:pPr>
              <w:spacing w:after="0"/>
              <w:rPr>
                <w:sz w:val="16"/>
                <w:szCs w:val="16"/>
                <w:color w:val="auto"/>
              </w:rPr>
            </w:pPr>
          </w:p>
        </w:tc>
        <w:tc>
          <w:tcPr>
            <w:tcW w:w="1200" w:type="dxa"/>
            <w:vAlign w:val="bottom"/>
            <w:shd w:val="clear" w:color="auto" w:fill="DFDEE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40" w:type="dxa"/>
            <w:vAlign w:val="bottom"/>
            <w:tcBorders>
              <w:bottom w:val="single" w:sz="8" w:color="BCBEC0"/>
            </w:tcBorders>
          </w:tcPr>
          <w:p>
            <w:pPr>
              <w:spacing w:after="0"/>
              <w:rPr>
                <w:sz w:val="17"/>
                <w:szCs w:val="17"/>
                <w:color w:val="auto"/>
              </w:rPr>
            </w:pPr>
          </w:p>
        </w:tc>
        <w:tc>
          <w:tcPr>
            <w:tcW w:w="620" w:type="dxa"/>
            <w:vAlign w:val="bottom"/>
            <w:tcBorders>
              <w:bottom w:val="single" w:sz="8" w:color="BCBEC0"/>
            </w:tcBorders>
            <w:shd w:val="clear" w:color="auto" w:fill="DFDEEE"/>
          </w:tcPr>
          <w:p>
            <w:pPr>
              <w:spacing w:after="0"/>
              <w:rPr>
                <w:sz w:val="17"/>
                <w:szCs w:val="17"/>
                <w:color w:val="auto"/>
              </w:rPr>
            </w:pPr>
          </w:p>
        </w:tc>
        <w:tc>
          <w:tcPr>
            <w:tcW w:w="1080" w:type="dxa"/>
            <w:vAlign w:val="bottom"/>
            <w:tcBorders>
              <w:bottom w:val="single" w:sz="8" w:color="BCBEC0"/>
            </w:tcBorders>
            <w:shd w:val="clear" w:color="auto" w:fill="DFDEEE"/>
          </w:tcPr>
          <w:p>
            <w:pPr>
              <w:spacing w:after="0"/>
              <w:rPr>
                <w:sz w:val="17"/>
                <w:szCs w:val="17"/>
                <w:color w:val="auto"/>
              </w:rPr>
            </w:pPr>
          </w:p>
        </w:tc>
        <w:tc>
          <w:tcPr>
            <w:tcW w:w="640" w:type="dxa"/>
            <w:vAlign w:val="bottom"/>
            <w:tcBorders>
              <w:bottom w:val="single" w:sz="8" w:color="BCBEC0"/>
            </w:tcBorders>
            <w:shd w:val="clear" w:color="auto" w:fill="DFDEEE"/>
          </w:tcPr>
          <w:p>
            <w:pPr>
              <w:spacing w:after="0"/>
              <w:rPr>
                <w:sz w:val="17"/>
                <w:szCs w:val="17"/>
                <w:color w:val="auto"/>
              </w:rPr>
            </w:pPr>
          </w:p>
        </w:tc>
        <w:tc>
          <w:tcPr>
            <w:tcW w:w="1240" w:type="dxa"/>
            <w:vAlign w:val="bottom"/>
            <w:tcBorders>
              <w:bottom w:val="single" w:sz="8" w:color="BCBEC0"/>
            </w:tcBorders>
            <w:shd w:val="clear" w:color="auto" w:fill="DFDEEE"/>
          </w:tcPr>
          <w:p>
            <w:pPr>
              <w:spacing w:after="0"/>
              <w:rPr>
                <w:sz w:val="17"/>
                <w:szCs w:val="17"/>
                <w:color w:val="auto"/>
              </w:rPr>
            </w:pPr>
          </w:p>
        </w:tc>
        <w:tc>
          <w:tcPr>
            <w:tcW w:w="1400" w:type="dxa"/>
            <w:vAlign w:val="bottom"/>
            <w:tcBorders>
              <w:bottom w:val="single" w:sz="8" w:color="BCBEC0"/>
            </w:tcBorders>
            <w:shd w:val="clear" w:color="auto" w:fill="DFDEEE"/>
          </w:tcPr>
          <w:p>
            <w:pPr>
              <w:spacing w:after="0"/>
              <w:rPr>
                <w:sz w:val="17"/>
                <w:szCs w:val="17"/>
                <w:color w:val="auto"/>
              </w:rPr>
            </w:pPr>
          </w:p>
        </w:tc>
        <w:tc>
          <w:tcPr>
            <w:tcW w:w="1320" w:type="dxa"/>
            <w:vAlign w:val="bottom"/>
            <w:tcBorders>
              <w:bottom w:val="single" w:sz="8" w:color="BCBEC0"/>
            </w:tcBorders>
            <w:shd w:val="clear" w:color="auto" w:fill="DFDEEE"/>
          </w:tcPr>
          <w:p>
            <w:pPr>
              <w:spacing w:after="0"/>
              <w:rPr>
                <w:sz w:val="17"/>
                <w:szCs w:val="17"/>
                <w:color w:val="auto"/>
              </w:rPr>
            </w:pPr>
          </w:p>
        </w:tc>
        <w:tc>
          <w:tcPr>
            <w:tcW w:w="1400" w:type="dxa"/>
            <w:vAlign w:val="bottom"/>
            <w:tcBorders>
              <w:bottom w:val="single" w:sz="8" w:color="BCBEC0"/>
            </w:tcBorders>
            <w:shd w:val="clear" w:color="auto" w:fill="DFDEEE"/>
          </w:tcPr>
          <w:p>
            <w:pPr>
              <w:spacing w:after="0"/>
              <w:rPr>
                <w:sz w:val="17"/>
                <w:szCs w:val="17"/>
                <w:color w:val="auto"/>
              </w:rPr>
            </w:pPr>
          </w:p>
        </w:tc>
        <w:tc>
          <w:tcPr>
            <w:tcW w:w="1200" w:type="dxa"/>
            <w:vAlign w:val="bottom"/>
            <w:tcBorders>
              <w:bottom w:val="single" w:sz="8" w:color="BCBEC0"/>
            </w:tcBorders>
            <w:shd w:val="clear" w:color="auto" w:fill="DFDEEE"/>
          </w:tcPr>
          <w:p>
            <w:pPr>
              <w:spacing w:after="0"/>
              <w:rPr>
                <w:sz w:val="17"/>
                <w:szCs w:val="1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hanging="252"/>
        <w:spacing w:after="0"/>
        <w:tabs>
          <w:tab w:leader="none" w:pos="26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Includes amounts deferred under qualified savings and nonqualified deferred compensation plans.</w:t>
      </w:r>
    </w:p>
    <w:p>
      <w:pPr>
        <w:spacing w:after="0" w:line="82" w:lineRule="exact"/>
        <w:rPr>
          <w:rFonts w:ascii="Arial" w:cs="Arial" w:eastAsia="Arial" w:hAnsi="Arial"/>
          <w:sz w:val="14"/>
          <w:szCs w:val="14"/>
          <w:color w:val="auto"/>
        </w:rPr>
      </w:pPr>
    </w:p>
    <w:p>
      <w:pPr>
        <w:ind w:left="260" w:right="60" w:hanging="252"/>
        <w:spacing w:after="0" w:line="268" w:lineRule="auto"/>
        <w:tabs>
          <w:tab w:leader="none" w:pos="258" w:val="left"/>
        </w:tabs>
        <w:numPr>
          <w:ilvl w:val="0"/>
          <w:numId w:val="133"/>
        </w:numPr>
        <w:rPr>
          <w:rFonts w:ascii="Arial" w:cs="Arial" w:eastAsia="Arial" w:hAnsi="Arial"/>
          <w:sz w:val="14"/>
          <w:szCs w:val="14"/>
          <w:color w:val="auto"/>
        </w:rPr>
      </w:pPr>
      <w:r>
        <w:rPr>
          <w:rFonts w:ascii="Arial" w:cs="Arial" w:eastAsia="Arial" w:hAnsi="Arial"/>
          <w:sz w:val="14"/>
          <w:szCs w:val="14"/>
          <w:color w:val="auto"/>
        </w:rPr>
        <w:t>Represents the grant date aggregate fair value of RPSRs and RSRs granted during the periods presented. The fair value of awards was computed in accordance with Financial Accounting Standards Board (FASB) Accounting Standards Codification (ASC) Topic 718, excluding any assumed forfeitures. Assumptions used in the calculation of these amounts are disclosed in Note 14 of the Company’s 2023 Form 10-K. The maximum grant date fair values of the 2023 RPSRs are as follows (grants assume a</w:t>
      </w:r>
    </w:p>
    <w:p>
      <w:pPr>
        <w:spacing w:after="0" w:line="1"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4"/>
          <w:szCs w:val="14"/>
          <w:color w:val="auto"/>
        </w:rPr>
        <w:t>200% maximum payout):</w:t>
      </w:r>
    </w:p>
    <w:p>
      <w:pPr>
        <w:spacing w:after="0" w:line="140"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468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5960" w:type="dxa"/>
            <w:vAlign w:val="bottom"/>
          </w:tcPr>
          <w:p>
            <w:pPr>
              <w:jc w:val="right"/>
              <w:spacing w:after="0"/>
              <w:rPr>
                <w:sz w:val="20"/>
                <w:szCs w:val="20"/>
                <w:color w:val="auto"/>
              </w:rPr>
            </w:pPr>
            <w:r>
              <w:rPr>
                <w:rFonts w:ascii="Arial" w:cs="Arial" w:eastAsia="Arial" w:hAnsi="Arial"/>
                <w:sz w:val="13"/>
                <w:szCs w:val="13"/>
                <w:b w:val="1"/>
                <w:bCs w:val="1"/>
                <w:color w:val="auto"/>
              </w:rPr>
              <w:t>Maximum Grant Date Fair Value ($)</w:t>
            </w:r>
          </w:p>
        </w:tc>
      </w:tr>
      <w:tr>
        <w:trPr>
          <w:trHeight w:val="22"/>
        </w:trPr>
        <w:tc>
          <w:tcPr>
            <w:tcW w:w="4680" w:type="dxa"/>
            <w:vAlign w:val="bottom"/>
            <w:tcBorders>
              <w:bottom w:val="single" w:sz="8" w:color="29378D"/>
            </w:tcBorders>
          </w:tcPr>
          <w:p>
            <w:pPr>
              <w:spacing w:after="0" w:line="20" w:lineRule="exact"/>
              <w:rPr>
                <w:sz w:val="1"/>
                <w:szCs w:val="1"/>
                <w:color w:val="auto"/>
              </w:rPr>
            </w:pPr>
          </w:p>
        </w:tc>
        <w:tc>
          <w:tcPr>
            <w:tcW w:w="5960" w:type="dxa"/>
            <w:vAlign w:val="bottom"/>
            <w:tcBorders>
              <w:bottom w:val="single" w:sz="8" w:color="29378D"/>
            </w:tcBorders>
          </w:tcPr>
          <w:p>
            <w:pPr>
              <w:spacing w:after="0" w:line="20" w:lineRule="exact"/>
              <w:rPr>
                <w:sz w:val="1"/>
                <w:szCs w:val="1"/>
                <w:color w:val="auto"/>
              </w:rPr>
            </w:pPr>
          </w:p>
        </w:tc>
      </w:tr>
      <w:tr>
        <w:trPr>
          <w:trHeight w:val="208"/>
        </w:trPr>
        <w:tc>
          <w:tcPr>
            <w:tcW w:w="4680" w:type="dxa"/>
            <w:vAlign w:val="bottom"/>
            <w:tcBorders>
              <w:bottom w:val="single" w:sz="8" w:color="BCBEC0"/>
            </w:tcBorders>
            <w:shd w:val="clear" w:color="auto" w:fill="E1E0EF"/>
          </w:tcPr>
          <w:p>
            <w:pPr>
              <w:ind w:left="20"/>
              <w:spacing w:after="0"/>
              <w:rPr>
                <w:sz w:val="20"/>
                <w:szCs w:val="20"/>
                <w:color w:val="auto"/>
              </w:rPr>
            </w:pPr>
            <w:r>
              <w:rPr>
                <w:rFonts w:ascii="Arial" w:cs="Arial" w:eastAsia="Arial" w:hAnsi="Arial"/>
                <w:sz w:val="14"/>
                <w:szCs w:val="14"/>
                <w:b w:val="1"/>
                <w:bCs w:val="1"/>
                <w:color w:val="29378D"/>
              </w:rPr>
              <w:t>Ms. Warden</w:t>
            </w:r>
          </w:p>
        </w:tc>
        <w:tc>
          <w:tcPr>
            <w:tcW w:w="5960" w:type="dxa"/>
            <w:vAlign w:val="bottom"/>
            <w:tcBorders>
              <w:bottom w:val="single" w:sz="8" w:color="BCBEC0"/>
            </w:tcBorders>
            <w:shd w:val="clear" w:color="auto" w:fill="E1E0EF"/>
          </w:tcPr>
          <w:p>
            <w:pPr>
              <w:jc w:val="right"/>
              <w:spacing w:after="0"/>
              <w:rPr>
                <w:sz w:val="20"/>
                <w:szCs w:val="20"/>
                <w:color w:val="auto"/>
              </w:rPr>
            </w:pPr>
            <w:r>
              <w:rPr>
                <w:rFonts w:ascii="Arial" w:cs="Arial" w:eastAsia="Arial" w:hAnsi="Arial"/>
                <w:sz w:val="14"/>
                <w:szCs w:val="14"/>
                <w:color w:val="auto"/>
              </w:rPr>
              <w:t>22,400,592</w:t>
            </w:r>
          </w:p>
        </w:tc>
      </w:tr>
      <w:tr>
        <w:trPr>
          <w:trHeight w:val="210"/>
        </w:trPr>
        <w:tc>
          <w:tcPr>
            <w:tcW w:w="468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29378D"/>
              </w:rPr>
              <w:t>Mr. Keffer</w:t>
            </w:r>
          </w:p>
        </w:tc>
        <w:tc>
          <w:tcPr>
            <w:tcW w:w="59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4,760,124</w:t>
            </w:r>
          </w:p>
        </w:tc>
      </w:tr>
      <w:tr>
        <w:trPr>
          <w:trHeight w:val="209"/>
        </w:trPr>
        <w:tc>
          <w:tcPr>
            <w:tcW w:w="4680" w:type="dxa"/>
            <w:vAlign w:val="bottom"/>
            <w:tcBorders>
              <w:bottom w:val="single" w:sz="8" w:color="BCBEC0"/>
            </w:tcBorders>
            <w:shd w:val="clear" w:color="auto" w:fill="E1E0EF"/>
          </w:tcPr>
          <w:p>
            <w:pPr>
              <w:ind w:left="20"/>
              <w:spacing w:after="0"/>
              <w:rPr>
                <w:sz w:val="20"/>
                <w:szCs w:val="20"/>
                <w:color w:val="auto"/>
              </w:rPr>
            </w:pPr>
            <w:r>
              <w:rPr>
                <w:rFonts w:ascii="Arial" w:cs="Arial" w:eastAsia="Arial" w:hAnsi="Arial"/>
                <w:sz w:val="14"/>
                <w:szCs w:val="14"/>
                <w:b w:val="1"/>
                <w:bCs w:val="1"/>
                <w:color w:val="29378D"/>
              </w:rPr>
              <w:t>Mr. Caylor</w:t>
            </w:r>
          </w:p>
        </w:tc>
        <w:tc>
          <w:tcPr>
            <w:tcW w:w="5960" w:type="dxa"/>
            <w:vAlign w:val="bottom"/>
            <w:tcBorders>
              <w:bottom w:val="single" w:sz="8" w:color="BCBEC0"/>
            </w:tcBorders>
            <w:shd w:val="clear" w:color="auto" w:fill="E1E0EF"/>
          </w:tcPr>
          <w:p>
            <w:pPr>
              <w:jc w:val="right"/>
              <w:spacing w:after="0"/>
              <w:rPr>
                <w:sz w:val="20"/>
                <w:szCs w:val="20"/>
                <w:color w:val="auto"/>
              </w:rPr>
            </w:pPr>
            <w:r>
              <w:rPr>
                <w:rFonts w:ascii="Arial" w:cs="Arial" w:eastAsia="Arial" w:hAnsi="Arial"/>
                <w:sz w:val="14"/>
                <w:szCs w:val="14"/>
                <w:color w:val="auto"/>
              </w:rPr>
              <w:t>4,480,702</w:t>
            </w:r>
          </w:p>
        </w:tc>
      </w:tr>
      <w:tr>
        <w:trPr>
          <w:trHeight w:val="210"/>
        </w:trPr>
        <w:tc>
          <w:tcPr>
            <w:tcW w:w="468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29378D"/>
              </w:rPr>
              <w:t>Mr. Jones</w:t>
            </w:r>
          </w:p>
        </w:tc>
        <w:tc>
          <w:tcPr>
            <w:tcW w:w="59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4,480,702</w:t>
            </w:r>
          </w:p>
        </w:tc>
      </w:tr>
      <w:tr>
        <w:trPr>
          <w:trHeight w:val="209"/>
        </w:trPr>
        <w:tc>
          <w:tcPr>
            <w:tcW w:w="468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Ms. Roeder</w:t>
            </w:r>
          </w:p>
        </w:tc>
        <w:tc>
          <w:tcPr>
            <w:tcW w:w="59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4,199,494</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(3) These amounts were paid pursuant to the Company’s AIP and includes amounts deferred under the qualified savings and nonqualified deferred compensation plans.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60" w:right="140" w:hanging="252"/>
        <w:spacing w:after="0" w:line="269" w:lineRule="auto"/>
        <w:tabs>
          <w:tab w:leader="none" w:pos="258"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These amounts relate solely to the increased present value of the NEO’s pension plan benefits using mandatory SEC assumptions (see the descriptions of these plans under the Pension Benefits Table on page 76). The amount accrued in each year differs from the amount accrued in prior years due to an increase in age, service and pay (salary and bonus). The change in pension value is also highly sensitive to changes in the interest rate used to determine the present value of the payments to be made over the life of the executive.</w:t>
      </w:r>
    </w:p>
    <w:p>
      <w:pPr>
        <w:spacing w:after="0" w:line="47" w:lineRule="exact"/>
        <w:rPr>
          <w:rFonts w:ascii="Arial" w:cs="Arial" w:eastAsia="Arial" w:hAnsi="Arial"/>
          <w:sz w:val="14"/>
          <w:szCs w:val="14"/>
          <w:color w:val="auto"/>
        </w:rPr>
      </w:pPr>
    </w:p>
    <w:p>
      <w:pPr>
        <w:ind w:left="260" w:right="200"/>
        <w:spacing w:after="0" w:line="285" w:lineRule="auto"/>
        <w:rPr>
          <w:rFonts w:ascii="Arial" w:cs="Arial" w:eastAsia="Arial" w:hAnsi="Arial"/>
          <w:sz w:val="14"/>
          <w:szCs w:val="14"/>
          <w:color w:val="auto"/>
        </w:rPr>
      </w:pPr>
      <w:r>
        <w:rPr>
          <w:rFonts w:ascii="Arial" w:cs="Arial" w:eastAsia="Arial" w:hAnsi="Arial"/>
          <w:sz w:val="14"/>
          <w:szCs w:val="14"/>
          <w:color w:val="auto"/>
        </w:rPr>
        <w:t>Mr. Keffer and Mr. Jones were hired after the Company’s defined benefit pension plans were closed to new entrants, and as a result, they do not participate in any defined benefit pension plans.</w:t>
      </w:r>
    </w:p>
    <w:p>
      <w:pPr>
        <w:spacing w:after="0" w:line="63" w:lineRule="exact"/>
        <w:rPr>
          <w:rFonts w:ascii="Arial" w:cs="Arial" w:eastAsia="Arial" w:hAnsi="Arial"/>
          <w:sz w:val="14"/>
          <w:szCs w:val="14"/>
          <w:color w:val="auto"/>
        </w:rPr>
      </w:pPr>
    </w:p>
    <w:p>
      <w:pPr>
        <w:ind w:left="260" w:right="80"/>
        <w:spacing w:after="0" w:line="305" w:lineRule="auto"/>
        <w:rPr>
          <w:rFonts w:ascii="Arial" w:cs="Arial" w:eastAsia="Arial" w:hAnsi="Arial"/>
          <w:sz w:val="14"/>
          <w:szCs w:val="14"/>
          <w:color w:val="auto"/>
        </w:rPr>
      </w:pPr>
      <w:r>
        <w:rPr>
          <w:rFonts w:ascii="Arial" w:cs="Arial" w:eastAsia="Arial" w:hAnsi="Arial"/>
          <w:sz w:val="14"/>
          <w:szCs w:val="14"/>
          <w:color w:val="auto"/>
        </w:rPr>
        <w:t>There were no above-market earnings in the nonqualified deferred compensation plans (see the descriptions of these plans under the Nonqualified Deferred Compensation Table on page 79).</w:t>
      </w:r>
    </w:p>
    <w:p>
      <w:pPr>
        <w:spacing w:after="0" w:line="9" w:lineRule="exact"/>
        <w:rPr>
          <w:rFonts w:ascii="Arial" w:cs="Arial" w:eastAsia="Arial" w:hAnsi="Arial"/>
          <w:sz w:val="14"/>
          <w:szCs w:val="14"/>
          <w:color w:val="auto"/>
        </w:rPr>
      </w:pPr>
    </w:p>
    <w:p>
      <w:pPr>
        <w:ind w:left="260" w:right="100" w:hanging="252"/>
        <w:spacing w:after="0" w:line="269" w:lineRule="auto"/>
        <w:tabs>
          <w:tab w:leader="none" w:pos="329" w:val="left"/>
        </w:tabs>
        <w:numPr>
          <w:ilvl w:val="0"/>
          <w:numId w:val="134"/>
        </w:numPr>
        <w:rPr>
          <w:rFonts w:ascii="Arial" w:cs="Arial" w:eastAsia="Arial" w:hAnsi="Arial"/>
          <w:sz w:val="14"/>
          <w:szCs w:val="14"/>
          <w:color w:val="auto"/>
        </w:rPr>
      </w:pPr>
      <w:r>
        <w:rPr>
          <w:rFonts w:ascii="Arial" w:cs="Arial" w:eastAsia="Arial" w:hAnsi="Arial"/>
          <w:sz w:val="14"/>
          <w:szCs w:val="14"/>
          <w:color w:val="auto"/>
        </w:rPr>
        <w:t>Amounts include, as applicable, (a) the value of perquisites and personal benefits, (b) basic life insurance premiums, (c) matching contributions through the Northrop Grumman Foundation made to eligible educational institutions and to non-profit organizations under a Company program, and (d) Company contributions to defined contribution and deferred compensation plans. Where the value of the items reported in a particular category for an NEO exceeded $10,000 in 2023 (other than perquisites and personal benefits, which are subject to different thresholds as described below), those items are identified and quantified below.</w:t>
      </w:r>
    </w:p>
    <w:p>
      <w:pPr>
        <w:spacing w:after="0" w:line="48" w:lineRule="exact"/>
        <w:rPr>
          <w:sz w:val="20"/>
          <w:szCs w:val="20"/>
          <w:color w:val="auto"/>
        </w:rPr>
      </w:pPr>
    </w:p>
    <w:p>
      <w:pPr>
        <w:jc w:val="both"/>
        <w:ind w:left="260" w:right="260"/>
        <w:spacing w:after="0" w:line="269" w:lineRule="auto"/>
        <w:rPr>
          <w:sz w:val="20"/>
          <w:szCs w:val="20"/>
          <w:color w:val="auto"/>
        </w:rPr>
      </w:pPr>
      <w:r>
        <w:rPr>
          <w:rFonts w:ascii="Arial" w:cs="Arial" w:eastAsia="Arial" w:hAnsi="Arial"/>
          <w:sz w:val="14"/>
          <w:szCs w:val="14"/>
          <w:color w:val="29378D"/>
        </w:rPr>
        <w:t xml:space="preserve">Perquisites and Personal Benefits </w:t>
      </w:r>
      <w:r>
        <w:rPr>
          <w:rFonts w:ascii="Arial" w:cs="Arial" w:eastAsia="Arial" w:hAnsi="Arial"/>
          <w:sz w:val="14"/>
          <w:szCs w:val="14"/>
          <w:color w:val="000000"/>
        </w:rPr>
        <w:t>– Perquisites and other personal benefits provided to certain NEOs are as follows: security, travel-related perquisites (including use of</w:t>
      </w:r>
      <w:r>
        <w:rPr>
          <w:rFonts w:ascii="Arial" w:cs="Arial" w:eastAsia="Arial" w:hAnsi="Arial"/>
          <w:sz w:val="14"/>
          <w:szCs w:val="14"/>
          <w:color w:val="29378D"/>
        </w:rPr>
        <w:t xml:space="preserve"> </w:t>
      </w:r>
      <w:r>
        <w:rPr>
          <w:rFonts w:ascii="Arial" w:cs="Arial" w:eastAsia="Arial" w:hAnsi="Arial"/>
          <w:sz w:val="14"/>
          <w:szCs w:val="14"/>
          <w:color w:val="000000"/>
        </w:rPr>
        <w:t>Company aircraft and ground transportation services for personal travel and incidental expenses for family members if accompanying the NEO while on business travel), financial planning/income tax preparation services, insurance premiums paid by the Company on the NEO’s behalf, executive physicals and other nominal perquisites or personal benefits. We determine the incremental cost for perquisites and personal benefits based on costs or charges incurred by the Company for the benefits.</w:t>
      </w:r>
    </w:p>
    <w:p>
      <w:pPr>
        <w:spacing w:after="0" w:line="34" w:lineRule="exact"/>
        <w:rPr>
          <w:sz w:val="20"/>
          <w:szCs w:val="20"/>
          <w:color w:val="auto"/>
        </w:rPr>
      </w:pPr>
    </w:p>
    <w:p>
      <w:pPr>
        <w:ind w:left="260" w:right="220"/>
        <w:spacing w:after="0" w:line="265" w:lineRule="auto"/>
        <w:rPr>
          <w:sz w:val="20"/>
          <w:szCs w:val="20"/>
          <w:color w:val="auto"/>
        </w:rPr>
      </w:pPr>
      <w:r>
        <w:rPr>
          <w:rFonts w:ascii="Arial" w:cs="Arial" w:eastAsia="Arial" w:hAnsi="Arial"/>
          <w:sz w:val="14"/>
          <w:szCs w:val="14"/>
          <w:color w:val="auto"/>
        </w:rPr>
        <w:t>As discussed in “Key Components of Our Executive Compensation Programs - Security Arrangements,” the Company provides NEOs with certain residential and travel security protection due to the nature of our business and security threat information. The amounts reflected in the “All Other Compensation” column include expenses for certain residential and travel security that we treat as perquisites under relevant SEC guidance, even though the need for such expenses arises from the risks associated with their positions with the Company. The Company calculates the cost of travel security coverage based on the hourly rates and overhead fees charged directly to the Company by the firms providing security personnel. If Company security personnel are used, their hourly rates are used to calculate the cost of coverage. The Company calculates the value of personal use of Company aircraft based on the incremental cost of each element. Fixed costs that would be incurred in any event to operate Company aircraft (e.g., aircraft purchase costs, maintenance not related to personal trips and flight crew salaries) are not included.</w:t>
      </w:r>
    </w:p>
    <w:p>
      <w:pPr>
        <w:spacing w:after="0" w:line="38" w:lineRule="exact"/>
        <w:rPr>
          <w:sz w:val="20"/>
          <w:szCs w:val="20"/>
          <w:color w:val="auto"/>
        </w:rPr>
      </w:pPr>
    </w:p>
    <w:p>
      <w:pPr>
        <w:ind w:left="260" w:right="80"/>
        <w:spacing w:after="0" w:line="305" w:lineRule="auto"/>
        <w:rPr>
          <w:sz w:val="20"/>
          <w:szCs w:val="20"/>
          <w:color w:val="auto"/>
        </w:rPr>
      </w:pPr>
      <w:r>
        <w:rPr>
          <w:rFonts w:ascii="Arial" w:cs="Arial" w:eastAsia="Arial" w:hAnsi="Arial"/>
          <w:sz w:val="14"/>
          <w:szCs w:val="14"/>
          <w:color w:val="auto"/>
        </w:rPr>
        <w:t>The cost of any category of the listed perquisites and personal benefits did not exceed the greater of $25,000 or 10% of total perquisites and personal benefits for any NEO in 2023, except for the following:</w:t>
      </w:r>
    </w:p>
    <w:p>
      <w:pPr>
        <w:spacing w:after="0" w:line="9" w:lineRule="exact"/>
        <w:rPr>
          <w:sz w:val="20"/>
          <w:szCs w:val="20"/>
          <w:color w:val="auto"/>
        </w:rPr>
      </w:pPr>
    </w:p>
    <w:p>
      <w:pPr>
        <w:ind w:left="520" w:right="260" w:hanging="253"/>
        <w:spacing w:after="0" w:line="261" w:lineRule="auto"/>
        <w:tabs>
          <w:tab w:leader="none" w:pos="508" w:val="left"/>
        </w:tabs>
        <w:numPr>
          <w:ilvl w:val="0"/>
          <w:numId w:val="135"/>
        </w:numPr>
        <w:rPr>
          <w:rFonts w:ascii="Arial" w:cs="Arial" w:eastAsia="Arial" w:hAnsi="Arial"/>
          <w:sz w:val="14"/>
          <w:szCs w:val="14"/>
          <w:color w:val="auto"/>
        </w:rPr>
      </w:pPr>
      <w:r>
        <w:rPr>
          <w:rFonts w:ascii="Arial" w:cs="Arial" w:eastAsia="Arial" w:hAnsi="Arial"/>
          <w:sz w:val="14"/>
          <w:szCs w:val="14"/>
          <w:color w:val="auto"/>
        </w:rPr>
        <w:t>Ms. Warden: costs attributable to security protection ($218,016), which includes personal travel on Company aircraft consistent with the Company’s security program ($202,345);</w:t>
      </w:r>
    </w:p>
    <w:p>
      <w:pPr>
        <w:spacing w:after="0" w:line="1" w:lineRule="exact"/>
        <w:rPr>
          <w:rFonts w:ascii="Arial" w:cs="Arial" w:eastAsia="Arial" w:hAnsi="Arial"/>
          <w:sz w:val="14"/>
          <w:szCs w:val="14"/>
          <w:color w:val="auto"/>
        </w:rPr>
      </w:pPr>
    </w:p>
    <w:p>
      <w:pPr>
        <w:ind w:left="500" w:hanging="233"/>
        <w:spacing w:after="0"/>
        <w:tabs>
          <w:tab w:leader="none" w:pos="50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Mr. Keffer: costs attributable to security ($4,897), financial planning ($9,500), executive physical benefit ($3,750);</w:t>
      </w:r>
    </w:p>
    <w:p>
      <w:pPr>
        <w:spacing w:after="0" w:line="14" w:lineRule="exact"/>
        <w:rPr>
          <w:rFonts w:ascii="Arial" w:cs="Arial" w:eastAsia="Arial" w:hAnsi="Arial"/>
          <w:sz w:val="14"/>
          <w:szCs w:val="14"/>
          <w:color w:val="auto"/>
        </w:rPr>
      </w:pPr>
    </w:p>
    <w:p>
      <w:pPr>
        <w:ind w:left="520" w:right="340" w:hanging="253"/>
        <w:spacing w:after="0" w:line="261" w:lineRule="auto"/>
        <w:tabs>
          <w:tab w:leader="none" w:pos="491" w:val="left"/>
        </w:tabs>
        <w:numPr>
          <w:ilvl w:val="0"/>
          <w:numId w:val="135"/>
        </w:numPr>
        <w:rPr>
          <w:rFonts w:ascii="Arial" w:cs="Arial" w:eastAsia="Arial" w:hAnsi="Arial"/>
          <w:sz w:val="14"/>
          <w:szCs w:val="14"/>
          <w:color w:val="auto"/>
        </w:rPr>
      </w:pPr>
      <w:r>
        <w:rPr>
          <w:rFonts w:ascii="Arial" w:cs="Arial" w:eastAsia="Arial" w:hAnsi="Arial"/>
          <w:sz w:val="14"/>
          <w:szCs w:val="14"/>
          <w:color w:val="auto"/>
        </w:rPr>
        <w:t>Mr. Caylor: costs attributable to security ($1,932), financial planning ($13,670), executive physical benefit ($3,750), long-term disability (LTD) employer contributions ($4,156);</w:t>
      </w:r>
    </w:p>
    <w:p>
      <w:pPr>
        <w:ind w:left="500" w:hanging="233"/>
        <w:spacing w:after="0"/>
        <w:tabs>
          <w:tab w:leader="none" w:pos="50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Mr. Jones: costs attributable to security ($279), financial planning ($17,587), LTD employer contributions ($2,845); and</w:t>
      </w:r>
    </w:p>
    <w:p>
      <w:pPr>
        <w:spacing w:after="0" w:line="14" w:lineRule="exact"/>
        <w:rPr>
          <w:rFonts w:ascii="Arial" w:cs="Arial" w:eastAsia="Arial" w:hAnsi="Arial"/>
          <w:sz w:val="14"/>
          <w:szCs w:val="14"/>
          <w:color w:val="auto"/>
        </w:rPr>
      </w:pPr>
    </w:p>
    <w:p>
      <w:pPr>
        <w:ind w:left="500" w:hanging="233"/>
        <w:spacing w:after="0"/>
        <w:tabs>
          <w:tab w:leader="none" w:pos="50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Ms. Roeder: costs attributable to security ($19,826).</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4"/>
          <w:szCs w:val="14"/>
          <w:color w:val="29378D"/>
        </w:rPr>
        <w:t xml:space="preserve">Contributions to Plans </w:t>
      </w:r>
      <w:r>
        <w:rPr>
          <w:rFonts w:ascii="Arial" w:cs="Arial" w:eastAsia="Arial" w:hAnsi="Arial"/>
          <w:sz w:val="14"/>
          <w:szCs w:val="14"/>
          <w:color w:val="000000"/>
        </w:rPr>
        <w:t>– In 2023, we made the following Company contributions to the defined contribution and deferred compensation plans:</w:t>
      </w:r>
    </w:p>
    <w:p>
      <w:pPr>
        <w:spacing w:after="0" w:line="168"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506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5900" w:type="dxa"/>
            <w:vAlign w:val="bottom"/>
          </w:tcPr>
          <w:p>
            <w:pPr>
              <w:jc w:val="right"/>
              <w:spacing w:after="0"/>
              <w:rPr>
                <w:sz w:val="20"/>
                <w:szCs w:val="20"/>
                <w:color w:val="auto"/>
              </w:rPr>
            </w:pPr>
            <w:r>
              <w:rPr>
                <w:rFonts w:ascii="Arial" w:cs="Arial" w:eastAsia="Arial" w:hAnsi="Arial"/>
                <w:sz w:val="13"/>
                <w:szCs w:val="13"/>
                <w:b w:val="1"/>
                <w:bCs w:val="1"/>
                <w:color w:val="auto"/>
              </w:rPr>
              <w:t>Company Contributions ($)</w:t>
            </w:r>
          </w:p>
        </w:tc>
      </w:tr>
      <w:tr>
        <w:trPr>
          <w:trHeight w:val="22"/>
        </w:trPr>
        <w:tc>
          <w:tcPr>
            <w:tcW w:w="5060" w:type="dxa"/>
            <w:vAlign w:val="bottom"/>
            <w:tcBorders>
              <w:bottom w:val="single" w:sz="8" w:color="29378D"/>
            </w:tcBorders>
          </w:tcPr>
          <w:p>
            <w:pPr>
              <w:spacing w:after="0" w:line="20" w:lineRule="exact"/>
              <w:rPr>
                <w:sz w:val="1"/>
                <w:szCs w:val="1"/>
                <w:color w:val="auto"/>
              </w:rPr>
            </w:pPr>
          </w:p>
        </w:tc>
        <w:tc>
          <w:tcPr>
            <w:tcW w:w="5900" w:type="dxa"/>
            <w:vAlign w:val="bottom"/>
            <w:tcBorders>
              <w:bottom w:val="single" w:sz="8" w:color="29378D"/>
            </w:tcBorders>
          </w:tcPr>
          <w:p>
            <w:pPr>
              <w:spacing w:after="0" w:line="20" w:lineRule="exact"/>
              <w:rPr>
                <w:sz w:val="1"/>
                <w:szCs w:val="1"/>
                <w:color w:val="auto"/>
              </w:rPr>
            </w:pPr>
          </w:p>
        </w:tc>
      </w:tr>
      <w:tr>
        <w:trPr>
          <w:trHeight w:val="209"/>
        </w:trPr>
        <w:tc>
          <w:tcPr>
            <w:tcW w:w="50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Ms. Warden</w:t>
            </w:r>
          </w:p>
        </w:tc>
        <w:tc>
          <w:tcPr>
            <w:tcW w:w="590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456,846</w:t>
            </w:r>
          </w:p>
        </w:tc>
      </w:tr>
      <w:tr>
        <w:trPr>
          <w:trHeight w:val="210"/>
        </w:trPr>
        <w:tc>
          <w:tcPr>
            <w:tcW w:w="506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29378D"/>
              </w:rPr>
              <w:t>Mr. Keffer</w:t>
            </w:r>
          </w:p>
        </w:tc>
        <w:tc>
          <w:tcPr>
            <w:tcW w:w="5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195,320</w:t>
            </w:r>
          </w:p>
        </w:tc>
      </w:tr>
      <w:tr>
        <w:trPr>
          <w:trHeight w:val="209"/>
        </w:trPr>
        <w:tc>
          <w:tcPr>
            <w:tcW w:w="50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Mr. Caylor</w:t>
            </w:r>
          </w:p>
        </w:tc>
        <w:tc>
          <w:tcPr>
            <w:tcW w:w="590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93,229</w:t>
            </w:r>
          </w:p>
        </w:tc>
      </w:tr>
      <w:tr>
        <w:trPr>
          <w:trHeight w:val="210"/>
        </w:trPr>
        <w:tc>
          <w:tcPr>
            <w:tcW w:w="506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29378D"/>
              </w:rPr>
              <w:t>Mr. Jones</w:t>
            </w:r>
          </w:p>
        </w:tc>
        <w:tc>
          <w:tcPr>
            <w:tcW w:w="5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235,338</w:t>
            </w:r>
          </w:p>
        </w:tc>
      </w:tr>
      <w:tr>
        <w:trPr>
          <w:trHeight w:val="210"/>
        </w:trPr>
        <w:tc>
          <w:tcPr>
            <w:tcW w:w="50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Ms. Roeder</w:t>
            </w:r>
          </w:p>
        </w:tc>
        <w:tc>
          <w:tcPr>
            <w:tcW w:w="590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83,082</w:t>
            </w:r>
          </w:p>
        </w:tc>
      </w:tr>
    </w:tbl>
    <w:p>
      <w:pPr>
        <w:spacing w:after="0" w:line="153" w:lineRule="exact"/>
        <w:rPr>
          <w:sz w:val="20"/>
          <w:szCs w:val="20"/>
          <w:color w:val="auto"/>
        </w:rPr>
      </w:pPr>
    </w:p>
    <w:p>
      <w:pPr>
        <w:ind w:left="340" w:hanging="332"/>
        <w:spacing w:after="0"/>
        <w:tabs>
          <w:tab w:leader="none" w:pos="34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Ms. Roeder was appointed Corporate Vice President and President Defense Systems October 17,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0" w:hanging="494"/>
        <w:spacing w:after="0"/>
        <w:tabs>
          <w:tab w:leader="none" w:pos="520" w:val="left"/>
        </w:tabs>
        <w:numPr>
          <w:ilvl w:val="0"/>
          <w:numId w:val="137"/>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2023 Grants of Plan-Based Awards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80" w:type="dxa"/>
            <w:vAlign w:val="bottom"/>
          </w:tcPr>
          <w:p>
            <w:pPr>
              <w:jc w:val="right"/>
              <w:ind w:right="116"/>
              <w:spacing w:after="0"/>
              <w:rPr>
                <w:sz w:val="20"/>
                <w:szCs w:val="20"/>
                <w:color w:val="auto"/>
              </w:rPr>
            </w:pPr>
            <w:r>
              <w:rPr>
                <w:rFonts w:ascii="Arial" w:cs="Arial" w:eastAsia="Arial" w:hAnsi="Arial"/>
                <w:sz w:val="12"/>
                <w:szCs w:val="12"/>
                <w:b w:val="1"/>
                <w:bCs w:val="1"/>
                <w:color w:val="auto"/>
              </w:rPr>
              <w:t>All Other</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ind w:right="116"/>
              <w:spacing w:after="0"/>
              <w:rPr>
                <w:sz w:val="20"/>
                <w:szCs w:val="20"/>
                <w:color w:val="auto"/>
              </w:rPr>
            </w:pPr>
            <w:r>
              <w:rPr>
                <w:rFonts w:ascii="Arial" w:cs="Arial" w:eastAsia="Arial" w:hAnsi="Arial"/>
                <w:sz w:val="12"/>
                <w:szCs w:val="12"/>
                <w:b w:val="1"/>
                <w:bCs w:val="1"/>
                <w:color w:val="auto"/>
              </w:rPr>
              <w:t>Stock</w:t>
            </w: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Grant</w:t>
            </w:r>
          </w:p>
        </w:tc>
        <w:tc>
          <w:tcPr>
            <w:tcW w:w="0" w:type="dxa"/>
            <w:vAlign w:val="bottom"/>
          </w:tcPr>
          <w:p>
            <w:pPr>
              <w:spacing w:after="0"/>
              <w:rPr>
                <w:sz w:val="1"/>
                <w:szCs w:val="1"/>
                <w:color w:val="auto"/>
              </w:rPr>
            </w:pPr>
          </w:p>
        </w:tc>
      </w:tr>
      <w:tr>
        <w:trPr>
          <w:trHeight w:val="151"/>
        </w:trPr>
        <w:tc>
          <w:tcPr>
            <w:tcW w:w="1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120" w:type="dxa"/>
            <w:vAlign w:val="bottom"/>
            <w:gridSpan w:val="4"/>
            <w:vMerge w:val="restart"/>
          </w:tcPr>
          <w:p>
            <w:pPr>
              <w:jc w:val="center"/>
              <w:ind w:right="140"/>
              <w:spacing w:after="0"/>
              <w:rPr>
                <w:sz w:val="20"/>
                <w:szCs w:val="20"/>
                <w:color w:val="auto"/>
              </w:rPr>
            </w:pPr>
            <w:r>
              <w:rPr>
                <w:rFonts w:ascii="Arial" w:cs="Arial" w:eastAsia="Arial" w:hAnsi="Arial"/>
                <w:sz w:val="12"/>
                <w:szCs w:val="12"/>
                <w:b w:val="1"/>
                <w:bCs w:val="1"/>
                <w:color w:val="auto"/>
                <w:w w:val="97"/>
              </w:rPr>
              <w:t>Estimated Future Payouts Under</w:t>
            </w:r>
          </w:p>
        </w:tc>
        <w:tc>
          <w:tcPr>
            <w:tcW w:w="2100" w:type="dxa"/>
            <w:vAlign w:val="bottom"/>
            <w:gridSpan w:val="2"/>
            <w:vMerge w:val="restart"/>
          </w:tcPr>
          <w:p>
            <w:pPr>
              <w:jc w:val="center"/>
              <w:ind w:left="514"/>
              <w:spacing w:after="0"/>
              <w:rPr>
                <w:sz w:val="20"/>
                <w:szCs w:val="20"/>
                <w:color w:val="auto"/>
              </w:rPr>
            </w:pPr>
            <w:r>
              <w:rPr>
                <w:rFonts w:ascii="Arial" w:cs="Arial" w:eastAsia="Arial" w:hAnsi="Arial"/>
                <w:sz w:val="12"/>
                <w:szCs w:val="12"/>
                <w:b w:val="1"/>
                <w:bCs w:val="1"/>
                <w:color w:val="auto"/>
                <w:w w:val="97"/>
              </w:rPr>
              <w:t>Estimated Future Payouts</w:t>
            </w:r>
          </w:p>
        </w:tc>
        <w:tc>
          <w:tcPr>
            <w:tcW w:w="580" w:type="dxa"/>
            <w:vAlign w:val="bottom"/>
          </w:tcPr>
          <w:p>
            <w:pPr>
              <w:spacing w:after="0"/>
              <w:rPr>
                <w:sz w:val="13"/>
                <w:szCs w:val="13"/>
                <w:color w:val="auto"/>
              </w:rPr>
            </w:pPr>
          </w:p>
        </w:tc>
        <w:tc>
          <w:tcPr>
            <w:tcW w:w="1180" w:type="dxa"/>
            <w:vAlign w:val="bottom"/>
          </w:tcPr>
          <w:p>
            <w:pPr>
              <w:jc w:val="right"/>
              <w:ind w:right="116"/>
              <w:spacing w:after="0"/>
              <w:rPr>
                <w:sz w:val="20"/>
                <w:szCs w:val="20"/>
                <w:color w:val="auto"/>
              </w:rPr>
            </w:pPr>
            <w:r>
              <w:rPr>
                <w:rFonts w:ascii="Arial" w:cs="Arial" w:eastAsia="Arial" w:hAnsi="Arial"/>
                <w:sz w:val="12"/>
                <w:szCs w:val="12"/>
                <w:b w:val="1"/>
                <w:bCs w:val="1"/>
                <w:color w:val="auto"/>
              </w:rPr>
              <w:t>Awards:</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120" w:type="dxa"/>
            <w:vAlign w:val="bottom"/>
            <w:gridSpan w:val="4"/>
            <w:vMerge w:val="continue"/>
          </w:tcPr>
          <w:p>
            <w:pPr>
              <w:spacing w:after="0"/>
              <w:rPr>
                <w:sz w:val="6"/>
                <w:szCs w:val="6"/>
                <w:color w:val="auto"/>
              </w:rPr>
            </w:pPr>
          </w:p>
        </w:tc>
        <w:tc>
          <w:tcPr>
            <w:tcW w:w="21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1180" w:type="dxa"/>
            <w:vAlign w:val="bottom"/>
            <w:vMerge w:val="restart"/>
          </w:tcPr>
          <w:p>
            <w:pPr>
              <w:jc w:val="right"/>
              <w:ind w:right="116"/>
              <w:spacing w:after="0"/>
              <w:rPr>
                <w:sz w:val="20"/>
                <w:szCs w:val="20"/>
                <w:color w:val="auto"/>
              </w:rPr>
            </w:pPr>
            <w:r>
              <w:rPr>
                <w:rFonts w:ascii="Arial" w:cs="Arial" w:eastAsia="Arial" w:hAnsi="Arial"/>
                <w:sz w:val="12"/>
                <w:szCs w:val="12"/>
                <w:b w:val="1"/>
                <w:bCs w:val="1"/>
                <w:color w:val="auto"/>
              </w:rPr>
              <w:t>Number of</w:t>
            </w: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Date Fair</w:t>
            </w: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180" w:type="dxa"/>
            <w:vAlign w:val="bottom"/>
            <w:gridSpan w:val="2"/>
            <w:vMerge w:val="restart"/>
          </w:tcPr>
          <w:p>
            <w:pPr>
              <w:jc w:val="center"/>
              <w:ind w:left="754"/>
              <w:spacing w:after="0"/>
              <w:rPr>
                <w:sz w:val="20"/>
                <w:szCs w:val="20"/>
                <w:color w:val="auto"/>
              </w:rPr>
            </w:pPr>
            <w:r>
              <w:rPr>
                <w:rFonts w:ascii="Arial" w:cs="Arial" w:eastAsia="Arial" w:hAnsi="Arial"/>
                <w:sz w:val="12"/>
                <w:szCs w:val="12"/>
                <w:b w:val="1"/>
                <w:bCs w:val="1"/>
                <w:color w:val="auto"/>
                <w:w w:val="97"/>
              </w:rPr>
              <w:t>Non-Equity Incentive</w:t>
            </w: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100" w:type="dxa"/>
            <w:vAlign w:val="bottom"/>
            <w:gridSpan w:val="2"/>
            <w:vMerge w:val="restart"/>
          </w:tcPr>
          <w:p>
            <w:pPr>
              <w:jc w:val="center"/>
              <w:ind w:left="534"/>
              <w:spacing w:after="0"/>
              <w:rPr>
                <w:sz w:val="20"/>
                <w:szCs w:val="20"/>
                <w:color w:val="auto"/>
              </w:rPr>
            </w:pPr>
            <w:r>
              <w:rPr>
                <w:rFonts w:ascii="Arial" w:cs="Arial" w:eastAsia="Arial" w:hAnsi="Arial"/>
                <w:sz w:val="12"/>
                <w:szCs w:val="12"/>
                <w:b w:val="1"/>
                <w:bCs w:val="1"/>
                <w:color w:val="auto"/>
                <w:w w:val="96"/>
              </w:rPr>
              <w:t>Under Equity Incentive</w:t>
            </w:r>
          </w:p>
        </w:tc>
        <w:tc>
          <w:tcPr>
            <w:tcW w:w="5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10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1180" w:type="dxa"/>
            <w:vAlign w:val="bottom"/>
            <w:vMerge w:val="restart"/>
          </w:tcPr>
          <w:p>
            <w:pPr>
              <w:jc w:val="right"/>
              <w:ind w:right="116"/>
              <w:spacing w:after="0"/>
              <w:rPr>
                <w:sz w:val="20"/>
                <w:szCs w:val="20"/>
                <w:color w:val="auto"/>
              </w:rPr>
            </w:pPr>
            <w:r>
              <w:rPr>
                <w:rFonts w:ascii="Arial" w:cs="Arial" w:eastAsia="Arial" w:hAnsi="Arial"/>
                <w:sz w:val="12"/>
                <w:szCs w:val="12"/>
                <w:b w:val="1"/>
                <w:bCs w:val="1"/>
                <w:color w:val="auto"/>
              </w:rPr>
              <w:t>Shares of</w:t>
            </w: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70"/>
        </w:trPr>
        <w:tc>
          <w:tcPr>
            <w:tcW w:w="1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40" w:type="dxa"/>
            <w:vAlign w:val="bottom"/>
            <w:vMerge w:val="restart"/>
          </w:tcPr>
          <w:p>
            <w:pPr>
              <w:jc w:val="center"/>
              <w:ind w:right="73"/>
              <w:spacing w:after="0"/>
              <w:rPr>
                <w:sz w:val="20"/>
                <w:szCs w:val="20"/>
                <w:color w:val="auto"/>
              </w:rPr>
            </w:pPr>
            <w:r>
              <w:rPr>
                <w:rFonts w:ascii="Arial" w:cs="Arial" w:eastAsia="Arial" w:hAnsi="Arial"/>
                <w:sz w:val="12"/>
                <w:szCs w:val="12"/>
                <w:b w:val="1"/>
                <w:bCs w:val="1"/>
                <w:color w:val="auto"/>
                <w:w w:val="92"/>
              </w:rPr>
              <w:t>Plan Awards</w:t>
            </w:r>
            <w:r>
              <w:rPr>
                <w:rFonts w:ascii="Arial" w:cs="Arial" w:eastAsia="Arial" w:hAnsi="Arial"/>
                <w:sz w:val="15"/>
                <w:szCs w:val="15"/>
                <w:b w:val="1"/>
                <w:bCs w:val="1"/>
                <w:color w:val="auto"/>
                <w:w w:val="92"/>
                <w:vertAlign w:val="superscript"/>
              </w:rPr>
              <w:t>(1)</w:t>
            </w: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80" w:type="dxa"/>
            <w:vAlign w:val="bottom"/>
            <w:vMerge w:val="restart"/>
          </w:tcPr>
          <w:p>
            <w:pPr>
              <w:jc w:val="center"/>
              <w:ind w:right="273"/>
              <w:spacing w:after="0"/>
              <w:rPr>
                <w:sz w:val="20"/>
                <w:szCs w:val="20"/>
                <w:color w:val="auto"/>
              </w:rPr>
            </w:pPr>
            <w:r>
              <w:rPr>
                <w:rFonts w:ascii="Arial" w:cs="Arial" w:eastAsia="Arial" w:hAnsi="Arial"/>
                <w:sz w:val="12"/>
                <w:szCs w:val="12"/>
                <w:b w:val="1"/>
                <w:bCs w:val="1"/>
                <w:color w:val="auto"/>
                <w:w w:val="94"/>
              </w:rPr>
              <w:t>Plan Awards</w:t>
            </w:r>
            <w:r>
              <w:rPr>
                <w:rFonts w:ascii="Arial" w:cs="Arial" w:eastAsia="Arial" w:hAnsi="Arial"/>
                <w:sz w:val="15"/>
                <w:szCs w:val="15"/>
                <w:b w:val="1"/>
                <w:bCs w:val="1"/>
                <w:color w:val="auto"/>
                <w:w w:val="94"/>
                <w:vertAlign w:val="superscript"/>
              </w:rPr>
              <w:t>(2)</w:t>
            </w:r>
          </w:p>
        </w:tc>
        <w:tc>
          <w:tcPr>
            <w:tcW w:w="5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40" w:type="dxa"/>
            <w:vAlign w:val="bottom"/>
            <w:tcBorders>
              <w:bottom w:val="single" w:sz="8" w:color="29378D"/>
            </w:tcBorders>
          </w:tcPr>
          <w:p>
            <w:pPr>
              <w:spacing w:after="0"/>
              <w:rPr>
                <w:sz w:val="10"/>
                <w:szCs w:val="10"/>
                <w:color w:val="auto"/>
              </w:rPr>
            </w:pPr>
          </w:p>
        </w:tc>
        <w:tc>
          <w:tcPr>
            <w:tcW w:w="1240" w:type="dxa"/>
            <w:vAlign w:val="bottom"/>
            <w:tcBorders>
              <w:bottom w:val="single" w:sz="8" w:color="29378D"/>
            </w:tcBorders>
            <w:vMerge w:val="continue"/>
          </w:tcPr>
          <w:p>
            <w:pPr>
              <w:spacing w:after="0"/>
              <w:rPr>
                <w:sz w:val="10"/>
                <w:szCs w:val="10"/>
                <w:color w:val="auto"/>
              </w:rPr>
            </w:pPr>
          </w:p>
        </w:tc>
        <w:tc>
          <w:tcPr>
            <w:tcW w:w="800" w:type="dxa"/>
            <w:vAlign w:val="bottom"/>
            <w:tcBorders>
              <w:bottom w:val="single" w:sz="8" w:color="29378D"/>
            </w:tcBorders>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Borders>
              <w:bottom w:val="single" w:sz="8" w:color="29378D"/>
            </w:tcBorders>
          </w:tcPr>
          <w:p>
            <w:pPr>
              <w:spacing w:after="0"/>
              <w:rPr>
                <w:sz w:val="10"/>
                <w:szCs w:val="10"/>
                <w:color w:val="auto"/>
              </w:rPr>
            </w:pPr>
          </w:p>
        </w:tc>
        <w:tc>
          <w:tcPr>
            <w:tcW w:w="1180" w:type="dxa"/>
            <w:vAlign w:val="bottom"/>
            <w:tcBorders>
              <w:bottom w:val="single" w:sz="8" w:color="29378D"/>
            </w:tcBorders>
            <w:vMerge w:val="continue"/>
          </w:tcPr>
          <w:p>
            <w:pPr>
              <w:spacing w:after="0"/>
              <w:rPr>
                <w:sz w:val="10"/>
                <w:szCs w:val="10"/>
                <w:color w:val="auto"/>
              </w:rPr>
            </w:pPr>
          </w:p>
        </w:tc>
        <w:tc>
          <w:tcPr>
            <w:tcW w:w="580" w:type="dxa"/>
            <w:vAlign w:val="bottom"/>
            <w:tcBorders>
              <w:bottom w:val="single" w:sz="8" w:color="29378D"/>
            </w:tcBorders>
          </w:tcPr>
          <w:p>
            <w:pPr>
              <w:spacing w:after="0"/>
              <w:rPr>
                <w:sz w:val="10"/>
                <w:szCs w:val="10"/>
                <w:color w:val="auto"/>
              </w:rPr>
            </w:pPr>
          </w:p>
        </w:tc>
        <w:tc>
          <w:tcPr>
            <w:tcW w:w="1180" w:type="dxa"/>
            <w:vAlign w:val="bottom"/>
          </w:tcPr>
          <w:p>
            <w:pPr>
              <w:jc w:val="right"/>
              <w:ind w:right="116"/>
              <w:spacing w:after="0" w:line="111" w:lineRule="exact"/>
              <w:rPr>
                <w:sz w:val="20"/>
                <w:szCs w:val="20"/>
                <w:color w:val="auto"/>
              </w:rPr>
            </w:pPr>
            <w:r>
              <w:rPr>
                <w:rFonts w:ascii="Arial" w:cs="Arial" w:eastAsia="Arial" w:hAnsi="Arial"/>
                <w:sz w:val="12"/>
                <w:szCs w:val="12"/>
                <w:b w:val="1"/>
                <w:bCs w:val="1"/>
                <w:color w:val="auto"/>
              </w:rPr>
              <w:t>Stock or</w:t>
            </w:r>
          </w:p>
        </w:tc>
        <w:tc>
          <w:tcPr>
            <w:tcW w:w="960" w:type="dxa"/>
            <w:vAlign w:val="bottom"/>
          </w:tcPr>
          <w:p>
            <w:pPr>
              <w:jc w:val="right"/>
              <w:spacing w:after="0" w:line="111" w:lineRule="exact"/>
              <w:rPr>
                <w:sz w:val="20"/>
                <w:szCs w:val="20"/>
                <w:color w:val="auto"/>
              </w:rPr>
            </w:pPr>
            <w:r>
              <w:rPr>
                <w:rFonts w:ascii="Arial" w:cs="Arial" w:eastAsia="Arial" w:hAnsi="Arial"/>
                <w:sz w:val="12"/>
                <w:szCs w:val="12"/>
                <w:b w:val="1"/>
                <w:bCs w:val="1"/>
                <w:color w:val="auto"/>
              </w:rPr>
              <w:t>Stock</w:t>
            </w: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Threshold</w:t>
            </w:r>
          </w:p>
        </w:tc>
        <w:tc>
          <w:tcPr>
            <w:tcW w:w="1240" w:type="dxa"/>
            <w:vAlign w:val="bottom"/>
          </w:tcPr>
          <w:p>
            <w:pPr>
              <w:jc w:val="right"/>
              <w:ind w:right="173"/>
              <w:spacing w:after="0"/>
              <w:rPr>
                <w:sz w:val="20"/>
                <w:szCs w:val="20"/>
                <w:color w:val="auto"/>
              </w:rPr>
            </w:pPr>
            <w:r>
              <w:rPr>
                <w:rFonts w:ascii="Arial" w:cs="Arial" w:eastAsia="Arial" w:hAnsi="Arial"/>
                <w:sz w:val="12"/>
                <w:szCs w:val="12"/>
                <w:b w:val="1"/>
                <w:bCs w:val="1"/>
                <w:color w:val="auto"/>
              </w:rPr>
              <w:t>Target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Maximum</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Threshold</w:t>
            </w:r>
          </w:p>
        </w:tc>
        <w:tc>
          <w:tcPr>
            <w:tcW w:w="1180" w:type="dxa"/>
            <w:vAlign w:val="bottom"/>
          </w:tcPr>
          <w:p>
            <w:pPr>
              <w:jc w:val="right"/>
              <w:ind w:right="353"/>
              <w:spacing w:after="0"/>
              <w:rPr>
                <w:sz w:val="20"/>
                <w:szCs w:val="20"/>
                <w:color w:val="auto"/>
              </w:rPr>
            </w:pPr>
            <w:r>
              <w:rPr>
                <w:rFonts w:ascii="Arial" w:cs="Arial" w:eastAsia="Arial" w:hAnsi="Arial"/>
                <w:sz w:val="12"/>
                <w:szCs w:val="12"/>
                <w:b w:val="1"/>
                <w:bCs w:val="1"/>
                <w:color w:val="auto"/>
              </w:rPr>
              <w:t>Target</w:t>
            </w: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w w:val="97"/>
              </w:rPr>
              <w:t>Maximum</w:t>
            </w:r>
          </w:p>
        </w:tc>
        <w:tc>
          <w:tcPr>
            <w:tcW w:w="1180" w:type="dxa"/>
            <w:vAlign w:val="bottom"/>
          </w:tcPr>
          <w:p>
            <w:pPr>
              <w:jc w:val="right"/>
              <w:ind w:right="116"/>
              <w:spacing w:after="0"/>
              <w:rPr>
                <w:sz w:val="20"/>
                <w:szCs w:val="20"/>
                <w:color w:val="auto"/>
              </w:rPr>
            </w:pPr>
            <w:r>
              <w:rPr>
                <w:rFonts w:ascii="Arial" w:cs="Arial" w:eastAsia="Arial" w:hAnsi="Arial"/>
                <w:sz w:val="12"/>
                <w:szCs w:val="12"/>
                <w:b w:val="1"/>
                <w:bCs w:val="1"/>
                <w:color w:val="auto"/>
              </w:rPr>
              <w:t>Units</w:t>
            </w:r>
            <w:r>
              <w:rPr>
                <w:rFonts w:ascii="Arial" w:cs="Arial" w:eastAsia="Arial" w:hAnsi="Arial"/>
                <w:sz w:val="15"/>
                <w:szCs w:val="15"/>
                <w:b w:val="1"/>
                <w:bCs w:val="1"/>
                <w:color w:val="auto"/>
                <w:vertAlign w:val="superscript"/>
              </w:rPr>
              <w:t>(3)</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Awards</w:t>
            </w:r>
            <w:r>
              <w:rPr>
                <w:rFonts w:ascii="Arial" w:cs="Arial" w:eastAsia="Arial" w:hAnsi="Arial"/>
                <w:sz w:val="15"/>
                <w:szCs w:val="15"/>
                <w:b w:val="1"/>
                <w:bCs w:val="1"/>
                <w:color w:val="auto"/>
                <w:vertAlign w:val="superscript"/>
              </w:rPr>
              <w:t>(4)</w:t>
            </w:r>
          </w:p>
        </w:tc>
        <w:tc>
          <w:tcPr>
            <w:tcW w:w="0" w:type="dxa"/>
            <w:vAlign w:val="bottom"/>
          </w:tcPr>
          <w:p>
            <w:pPr>
              <w:spacing w:after="0"/>
              <w:rPr>
                <w:sz w:val="1"/>
                <w:szCs w:val="1"/>
                <w:color w:val="auto"/>
              </w:rPr>
            </w:pPr>
          </w:p>
        </w:tc>
      </w:tr>
      <w:tr>
        <w:trPr>
          <w:trHeight w:val="187"/>
        </w:trPr>
        <w:tc>
          <w:tcPr>
            <w:tcW w:w="1200" w:type="dxa"/>
            <w:vAlign w:val="bottom"/>
          </w:tcPr>
          <w:p>
            <w:pPr>
              <w:ind w:left="20"/>
              <w:spacing w:after="0"/>
              <w:rPr>
                <w:sz w:val="20"/>
                <w:szCs w:val="20"/>
                <w:color w:val="auto"/>
              </w:rPr>
            </w:pPr>
            <w:r>
              <w:rPr>
                <w:rFonts w:ascii="Arial" w:cs="Arial" w:eastAsia="Arial" w:hAnsi="Arial"/>
                <w:sz w:val="12"/>
                <w:szCs w:val="12"/>
                <w:b w:val="1"/>
                <w:bCs w:val="1"/>
                <w:color w:val="auto"/>
              </w:rPr>
              <w:t>Name</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Grant Type</w:t>
            </w: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Grant Date</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40" w:type="dxa"/>
            <w:vAlign w:val="bottom"/>
          </w:tcPr>
          <w:p>
            <w:pPr>
              <w:jc w:val="right"/>
              <w:ind w:right="173"/>
              <w:spacing w:after="0"/>
              <w:rPr>
                <w:sz w:val="20"/>
                <w:szCs w:val="20"/>
                <w:color w:val="auto"/>
              </w:rPr>
            </w:pPr>
            <w:r>
              <w:rPr>
                <w:rFonts w:ascii="Arial" w:cs="Arial" w:eastAsia="Arial" w:hAnsi="Arial"/>
                <w:sz w:val="12"/>
                <w:szCs w:val="12"/>
                <w:b w:val="1"/>
                <w:bCs w:val="1"/>
                <w:color w:val="auto"/>
              </w:rPr>
              <w:t>($)</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180" w:type="dxa"/>
            <w:vAlign w:val="bottom"/>
          </w:tcPr>
          <w:p>
            <w:pPr>
              <w:jc w:val="right"/>
              <w:ind w:right="353"/>
              <w:spacing w:after="0"/>
              <w:rPr>
                <w:sz w:val="20"/>
                <w:szCs w:val="20"/>
                <w:color w:val="auto"/>
              </w:rPr>
            </w:pPr>
            <w:r>
              <w:rPr>
                <w:rFonts w:ascii="Arial" w:cs="Arial" w:eastAsia="Arial" w:hAnsi="Arial"/>
                <w:sz w:val="12"/>
                <w:szCs w:val="12"/>
                <w:b w:val="1"/>
                <w:bCs w:val="1"/>
                <w:color w:val="auto"/>
              </w:rPr>
              <w:t>(#)</w:t>
            </w: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180" w:type="dxa"/>
            <w:vAlign w:val="bottom"/>
          </w:tcPr>
          <w:p>
            <w:pPr>
              <w:jc w:val="right"/>
              <w:ind w:right="116"/>
              <w:spacing w:after="0"/>
              <w:rPr>
                <w:sz w:val="20"/>
                <w:szCs w:val="20"/>
                <w:color w:val="auto"/>
              </w:rPr>
            </w:pPr>
            <w:r>
              <w:rPr>
                <w:rFonts w:ascii="Arial" w:cs="Arial" w:eastAsia="Arial" w:hAnsi="Arial"/>
                <w:sz w:val="12"/>
                <w:szCs w:val="12"/>
                <w:b w:val="1"/>
                <w:bCs w:val="1"/>
                <w:color w:val="auto"/>
              </w:rPr>
              <w:t>(#)</w:t>
            </w: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6"/>
        </w:trPr>
        <w:tc>
          <w:tcPr>
            <w:tcW w:w="1200" w:type="dxa"/>
            <w:vAlign w:val="bottom"/>
            <w:tcBorders>
              <w:bottom w:val="single" w:sz="8" w:color="29378D"/>
            </w:tcBorders>
          </w:tcPr>
          <w:p>
            <w:pPr>
              <w:spacing w:after="0"/>
              <w:rPr>
                <w:sz w:val="2"/>
                <w:szCs w:val="2"/>
                <w:color w:val="auto"/>
              </w:rPr>
            </w:pPr>
          </w:p>
        </w:tc>
        <w:tc>
          <w:tcPr>
            <w:tcW w:w="960" w:type="dxa"/>
            <w:vAlign w:val="bottom"/>
            <w:tcBorders>
              <w:bottom w:val="single" w:sz="8" w:color="29378D"/>
            </w:tcBorders>
          </w:tcPr>
          <w:p>
            <w:pPr>
              <w:spacing w:after="0"/>
              <w:rPr>
                <w:sz w:val="2"/>
                <w:szCs w:val="2"/>
                <w:color w:val="auto"/>
              </w:rPr>
            </w:pPr>
          </w:p>
        </w:tc>
        <w:tc>
          <w:tcPr>
            <w:tcW w:w="1140" w:type="dxa"/>
            <w:vAlign w:val="bottom"/>
            <w:tcBorders>
              <w:bottom w:val="single" w:sz="8" w:color="29378D"/>
            </w:tcBorders>
          </w:tcPr>
          <w:p>
            <w:pPr>
              <w:spacing w:after="0"/>
              <w:rPr>
                <w:sz w:val="2"/>
                <w:szCs w:val="2"/>
                <w:color w:val="auto"/>
              </w:rPr>
            </w:pPr>
          </w:p>
        </w:tc>
        <w:tc>
          <w:tcPr>
            <w:tcW w:w="940" w:type="dxa"/>
            <w:vAlign w:val="bottom"/>
            <w:tcBorders>
              <w:bottom w:val="single" w:sz="8" w:color="29378D"/>
            </w:tcBorders>
          </w:tcPr>
          <w:p>
            <w:pPr>
              <w:spacing w:after="0"/>
              <w:rPr>
                <w:sz w:val="2"/>
                <w:szCs w:val="2"/>
                <w:color w:val="auto"/>
              </w:rPr>
            </w:pPr>
          </w:p>
        </w:tc>
        <w:tc>
          <w:tcPr>
            <w:tcW w:w="1240" w:type="dxa"/>
            <w:vAlign w:val="bottom"/>
            <w:tcBorders>
              <w:bottom w:val="single" w:sz="8" w:color="29378D"/>
            </w:tcBorders>
          </w:tcPr>
          <w:p>
            <w:pPr>
              <w:spacing w:after="0"/>
              <w:rPr>
                <w:sz w:val="2"/>
                <w:szCs w:val="2"/>
                <w:color w:val="auto"/>
              </w:rPr>
            </w:pPr>
          </w:p>
        </w:tc>
        <w:tc>
          <w:tcPr>
            <w:tcW w:w="800" w:type="dxa"/>
            <w:vAlign w:val="bottom"/>
            <w:tcBorders>
              <w:bottom w:val="single" w:sz="8" w:color="29378D"/>
            </w:tcBorders>
          </w:tcPr>
          <w:p>
            <w:pPr>
              <w:spacing w:after="0"/>
              <w:rPr>
                <w:sz w:val="2"/>
                <w:szCs w:val="2"/>
                <w:color w:val="auto"/>
              </w:rPr>
            </w:pPr>
          </w:p>
        </w:tc>
        <w:tc>
          <w:tcPr>
            <w:tcW w:w="140" w:type="dxa"/>
            <w:vAlign w:val="bottom"/>
            <w:tcBorders>
              <w:bottom w:val="single" w:sz="8" w:color="29378D"/>
            </w:tcBorders>
          </w:tcPr>
          <w:p>
            <w:pPr>
              <w:spacing w:after="0"/>
              <w:rPr>
                <w:sz w:val="2"/>
                <w:szCs w:val="2"/>
                <w:color w:val="auto"/>
              </w:rPr>
            </w:pPr>
          </w:p>
        </w:tc>
        <w:tc>
          <w:tcPr>
            <w:tcW w:w="920" w:type="dxa"/>
            <w:vAlign w:val="bottom"/>
            <w:tcBorders>
              <w:bottom w:val="single" w:sz="8" w:color="29378D"/>
            </w:tcBorders>
          </w:tcPr>
          <w:p>
            <w:pPr>
              <w:spacing w:after="0"/>
              <w:rPr>
                <w:sz w:val="2"/>
                <w:szCs w:val="2"/>
                <w:color w:val="auto"/>
              </w:rPr>
            </w:pPr>
          </w:p>
        </w:tc>
        <w:tc>
          <w:tcPr>
            <w:tcW w:w="1180" w:type="dxa"/>
            <w:vAlign w:val="bottom"/>
            <w:tcBorders>
              <w:bottom w:val="single" w:sz="8" w:color="29378D"/>
            </w:tcBorders>
          </w:tcPr>
          <w:p>
            <w:pPr>
              <w:spacing w:after="0"/>
              <w:rPr>
                <w:sz w:val="2"/>
                <w:szCs w:val="2"/>
                <w:color w:val="auto"/>
              </w:rPr>
            </w:pPr>
          </w:p>
        </w:tc>
        <w:tc>
          <w:tcPr>
            <w:tcW w:w="580" w:type="dxa"/>
            <w:vAlign w:val="bottom"/>
            <w:tcBorders>
              <w:bottom w:val="single" w:sz="8" w:color="29378D"/>
            </w:tcBorders>
          </w:tcPr>
          <w:p>
            <w:pPr>
              <w:spacing w:after="0"/>
              <w:rPr>
                <w:sz w:val="2"/>
                <w:szCs w:val="2"/>
                <w:color w:val="auto"/>
              </w:rPr>
            </w:pPr>
          </w:p>
        </w:tc>
        <w:tc>
          <w:tcPr>
            <w:tcW w:w="1180" w:type="dxa"/>
            <w:vAlign w:val="bottom"/>
            <w:tcBorders>
              <w:bottom w:val="single" w:sz="8" w:color="29378D"/>
            </w:tcBorders>
          </w:tcPr>
          <w:p>
            <w:pPr>
              <w:spacing w:after="0"/>
              <w:rPr>
                <w:sz w:val="2"/>
                <w:szCs w:val="2"/>
                <w:color w:val="auto"/>
              </w:rPr>
            </w:pPr>
          </w:p>
        </w:tc>
        <w:tc>
          <w:tcPr>
            <w:tcW w:w="960" w:type="dxa"/>
            <w:vAlign w:val="bottom"/>
            <w:tcBorders>
              <w:bottom w:val="single" w:sz="8" w:color="29378D"/>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200" w:type="dxa"/>
            <w:vAlign w:val="bottom"/>
            <w:shd w:val="clear" w:color="auto" w:fill="DFDEEE"/>
          </w:tcPr>
          <w:p>
            <w:pPr>
              <w:ind w:left="20"/>
              <w:spacing w:after="0"/>
              <w:rPr>
                <w:sz w:val="20"/>
                <w:szCs w:val="20"/>
                <w:color w:val="auto"/>
              </w:rPr>
            </w:pPr>
            <w:r>
              <w:rPr>
                <w:rFonts w:ascii="Arial" w:cs="Arial" w:eastAsia="Arial" w:hAnsi="Arial"/>
                <w:sz w:val="14"/>
                <w:szCs w:val="14"/>
                <w:b w:val="1"/>
                <w:bCs w:val="1"/>
                <w:color w:val="29378D"/>
                <w:shd w:val="clear" w:color="auto" w:fill="DFDEEE"/>
              </w:rPr>
              <w:t>Kathy J. Warden</w:t>
            </w:r>
          </w:p>
        </w:tc>
        <w:tc>
          <w:tcPr>
            <w:tcW w:w="960" w:type="dxa"/>
            <w:vAlign w:val="bottom"/>
            <w:shd w:val="clear" w:color="auto" w:fill="DFDEEE"/>
          </w:tcPr>
          <w:p>
            <w:pPr>
              <w:ind w:left="20"/>
              <w:spacing w:after="0"/>
              <w:rPr>
                <w:sz w:val="20"/>
                <w:szCs w:val="20"/>
                <w:color w:val="auto"/>
              </w:rPr>
            </w:pPr>
            <w:r>
              <w:rPr>
                <w:rFonts w:ascii="Arial" w:cs="Arial" w:eastAsia="Arial" w:hAnsi="Arial"/>
                <w:sz w:val="14"/>
                <w:szCs w:val="14"/>
                <w:color w:val="auto"/>
              </w:rPr>
              <w:t>Incentive Plan</w:t>
            </w:r>
          </w:p>
        </w:tc>
        <w:tc>
          <w:tcPr>
            <w:tcW w:w="1140" w:type="dxa"/>
            <w:vAlign w:val="bottom"/>
            <w:shd w:val="clear" w:color="auto" w:fill="DFDEEE"/>
          </w:tcPr>
          <w:p>
            <w:pPr>
              <w:spacing w:after="0"/>
              <w:rPr>
                <w:sz w:val="15"/>
                <w:szCs w:val="15"/>
                <w:color w:val="auto"/>
              </w:rPr>
            </w:pPr>
          </w:p>
        </w:tc>
        <w:tc>
          <w:tcPr>
            <w:tcW w:w="940" w:type="dxa"/>
            <w:vAlign w:val="bottom"/>
            <w:vMerge w:val="restart"/>
            <w:shd w:val="clear" w:color="auto" w:fill="DFDEEE"/>
          </w:tcPr>
          <w:p>
            <w:pPr>
              <w:ind w:left="720"/>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DFDEEE"/>
          </w:tcPr>
          <w:p>
            <w:pPr>
              <w:jc w:val="right"/>
              <w:ind w:right="213"/>
              <w:spacing w:after="0"/>
              <w:rPr>
                <w:sz w:val="20"/>
                <w:szCs w:val="20"/>
                <w:color w:val="auto"/>
              </w:rPr>
            </w:pPr>
            <w:r>
              <w:rPr>
                <w:rFonts w:ascii="Arial" w:cs="Arial" w:eastAsia="Arial" w:hAnsi="Arial"/>
                <w:sz w:val="14"/>
                <w:szCs w:val="14"/>
                <w:color w:val="auto"/>
              </w:rPr>
              <w:t>3,237,500</w:t>
            </w:r>
          </w:p>
        </w:tc>
        <w:tc>
          <w:tcPr>
            <w:tcW w:w="800" w:type="dxa"/>
            <w:vAlign w:val="bottom"/>
            <w:vMerge w:val="restart"/>
            <w:shd w:val="clear" w:color="auto" w:fill="DFDEEE"/>
          </w:tcPr>
          <w:p>
            <w:pPr>
              <w:jc w:val="right"/>
              <w:spacing w:after="0"/>
              <w:rPr>
                <w:sz w:val="20"/>
                <w:szCs w:val="20"/>
                <w:color w:val="auto"/>
              </w:rPr>
            </w:pPr>
            <w:r>
              <w:rPr>
                <w:rFonts w:ascii="Arial" w:cs="Arial" w:eastAsia="Arial" w:hAnsi="Arial"/>
                <w:sz w:val="14"/>
                <w:szCs w:val="14"/>
                <w:color w:val="auto"/>
              </w:rPr>
              <w:t>6,475,000</w:t>
            </w:r>
          </w:p>
        </w:tc>
        <w:tc>
          <w:tcPr>
            <w:tcW w:w="140" w:type="dxa"/>
            <w:vAlign w:val="bottom"/>
            <w:shd w:val="clear" w:color="auto" w:fill="DFDEEE"/>
          </w:tcPr>
          <w:p>
            <w:pPr>
              <w:spacing w:after="0"/>
              <w:rPr>
                <w:sz w:val="15"/>
                <w:szCs w:val="15"/>
                <w:color w:val="auto"/>
              </w:rPr>
            </w:pPr>
          </w:p>
        </w:tc>
        <w:tc>
          <w:tcPr>
            <w:tcW w:w="920" w:type="dxa"/>
            <w:vAlign w:val="bottom"/>
            <w:shd w:val="clear" w:color="auto" w:fill="DFDEEE"/>
          </w:tcPr>
          <w:p>
            <w:pPr>
              <w:spacing w:after="0"/>
              <w:rPr>
                <w:sz w:val="15"/>
                <w:szCs w:val="15"/>
                <w:color w:val="auto"/>
              </w:rPr>
            </w:pPr>
          </w:p>
        </w:tc>
        <w:tc>
          <w:tcPr>
            <w:tcW w:w="1180" w:type="dxa"/>
            <w:vAlign w:val="bottom"/>
            <w:shd w:val="clear" w:color="auto" w:fill="DFDEEE"/>
          </w:tcPr>
          <w:p>
            <w:pPr>
              <w:spacing w:after="0"/>
              <w:rPr>
                <w:sz w:val="15"/>
                <w:szCs w:val="15"/>
                <w:color w:val="auto"/>
              </w:rPr>
            </w:pPr>
          </w:p>
        </w:tc>
        <w:tc>
          <w:tcPr>
            <w:tcW w:w="580" w:type="dxa"/>
            <w:vAlign w:val="bottom"/>
            <w:shd w:val="clear" w:color="auto" w:fill="DFDEEE"/>
          </w:tcPr>
          <w:p>
            <w:pPr>
              <w:spacing w:after="0"/>
              <w:rPr>
                <w:sz w:val="15"/>
                <w:szCs w:val="15"/>
                <w:color w:val="auto"/>
              </w:rPr>
            </w:pPr>
          </w:p>
        </w:tc>
        <w:tc>
          <w:tcPr>
            <w:tcW w:w="1180" w:type="dxa"/>
            <w:vAlign w:val="bottom"/>
            <w:shd w:val="clear" w:color="auto" w:fill="DFDEEE"/>
          </w:tcPr>
          <w:p>
            <w:pPr>
              <w:spacing w:after="0"/>
              <w:rPr>
                <w:sz w:val="15"/>
                <w:szCs w:val="15"/>
                <w:color w:val="auto"/>
              </w:rPr>
            </w:pPr>
          </w:p>
        </w:tc>
        <w:tc>
          <w:tcPr>
            <w:tcW w:w="960" w:type="dxa"/>
            <w:vAlign w:val="bottom"/>
            <w:shd w:val="clear" w:color="auto" w:fill="DFDEEE"/>
          </w:tcPr>
          <w:p>
            <w:pPr>
              <w:spacing w:after="0"/>
              <w:rPr>
                <w:sz w:val="15"/>
                <w:szCs w:val="15"/>
                <w:color w:val="auto"/>
              </w:rPr>
            </w:pPr>
          </w:p>
        </w:tc>
        <w:tc>
          <w:tcPr>
            <w:tcW w:w="0" w:type="dxa"/>
            <w:vAlign w:val="bottom"/>
          </w:tcPr>
          <w:p>
            <w:pPr>
              <w:spacing w:after="0"/>
              <w:rPr>
                <w:sz w:val="1"/>
                <w:szCs w:val="1"/>
                <w:color w:val="auto"/>
              </w:rPr>
            </w:pPr>
          </w:p>
        </w:tc>
      </w:tr>
      <w:tr>
        <w:trPr>
          <w:trHeight w:val="87"/>
        </w:trPr>
        <w:tc>
          <w:tcPr>
            <w:tcW w:w="1200" w:type="dxa"/>
            <w:vAlign w:val="bottom"/>
            <w:shd w:val="clear" w:color="auto" w:fill="DFDEEE"/>
          </w:tcPr>
          <w:p>
            <w:pPr>
              <w:spacing w:after="0"/>
              <w:rPr>
                <w:sz w:val="7"/>
                <w:szCs w:val="7"/>
                <w:color w:val="auto"/>
              </w:rPr>
            </w:pPr>
          </w:p>
        </w:tc>
        <w:tc>
          <w:tcPr>
            <w:tcW w:w="960" w:type="dxa"/>
            <w:vAlign w:val="bottom"/>
            <w:shd w:val="clear" w:color="auto" w:fill="DFDEEE"/>
          </w:tcPr>
          <w:p>
            <w:pPr>
              <w:spacing w:after="0"/>
              <w:rPr>
                <w:sz w:val="7"/>
                <w:szCs w:val="7"/>
                <w:color w:val="auto"/>
              </w:rPr>
            </w:pPr>
          </w:p>
        </w:tc>
        <w:tc>
          <w:tcPr>
            <w:tcW w:w="1140" w:type="dxa"/>
            <w:vAlign w:val="bottom"/>
            <w:shd w:val="clear" w:color="auto" w:fill="DFDEEE"/>
          </w:tcPr>
          <w:p>
            <w:pPr>
              <w:spacing w:after="0"/>
              <w:rPr>
                <w:sz w:val="7"/>
                <w:szCs w:val="7"/>
                <w:color w:val="auto"/>
              </w:rPr>
            </w:pPr>
          </w:p>
        </w:tc>
        <w:tc>
          <w:tcPr>
            <w:tcW w:w="940" w:type="dxa"/>
            <w:vAlign w:val="bottom"/>
            <w:vMerge w:val="continue"/>
            <w:shd w:val="clear" w:color="auto" w:fill="DFDEEE"/>
          </w:tcPr>
          <w:p>
            <w:pPr>
              <w:spacing w:after="0"/>
              <w:rPr>
                <w:sz w:val="7"/>
                <w:szCs w:val="7"/>
                <w:color w:val="auto"/>
              </w:rPr>
            </w:pPr>
          </w:p>
        </w:tc>
        <w:tc>
          <w:tcPr>
            <w:tcW w:w="1240" w:type="dxa"/>
            <w:vAlign w:val="bottom"/>
            <w:vMerge w:val="continue"/>
            <w:shd w:val="clear" w:color="auto" w:fill="DFDEEE"/>
          </w:tcPr>
          <w:p>
            <w:pPr>
              <w:spacing w:after="0"/>
              <w:rPr>
                <w:sz w:val="7"/>
                <w:szCs w:val="7"/>
                <w:color w:val="auto"/>
              </w:rPr>
            </w:pPr>
          </w:p>
        </w:tc>
        <w:tc>
          <w:tcPr>
            <w:tcW w:w="800" w:type="dxa"/>
            <w:vAlign w:val="bottom"/>
            <w:vMerge w:val="continue"/>
            <w:shd w:val="clear" w:color="auto" w:fill="DFDEEE"/>
          </w:tcPr>
          <w:p>
            <w:pPr>
              <w:spacing w:after="0"/>
              <w:rPr>
                <w:sz w:val="7"/>
                <w:szCs w:val="7"/>
                <w:color w:val="auto"/>
              </w:rPr>
            </w:pPr>
          </w:p>
        </w:tc>
        <w:tc>
          <w:tcPr>
            <w:tcW w:w="140" w:type="dxa"/>
            <w:vAlign w:val="bottom"/>
            <w:shd w:val="clear" w:color="auto" w:fill="DFDEEE"/>
          </w:tcPr>
          <w:p>
            <w:pPr>
              <w:spacing w:after="0"/>
              <w:rPr>
                <w:sz w:val="7"/>
                <w:szCs w:val="7"/>
                <w:color w:val="auto"/>
              </w:rPr>
            </w:pPr>
          </w:p>
        </w:tc>
        <w:tc>
          <w:tcPr>
            <w:tcW w:w="920" w:type="dxa"/>
            <w:vAlign w:val="bottom"/>
            <w:shd w:val="clear" w:color="auto" w:fill="DFDEEE"/>
          </w:tcPr>
          <w:p>
            <w:pPr>
              <w:spacing w:after="0"/>
              <w:rPr>
                <w:sz w:val="7"/>
                <w:szCs w:val="7"/>
                <w:color w:val="auto"/>
              </w:rPr>
            </w:pPr>
          </w:p>
        </w:tc>
        <w:tc>
          <w:tcPr>
            <w:tcW w:w="1180" w:type="dxa"/>
            <w:vAlign w:val="bottom"/>
            <w:shd w:val="clear" w:color="auto" w:fill="DFDEEE"/>
          </w:tcPr>
          <w:p>
            <w:pPr>
              <w:spacing w:after="0"/>
              <w:rPr>
                <w:sz w:val="7"/>
                <w:szCs w:val="7"/>
                <w:color w:val="auto"/>
              </w:rPr>
            </w:pPr>
          </w:p>
        </w:tc>
        <w:tc>
          <w:tcPr>
            <w:tcW w:w="580" w:type="dxa"/>
            <w:vAlign w:val="bottom"/>
            <w:shd w:val="clear" w:color="auto" w:fill="DFDEEE"/>
          </w:tcPr>
          <w:p>
            <w:pPr>
              <w:spacing w:after="0"/>
              <w:rPr>
                <w:sz w:val="7"/>
                <w:szCs w:val="7"/>
                <w:color w:val="auto"/>
              </w:rPr>
            </w:pPr>
          </w:p>
        </w:tc>
        <w:tc>
          <w:tcPr>
            <w:tcW w:w="1180" w:type="dxa"/>
            <w:vAlign w:val="bottom"/>
            <w:shd w:val="clear" w:color="auto" w:fill="DFDEEE"/>
          </w:tcPr>
          <w:p>
            <w:pPr>
              <w:spacing w:after="0"/>
              <w:rPr>
                <w:sz w:val="7"/>
                <w:szCs w:val="7"/>
                <w:color w:val="auto"/>
              </w:rPr>
            </w:pPr>
          </w:p>
        </w:tc>
        <w:tc>
          <w:tcPr>
            <w:tcW w:w="960" w:type="dxa"/>
            <w:vAlign w:val="bottom"/>
            <w:shd w:val="clear" w:color="auto" w:fill="DFDEE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00" w:type="dxa"/>
            <w:vAlign w:val="bottom"/>
            <w:tcBorders>
              <w:bottom w:val="single" w:sz="8" w:color="DFDEEE"/>
            </w:tcBorders>
            <w:shd w:val="clear" w:color="auto" w:fill="DFDEEE"/>
          </w:tcPr>
          <w:p>
            <w:pPr>
              <w:spacing w:after="0"/>
              <w:rPr>
                <w:sz w:val="7"/>
                <w:szCs w:val="7"/>
                <w:color w:val="auto"/>
              </w:rPr>
            </w:pPr>
          </w:p>
        </w:tc>
        <w:tc>
          <w:tcPr>
            <w:tcW w:w="960" w:type="dxa"/>
            <w:vAlign w:val="bottom"/>
            <w:tcBorders>
              <w:bottom w:val="single" w:sz="8" w:color="BCBEC0"/>
            </w:tcBorders>
            <w:shd w:val="clear" w:color="auto" w:fill="DFDEEE"/>
          </w:tcPr>
          <w:p>
            <w:pPr>
              <w:spacing w:after="0"/>
              <w:rPr>
                <w:sz w:val="7"/>
                <w:szCs w:val="7"/>
                <w:color w:val="auto"/>
              </w:rPr>
            </w:pPr>
          </w:p>
        </w:tc>
        <w:tc>
          <w:tcPr>
            <w:tcW w:w="1140" w:type="dxa"/>
            <w:vAlign w:val="bottom"/>
            <w:tcBorders>
              <w:bottom w:val="single" w:sz="8" w:color="BCBEC0"/>
            </w:tcBorders>
            <w:shd w:val="clear" w:color="auto" w:fill="DFDEEE"/>
          </w:tcPr>
          <w:p>
            <w:pPr>
              <w:spacing w:after="0"/>
              <w:rPr>
                <w:sz w:val="7"/>
                <w:szCs w:val="7"/>
                <w:color w:val="auto"/>
              </w:rPr>
            </w:pPr>
          </w:p>
        </w:tc>
        <w:tc>
          <w:tcPr>
            <w:tcW w:w="940" w:type="dxa"/>
            <w:vAlign w:val="bottom"/>
            <w:tcBorders>
              <w:bottom w:val="single" w:sz="8" w:color="BCBEC0"/>
            </w:tcBorders>
            <w:shd w:val="clear" w:color="auto" w:fill="DFDEEE"/>
          </w:tcPr>
          <w:p>
            <w:pPr>
              <w:spacing w:after="0"/>
              <w:rPr>
                <w:sz w:val="7"/>
                <w:szCs w:val="7"/>
                <w:color w:val="auto"/>
              </w:rPr>
            </w:pPr>
          </w:p>
        </w:tc>
        <w:tc>
          <w:tcPr>
            <w:tcW w:w="1240" w:type="dxa"/>
            <w:vAlign w:val="bottom"/>
            <w:tcBorders>
              <w:bottom w:val="single" w:sz="8" w:color="BCBEC0"/>
            </w:tcBorders>
            <w:shd w:val="clear" w:color="auto" w:fill="DFDEEE"/>
          </w:tcPr>
          <w:p>
            <w:pPr>
              <w:spacing w:after="0"/>
              <w:rPr>
                <w:sz w:val="7"/>
                <w:szCs w:val="7"/>
                <w:color w:val="auto"/>
              </w:rPr>
            </w:pPr>
          </w:p>
        </w:tc>
        <w:tc>
          <w:tcPr>
            <w:tcW w:w="800" w:type="dxa"/>
            <w:vAlign w:val="bottom"/>
            <w:tcBorders>
              <w:bottom w:val="single" w:sz="8" w:color="BCBEC0"/>
            </w:tcBorders>
            <w:shd w:val="clear" w:color="auto" w:fill="DFDEEE"/>
          </w:tcPr>
          <w:p>
            <w:pPr>
              <w:spacing w:after="0"/>
              <w:rPr>
                <w:sz w:val="7"/>
                <w:szCs w:val="7"/>
                <w:color w:val="auto"/>
              </w:rPr>
            </w:pPr>
          </w:p>
        </w:tc>
        <w:tc>
          <w:tcPr>
            <w:tcW w:w="140" w:type="dxa"/>
            <w:vAlign w:val="bottom"/>
            <w:tcBorders>
              <w:bottom w:val="single" w:sz="8" w:color="BCBEC0"/>
            </w:tcBorders>
            <w:shd w:val="clear" w:color="auto" w:fill="DFDEEE"/>
          </w:tcPr>
          <w:p>
            <w:pPr>
              <w:spacing w:after="0"/>
              <w:rPr>
                <w:sz w:val="7"/>
                <w:szCs w:val="7"/>
                <w:color w:val="auto"/>
              </w:rPr>
            </w:pPr>
          </w:p>
        </w:tc>
        <w:tc>
          <w:tcPr>
            <w:tcW w:w="920" w:type="dxa"/>
            <w:vAlign w:val="bottom"/>
            <w:tcBorders>
              <w:bottom w:val="single" w:sz="8" w:color="BCBEC0"/>
            </w:tcBorders>
            <w:shd w:val="clear" w:color="auto" w:fill="DFDEEE"/>
          </w:tcPr>
          <w:p>
            <w:pPr>
              <w:spacing w:after="0"/>
              <w:rPr>
                <w:sz w:val="7"/>
                <w:szCs w:val="7"/>
                <w:color w:val="auto"/>
              </w:rPr>
            </w:pPr>
          </w:p>
        </w:tc>
        <w:tc>
          <w:tcPr>
            <w:tcW w:w="1180" w:type="dxa"/>
            <w:vAlign w:val="bottom"/>
            <w:tcBorders>
              <w:bottom w:val="single" w:sz="8" w:color="BCBEC0"/>
            </w:tcBorders>
            <w:shd w:val="clear" w:color="auto" w:fill="DFDEEE"/>
          </w:tcPr>
          <w:p>
            <w:pPr>
              <w:spacing w:after="0"/>
              <w:rPr>
                <w:sz w:val="7"/>
                <w:szCs w:val="7"/>
                <w:color w:val="auto"/>
              </w:rPr>
            </w:pPr>
          </w:p>
        </w:tc>
        <w:tc>
          <w:tcPr>
            <w:tcW w:w="580" w:type="dxa"/>
            <w:vAlign w:val="bottom"/>
            <w:tcBorders>
              <w:bottom w:val="single" w:sz="8" w:color="BCBEC0"/>
            </w:tcBorders>
            <w:shd w:val="clear" w:color="auto" w:fill="DFDEEE"/>
          </w:tcPr>
          <w:p>
            <w:pPr>
              <w:spacing w:after="0"/>
              <w:rPr>
                <w:sz w:val="7"/>
                <w:szCs w:val="7"/>
                <w:color w:val="auto"/>
              </w:rPr>
            </w:pPr>
          </w:p>
        </w:tc>
        <w:tc>
          <w:tcPr>
            <w:tcW w:w="1180" w:type="dxa"/>
            <w:vAlign w:val="bottom"/>
            <w:tcBorders>
              <w:bottom w:val="single" w:sz="8" w:color="BCBEC0"/>
            </w:tcBorders>
            <w:shd w:val="clear" w:color="auto" w:fill="DFDEEE"/>
          </w:tcPr>
          <w:p>
            <w:pPr>
              <w:spacing w:after="0"/>
              <w:rPr>
                <w:sz w:val="7"/>
                <w:szCs w:val="7"/>
                <w:color w:val="auto"/>
              </w:rPr>
            </w:pPr>
          </w:p>
        </w:tc>
        <w:tc>
          <w:tcPr>
            <w:tcW w:w="960" w:type="dxa"/>
            <w:vAlign w:val="bottom"/>
            <w:tcBorders>
              <w:bottom w:val="single" w:sz="8" w:color="BCBEC0"/>
            </w:tcBorders>
            <w:shd w:val="clear" w:color="auto" w:fill="DFDEEE"/>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1200" w:type="dxa"/>
            <w:vAlign w:val="bottom"/>
            <w:tcBorders>
              <w:bottom w:val="single" w:sz="8" w:color="DFDEEE"/>
            </w:tcBorders>
            <w:shd w:val="clear" w:color="auto" w:fill="DFDEEE"/>
          </w:tcPr>
          <w:p>
            <w:pPr>
              <w:spacing w:after="0"/>
              <w:rPr>
                <w:sz w:val="17"/>
                <w:szCs w:val="17"/>
                <w:color w:val="auto"/>
              </w:rPr>
            </w:pPr>
          </w:p>
        </w:tc>
        <w:tc>
          <w:tcPr>
            <w:tcW w:w="9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RPSR</w:t>
            </w:r>
          </w:p>
        </w:tc>
        <w:tc>
          <w:tcPr>
            <w:tcW w:w="1140" w:type="dxa"/>
            <w:vAlign w:val="bottom"/>
            <w:tcBorders>
              <w:bottom w:val="single" w:sz="8" w:color="BCBEC0"/>
            </w:tcBorders>
            <w:shd w:val="clear" w:color="auto" w:fill="DFDEEE"/>
          </w:tcPr>
          <w:p>
            <w:pPr>
              <w:jc w:val="right"/>
              <w:ind w:right="409"/>
              <w:spacing w:after="0"/>
              <w:rPr>
                <w:sz w:val="20"/>
                <w:szCs w:val="20"/>
                <w:color w:val="auto"/>
              </w:rPr>
            </w:pPr>
            <w:r>
              <w:rPr>
                <w:rFonts w:ascii="Arial" w:cs="Arial" w:eastAsia="Arial" w:hAnsi="Arial"/>
                <w:sz w:val="14"/>
                <w:szCs w:val="14"/>
                <w:color w:val="auto"/>
              </w:rPr>
              <w:t>2/16/2023</w:t>
            </w:r>
          </w:p>
        </w:tc>
        <w:tc>
          <w:tcPr>
            <w:tcW w:w="940" w:type="dxa"/>
            <w:vAlign w:val="bottom"/>
            <w:tcBorders>
              <w:bottom w:val="single" w:sz="8" w:color="BCBEC0"/>
            </w:tcBorders>
            <w:shd w:val="clear" w:color="auto" w:fill="DFDEEE"/>
          </w:tcPr>
          <w:p>
            <w:pPr>
              <w:spacing w:after="0"/>
              <w:rPr>
                <w:sz w:val="17"/>
                <w:szCs w:val="17"/>
                <w:color w:val="auto"/>
              </w:rPr>
            </w:pPr>
          </w:p>
        </w:tc>
        <w:tc>
          <w:tcPr>
            <w:tcW w:w="1240" w:type="dxa"/>
            <w:vAlign w:val="bottom"/>
            <w:tcBorders>
              <w:bottom w:val="single" w:sz="8" w:color="BCBEC0"/>
            </w:tcBorders>
            <w:shd w:val="clear" w:color="auto" w:fill="DFDEEE"/>
          </w:tcPr>
          <w:p>
            <w:pPr>
              <w:spacing w:after="0"/>
              <w:rPr>
                <w:sz w:val="17"/>
                <w:szCs w:val="17"/>
                <w:color w:val="auto"/>
              </w:rPr>
            </w:pPr>
          </w:p>
        </w:tc>
        <w:tc>
          <w:tcPr>
            <w:tcW w:w="800" w:type="dxa"/>
            <w:vAlign w:val="bottom"/>
            <w:tcBorders>
              <w:bottom w:val="single" w:sz="8" w:color="BCBEC0"/>
            </w:tcBorders>
            <w:shd w:val="clear" w:color="auto" w:fill="DFDEEE"/>
          </w:tcPr>
          <w:p>
            <w:pPr>
              <w:spacing w:after="0"/>
              <w:rPr>
                <w:sz w:val="17"/>
                <w:szCs w:val="17"/>
                <w:color w:val="auto"/>
              </w:rPr>
            </w:pPr>
          </w:p>
        </w:tc>
        <w:tc>
          <w:tcPr>
            <w:tcW w:w="140" w:type="dxa"/>
            <w:vAlign w:val="bottom"/>
            <w:tcBorders>
              <w:bottom w:val="single" w:sz="8" w:color="BCBEC0"/>
            </w:tcBorders>
            <w:shd w:val="clear" w:color="auto" w:fill="DFDEEE"/>
          </w:tcPr>
          <w:p>
            <w:pPr>
              <w:spacing w:after="0"/>
              <w:rPr>
                <w:sz w:val="17"/>
                <w:szCs w:val="17"/>
                <w:color w:val="auto"/>
              </w:rPr>
            </w:pPr>
          </w:p>
        </w:tc>
        <w:tc>
          <w:tcPr>
            <w:tcW w:w="920" w:type="dxa"/>
            <w:vAlign w:val="bottom"/>
            <w:tcBorders>
              <w:bottom w:val="single" w:sz="8" w:color="BCBEC0"/>
            </w:tcBorders>
            <w:shd w:val="clear" w:color="auto" w:fill="DFDEEE"/>
          </w:tcPr>
          <w:p>
            <w:pPr>
              <w:ind w:left="68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BCBEC0"/>
            </w:tcBorders>
            <w:shd w:val="clear" w:color="auto" w:fill="DFDEEE"/>
          </w:tcPr>
          <w:p>
            <w:pPr>
              <w:jc w:val="right"/>
              <w:ind w:right="393"/>
              <w:spacing w:after="0"/>
              <w:rPr>
                <w:sz w:val="20"/>
                <w:szCs w:val="20"/>
                <w:color w:val="auto"/>
              </w:rPr>
            </w:pPr>
            <w:r>
              <w:rPr>
                <w:rFonts w:ascii="Arial" w:cs="Arial" w:eastAsia="Arial" w:hAnsi="Arial"/>
                <w:sz w:val="14"/>
                <w:szCs w:val="14"/>
                <w:color w:val="auto"/>
              </w:rPr>
              <w:t>23,342</w:t>
            </w:r>
          </w:p>
        </w:tc>
        <w:tc>
          <w:tcPr>
            <w:tcW w:w="5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46,684</w:t>
            </w:r>
          </w:p>
        </w:tc>
        <w:tc>
          <w:tcPr>
            <w:tcW w:w="1180" w:type="dxa"/>
            <w:vAlign w:val="bottom"/>
            <w:tcBorders>
              <w:bottom w:val="single" w:sz="8" w:color="BCBEC0"/>
            </w:tcBorders>
            <w:shd w:val="clear" w:color="auto" w:fill="DFDEEE"/>
          </w:tcPr>
          <w:p>
            <w:pPr>
              <w:spacing w:after="0"/>
              <w:rPr>
                <w:sz w:val="17"/>
                <w:szCs w:val="17"/>
                <w:color w:val="auto"/>
              </w:rPr>
            </w:pPr>
          </w:p>
        </w:tc>
        <w:tc>
          <w:tcPr>
            <w:tcW w:w="9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11,200,296</w:t>
            </w:r>
          </w:p>
        </w:tc>
        <w:tc>
          <w:tcPr>
            <w:tcW w:w="0" w:type="dxa"/>
            <w:vAlign w:val="bottom"/>
          </w:tcPr>
          <w:p>
            <w:pPr>
              <w:spacing w:after="0"/>
              <w:rPr>
                <w:sz w:val="1"/>
                <w:szCs w:val="1"/>
                <w:color w:val="auto"/>
              </w:rPr>
            </w:pPr>
          </w:p>
        </w:tc>
      </w:tr>
      <w:tr>
        <w:trPr>
          <w:trHeight w:val="210"/>
        </w:trPr>
        <w:tc>
          <w:tcPr>
            <w:tcW w:w="1200" w:type="dxa"/>
            <w:vAlign w:val="bottom"/>
            <w:tcBorders>
              <w:bottom w:val="single" w:sz="8" w:color="BCBEC0"/>
            </w:tcBorders>
            <w:shd w:val="clear" w:color="auto" w:fill="DFDEEE"/>
          </w:tcPr>
          <w:p>
            <w:pPr>
              <w:spacing w:after="0"/>
              <w:rPr>
                <w:sz w:val="18"/>
                <w:szCs w:val="18"/>
                <w:color w:val="auto"/>
              </w:rPr>
            </w:pPr>
          </w:p>
        </w:tc>
        <w:tc>
          <w:tcPr>
            <w:tcW w:w="9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RSR</w:t>
            </w:r>
          </w:p>
        </w:tc>
        <w:tc>
          <w:tcPr>
            <w:tcW w:w="1140" w:type="dxa"/>
            <w:vAlign w:val="bottom"/>
            <w:tcBorders>
              <w:bottom w:val="single" w:sz="8" w:color="BCBEC0"/>
            </w:tcBorders>
            <w:shd w:val="clear" w:color="auto" w:fill="DFDEEE"/>
          </w:tcPr>
          <w:p>
            <w:pPr>
              <w:jc w:val="right"/>
              <w:ind w:right="409"/>
              <w:spacing w:after="0"/>
              <w:rPr>
                <w:sz w:val="20"/>
                <w:szCs w:val="20"/>
                <w:color w:val="auto"/>
              </w:rPr>
            </w:pPr>
            <w:r>
              <w:rPr>
                <w:rFonts w:ascii="Arial" w:cs="Arial" w:eastAsia="Arial" w:hAnsi="Arial"/>
                <w:sz w:val="14"/>
                <w:szCs w:val="14"/>
                <w:color w:val="auto"/>
              </w:rPr>
              <w:t>2/16/2023</w:t>
            </w:r>
          </w:p>
        </w:tc>
        <w:tc>
          <w:tcPr>
            <w:tcW w:w="940" w:type="dxa"/>
            <w:vAlign w:val="bottom"/>
            <w:tcBorders>
              <w:bottom w:val="single" w:sz="8" w:color="BCBEC0"/>
            </w:tcBorders>
            <w:shd w:val="clear" w:color="auto" w:fill="DFDEEE"/>
          </w:tcPr>
          <w:p>
            <w:pPr>
              <w:spacing w:after="0"/>
              <w:rPr>
                <w:sz w:val="18"/>
                <w:szCs w:val="18"/>
                <w:color w:val="auto"/>
              </w:rPr>
            </w:pPr>
          </w:p>
        </w:tc>
        <w:tc>
          <w:tcPr>
            <w:tcW w:w="1240" w:type="dxa"/>
            <w:vAlign w:val="bottom"/>
            <w:tcBorders>
              <w:bottom w:val="single" w:sz="8" w:color="BCBEC0"/>
            </w:tcBorders>
            <w:shd w:val="clear" w:color="auto" w:fill="DFDEEE"/>
          </w:tcPr>
          <w:p>
            <w:pPr>
              <w:spacing w:after="0"/>
              <w:rPr>
                <w:sz w:val="18"/>
                <w:szCs w:val="18"/>
                <w:color w:val="auto"/>
              </w:rPr>
            </w:pPr>
          </w:p>
        </w:tc>
        <w:tc>
          <w:tcPr>
            <w:tcW w:w="800" w:type="dxa"/>
            <w:vAlign w:val="bottom"/>
            <w:tcBorders>
              <w:bottom w:val="single" w:sz="8" w:color="BCBEC0"/>
            </w:tcBorders>
            <w:shd w:val="clear" w:color="auto" w:fill="DFDEEE"/>
          </w:tcPr>
          <w:p>
            <w:pPr>
              <w:spacing w:after="0"/>
              <w:rPr>
                <w:sz w:val="18"/>
                <w:szCs w:val="18"/>
                <w:color w:val="auto"/>
              </w:rPr>
            </w:pPr>
          </w:p>
        </w:tc>
        <w:tc>
          <w:tcPr>
            <w:tcW w:w="140" w:type="dxa"/>
            <w:vAlign w:val="bottom"/>
            <w:tcBorders>
              <w:bottom w:val="single" w:sz="8" w:color="BCBEC0"/>
            </w:tcBorders>
            <w:shd w:val="clear" w:color="auto" w:fill="DFDEEE"/>
          </w:tcPr>
          <w:p>
            <w:pPr>
              <w:spacing w:after="0"/>
              <w:rPr>
                <w:sz w:val="18"/>
                <w:szCs w:val="18"/>
                <w:color w:val="auto"/>
              </w:rPr>
            </w:pPr>
          </w:p>
        </w:tc>
        <w:tc>
          <w:tcPr>
            <w:tcW w:w="920" w:type="dxa"/>
            <w:vAlign w:val="bottom"/>
            <w:tcBorders>
              <w:bottom w:val="single" w:sz="8" w:color="BCBEC0"/>
            </w:tcBorders>
            <w:shd w:val="clear" w:color="auto" w:fill="DFDEEE"/>
          </w:tcPr>
          <w:p>
            <w:pPr>
              <w:spacing w:after="0"/>
              <w:rPr>
                <w:sz w:val="18"/>
                <w:szCs w:val="18"/>
                <w:color w:val="auto"/>
              </w:rPr>
            </w:pPr>
          </w:p>
        </w:tc>
        <w:tc>
          <w:tcPr>
            <w:tcW w:w="1180" w:type="dxa"/>
            <w:vAlign w:val="bottom"/>
            <w:tcBorders>
              <w:bottom w:val="single" w:sz="8" w:color="BCBEC0"/>
            </w:tcBorders>
            <w:shd w:val="clear" w:color="auto" w:fill="DFDEEE"/>
          </w:tcPr>
          <w:p>
            <w:pPr>
              <w:spacing w:after="0"/>
              <w:rPr>
                <w:sz w:val="18"/>
                <w:szCs w:val="18"/>
                <w:color w:val="auto"/>
              </w:rPr>
            </w:pPr>
          </w:p>
        </w:tc>
        <w:tc>
          <w:tcPr>
            <w:tcW w:w="580" w:type="dxa"/>
            <w:vAlign w:val="bottom"/>
            <w:tcBorders>
              <w:bottom w:val="single" w:sz="8" w:color="BCBEC0"/>
            </w:tcBorders>
            <w:shd w:val="clear" w:color="auto" w:fill="DFDEEE"/>
          </w:tcPr>
          <w:p>
            <w:pPr>
              <w:spacing w:after="0"/>
              <w:rPr>
                <w:sz w:val="18"/>
                <w:szCs w:val="18"/>
                <w:color w:val="auto"/>
              </w:rPr>
            </w:pPr>
          </w:p>
        </w:tc>
        <w:tc>
          <w:tcPr>
            <w:tcW w:w="1180" w:type="dxa"/>
            <w:vAlign w:val="bottom"/>
            <w:tcBorders>
              <w:bottom w:val="single" w:sz="8" w:color="BCBEC0"/>
            </w:tcBorders>
            <w:shd w:val="clear" w:color="auto" w:fill="DFDEEE"/>
          </w:tcPr>
          <w:p>
            <w:pPr>
              <w:jc w:val="right"/>
              <w:ind w:right="156"/>
              <w:spacing w:after="0"/>
              <w:rPr>
                <w:sz w:val="20"/>
                <w:szCs w:val="20"/>
                <w:color w:val="auto"/>
              </w:rPr>
            </w:pPr>
            <w:r>
              <w:rPr>
                <w:rFonts w:ascii="Arial" w:cs="Arial" w:eastAsia="Arial" w:hAnsi="Arial"/>
                <w:sz w:val="14"/>
                <w:szCs w:val="14"/>
                <w:color w:val="auto"/>
              </w:rPr>
              <w:t>10,760</w:t>
            </w:r>
          </w:p>
        </w:tc>
        <w:tc>
          <w:tcPr>
            <w:tcW w:w="9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4,800,144</w:t>
            </w:r>
          </w:p>
        </w:tc>
        <w:tc>
          <w:tcPr>
            <w:tcW w:w="0" w:type="dxa"/>
            <w:vAlign w:val="bottom"/>
          </w:tcPr>
          <w:p>
            <w:pPr>
              <w:spacing w:after="0"/>
              <w:rPr>
                <w:sz w:val="1"/>
                <w:szCs w:val="1"/>
                <w:color w:val="auto"/>
              </w:rPr>
            </w:pPr>
          </w:p>
        </w:tc>
      </w:tr>
      <w:tr>
        <w:trPr>
          <w:trHeight w:val="225"/>
        </w:trPr>
        <w:tc>
          <w:tcPr>
            <w:tcW w:w="1200" w:type="dxa"/>
            <w:vAlign w:val="bottom"/>
          </w:tcPr>
          <w:p>
            <w:pPr>
              <w:ind w:left="20"/>
              <w:spacing w:after="0"/>
              <w:rPr>
                <w:sz w:val="20"/>
                <w:szCs w:val="20"/>
                <w:color w:val="auto"/>
              </w:rPr>
            </w:pPr>
            <w:r>
              <w:rPr>
                <w:rFonts w:ascii="Arial" w:cs="Arial" w:eastAsia="Arial" w:hAnsi="Arial"/>
                <w:sz w:val="14"/>
                <w:szCs w:val="14"/>
                <w:b w:val="1"/>
                <w:bCs w:val="1"/>
                <w:color w:val="29378D"/>
              </w:rPr>
              <w:t>David F. Keffer</w:t>
            </w:r>
          </w:p>
        </w:tc>
        <w:tc>
          <w:tcPr>
            <w:tcW w:w="960" w:type="dxa"/>
            <w:vAlign w:val="bottom"/>
          </w:tcPr>
          <w:p>
            <w:pPr>
              <w:ind w:left="20"/>
              <w:spacing w:after="0"/>
              <w:rPr>
                <w:sz w:val="20"/>
                <w:szCs w:val="20"/>
                <w:color w:val="auto"/>
              </w:rPr>
            </w:pPr>
            <w:r>
              <w:rPr>
                <w:rFonts w:ascii="Arial" w:cs="Arial" w:eastAsia="Arial" w:hAnsi="Arial"/>
                <w:sz w:val="14"/>
                <w:szCs w:val="14"/>
                <w:color w:val="auto"/>
              </w:rPr>
              <w:t>Incentive Plan</w:t>
            </w:r>
          </w:p>
        </w:tc>
        <w:tc>
          <w:tcPr>
            <w:tcW w:w="1140" w:type="dxa"/>
            <w:vAlign w:val="bottom"/>
          </w:tcPr>
          <w:p>
            <w:pPr>
              <w:spacing w:after="0"/>
              <w:rPr>
                <w:sz w:val="19"/>
                <w:szCs w:val="19"/>
                <w:color w:val="auto"/>
              </w:rPr>
            </w:pPr>
          </w:p>
        </w:tc>
        <w:tc>
          <w:tcPr>
            <w:tcW w:w="940" w:type="dxa"/>
            <w:vAlign w:val="bottom"/>
            <w:vMerge w:val="restart"/>
          </w:tcPr>
          <w:p>
            <w:pPr>
              <w:ind w:left="720"/>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213"/>
              <w:spacing w:after="0"/>
              <w:rPr>
                <w:sz w:val="20"/>
                <w:szCs w:val="20"/>
                <w:color w:val="auto"/>
              </w:rPr>
            </w:pPr>
            <w:r>
              <w:rPr>
                <w:rFonts w:ascii="Arial" w:cs="Arial" w:eastAsia="Arial" w:hAnsi="Arial"/>
                <w:sz w:val="14"/>
                <w:szCs w:val="14"/>
                <w:color w:val="auto"/>
              </w:rPr>
              <w:t>897,750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1,885,275</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1200" w:type="dxa"/>
            <w:vAlign w:val="bottom"/>
          </w:tcPr>
          <w:p>
            <w:pPr>
              <w:spacing w:after="0"/>
              <w:rPr>
                <w:sz w:val="7"/>
                <w:szCs w:val="7"/>
                <w:color w:val="auto"/>
              </w:rPr>
            </w:pPr>
          </w:p>
        </w:tc>
        <w:tc>
          <w:tcPr>
            <w:tcW w:w="960" w:type="dxa"/>
            <w:vAlign w:val="bottom"/>
            <w:tcBorders>
              <w:bottom w:val="single" w:sz="8" w:color="BCBEC0"/>
            </w:tcBorders>
          </w:tcPr>
          <w:p>
            <w:pPr>
              <w:spacing w:after="0"/>
              <w:rPr>
                <w:sz w:val="7"/>
                <w:szCs w:val="7"/>
                <w:color w:val="auto"/>
              </w:rPr>
            </w:pPr>
          </w:p>
        </w:tc>
        <w:tc>
          <w:tcPr>
            <w:tcW w:w="1140" w:type="dxa"/>
            <w:vAlign w:val="bottom"/>
            <w:tcBorders>
              <w:bottom w:val="single" w:sz="8" w:color="BCBEC0"/>
            </w:tcBorders>
          </w:tcPr>
          <w:p>
            <w:pPr>
              <w:spacing w:after="0"/>
              <w:rPr>
                <w:sz w:val="7"/>
                <w:szCs w:val="7"/>
                <w:color w:val="auto"/>
              </w:rPr>
            </w:pPr>
          </w:p>
        </w:tc>
        <w:tc>
          <w:tcPr>
            <w:tcW w:w="940" w:type="dxa"/>
            <w:vAlign w:val="bottom"/>
            <w:tcBorders>
              <w:bottom w:val="single" w:sz="8" w:color="BCBEC0"/>
            </w:tcBorders>
          </w:tcPr>
          <w:p>
            <w:pPr>
              <w:spacing w:after="0"/>
              <w:rPr>
                <w:sz w:val="7"/>
                <w:szCs w:val="7"/>
                <w:color w:val="auto"/>
              </w:rPr>
            </w:pPr>
          </w:p>
        </w:tc>
        <w:tc>
          <w:tcPr>
            <w:tcW w:w="1240" w:type="dxa"/>
            <w:vAlign w:val="bottom"/>
            <w:tcBorders>
              <w:bottom w:val="single" w:sz="8" w:color="BCBEC0"/>
            </w:tcBorders>
          </w:tcPr>
          <w:p>
            <w:pPr>
              <w:spacing w:after="0"/>
              <w:rPr>
                <w:sz w:val="7"/>
                <w:szCs w:val="7"/>
                <w:color w:val="auto"/>
              </w:rPr>
            </w:pPr>
          </w:p>
        </w:tc>
        <w:tc>
          <w:tcPr>
            <w:tcW w:w="800" w:type="dxa"/>
            <w:vAlign w:val="bottom"/>
            <w:tcBorders>
              <w:bottom w:val="single" w:sz="8" w:color="BCBEC0"/>
            </w:tcBorders>
          </w:tcPr>
          <w:p>
            <w:pPr>
              <w:spacing w:after="0"/>
              <w:rPr>
                <w:sz w:val="7"/>
                <w:szCs w:val="7"/>
                <w:color w:val="auto"/>
              </w:rPr>
            </w:pPr>
          </w:p>
        </w:tc>
        <w:tc>
          <w:tcPr>
            <w:tcW w:w="140" w:type="dxa"/>
            <w:vAlign w:val="bottom"/>
            <w:tcBorders>
              <w:bottom w:val="single" w:sz="8" w:color="BCBEC0"/>
            </w:tcBorders>
          </w:tcPr>
          <w:p>
            <w:pPr>
              <w:spacing w:after="0"/>
              <w:rPr>
                <w:sz w:val="7"/>
                <w:szCs w:val="7"/>
                <w:color w:val="auto"/>
              </w:rPr>
            </w:pPr>
          </w:p>
        </w:tc>
        <w:tc>
          <w:tcPr>
            <w:tcW w:w="920" w:type="dxa"/>
            <w:vAlign w:val="bottom"/>
            <w:tcBorders>
              <w:bottom w:val="single" w:sz="8" w:color="BCBEC0"/>
            </w:tcBorders>
          </w:tcPr>
          <w:p>
            <w:pPr>
              <w:spacing w:after="0"/>
              <w:rPr>
                <w:sz w:val="7"/>
                <w:szCs w:val="7"/>
                <w:color w:val="auto"/>
              </w:rPr>
            </w:pPr>
          </w:p>
        </w:tc>
        <w:tc>
          <w:tcPr>
            <w:tcW w:w="1180" w:type="dxa"/>
            <w:vAlign w:val="bottom"/>
            <w:tcBorders>
              <w:bottom w:val="single" w:sz="8" w:color="BCBEC0"/>
            </w:tcBorders>
          </w:tcPr>
          <w:p>
            <w:pPr>
              <w:spacing w:after="0"/>
              <w:rPr>
                <w:sz w:val="7"/>
                <w:szCs w:val="7"/>
                <w:color w:val="auto"/>
              </w:rPr>
            </w:pPr>
          </w:p>
        </w:tc>
        <w:tc>
          <w:tcPr>
            <w:tcW w:w="580" w:type="dxa"/>
            <w:vAlign w:val="bottom"/>
            <w:tcBorders>
              <w:bottom w:val="single" w:sz="8" w:color="BCBEC0"/>
            </w:tcBorders>
          </w:tcPr>
          <w:p>
            <w:pPr>
              <w:spacing w:after="0"/>
              <w:rPr>
                <w:sz w:val="7"/>
                <w:szCs w:val="7"/>
                <w:color w:val="auto"/>
              </w:rPr>
            </w:pPr>
          </w:p>
        </w:tc>
        <w:tc>
          <w:tcPr>
            <w:tcW w:w="1180" w:type="dxa"/>
            <w:vAlign w:val="bottom"/>
            <w:tcBorders>
              <w:bottom w:val="single" w:sz="8" w:color="BCBEC0"/>
            </w:tcBorders>
          </w:tcPr>
          <w:p>
            <w:pPr>
              <w:spacing w:after="0"/>
              <w:rPr>
                <w:sz w:val="7"/>
                <w:szCs w:val="7"/>
                <w:color w:val="auto"/>
              </w:rPr>
            </w:pPr>
          </w:p>
        </w:tc>
        <w:tc>
          <w:tcPr>
            <w:tcW w:w="960" w:type="dxa"/>
            <w:vAlign w:val="bottom"/>
            <w:tcBorders>
              <w:bottom w:val="single" w:sz="8" w:color="BCBEC0"/>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1200" w:type="dxa"/>
            <w:vAlign w:val="bottom"/>
          </w:tcPr>
          <w:p>
            <w:pPr>
              <w:spacing w:after="0"/>
              <w:rPr>
                <w:sz w:val="17"/>
                <w:szCs w:val="17"/>
                <w:color w:val="auto"/>
              </w:rPr>
            </w:pPr>
          </w:p>
        </w:tc>
        <w:tc>
          <w:tcPr>
            <w:tcW w:w="96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RPSR</w:t>
            </w:r>
          </w:p>
        </w:tc>
        <w:tc>
          <w:tcPr>
            <w:tcW w:w="1140" w:type="dxa"/>
            <w:vAlign w:val="bottom"/>
            <w:tcBorders>
              <w:bottom w:val="single" w:sz="8" w:color="BCBEC0"/>
            </w:tcBorders>
          </w:tcPr>
          <w:p>
            <w:pPr>
              <w:jc w:val="right"/>
              <w:ind w:right="409"/>
              <w:spacing w:after="0"/>
              <w:rPr>
                <w:sz w:val="20"/>
                <w:szCs w:val="20"/>
                <w:color w:val="auto"/>
              </w:rPr>
            </w:pPr>
            <w:r>
              <w:rPr>
                <w:rFonts w:ascii="Arial" w:cs="Arial" w:eastAsia="Arial" w:hAnsi="Arial"/>
                <w:sz w:val="14"/>
                <w:szCs w:val="14"/>
                <w:color w:val="auto"/>
              </w:rPr>
              <w:t>2/16/2023</w:t>
            </w:r>
          </w:p>
        </w:tc>
        <w:tc>
          <w:tcPr>
            <w:tcW w:w="940" w:type="dxa"/>
            <w:vAlign w:val="bottom"/>
            <w:tcBorders>
              <w:bottom w:val="single" w:sz="8" w:color="BCBEC0"/>
            </w:tcBorders>
          </w:tcPr>
          <w:p>
            <w:pPr>
              <w:spacing w:after="0"/>
              <w:rPr>
                <w:sz w:val="17"/>
                <w:szCs w:val="17"/>
                <w:color w:val="auto"/>
              </w:rPr>
            </w:pPr>
          </w:p>
        </w:tc>
        <w:tc>
          <w:tcPr>
            <w:tcW w:w="1240" w:type="dxa"/>
            <w:vAlign w:val="bottom"/>
            <w:tcBorders>
              <w:bottom w:val="single" w:sz="8" w:color="BCBEC0"/>
            </w:tcBorders>
          </w:tcPr>
          <w:p>
            <w:pPr>
              <w:spacing w:after="0"/>
              <w:rPr>
                <w:sz w:val="17"/>
                <w:szCs w:val="17"/>
                <w:color w:val="auto"/>
              </w:rPr>
            </w:pPr>
          </w:p>
        </w:tc>
        <w:tc>
          <w:tcPr>
            <w:tcW w:w="800" w:type="dxa"/>
            <w:vAlign w:val="bottom"/>
            <w:tcBorders>
              <w:bottom w:val="single" w:sz="8" w:color="BCBEC0"/>
            </w:tcBorders>
          </w:tcPr>
          <w:p>
            <w:pPr>
              <w:spacing w:after="0"/>
              <w:rPr>
                <w:sz w:val="17"/>
                <w:szCs w:val="17"/>
                <w:color w:val="auto"/>
              </w:rPr>
            </w:pPr>
          </w:p>
        </w:tc>
        <w:tc>
          <w:tcPr>
            <w:tcW w:w="140" w:type="dxa"/>
            <w:vAlign w:val="bottom"/>
            <w:tcBorders>
              <w:bottom w:val="single" w:sz="8" w:color="BCBEC0"/>
            </w:tcBorders>
          </w:tcPr>
          <w:p>
            <w:pPr>
              <w:spacing w:after="0"/>
              <w:rPr>
                <w:sz w:val="17"/>
                <w:szCs w:val="17"/>
                <w:color w:val="auto"/>
              </w:rPr>
            </w:pPr>
          </w:p>
        </w:tc>
        <w:tc>
          <w:tcPr>
            <w:tcW w:w="920" w:type="dxa"/>
            <w:vAlign w:val="bottom"/>
            <w:tcBorders>
              <w:bottom w:val="single" w:sz="8" w:color="BCBEC0"/>
            </w:tcBorders>
          </w:tcPr>
          <w:p>
            <w:pPr>
              <w:ind w:left="68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BCBEC0"/>
            </w:tcBorders>
          </w:tcPr>
          <w:p>
            <w:pPr>
              <w:jc w:val="right"/>
              <w:ind w:right="393"/>
              <w:spacing w:after="0"/>
              <w:rPr>
                <w:sz w:val="20"/>
                <w:szCs w:val="20"/>
                <w:color w:val="auto"/>
              </w:rPr>
            </w:pPr>
            <w:r>
              <w:rPr>
                <w:rFonts w:ascii="Arial" w:cs="Arial" w:eastAsia="Arial" w:hAnsi="Arial"/>
                <w:sz w:val="14"/>
                <w:szCs w:val="14"/>
                <w:color w:val="auto"/>
              </w:rPr>
              <w:t>4,960</w:t>
            </w:r>
          </w:p>
        </w:tc>
        <w:tc>
          <w:tcPr>
            <w:tcW w:w="5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9,920</w:t>
            </w:r>
          </w:p>
        </w:tc>
        <w:tc>
          <w:tcPr>
            <w:tcW w:w="1180" w:type="dxa"/>
            <w:vAlign w:val="bottom"/>
            <w:tcBorders>
              <w:bottom w:val="single" w:sz="8" w:color="BCBEC0"/>
            </w:tcBorders>
          </w:tcPr>
          <w:p>
            <w:pPr>
              <w:spacing w:after="0"/>
              <w:rPr>
                <w:sz w:val="17"/>
                <w:szCs w:val="17"/>
                <w:color w:val="auto"/>
              </w:rPr>
            </w:pPr>
          </w:p>
        </w:tc>
        <w:tc>
          <w:tcPr>
            <w:tcW w:w="9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2,380,062</w:t>
            </w:r>
          </w:p>
        </w:tc>
        <w:tc>
          <w:tcPr>
            <w:tcW w:w="0" w:type="dxa"/>
            <w:vAlign w:val="bottom"/>
          </w:tcPr>
          <w:p>
            <w:pPr>
              <w:spacing w:after="0"/>
              <w:rPr>
                <w:sz w:val="1"/>
                <w:szCs w:val="1"/>
                <w:color w:val="auto"/>
              </w:rPr>
            </w:pPr>
          </w:p>
        </w:tc>
      </w:tr>
      <w:tr>
        <w:trPr>
          <w:trHeight w:val="209"/>
        </w:trPr>
        <w:tc>
          <w:tcPr>
            <w:tcW w:w="1200" w:type="dxa"/>
            <w:vAlign w:val="bottom"/>
            <w:tcBorders>
              <w:bottom w:val="single" w:sz="8" w:color="BCBEC0"/>
            </w:tcBorders>
          </w:tcPr>
          <w:p>
            <w:pPr>
              <w:spacing w:after="0"/>
              <w:rPr>
                <w:sz w:val="18"/>
                <w:szCs w:val="18"/>
                <w:color w:val="auto"/>
              </w:rPr>
            </w:pPr>
          </w:p>
        </w:tc>
        <w:tc>
          <w:tcPr>
            <w:tcW w:w="96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RSR</w:t>
            </w:r>
          </w:p>
        </w:tc>
        <w:tc>
          <w:tcPr>
            <w:tcW w:w="1140" w:type="dxa"/>
            <w:vAlign w:val="bottom"/>
            <w:tcBorders>
              <w:bottom w:val="single" w:sz="8" w:color="BCBEC0"/>
            </w:tcBorders>
          </w:tcPr>
          <w:p>
            <w:pPr>
              <w:jc w:val="right"/>
              <w:ind w:right="409"/>
              <w:spacing w:after="0"/>
              <w:rPr>
                <w:sz w:val="20"/>
                <w:szCs w:val="20"/>
                <w:color w:val="auto"/>
              </w:rPr>
            </w:pPr>
            <w:r>
              <w:rPr>
                <w:rFonts w:ascii="Arial" w:cs="Arial" w:eastAsia="Arial" w:hAnsi="Arial"/>
                <w:sz w:val="14"/>
                <w:szCs w:val="14"/>
                <w:color w:val="auto"/>
              </w:rPr>
              <w:t>2/16/2023</w:t>
            </w:r>
          </w:p>
        </w:tc>
        <w:tc>
          <w:tcPr>
            <w:tcW w:w="940" w:type="dxa"/>
            <w:vAlign w:val="bottom"/>
            <w:tcBorders>
              <w:bottom w:val="single" w:sz="8" w:color="BCBEC0"/>
            </w:tcBorders>
          </w:tcPr>
          <w:p>
            <w:pPr>
              <w:spacing w:after="0"/>
              <w:rPr>
                <w:sz w:val="18"/>
                <w:szCs w:val="18"/>
                <w:color w:val="auto"/>
              </w:rPr>
            </w:pPr>
          </w:p>
        </w:tc>
        <w:tc>
          <w:tcPr>
            <w:tcW w:w="1240" w:type="dxa"/>
            <w:vAlign w:val="bottom"/>
            <w:tcBorders>
              <w:bottom w:val="single" w:sz="8" w:color="BCBEC0"/>
            </w:tcBorders>
          </w:tcPr>
          <w:p>
            <w:pPr>
              <w:spacing w:after="0"/>
              <w:rPr>
                <w:sz w:val="18"/>
                <w:szCs w:val="18"/>
                <w:color w:val="auto"/>
              </w:rPr>
            </w:pPr>
          </w:p>
        </w:tc>
        <w:tc>
          <w:tcPr>
            <w:tcW w:w="800" w:type="dxa"/>
            <w:vAlign w:val="bottom"/>
            <w:tcBorders>
              <w:bottom w:val="single" w:sz="8" w:color="BCBEC0"/>
            </w:tcBorders>
          </w:tcPr>
          <w:p>
            <w:pPr>
              <w:spacing w:after="0"/>
              <w:rPr>
                <w:sz w:val="18"/>
                <w:szCs w:val="18"/>
                <w:color w:val="auto"/>
              </w:rPr>
            </w:pPr>
          </w:p>
        </w:tc>
        <w:tc>
          <w:tcPr>
            <w:tcW w:w="140" w:type="dxa"/>
            <w:vAlign w:val="bottom"/>
            <w:tcBorders>
              <w:bottom w:val="single" w:sz="8" w:color="BCBEC0"/>
            </w:tcBorders>
          </w:tcPr>
          <w:p>
            <w:pPr>
              <w:spacing w:after="0"/>
              <w:rPr>
                <w:sz w:val="18"/>
                <w:szCs w:val="18"/>
                <w:color w:val="auto"/>
              </w:rPr>
            </w:pPr>
          </w:p>
        </w:tc>
        <w:tc>
          <w:tcPr>
            <w:tcW w:w="920" w:type="dxa"/>
            <w:vAlign w:val="bottom"/>
            <w:tcBorders>
              <w:bottom w:val="single" w:sz="8" w:color="BCBEC0"/>
            </w:tcBorders>
          </w:tcPr>
          <w:p>
            <w:pPr>
              <w:spacing w:after="0"/>
              <w:rPr>
                <w:sz w:val="18"/>
                <w:szCs w:val="18"/>
                <w:color w:val="auto"/>
              </w:rPr>
            </w:pPr>
          </w:p>
        </w:tc>
        <w:tc>
          <w:tcPr>
            <w:tcW w:w="1180" w:type="dxa"/>
            <w:vAlign w:val="bottom"/>
            <w:tcBorders>
              <w:bottom w:val="single" w:sz="8" w:color="BCBEC0"/>
            </w:tcBorders>
          </w:tcPr>
          <w:p>
            <w:pPr>
              <w:spacing w:after="0"/>
              <w:rPr>
                <w:sz w:val="18"/>
                <w:szCs w:val="18"/>
                <w:color w:val="auto"/>
              </w:rPr>
            </w:pPr>
          </w:p>
        </w:tc>
        <w:tc>
          <w:tcPr>
            <w:tcW w:w="580" w:type="dxa"/>
            <w:vAlign w:val="bottom"/>
            <w:tcBorders>
              <w:bottom w:val="single" w:sz="8" w:color="BCBEC0"/>
            </w:tcBorders>
          </w:tcPr>
          <w:p>
            <w:pPr>
              <w:spacing w:after="0"/>
              <w:rPr>
                <w:sz w:val="18"/>
                <w:szCs w:val="18"/>
                <w:color w:val="auto"/>
              </w:rPr>
            </w:pPr>
          </w:p>
        </w:tc>
        <w:tc>
          <w:tcPr>
            <w:tcW w:w="1180" w:type="dxa"/>
            <w:vAlign w:val="bottom"/>
            <w:tcBorders>
              <w:bottom w:val="single" w:sz="8" w:color="BCBEC0"/>
            </w:tcBorders>
          </w:tcPr>
          <w:p>
            <w:pPr>
              <w:jc w:val="right"/>
              <w:ind w:right="156"/>
              <w:spacing w:after="0"/>
              <w:rPr>
                <w:sz w:val="20"/>
                <w:szCs w:val="20"/>
                <w:color w:val="auto"/>
              </w:rPr>
            </w:pPr>
            <w:r>
              <w:rPr>
                <w:rFonts w:ascii="Arial" w:cs="Arial" w:eastAsia="Arial" w:hAnsi="Arial"/>
                <w:sz w:val="14"/>
                <w:szCs w:val="14"/>
                <w:color w:val="auto"/>
              </w:rPr>
              <w:t>2,286</w:t>
            </w:r>
          </w:p>
        </w:tc>
        <w:tc>
          <w:tcPr>
            <w:tcW w:w="9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1,019,808</w:t>
            </w:r>
          </w:p>
        </w:tc>
        <w:tc>
          <w:tcPr>
            <w:tcW w:w="0" w:type="dxa"/>
            <w:vAlign w:val="bottom"/>
          </w:tcPr>
          <w:p>
            <w:pPr>
              <w:spacing w:after="0"/>
              <w:rPr>
                <w:sz w:val="1"/>
                <w:szCs w:val="1"/>
                <w:color w:val="auto"/>
              </w:rPr>
            </w:pPr>
          </w:p>
        </w:tc>
      </w:tr>
      <w:tr>
        <w:trPr>
          <w:trHeight w:val="187"/>
        </w:trPr>
        <w:tc>
          <w:tcPr>
            <w:tcW w:w="1200" w:type="dxa"/>
            <w:vAlign w:val="bottom"/>
            <w:shd w:val="clear" w:color="auto" w:fill="DFDEEE"/>
          </w:tcPr>
          <w:p>
            <w:pPr>
              <w:ind w:left="20"/>
              <w:spacing w:after="0"/>
              <w:rPr>
                <w:sz w:val="20"/>
                <w:szCs w:val="20"/>
                <w:color w:val="auto"/>
              </w:rPr>
            </w:pPr>
            <w:r>
              <w:rPr>
                <w:rFonts w:ascii="Arial" w:cs="Arial" w:eastAsia="Arial" w:hAnsi="Arial"/>
                <w:sz w:val="14"/>
                <w:szCs w:val="14"/>
                <w:b w:val="1"/>
                <w:bCs w:val="1"/>
                <w:color w:val="29378D"/>
                <w:shd w:val="clear" w:color="auto" w:fill="DFDEEE"/>
              </w:rPr>
              <w:t>Mark A. Caylor</w:t>
            </w:r>
          </w:p>
        </w:tc>
        <w:tc>
          <w:tcPr>
            <w:tcW w:w="960" w:type="dxa"/>
            <w:vAlign w:val="bottom"/>
            <w:shd w:val="clear" w:color="auto" w:fill="DFDEEE"/>
          </w:tcPr>
          <w:p>
            <w:pPr>
              <w:ind w:left="20"/>
              <w:spacing w:after="0"/>
              <w:rPr>
                <w:sz w:val="20"/>
                <w:szCs w:val="20"/>
                <w:color w:val="auto"/>
              </w:rPr>
            </w:pPr>
            <w:r>
              <w:rPr>
                <w:rFonts w:ascii="Arial" w:cs="Arial" w:eastAsia="Arial" w:hAnsi="Arial"/>
                <w:sz w:val="14"/>
                <w:szCs w:val="14"/>
                <w:color w:val="auto"/>
              </w:rPr>
              <w:t>Incentive Plan</w:t>
            </w:r>
          </w:p>
        </w:tc>
        <w:tc>
          <w:tcPr>
            <w:tcW w:w="1140" w:type="dxa"/>
            <w:vAlign w:val="bottom"/>
            <w:shd w:val="clear" w:color="auto" w:fill="DFDEEE"/>
          </w:tcPr>
          <w:p>
            <w:pPr>
              <w:spacing w:after="0"/>
              <w:rPr>
                <w:sz w:val="16"/>
                <w:szCs w:val="16"/>
                <w:color w:val="auto"/>
              </w:rPr>
            </w:pPr>
          </w:p>
        </w:tc>
        <w:tc>
          <w:tcPr>
            <w:tcW w:w="940" w:type="dxa"/>
            <w:vAlign w:val="bottom"/>
            <w:vMerge w:val="restart"/>
            <w:shd w:val="clear" w:color="auto" w:fill="DFDEEE"/>
          </w:tcPr>
          <w:p>
            <w:pPr>
              <w:ind w:left="720"/>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DFDEEE"/>
          </w:tcPr>
          <w:p>
            <w:pPr>
              <w:jc w:val="right"/>
              <w:ind w:right="213"/>
              <w:spacing w:after="0"/>
              <w:rPr>
                <w:sz w:val="20"/>
                <w:szCs w:val="20"/>
                <w:color w:val="auto"/>
              </w:rPr>
            </w:pPr>
            <w:r>
              <w:rPr>
                <w:rFonts w:ascii="Arial" w:cs="Arial" w:eastAsia="Arial" w:hAnsi="Arial"/>
                <w:sz w:val="14"/>
                <w:szCs w:val="14"/>
                <w:color w:val="auto"/>
              </w:rPr>
              <w:t>855,000</w:t>
            </w:r>
          </w:p>
        </w:tc>
        <w:tc>
          <w:tcPr>
            <w:tcW w:w="800" w:type="dxa"/>
            <w:vAlign w:val="bottom"/>
            <w:vMerge w:val="restart"/>
            <w:shd w:val="clear" w:color="auto" w:fill="DFDEEE"/>
          </w:tcPr>
          <w:p>
            <w:pPr>
              <w:jc w:val="right"/>
              <w:spacing w:after="0"/>
              <w:rPr>
                <w:sz w:val="20"/>
                <w:szCs w:val="20"/>
                <w:color w:val="auto"/>
              </w:rPr>
            </w:pPr>
            <w:r>
              <w:rPr>
                <w:rFonts w:ascii="Arial" w:cs="Arial" w:eastAsia="Arial" w:hAnsi="Arial"/>
                <w:sz w:val="14"/>
                <w:szCs w:val="14"/>
                <w:color w:val="auto"/>
              </w:rPr>
              <w:t>1,710,000</w:t>
            </w:r>
          </w:p>
        </w:tc>
        <w:tc>
          <w:tcPr>
            <w:tcW w:w="140" w:type="dxa"/>
            <w:vAlign w:val="bottom"/>
            <w:shd w:val="clear" w:color="auto" w:fill="DFDEEE"/>
          </w:tcPr>
          <w:p>
            <w:pPr>
              <w:spacing w:after="0"/>
              <w:rPr>
                <w:sz w:val="16"/>
                <w:szCs w:val="16"/>
                <w:color w:val="auto"/>
              </w:rPr>
            </w:pPr>
          </w:p>
        </w:tc>
        <w:tc>
          <w:tcPr>
            <w:tcW w:w="920" w:type="dxa"/>
            <w:vAlign w:val="bottom"/>
            <w:shd w:val="clear" w:color="auto" w:fill="DFDEEE"/>
          </w:tcPr>
          <w:p>
            <w:pPr>
              <w:spacing w:after="0"/>
              <w:rPr>
                <w:sz w:val="16"/>
                <w:szCs w:val="16"/>
                <w:color w:val="auto"/>
              </w:rPr>
            </w:pPr>
          </w:p>
        </w:tc>
        <w:tc>
          <w:tcPr>
            <w:tcW w:w="1180" w:type="dxa"/>
            <w:vAlign w:val="bottom"/>
            <w:shd w:val="clear" w:color="auto" w:fill="DFDEEE"/>
          </w:tcPr>
          <w:p>
            <w:pPr>
              <w:spacing w:after="0"/>
              <w:rPr>
                <w:sz w:val="16"/>
                <w:szCs w:val="16"/>
                <w:color w:val="auto"/>
              </w:rPr>
            </w:pPr>
          </w:p>
        </w:tc>
        <w:tc>
          <w:tcPr>
            <w:tcW w:w="580" w:type="dxa"/>
            <w:vAlign w:val="bottom"/>
            <w:shd w:val="clear" w:color="auto" w:fill="DFDEEE"/>
          </w:tcPr>
          <w:p>
            <w:pPr>
              <w:spacing w:after="0"/>
              <w:rPr>
                <w:sz w:val="16"/>
                <w:szCs w:val="16"/>
                <w:color w:val="auto"/>
              </w:rPr>
            </w:pPr>
          </w:p>
        </w:tc>
        <w:tc>
          <w:tcPr>
            <w:tcW w:w="1180" w:type="dxa"/>
            <w:vAlign w:val="bottom"/>
            <w:shd w:val="clear" w:color="auto" w:fill="DFDEEE"/>
          </w:tcPr>
          <w:p>
            <w:pPr>
              <w:spacing w:after="0"/>
              <w:rPr>
                <w:sz w:val="16"/>
                <w:szCs w:val="16"/>
                <w:color w:val="auto"/>
              </w:rPr>
            </w:pPr>
          </w:p>
        </w:tc>
        <w:tc>
          <w:tcPr>
            <w:tcW w:w="960" w:type="dxa"/>
            <w:vAlign w:val="bottom"/>
            <w:shd w:val="clear" w:color="auto" w:fill="DFDEEE"/>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1200" w:type="dxa"/>
            <w:vAlign w:val="bottom"/>
            <w:shd w:val="clear" w:color="auto" w:fill="DFDEEE"/>
          </w:tcPr>
          <w:p>
            <w:pPr>
              <w:spacing w:after="0"/>
              <w:rPr>
                <w:sz w:val="7"/>
                <w:szCs w:val="7"/>
                <w:color w:val="auto"/>
              </w:rPr>
            </w:pPr>
          </w:p>
        </w:tc>
        <w:tc>
          <w:tcPr>
            <w:tcW w:w="960" w:type="dxa"/>
            <w:vAlign w:val="bottom"/>
            <w:shd w:val="clear" w:color="auto" w:fill="DFDEEE"/>
          </w:tcPr>
          <w:p>
            <w:pPr>
              <w:spacing w:after="0"/>
              <w:rPr>
                <w:sz w:val="7"/>
                <w:szCs w:val="7"/>
                <w:color w:val="auto"/>
              </w:rPr>
            </w:pPr>
          </w:p>
        </w:tc>
        <w:tc>
          <w:tcPr>
            <w:tcW w:w="1140" w:type="dxa"/>
            <w:vAlign w:val="bottom"/>
            <w:shd w:val="clear" w:color="auto" w:fill="DFDEEE"/>
          </w:tcPr>
          <w:p>
            <w:pPr>
              <w:spacing w:after="0"/>
              <w:rPr>
                <w:sz w:val="7"/>
                <w:szCs w:val="7"/>
                <w:color w:val="auto"/>
              </w:rPr>
            </w:pPr>
          </w:p>
        </w:tc>
        <w:tc>
          <w:tcPr>
            <w:tcW w:w="940" w:type="dxa"/>
            <w:vAlign w:val="bottom"/>
            <w:vMerge w:val="continue"/>
            <w:shd w:val="clear" w:color="auto" w:fill="DFDEEE"/>
          </w:tcPr>
          <w:p>
            <w:pPr>
              <w:spacing w:after="0"/>
              <w:rPr>
                <w:sz w:val="7"/>
                <w:szCs w:val="7"/>
                <w:color w:val="auto"/>
              </w:rPr>
            </w:pPr>
          </w:p>
        </w:tc>
        <w:tc>
          <w:tcPr>
            <w:tcW w:w="1240" w:type="dxa"/>
            <w:vAlign w:val="bottom"/>
            <w:vMerge w:val="continue"/>
            <w:shd w:val="clear" w:color="auto" w:fill="DFDEEE"/>
          </w:tcPr>
          <w:p>
            <w:pPr>
              <w:spacing w:after="0"/>
              <w:rPr>
                <w:sz w:val="7"/>
                <w:szCs w:val="7"/>
                <w:color w:val="auto"/>
              </w:rPr>
            </w:pPr>
          </w:p>
        </w:tc>
        <w:tc>
          <w:tcPr>
            <w:tcW w:w="800" w:type="dxa"/>
            <w:vAlign w:val="bottom"/>
            <w:vMerge w:val="continue"/>
            <w:shd w:val="clear" w:color="auto" w:fill="DFDEEE"/>
          </w:tcPr>
          <w:p>
            <w:pPr>
              <w:spacing w:after="0"/>
              <w:rPr>
                <w:sz w:val="7"/>
                <w:szCs w:val="7"/>
                <w:color w:val="auto"/>
              </w:rPr>
            </w:pPr>
          </w:p>
        </w:tc>
        <w:tc>
          <w:tcPr>
            <w:tcW w:w="140" w:type="dxa"/>
            <w:vAlign w:val="bottom"/>
            <w:shd w:val="clear" w:color="auto" w:fill="DFDEEE"/>
          </w:tcPr>
          <w:p>
            <w:pPr>
              <w:spacing w:after="0"/>
              <w:rPr>
                <w:sz w:val="7"/>
                <w:szCs w:val="7"/>
                <w:color w:val="auto"/>
              </w:rPr>
            </w:pPr>
          </w:p>
        </w:tc>
        <w:tc>
          <w:tcPr>
            <w:tcW w:w="920" w:type="dxa"/>
            <w:vAlign w:val="bottom"/>
            <w:shd w:val="clear" w:color="auto" w:fill="DFDEEE"/>
          </w:tcPr>
          <w:p>
            <w:pPr>
              <w:spacing w:after="0"/>
              <w:rPr>
                <w:sz w:val="7"/>
                <w:szCs w:val="7"/>
                <w:color w:val="auto"/>
              </w:rPr>
            </w:pPr>
          </w:p>
        </w:tc>
        <w:tc>
          <w:tcPr>
            <w:tcW w:w="1180" w:type="dxa"/>
            <w:vAlign w:val="bottom"/>
            <w:shd w:val="clear" w:color="auto" w:fill="DFDEEE"/>
          </w:tcPr>
          <w:p>
            <w:pPr>
              <w:spacing w:after="0"/>
              <w:rPr>
                <w:sz w:val="7"/>
                <w:szCs w:val="7"/>
                <w:color w:val="auto"/>
              </w:rPr>
            </w:pPr>
          </w:p>
        </w:tc>
        <w:tc>
          <w:tcPr>
            <w:tcW w:w="580" w:type="dxa"/>
            <w:vAlign w:val="bottom"/>
            <w:shd w:val="clear" w:color="auto" w:fill="DFDEEE"/>
          </w:tcPr>
          <w:p>
            <w:pPr>
              <w:spacing w:after="0"/>
              <w:rPr>
                <w:sz w:val="7"/>
                <w:szCs w:val="7"/>
                <w:color w:val="auto"/>
              </w:rPr>
            </w:pPr>
          </w:p>
        </w:tc>
        <w:tc>
          <w:tcPr>
            <w:tcW w:w="1180" w:type="dxa"/>
            <w:vAlign w:val="bottom"/>
            <w:shd w:val="clear" w:color="auto" w:fill="DFDEEE"/>
          </w:tcPr>
          <w:p>
            <w:pPr>
              <w:spacing w:after="0"/>
              <w:rPr>
                <w:sz w:val="7"/>
                <w:szCs w:val="7"/>
                <w:color w:val="auto"/>
              </w:rPr>
            </w:pPr>
          </w:p>
        </w:tc>
        <w:tc>
          <w:tcPr>
            <w:tcW w:w="960" w:type="dxa"/>
            <w:vAlign w:val="bottom"/>
            <w:shd w:val="clear" w:color="auto" w:fill="DFDEE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00" w:type="dxa"/>
            <w:vAlign w:val="bottom"/>
            <w:tcBorders>
              <w:bottom w:val="single" w:sz="8" w:color="DFDEEE"/>
            </w:tcBorders>
            <w:shd w:val="clear" w:color="auto" w:fill="DFDEEE"/>
          </w:tcPr>
          <w:p>
            <w:pPr>
              <w:spacing w:after="0"/>
              <w:rPr>
                <w:sz w:val="7"/>
                <w:szCs w:val="7"/>
                <w:color w:val="auto"/>
              </w:rPr>
            </w:pPr>
          </w:p>
        </w:tc>
        <w:tc>
          <w:tcPr>
            <w:tcW w:w="960" w:type="dxa"/>
            <w:vAlign w:val="bottom"/>
            <w:tcBorders>
              <w:bottom w:val="single" w:sz="8" w:color="BCBEC0"/>
            </w:tcBorders>
            <w:shd w:val="clear" w:color="auto" w:fill="DFDEEE"/>
          </w:tcPr>
          <w:p>
            <w:pPr>
              <w:spacing w:after="0"/>
              <w:rPr>
                <w:sz w:val="7"/>
                <w:szCs w:val="7"/>
                <w:color w:val="auto"/>
              </w:rPr>
            </w:pPr>
          </w:p>
        </w:tc>
        <w:tc>
          <w:tcPr>
            <w:tcW w:w="1140" w:type="dxa"/>
            <w:vAlign w:val="bottom"/>
            <w:tcBorders>
              <w:bottom w:val="single" w:sz="8" w:color="BCBEC0"/>
            </w:tcBorders>
            <w:shd w:val="clear" w:color="auto" w:fill="DFDEEE"/>
          </w:tcPr>
          <w:p>
            <w:pPr>
              <w:spacing w:after="0"/>
              <w:rPr>
                <w:sz w:val="7"/>
                <w:szCs w:val="7"/>
                <w:color w:val="auto"/>
              </w:rPr>
            </w:pPr>
          </w:p>
        </w:tc>
        <w:tc>
          <w:tcPr>
            <w:tcW w:w="940" w:type="dxa"/>
            <w:vAlign w:val="bottom"/>
            <w:tcBorders>
              <w:bottom w:val="single" w:sz="8" w:color="BCBEC0"/>
            </w:tcBorders>
            <w:shd w:val="clear" w:color="auto" w:fill="DFDEEE"/>
          </w:tcPr>
          <w:p>
            <w:pPr>
              <w:spacing w:after="0"/>
              <w:rPr>
                <w:sz w:val="7"/>
                <w:szCs w:val="7"/>
                <w:color w:val="auto"/>
              </w:rPr>
            </w:pPr>
          </w:p>
        </w:tc>
        <w:tc>
          <w:tcPr>
            <w:tcW w:w="1240" w:type="dxa"/>
            <w:vAlign w:val="bottom"/>
            <w:tcBorders>
              <w:bottom w:val="single" w:sz="8" w:color="BCBEC0"/>
            </w:tcBorders>
            <w:shd w:val="clear" w:color="auto" w:fill="DFDEEE"/>
          </w:tcPr>
          <w:p>
            <w:pPr>
              <w:spacing w:after="0"/>
              <w:rPr>
                <w:sz w:val="7"/>
                <w:szCs w:val="7"/>
                <w:color w:val="auto"/>
              </w:rPr>
            </w:pPr>
          </w:p>
        </w:tc>
        <w:tc>
          <w:tcPr>
            <w:tcW w:w="800" w:type="dxa"/>
            <w:vAlign w:val="bottom"/>
            <w:tcBorders>
              <w:bottom w:val="single" w:sz="8" w:color="BCBEC0"/>
            </w:tcBorders>
            <w:shd w:val="clear" w:color="auto" w:fill="DFDEEE"/>
          </w:tcPr>
          <w:p>
            <w:pPr>
              <w:spacing w:after="0"/>
              <w:rPr>
                <w:sz w:val="7"/>
                <w:szCs w:val="7"/>
                <w:color w:val="auto"/>
              </w:rPr>
            </w:pPr>
          </w:p>
        </w:tc>
        <w:tc>
          <w:tcPr>
            <w:tcW w:w="140" w:type="dxa"/>
            <w:vAlign w:val="bottom"/>
            <w:tcBorders>
              <w:bottom w:val="single" w:sz="8" w:color="BCBEC0"/>
            </w:tcBorders>
            <w:shd w:val="clear" w:color="auto" w:fill="DFDEEE"/>
          </w:tcPr>
          <w:p>
            <w:pPr>
              <w:spacing w:after="0"/>
              <w:rPr>
                <w:sz w:val="7"/>
                <w:szCs w:val="7"/>
                <w:color w:val="auto"/>
              </w:rPr>
            </w:pPr>
          </w:p>
        </w:tc>
        <w:tc>
          <w:tcPr>
            <w:tcW w:w="920" w:type="dxa"/>
            <w:vAlign w:val="bottom"/>
            <w:tcBorders>
              <w:bottom w:val="single" w:sz="8" w:color="BCBEC0"/>
            </w:tcBorders>
            <w:shd w:val="clear" w:color="auto" w:fill="DFDEEE"/>
          </w:tcPr>
          <w:p>
            <w:pPr>
              <w:spacing w:after="0"/>
              <w:rPr>
                <w:sz w:val="7"/>
                <w:szCs w:val="7"/>
                <w:color w:val="auto"/>
              </w:rPr>
            </w:pPr>
          </w:p>
        </w:tc>
        <w:tc>
          <w:tcPr>
            <w:tcW w:w="1180" w:type="dxa"/>
            <w:vAlign w:val="bottom"/>
            <w:tcBorders>
              <w:bottom w:val="single" w:sz="8" w:color="BCBEC0"/>
            </w:tcBorders>
            <w:shd w:val="clear" w:color="auto" w:fill="DFDEEE"/>
          </w:tcPr>
          <w:p>
            <w:pPr>
              <w:spacing w:after="0"/>
              <w:rPr>
                <w:sz w:val="7"/>
                <w:szCs w:val="7"/>
                <w:color w:val="auto"/>
              </w:rPr>
            </w:pPr>
          </w:p>
        </w:tc>
        <w:tc>
          <w:tcPr>
            <w:tcW w:w="580" w:type="dxa"/>
            <w:vAlign w:val="bottom"/>
            <w:tcBorders>
              <w:bottom w:val="single" w:sz="8" w:color="BCBEC0"/>
            </w:tcBorders>
            <w:shd w:val="clear" w:color="auto" w:fill="DFDEEE"/>
          </w:tcPr>
          <w:p>
            <w:pPr>
              <w:spacing w:after="0"/>
              <w:rPr>
                <w:sz w:val="7"/>
                <w:szCs w:val="7"/>
                <w:color w:val="auto"/>
              </w:rPr>
            </w:pPr>
          </w:p>
        </w:tc>
        <w:tc>
          <w:tcPr>
            <w:tcW w:w="1180" w:type="dxa"/>
            <w:vAlign w:val="bottom"/>
            <w:tcBorders>
              <w:bottom w:val="single" w:sz="8" w:color="BCBEC0"/>
            </w:tcBorders>
            <w:shd w:val="clear" w:color="auto" w:fill="DFDEEE"/>
          </w:tcPr>
          <w:p>
            <w:pPr>
              <w:spacing w:after="0"/>
              <w:rPr>
                <w:sz w:val="7"/>
                <w:szCs w:val="7"/>
                <w:color w:val="auto"/>
              </w:rPr>
            </w:pPr>
          </w:p>
        </w:tc>
        <w:tc>
          <w:tcPr>
            <w:tcW w:w="960" w:type="dxa"/>
            <w:vAlign w:val="bottom"/>
            <w:tcBorders>
              <w:bottom w:val="single" w:sz="8" w:color="BCBEC0"/>
            </w:tcBorders>
            <w:shd w:val="clear" w:color="auto" w:fill="DFDEE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1200" w:type="dxa"/>
            <w:vAlign w:val="bottom"/>
            <w:tcBorders>
              <w:bottom w:val="single" w:sz="8" w:color="DFDEEE"/>
            </w:tcBorders>
            <w:shd w:val="clear" w:color="auto" w:fill="DFDEEE"/>
          </w:tcPr>
          <w:p>
            <w:pPr>
              <w:spacing w:after="0"/>
              <w:rPr>
                <w:sz w:val="17"/>
                <w:szCs w:val="17"/>
                <w:color w:val="auto"/>
              </w:rPr>
            </w:pPr>
          </w:p>
        </w:tc>
        <w:tc>
          <w:tcPr>
            <w:tcW w:w="9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RPSR</w:t>
            </w:r>
          </w:p>
        </w:tc>
        <w:tc>
          <w:tcPr>
            <w:tcW w:w="1140" w:type="dxa"/>
            <w:vAlign w:val="bottom"/>
            <w:tcBorders>
              <w:bottom w:val="single" w:sz="8" w:color="BCBEC0"/>
            </w:tcBorders>
            <w:shd w:val="clear" w:color="auto" w:fill="DFDEEE"/>
          </w:tcPr>
          <w:p>
            <w:pPr>
              <w:jc w:val="right"/>
              <w:ind w:right="409"/>
              <w:spacing w:after="0"/>
              <w:rPr>
                <w:sz w:val="20"/>
                <w:szCs w:val="20"/>
                <w:color w:val="auto"/>
              </w:rPr>
            </w:pPr>
            <w:r>
              <w:rPr>
                <w:rFonts w:ascii="Arial" w:cs="Arial" w:eastAsia="Arial" w:hAnsi="Arial"/>
                <w:sz w:val="14"/>
                <w:szCs w:val="14"/>
                <w:color w:val="auto"/>
              </w:rPr>
              <w:t>2/16/2023</w:t>
            </w:r>
          </w:p>
        </w:tc>
        <w:tc>
          <w:tcPr>
            <w:tcW w:w="940" w:type="dxa"/>
            <w:vAlign w:val="bottom"/>
            <w:tcBorders>
              <w:bottom w:val="single" w:sz="8" w:color="BCBEC0"/>
            </w:tcBorders>
            <w:shd w:val="clear" w:color="auto" w:fill="DFDEEE"/>
          </w:tcPr>
          <w:p>
            <w:pPr>
              <w:spacing w:after="0"/>
              <w:rPr>
                <w:sz w:val="17"/>
                <w:szCs w:val="17"/>
                <w:color w:val="auto"/>
              </w:rPr>
            </w:pPr>
          </w:p>
        </w:tc>
        <w:tc>
          <w:tcPr>
            <w:tcW w:w="1240" w:type="dxa"/>
            <w:vAlign w:val="bottom"/>
            <w:tcBorders>
              <w:bottom w:val="single" w:sz="8" w:color="BCBEC0"/>
            </w:tcBorders>
            <w:shd w:val="clear" w:color="auto" w:fill="DFDEEE"/>
          </w:tcPr>
          <w:p>
            <w:pPr>
              <w:spacing w:after="0"/>
              <w:rPr>
                <w:sz w:val="17"/>
                <w:szCs w:val="17"/>
                <w:color w:val="auto"/>
              </w:rPr>
            </w:pPr>
          </w:p>
        </w:tc>
        <w:tc>
          <w:tcPr>
            <w:tcW w:w="800" w:type="dxa"/>
            <w:vAlign w:val="bottom"/>
            <w:tcBorders>
              <w:bottom w:val="single" w:sz="8" w:color="BCBEC0"/>
            </w:tcBorders>
            <w:shd w:val="clear" w:color="auto" w:fill="DFDEEE"/>
          </w:tcPr>
          <w:p>
            <w:pPr>
              <w:spacing w:after="0"/>
              <w:rPr>
                <w:sz w:val="17"/>
                <w:szCs w:val="17"/>
                <w:color w:val="auto"/>
              </w:rPr>
            </w:pPr>
          </w:p>
        </w:tc>
        <w:tc>
          <w:tcPr>
            <w:tcW w:w="140" w:type="dxa"/>
            <w:vAlign w:val="bottom"/>
            <w:tcBorders>
              <w:bottom w:val="single" w:sz="8" w:color="BCBEC0"/>
            </w:tcBorders>
            <w:shd w:val="clear" w:color="auto" w:fill="DFDEEE"/>
          </w:tcPr>
          <w:p>
            <w:pPr>
              <w:spacing w:after="0"/>
              <w:rPr>
                <w:sz w:val="17"/>
                <w:szCs w:val="17"/>
                <w:color w:val="auto"/>
              </w:rPr>
            </w:pPr>
          </w:p>
        </w:tc>
        <w:tc>
          <w:tcPr>
            <w:tcW w:w="920" w:type="dxa"/>
            <w:vAlign w:val="bottom"/>
            <w:tcBorders>
              <w:bottom w:val="single" w:sz="8" w:color="BCBEC0"/>
            </w:tcBorders>
            <w:shd w:val="clear" w:color="auto" w:fill="DFDEEE"/>
          </w:tcPr>
          <w:p>
            <w:pPr>
              <w:ind w:left="68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BCBEC0"/>
            </w:tcBorders>
            <w:shd w:val="clear" w:color="auto" w:fill="DFDEEE"/>
          </w:tcPr>
          <w:p>
            <w:pPr>
              <w:jc w:val="right"/>
              <w:ind w:right="393"/>
              <w:spacing w:after="0"/>
              <w:rPr>
                <w:sz w:val="20"/>
                <w:szCs w:val="20"/>
                <w:color w:val="auto"/>
              </w:rPr>
            </w:pPr>
            <w:r>
              <w:rPr>
                <w:rFonts w:ascii="Arial" w:cs="Arial" w:eastAsia="Arial" w:hAnsi="Arial"/>
                <w:sz w:val="14"/>
                <w:szCs w:val="14"/>
                <w:color w:val="auto"/>
              </w:rPr>
              <w:t>4,669</w:t>
            </w:r>
          </w:p>
        </w:tc>
        <w:tc>
          <w:tcPr>
            <w:tcW w:w="5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9,338</w:t>
            </w:r>
          </w:p>
        </w:tc>
        <w:tc>
          <w:tcPr>
            <w:tcW w:w="1180" w:type="dxa"/>
            <w:vAlign w:val="bottom"/>
            <w:tcBorders>
              <w:bottom w:val="single" w:sz="8" w:color="BCBEC0"/>
            </w:tcBorders>
            <w:shd w:val="clear" w:color="auto" w:fill="DFDEEE"/>
          </w:tcPr>
          <w:p>
            <w:pPr>
              <w:spacing w:after="0"/>
              <w:rPr>
                <w:sz w:val="17"/>
                <w:szCs w:val="17"/>
                <w:color w:val="auto"/>
              </w:rPr>
            </w:pPr>
          </w:p>
        </w:tc>
        <w:tc>
          <w:tcPr>
            <w:tcW w:w="9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2,240,351</w:t>
            </w:r>
          </w:p>
        </w:tc>
        <w:tc>
          <w:tcPr>
            <w:tcW w:w="0" w:type="dxa"/>
            <w:vAlign w:val="bottom"/>
          </w:tcPr>
          <w:p>
            <w:pPr>
              <w:spacing w:after="0"/>
              <w:rPr>
                <w:sz w:val="1"/>
                <w:szCs w:val="1"/>
                <w:color w:val="auto"/>
              </w:rPr>
            </w:pPr>
          </w:p>
        </w:tc>
      </w:tr>
      <w:tr>
        <w:trPr>
          <w:trHeight w:val="209"/>
        </w:trPr>
        <w:tc>
          <w:tcPr>
            <w:tcW w:w="1200" w:type="dxa"/>
            <w:vAlign w:val="bottom"/>
            <w:tcBorders>
              <w:bottom w:val="single" w:sz="8" w:color="D1D3D4"/>
            </w:tcBorders>
            <w:shd w:val="clear" w:color="auto" w:fill="DFDEEE"/>
          </w:tcPr>
          <w:p>
            <w:pPr>
              <w:spacing w:after="0"/>
              <w:rPr>
                <w:sz w:val="18"/>
                <w:szCs w:val="18"/>
                <w:color w:val="auto"/>
              </w:rPr>
            </w:pPr>
          </w:p>
        </w:tc>
        <w:tc>
          <w:tcPr>
            <w:tcW w:w="960" w:type="dxa"/>
            <w:vAlign w:val="bottom"/>
            <w:tcBorders>
              <w:bottom w:val="single" w:sz="8" w:color="D1D3D4"/>
            </w:tcBorders>
            <w:shd w:val="clear" w:color="auto" w:fill="DFDEEE"/>
          </w:tcPr>
          <w:p>
            <w:pPr>
              <w:ind w:left="20"/>
              <w:spacing w:after="0"/>
              <w:rPr>
                <w:sz w:val="20"/>
                <w:szCs w:val="20"/>
                <w:color w:val="auto"/>
              </w:rPr>
            </w:pPr>
            <w:r>
              <w:rPr>
                <w:rFonts w:ascii="Arial" w:cs="Arial" w:eastAsia="Arial" w:hAnsi="Arial"/>
                <w:sz w:val="14"/>
                <w:szCs w:val="14"/>
                <w:color w:val="auto"/>
              </w:rPr>
              <w:t>RSR</w:t>
            </w:r>
          </w:p>
        </w:tc>
        <w:tc>
          <w:tcPr>
            <w:tcW w:w="1140" w:type="dxa"/>
            <w:vAlign w:val="bottom"/>
            <w:tcBorders>
              <w:bottom w:val="single" w:sz="8" w:color="BCBEC0"/>
            </w:tcBorders>
            <w:shd w:val="clear" w:color="auto" w:fill="DFDEEE"/>
          </w:tcPr>
          <w:p>
            <w:pPr>
              <w:jc w:val="right"/>
              <w:ind w:right="409"/>
              <w:spacing w:after="0"/>
              <w:rPr>
                <w:sz w:val="20"/>
                <w:szCs w:val="20"/>
                <w:color w:val="auto"/>
              </w:rPr>
            </w:pPr>
            <w:r>
              <w:rPr>
                <w:rFonts w:ascii="Arial" w:cs="Arial" w:eastAsia="Arial" w:hAnsi="Arial"/>
                <w:sz w:val="14"/>
                <w:szCs w:val="14"/>
                <w:color w:val="auto"/>
              </w:rPr>
              <w:t>2/16/2023</w:t>
            </w:r>
          </w:p>
        </w:tc>
        <w:tc>
          <w:tcPr>
            <w:tcW w:w="940" w:type="dxa"/>
            <w:vAlign w:val="bottom"/>
            <w:tcBorders>
              <w:bottom w:val="single" w:sz="8" w:color="D1D3D4"/>
            </w:tcBorders>
            <w:shd w:val="clear" w:color="auto" w:fill="DFDEEE"/>
          </w:tcPr>
          <w:p>
            <w:pPr>
              <w:spacing w:after="0"/>
              <w:rPr>
                <w:sz w:val="18"/>
                <w:szCs w:val="18"/>
                <w:color w:val="auto"/>
              </w:rPr>
            </w:pPr>
          </w:p>
        </w:tc>
        <w:tc>
          <w:tcPr>
            <w:tcW w:w="1240" w:type="dxa"/>
            <w:vAlign w:val="bottom"/>
            <w:tcBorders>
              <w:bottom w:val="single" w:sz="8" w:color="D1D3D4"/>
            </w:tcBorders>
            <w:shd w:val="clear" w:color="auto" w:fill="DFDEEE"/>
          </w:tcPr>
          <w:p>
            <w:pPr>
              <w:spacing w:after="0"/>
              <w:rPr>
                <w:sz w:val="18"/>
                <w:szCs w:val="18"/>
                <w:color w:val="auto"/>
              </w:rPr>
            </w:pPr>
          </w:p>
        </w:tc>
        <w:tc>
          <w:tcPr>
            <w:tcW w:w="800" w:type="dxa"/>
            <w:vAlign w:val="bottom"/>
            <w:tcBorders>
              <w:bottom w:val="single" w:sz="8" w:color="D1D3D4"/>
            </w:tcBorders>
            <w:shd w:val="clear" w:color="auto" w:fill="DFDEEE"/>
          </w:tcPr>
          <w:p>
            <w:pPr>
              <w:spacing w:after="0"/>
              <w:rPr>
                <w:sz w:val="18"/>
                <w:szCs w:val="18"/>
                <w:color w:val="auto"/>
              </w:rPr>
            </w:pPr>
          </w:p>
        </w:tc>
        <w:tc>
          <w:tcPr>
            <w:tcW w:w="140" w:type="dxa"/>
            <w:vAlign w:val="bottom"/>
            <w:tcBorders>
              <w:bottom w:val="single" w:sz="8" w:color="D1D3D4"/>
            </w:tcBorders>
            <w:shd w:val="clear" w:color="auto" w:fill="DFDEEE"/>
          </w:tcPr>
          <w:p>
            <w:pPr>
              <w:spacing w:after="0"/>
              <w:rPr>
                <w:sz w:val="18"/>
                <w:szCs w:val="18"/>
                <w:color w:val="auto"/>
              </w:rPr>
            </w:pPr>
          </w:p>
        </w:tc>
        <w:tc>
          <w:tcPr>
            <w:tcW w:w="920" w:type="dxa"/>
            <w:vAlign w:val="bottom"/>
            <w:tcBorders>
              <w:bottom w:val="single" w:sz="8" w:color="BCBEC0"/>
            </w:tcBorders>
            <w:shd w:val="clear" w:color="auto" w:fill="DFDEEE"/>
          </w:tcPr>
          <w:p>
            <w:pPr>
              <w:spacing w:after="0"/>
              <w:rPr>
                <w:sz w:val="18"/>
                <w:szCs w:val="18"/>
                <w:color w:val="auto"/>
              </w:rPr>
            </w:pPr>
          </w:p>
        </w:tc>
        <w:tc>
          <w:tcPr>
            <w:tcW w:w="1180" w:type="dxa"/>
            <w:vAlign w:val="bottom"/>
            <w:tcBorders>
              <w:bottom w:val="single" w:sz="8" w:color="BCBEC0"/>
            </w:tcBorders>
            <w:shd w:val="clear" w:color="auto" w:fill="DFDEEE"/>
          </w:tcPr>
          <w:p>
            <w:pPr>
              <w:spacing w:after="0"/>
              <w:rPr>
                <w:sz w:val="18"/>
                <w:szCs w:val="18"/>
                <w:color w:val="auto"/>
              </w:rPr>
            </w:pPr>
          </w:p>
        </w:tc>
        <w:tc>
          <w:tcPr>
            <w:tcW w:w="580" w:type="dxa"/>
            <w:vAlign w:val="bottom"/>
            <w:tcBorders>
              <w:bottom w:val="single" w:sz="8" w:color="BCBEC0"/>
            </w:tcBorders>
            <w:shd w:val="clear" w:color="auto" w:fill="DFDEEE"/>
          </w:tcPr>
          <w:p>
            <w:pPr>
              <w:spacing w:after="0"/>
              <w:rPr>
                <w:sz w:val="18"/>
                <w:szCs w:val="18"/>
                <w:color w:val="auto"/>
              </w:rPr>
            </w:pPr>
          </w:p>
        </w:tc>
        <w:tc>
          <w:tcPr>
            <w:tcW w:w="1180" w:type="dxa"/>
            <w:vAlign w:val="bottom"/>
            <w:tcBorders>
              <w:bottom w:val="single" w:sz="8" w:color="BCBEC0"/>
            </w:tcBorders>
            <w:shd w:val="clear" w:color="auto" w:fill="DFDEEE"/>
          </w:tcPr>
          <w:p>
            <w:pPr>
              <w:jc w:val="right"/>
              <w:ind w:right="156"/>
              <w:spacing w:after="0"/>
              <w:rPr>
                <w:sz w:val="20"/>
                <w:szCs w:val="20"/>
                <w:color w:val="auto"/>
              </w:rPr>
            </w:pPr>
            <w:r>
              <w:rPr>
                <w:rFonts w:ascii="Arial" w:cs="Arial" w:eastAsia="Arial" w:hAnsi="Arial"/>
                <w:sz w:val="14"/>
                <w:szCs w:val="14"/>
                <w:color w:val="auto"/>
              </w:rPr>
              <w:t>2,152</w:t>
            </w:r>
          </w:p>
        </w:tc>
        <w:tc>
          <w:tcPr>
            <w:tcW w:w="9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960,029</w:t>
            </w:r>
          </w:p>
        </w:tc>
        <w:tc>
          <w:tcPr>
            <w:tcW w:w="0" w:type="dxa"/>
            <w:vAlign w:val="bottom"/>
          </w:tcPr>
          <w:p>
            <w:pPr>
              <w:spacing w:after="0"/>
              <w:rPr>
                <w:sz w:val="1"/>
                <w:szCs w:val="1"/>
                <w:color w:val="auto"/>
              </w:rPr>
            </w:pPr>
          </w:p>
        </w:tc>
      </w:tr>
      <w:tr>
        <w:trPr>
          <w:trHeight w:val="177"/>
        </w:trPr>
        <w:tc>
          <w:tcPr>
            <w:tcW w:w="1200" w:type="dxa"/>
            <w:vAlign w:val="bottom"/>
          </w:tcPr>
          <w:p>
            <w:pPr>
              <w:ind w:left="20"/>
              <w:spacing w:after="0"/>
              <w:rPr>
                <w:sz w:val="20"/>
                <w:szCs w:val="20"/>
                <w:color w:val="auto"/>
              </w:rPr>
            </w:pPr>
            <w:r>
              <w:rPr>
                <w:rFonts w:ascii="Arial" w:cs="Arial" w:eastAsia="Arial" w:hAnsi="Arial"/>
                <w:sz w:val="14"/>
                <w:szCs w:val="14"/>
                <w:b w:val="1"/>
                <w:bCs w:val="1"/>
                <w:color w:val="29378D"/>
              </w:rPr>
              <w:t>Thomas H.</w:t>
            </w:r>
          </w:p>
        </w:tc>
        <w:tc>
          <w:tcPr>
            <w:tcW w:w="960" w:type="dxa"/>
            <w:vAlign w:val="bottom"/>
          </w:tcPr>
          <w:p>
            <w:pPr>
              <w:ind w:left="20"/>
              <w:spacing w:after="0"/>
              <w:rPr>
                <w:sz w:val="20"/>
                <w:szCs w:val="20"/>
                <w:color w:val="auto"/>
              </w:rPr>
            </w:pPr>
            <w:r>
              <w:rPr>
                <w:rFonts w:ascii="Arial" w:cs="Arial" w:eastAsia="Arial" w:hAnsi="Arial"/>
                <w:sz w:val="14"/>
                <w:szCs w:val="14"/>
                <w:color w:val="auto"/>
              </w:rPr>
              <w:t>Incentive Plan</w:t>
            </w:r>
          </w:p>
        </w:tc>
        <w:tc>
          <w:tcPr>
            <w:tcW w:w="1140" w:type="dxa"/>
            <w:vAlign w:val="bottom"/>
          </w:tcPr>
          <w:p>
            <w:pPr>
              <w:spacing w:after="0"/>
              <w:rPr>
                <w:sz w:val="15"/>
                <w:szCs w:val="15"/>
                <w:color w:val="auto"/>
              </w:rPr>
            </w:pPr>
          </w:p>
        </w:tc>
        <w:tc>
          <w:tcPr>
            <w:tcW w:w="940" w:type="dxa"/>
            <w:vAlign w:val="bottom"/>
            <w:vMerge w:val="restart"/>
          </w:tcPr>
          <w:p>
            <w:pPr>
              <w:ind w:left="720"/>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213"/>
              <w:spacing w:after="0"/>
              <w:rPr>
                <w:sz w:val="20"/>
                <w:szCs w:val="20"/>
                <w:color w:val="auto"/>
              </w:rPr>
            </w:pPr>
            <w:r>
              <w:rPr>
                <w:rFonts w:ascii="Arial" w:cs="Arial" w:eastAsia="Arial" w:hAnsi="Arial"/>
                <w:sz w:val="14"/>
                <w:szCs w:val="14"/>
                <w:color w:val="auto"/>
              </w:rPr>
              <w:t>790,000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1,580,000</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1200" w:type="dxa"/>
            <w:vAlign w:val="bottom"/>
            <w:vMerge w:val="restart"/>
          </w:tcPr>
          <w:p>
            <w:pPr>
              <w:ind w:left="20"/>
              <w:spacing w:after="0"/>
              <w:rPr>
                <w:sz w:val="20"/>
                <w:szCs w:val="20"/>
                <w:color w:val="auto"/>
              </w:rPr>
            </w:pPr>
            <w:r>
              <w:rPr>
                <w:rFonts w:ascii="Arial" w:cs="Arial" w:eastAsia="Arial" w:hAnsi="Arial"/>
                <w:sz w:val="14"/>
                <w:szCs w:val="14"/>
                <w:b w:val="1"/>
                <w:bCs w:val="1"/>
                <w:color w:val="29378D"/>
              </w:rPr>
              <w:t>Jones</w:t>
            </w: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200" w:type="dxa"/>
            <w:vAlign w:val="bottom"/>
            <w:vMerge w:val="continue"/>
          </w:tcPr>
          <w:p>
            <w:pPr>
              <w:spacing w:after="0"/>
              <w:rPr>
                <w:sz w:val="7"/>
                <w:szCs w:val="7"/>
                <w:color w:val="auto"/>
              </w:rPr>
            </w:pPr>
          </w:p>
        </w:tc>
        <w:tc>
          <w:tcPr>
            <w:tcW w:w="960" w:type="dxa"/>
            <w:vAlign w:val="bottom"/>
            <w:tcBorders>
              <w:bottom w:val="single" w:sz="8" w:color="BCBEC0"/>
            </w:tcBorders>
          </w:tcPr>
          <w:p>
            <w:pPr>
              <w:spacing w:after="0"/>
              <w:rPr>
                <w:sz w:val="7"/>
                <w:szCs w:val="7"/>
                <w:color w:val="auto"/>
              </w:rPr>
            </w:pPr>
          </w:p>
        </w:tc>
        <w:tc>
          <w:tcPr>
            <w:tcW w:w="1140" w:type="dxa"/>
            <w:vAlign w:val="bottom"/>
            <w:tcBorders>
              <w:bottom w:val="single" w:sz="8" w:color="BCBEC0"/>
            </w:tcBorders>
          </w:tcPr>
          <w:p>
            <w:pPr>
              <w:spacing w:after="0"/>
              <w:rPr>
                <w:sz w:val="7"/>
                <w:szCs w:val="7"/>
                <w:color w:val="auto"/>
              </w:rPr>
            </w:pPr>
          </w:p>
        </w:tc>
        <w:tc>
          <w:tcPr>
            <w:tcW w:w="940" w:type="dxa"/>
            <w:vAlign w:val="bottom"/>
            <w:tcBorders>
              <w:bottom w:val="single" w:sz="8" w:color="BCBEC0"/>
            </w:tcBorders>
          </w:tcPr>
          <w:p>
            <w:pPr>
              <w:spacing w:after="0"/>
              <w:rPr>
                <w:sz w:val="7"/>
                <w:szCs w:val="7"/>
                <w:color w:val="auto"/>
              </w:rPr>
            </w:pPr>
          </w:p>
        </w:tc>
        <w:tc>
          <w:tcPr>
            <w:tcW w:w="1240" w:type="dxa"/>
            <w:vAlign w:val="bottom"/>
            <w:tcBorders>
              <w:bottom w:val="single" w:sz="8" w:color="BCBEC0"/>
            </w:tcBorders>
          </w:tcPr>
          <w:p>
            <w:pPr>
              <w:spacing w:after="0"/>
              <w:rPr>
                <w:sz w:val="7"/>
                <w:szCs w:val="7"/>
                <w:color w:val="auto"/>
              </w:rPr>
            </w:pPr>
          </w:p>
        </w:tc>
        <w:tc>
          <w:tcPr>
            <w:tcW w:w="800" w:type="dxa"/>
            <w:vAlign w:val="bottom"/>
            <w:tcBorders>
              <w:bottom w:val="single" w:sz="8" w:color="BCBEC0"/>
            </w:tcBorders>
          </w:tcPr>
          <w:p>
            <w:pPr>
              <w:spacing w:after="0"/>
              <w:rPr>
                <w:sz w:val="7"/>
                <w:szCs w:val="7"/>
                <w:color w:val="auto"/>
              </w:rPr>
            </w:pPr>
          </w:p>
        </w:tc>
        <w:tc>
          <w:tcPr>
            <w:tcW w:w="140" w:type="dxa"/>
            <w:vAlign w:val="bottom"/>
            <w:tcBorders>
              <w:bottom w:val="single" w:sz="8" w:color="BCBEC0"/>
            </w:tcBorders>
          </w:tcPr>
          <w:p>
            <w:pPr>
              <w:spacing w:after="0"/>
              <w:rPr>
                <w:sz w:val="7"/>
                <w:szCs w:val="7"/>
                <w:color w:val="auto"/>
              </w:rPr>
            </w:pPr>
          </w:p>
        </w:tc>
        <w:tc>
          <w:tcPr>
            <w:tcW w:w="920" w:type="dxa"/>
            <w:vAlign w:val="bottom"/>
            <w:tcBorders>
              <w:bottom w:val="single" w:sz="8" w:color="BCBEC0"/>
            </w:tcBorders>
          </w:tcPr>
          <w:p>
            <w:pPr>
              <w:spacing w:after="0"/>
              <w:rPr>
                <w:sz w:val="7"/>
                <w:szCs w:val="7"/>
                <w:color w:val="auto"/>
              </w:rPr>
            </w:pPr>
          </w:p>
        </w:tc>
        <w:tc>
          <w:tcPr>
            <w:tcW w:w="1180" w:type="dxa"/>
            <w:vAlign w:val="bottom"/>
            <w:tcBorders>
              <w:bottom w:val="single" w:sz="8" w:color="BCBEC0"/>
            </w:tcBorders>
          </w:tcPr>
          <w:p>
            <w:pPr>
              <w:spacing w:after="0"/>
              <w:rPr>
                <w:sz w:val="7"/>
                <w:szCs w:val="7"/>
                <w:color w:val="auto"/>
              </w:rPr>
            </w:pPr>
          </w:p>
        </w:tc>
        <w:tc>
          <w:tcPr>
            <w:tcW w:w="580" w:type="dxa"/>
            <w:vAlign w:val="bottom"/>
            <w:tcBorders>
              <w:bottom w:val="single" w:sz="8" w:color="BCBEC0"/>
            </w:tcBorders>
          </w:tcPr>
          <w:p>
            <w:pPr>
              <w:spacing w:after="0"/>
              <w:rPr>
                <w:sz w:val="7"/>
                <w:szCs w:val="7"/>
                <w:color w:val="auto"/>
              </w:rPr>
            </w:pPr>
          </w:p>
        </w:tc>
        <w:tc>
          <w:tcPr>
            <w:tcW w:w="1180" w:type="dxa"/>
            <w:vAlign w:val="bottom"/>
            <w:tcBorders>
              <w:bottom w:val="single" w:sz="8" w:color="BCBEC0"/>
            </w:tcBorders>
          </w:tcPr>
          <w:p>
            <w:pPr>
              <w:spacing w:after="0"/>
              <w:rPr>
                <w:sz w:val="7"/>
                <w:szCs w:val="7"/>
                <w:color w:val="auto"/>
              </w:rPr>
            </w:pPr>
          </w:p>
        </w:tc>
        <w:tc>
          <w:tcPr>
            <w:tcW w:w="960" w:type="dxa"/>
            <w:vAlign w:val="bottom"/>
            <w:tcBorders>
              <w:bottom w:val="single" w:sz="8" w:color="BCBEC0"/>
            </w:tcBorders>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1200" w:type="dxa"/>
            <w:vAlign w:val="bottom"/>
          </w:tcPr>
          <w:p>
            <w:pPr>
              <w:spacing w:after="0"/>
              <w:rPr>
                <w:sz w:val="17"/>
                <w:szCs w:val="17"/>
                <w:color w:val="auto"/>
              </w:rPr>
            </w:pPr>
          </w:p>
        </w:tc>
        <w:tc>
          <w:tcPr>
            <w:tcW w:w="96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RPSR</w:t>
            </w:r>
          </w:p>
        </w:tc>
        <w:tc>
          <w:tcPr>
            <w:tcW w:w="1140" w:type="dxa"/>
            <w:vAlign w:val="bottom"/>
            <w:tcBorders>
              <w:bottom w:val="single" w:sz="8" w:color="BCBEC0"/>
            </w:tcBorders>
          </w:tcPr>
          <w:p>
            <w:pPr>
              <w:jc w:val="right"/>
              <w:ind w:right="409"/>
              <w:spacing w:after="0"/>
              <w:rPr>
                <w:sz w:val="20"/>
                <w:szCs w:val="20"/>
                <w:color w:val="auto"/>
              </w:rPr>
            </w:pPr>
            <w:r>
              <w:rPr>
                <w:rFonts w:ascii="Arial" w:cs="Arial" w:eastAsia="Arial" w:hAnsi="Arial"/>
                <w:sz w:val="14"/>
                <w:szCs w:val="14"/>
                <w:color w:val="auto"/>
              </w:rPr>
              <w:t>2/16/2023</w:t>
            </w:r>
          </w:p>
        </w:tc>
        <w:tc>
          <w:tcPr>
            <w:tcW w:w="940" w:type="dxa"/>
            <w:vAlign w:val="bottom"/>
            <w:tcBorders>
              <w:bottom w:val="single" w:sz="8" w:color="BCBEC0"/>
            </w:tcBorders>
          </w:tcPr>
          <w:p>
            <w:pPr>
              <w:spacing w:after="0"/>
              <w:rPr>
                <w:sz w:val="17"/>
                <w:szCs w:val="17"/>
                <w:color w:val="auto"/>
              </w:rPr>
            </w:pPr>
          </w:p>
        </w:tc>
        <w:tc>
          <w:tcPr>
            <w:tcW w:w="1240" w:type="dxa"/>
            <w:vAlign w:val="bottom"/>
            <w:tcBorders>
              <w:bottom w:val="single" w:sz="8" w:color="BCBEC0"/>
            </w:tcBorders>
          </w:tcPr>
          <w:p>
            <w:pPr>
              <w:spacing w:after="0"/>
              <w:rPr>
                <w:sz w:val="17"/>
                <w:szCs w:val="17"/>
                <w:color w:val="auto"/>
              </w:rPr>
            </w:pPr>
          </w:p>
        </w:tc>
        <w:tc>
          <w:tcPr>
            <w:tcW w:w="800" w:type="dxa"/>
            <w:vAlign w:val="bottom"/>
            <w:tcBorders>
              <w:bottom w:val="single" w:sz="8" w:color="BCBEC0"/>
            </w:tcBorders>
          </w:tcPr>
          <w:p>
            <w:pPr>
              <w:spacing w:after="0"/>
              <w:rPr>
                <w:sz w:val="17"/>
                <w:szCs w:val="17"/>
                <w:color w:val="auto"/>
              </w:rPr>
            </w:pPr>
          </w:p>
        </w:tc>
        <w:tc>
          <w:tcPr>
            <w:tcW w:w="140" w:type="dxa"/>
            <w:vAlign w:val="bottom"/>
            <w:tcBorders>
              <w:bottom w:val="single" w:sz="8" w:color="BCBEC0"/>
            </w:tcBorders>
          </w:tcPr>
          <w:p>
            <w:pPr>
              <w:spacing w:after="0"/>
              <w:rPr>
                <w:sz w:val="17"/>
                <w:szCs w:val="17"/>
                <w:color w:val="auto"/>
              </w:rPr>
            </w:pPr>
          </w:p>
        </w:tc>
        <w:tc>
          <w:tcPr>
            <w:tcW w:w="920" w:type="dxa"/>
            <w:vAlign w:val="bottom"/>
            <w:tcBorders>
              <w:bottom w:val="single" w:sz="8" w:color="BCBEC0"/>
            </w:tcBorders>
          </w:tcPr>
          <w:p>
            <w:pPr>
              <w:ind w:left="68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BCBEC0"/>
            </w:tcBorders>
          </w:tcPr>
          <w:p>
            <w:pPr>
              <w:jc w:val="right"/>
              <w:ind w:right="393"/>
              <w:spacing w:after="0"/>
              <w:rPr>
                <w:sz w:val="20"/>
                <w:szCs w:val="20"/>
                <w:color w:val="auto"/>
              </w:rPr>
            </w:pPr>
            <w:r>
              <w:rPr>
                <w:rFonts w:ascii="Arial" w:cs="Arial" w:eastAsia="Arial" w:hAnsi="Arial"/>
                <w:sz w:val="14"/>
                <w:szCs w:val="14"/>
                <w:color w:val="auto"/>
              </w:rPr>
              <w:t>4,669</w:t>
            </w:r>
          </w:p>
        </w:tc>
        <w:tc>
          <w:tcPr>
            <w:tcW w:w="5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9,338</w:t>
            </w:r>
          </w:p>
        </w:tc>
        <w:tc>
          <w:tcPr>
            <w:tcW w:w="1180" w:type="dxa"/>
            <w:vAlign w:val="bottom"/>
            <w:tcBorders>
              <w:bottom w:val="single" w:sz="8" w:color="BCBEC0"/>
            </w:tcBorders>
          </w:tcPr>
          <w:p>
            <w:pPr>
              <w:spacing w:after="0"/>
              <w:rPr>
                <w:sz w:val="17"/>
                <w:szCs w:val="17"/>
                <w:color w:val="auto"/>
              </w:rPr>
            </w:pPr>
          </w:p>
        </w:tc>
        <w:tc>
          <w:tcPr>
            <w:tcW w:w="9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2,240,351</w:t>
            </w:r>
          </w:p>
        </w:tc>
        <w:tc>
          <w:tcPr>
            <w:tcW w:w="0" w:type="dxa"/>
            <w:vAlign w:val="bottom"/>
          </w:tcPr>
          <w:p>
            <w:pPr>
              <w:spacing w:after="0"/>
              <w:rPr>
                <w:sz w:val="1"/>
                <w:szCs w:val="1"/>
                <w:color w:val="auto"/>
              </w:rPr>
            </w:pPr>
          </w:p>
        </w:tc>
      </w:tr>
      <w:tr>
        <w:trPr>
          <w:trHeight w:val="210"/>
        </w:trPr>
        <w:tc>
          <w:tcPr>
            <w:tcW w:w="1200" w:type="dxa"/>
            <w:vAlign w:val="bottom"/>
            <w:tcBorders>
              <w:bottom w:val="single" w:sz="8" w:color="BCBEC0"/>
            </w:tcBorders>
          </w:tcPr>
          <w:p>
            <w:pPr>
              <w:spacing w:after="0"/>
              <w:rPr>
                <w:sz w:val="18"/>
                <w:szCs w:val="18"/>
                <w:color w:val="auto"/>
              </w:rPr>
            </w:pPr>
          </w:p>
        </w:tc>
        <w:tc>
          <w:tcPr>
            <w:tcW w:w="96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RSR</w:t>
            </w:r>
          </w:p>
        </w:tc>
        <w:tc>
          <w:tcPr>
            <w:tcW w:w="1140" w:type="dxa"/>
            <w:vAlign w:val="bottom"/>
            <w:tcBorders>
              <w:bottom w:val="single" w:sz="8" w:color="BCBEC0"/>
            </w:tcBorders>
          </w:tcPr>
          <w:p>
            <w:pPr>
              <w:jc w:val="right"/>
              <w:ind w:right="409"/>
              <w:spacing w:after="0"/>
              <w:rPr>
                <w:sz w:val="20"/>
                <w:szCs w:val="20"/>
                <w:color w:val="auto"/>
              </w:rPr>
            </w:pPr>
            <w:r>
              <w:rPr>
                <w:rFonts w:ascii="Arial" w:cs="Arial" w:eastAsia="Arial" w:hAnsi="Arial"/>
                <w:sz w:val="14"/>
                <w:szCs w:val="14"/>
                <w:color w:val="auto"/>
              </w:rPr>
              <w:t>2/16/2023</w:t>
            </w:r>
          </w:p>
        </w:tc>
        <w:tc>
          <w:tcPr>
            <w:tcW w:w="940" w:type="dxa"/>
            <w:vAlign w:val="bottom"/>
            <w:tcBorders>
              <w:bottom w:val="single" w:sz="8" w:color="BCBEC0"/>
            </w:tcBorders>
          </w:tcPr>
          <w:p>
            <w:pPr>
              <w:spacing w:after="0"/>
              <w:rPr>
                <w:sz w:val="18"/>
                <w:szCs w:val="18"/>
                <w:color w:val="auto"/>
              </w:rPr>
            </w:pPr>
          </w:p>
        </w:tc>
        <w:tc>
          <w:tcPr>
            <w:tcW w:w="1240" w:type="dxa"/>
            <w:vAlign w:val="bottom"/>
            <w:tcBorders>
              <w:bottom w:val="single" w:sz="8" w:color="BCBEC0"/>
            </w:tcBorders>
          </w:tcPr>
          <w:p>
            <w:pPr>
              <w:spacing w:after="0"/>
              <w:rPr>
                <w:sz w:val="18"/>
                <w:szCs w:val="18"/>
                <w:color w:val="auto"/>
              </w:rPr>
            </w:pPr>
          </w:p>
        </w:tc>
        <w:tc>
          <w:tcPr>
            <w:tcW w:w="800" w:type="dxa"/>
            <w:vAlign w:val="bottom"/>
            <w:tcBorders>
              <w:bottom w:val="single" w:sz="8" w:color="BCBEC0"/>
            </w:tcBorders>
          </w:tcPr>
          <w:p>
            <w:pPr>
              <w:spacing w:after="0"/>
              <w:rPr>
                <w:sz w:val="18"/>
                <w:szCs w:val="18"/>
                <w:color w:val="auto"/>
              </w:rPr>
            </w:pPr>
          </w:p>
        </w:tc>
        <w:tc>
          <w:tcPr>
            <w:tcW w:w="140" w:type="dxa"/>
            <w:vAlign w:val="bottom"/>
            <w:tcBorders>
              <w:bottom w:val="single" w:sz="8" w:color="BCBEC0"/>
            </w:tcBorders>
          </w:tcPr>
          <w:p>
            <w:pPr>
              <w:spacing w:after="0"/>
              <w:rPr>
                <w:sz w:val="18"/>
                <w:szCs w:val="18"/>
                <w:color w:val="auto"/>
              </w:rPr>
            </w:pPr>
          </w:p>
        </w:tc>
        <w:tc>
          <w:tcPr>
            <w:tcW w:w="920" w:type="dxa"/>
            <w:vAlign w:val="bottom"/>
            <w:tcBorders>
              <w:bottom w:val="single" w:sz="8" w:color="BCBEC0"/>
            </w:tcBorders>
          </w:tcPr>
          <w:p>
            <w:pPr>
              <w:spacing w:after="0"/>
              <w:rPr>
                <w:sz w:val="18"/>
                <w:szCs w:val="18"/>
                <w:color w:val="auto"/>
              </w:rPr>
            </w:pPr>
          </w:p>
        </w:tc>
        <w:tc>
          <w:tcPr>
            <w:tcW w:w="1180" w:type="dxa"/>
            <w:vAlign w:val="bottom"/>
            <w:tcBorders>
              <w:bottom w:val="single" w:sz="8" w:color="BCBEC0"/>
            </w:tcBorders>
          </w:tcPr>
          <w:p>
            <w:pPr>
              <w:spacing w:after="0"/>
              <w:rPr>
                <w:sz w:val="18"/>
                <w:szCs w:val="18"/>
                <w:color w:val="auto"/>
              </w:rPr>
            </w:pPr>
          </w:p>
        </w:tc>
        <w:tc>
          <w:tcPr>
            <w:tcW w:w="580" w:type="dxa"/>
            <w:vAlign w:val="bottom"/>
            <w:tcBorders>
              <w:bottom w:val="single" w:sz="8" w:color="BCBEC0"/>
            </w:tcBorders>
          </w:tcPr>
          <w:p>
            <w:pPr>
              <w:spacing w:after="0"/>
              <w:rPr>
                <w:sz w:val="18"/>
                <w:szCs w:val="18"/>
                <w:color w:val="auto"/>
              </w:rPr>
            </w:pPr>
          </w:p>
        </w:tc>
        <w:tc>
          <w:tcPr>
            <w:tcW w:w="1180" w:type="dxa"/>
            <w:vAlign w:val="bottom"/>
            <w:tcBorders>
              <w:bottom w:val="single" w:sz="8" w:color="BCBEC0"/>
            </w:tcBorders>
          </w:tcPr>
          <w:p>
            <w:pPr>
              <w:jc w:val="right"/>
              <w:ind w:right="156"/>
              <w:spacing w:after="0"/>
              <w:rPr>
                <w:sz w:val="20"/>
                <w:szCs w:val="20"/>
                <w:color w:val="auto"/>
              </w:rPr>
            </w:pPr>
            <w:r>
              <w:rPr>
                <w:rFonts w:ascii="Arial" w:cs="Arial" w:eastAsia="Arial" w:hAnsi="Arial"/>
                <w:sz w:val="14"/>
                <w:szCs w:val="14"/>
                <w:color w:val="auto"/>
              </w:rPr>
              <w:t>2,152</w:t>
            </w:r>
          </w:p>
        </w:tc>
        <w:tc>
          <w:tcPr>
            <w:tcW w:w="9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960,029</w:t>
            </w:r>
          </w:p>
        </w:tc>
        <w:tc>
          <w:tcPr>
            <w:tcW w:w="0" w:type="dxa"/>
            <w:vAlign w:val="bottom"/>
          </w:tcPr>
          <w:p>
            <w:pPr>
              <w:spacing w:after="0"/>
              <w:rPr>
                <w:sz w:val="1"/>
                <w:szCs w:val="1"/>
                <w:color w:val="auto"/>
              </w:rPr>
            </w:pPr>
          </w:p>
        </w:tc>
      </w:tr>
      <w:tr>
        <w:trPr>
          <w:trHeight w:val="177"/>
        </w:trPr>
        <w:tc>
          <w:tcPr>
            <w:tcW w:w="1200" w:type="dxa"/>
            <w:vAlign w:val="bottom"/>
            <w:shd w:val="clear" w:color="auto" w:fill="DFDEEE"/>
          </w:tcPr>
          <w:p>
            <w:pPr>
              <w:ind w:left="20"/>
              <w:spacing w:after="0"/>
              <w:rPr>
                <w:sz w:val="20"/>
                <w:szCs w:val="20"/>
                <w:color w:val="auto"/>
              </w:rPr>
            </w:pPr>
            <w:r>
              <w:rPr>
                <w:rFonts w:ascii="Arial" w:cs="Arial" w:eastAsia="Arial" w:hAnsi="Arial"/>
                <w:sz w:val="14"/>
                <w:szCs w:val="14"/>
                <w:b w:val="1"/>
                <w:bCs w:val="1"/>
                <w:color w:val="29378D"/>
              </w:rPr>
              <w:t>Roshan S.</w:t>
            </w:r>
          </w:p>
        </w:tc>
        <w:tc>
          <w:tcPr>
            <w:tcW w:w="960" w:type="dxa"/>
            <w:vAlign w:val="bottom"/>
            <w:shd w:val="clear" w:color="auto" w:fill="DFDEEE"/>
          </w:tcPr>
          <w:p>
            <w:pPr>
              <w:ind w:left="20"/>
              <w:spacing w:after="0"/>
              <w:rPr>
                <w:sz w:val="20"/>
                <w:szCs w:val="20"/>
                <w:color w:val="auto"/>
              </w:rPr>
            </w:pPr>
            <w:r>
              <w:rPr>
                <w:rFonts w:ascii="Arial" w:cs="Arial" w:eastAsia="Arial" w:hAnsi="Arial"/>
                <w:sz w:val="14"/>
                <w:szCs w:val="14"/>
                <w:color w:val="auto"/>
              </w:rPr>
              <w:t>Incentive Plan</w:t>
            </w:r>
          </w:p>
        </w:tc>
        <w:tc>
          <w:tcPr>
            <w:tcW w:w="1140" w:type="dxa"/>
            <w:vAlign w:val="bottom"/>
            <w:shd w:val="clear" w:color="auto" w:fill="DFDEEE"/>
          </w:tcPr>
          <w:p>
            <w:pPr>
              <w:spacing w:after="0"/>
              <w:rPr>
                <w:sz w:val="15"/>
                <w:szCs w:val="15"/>
                <w:color w:val="auto"/>
              </w:rPr>
            </w:pPr>
          </w:p>
        </w:tc>
        <w:tc>
          <w:tcPr>
            <w:tcW w:w="940" w:type="dxa"/>
            <w:vAlign w:val="bottom"/>
            <w:vMerge w:val="restart"/>
            <w:shd w:val="clear" w:color="auto" w:fill="DFDEEE"/>
          </w:tcPr>
          <w:p>
            <w:pPr>
              <w:ind w:left="720"/>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DFDEEE"/>
          </w:tcPr>
          <w:p>
            <w:pPr>
              <w:jc w:val="right"/>
              <w:ind w:right="213"/>
              <w:spacing w:after="0"/>
              <w:rPr>
                <w:sz w:val="20"/>
                <w:szCs w:val="20"/>
                <w:color w:val="auto"/>
              </w:rPr>
            </w:pPr>
            <w:r>
              <w:rPr>
                <w:rFonts w:ascii="Arial" w:cs="Arial" w:eastAsia="Arial" w:hAnsi="Arial"/>
                <w:sz w:val="14"/>
                <w:szCs w:val="14"/>
                <w:color w:val="auto"/>
              </w:rPr>
              <w:t>750,000</w:t>
            </w:r>
          </w:p>
        </w:tc>
        <w:tc>
          <w:tcPr>
            <w:tcW w:w="800" w:type="dxa"/>
            <w:vAlign w:val="bottom"/>
            <w:vMerge w:val="restart"/>
            <w:shd w:val="clear" w:color="auto" w:fill="DFDEEE"/>
          </w:tcPr>
          <w:p>
            <w:pPr>
              <w:jc w:val="right"/>
              <w:spacing w:after="0"/>
              <w:rPr>
                <w:sz w:val="20"/>
                <w:szCs w:val="20"/>
                <w:color w:val="auto"/>
              </w:rPr>
            </w:pPr>
            <w:r>
              <w:rPr>
                <w:rFonts w:ascii="Arial" w:cs="Arial" w:eastAsia="Arial" w:hAnsi="Arial"/>
                <w:sz w:val="14"/>
                <w:szCs w:val="14"/>
                <w:color w:val="auto"/>
              </w:rPr>
              <w:t>1,500,000</w:t>
            </w:r>
          </w:p>
        </w:tc>
        <w:tc>
          <w:tcPr>
            <w:tcW w:w="140" w:type="dxa"/>
            <w:vAlign w:val="bottom"/>
            <w:shd w:val="clear" w:color="auto" w:fill="DFDEEE"/>
          </w:tcPr>
          <w:p>
            <w:pPr>
              <w:spacing w:after="0"/>
              <w:rPr>
                <w:sz w:val="15"/>
                <w:szCs w:val="15"/>
                <w:color w:val="auto"/>
              </w:rPr>
            </w:pPr>
          </w:p>
        </w:tc>
        <w:tc>
          <w:tcPr>
            <w:tcW w:w="920" w:type="dxa"/>
            <w:vAlign w:val="bottom"/>
            <w:shd w:val="clear" w:color="auto" w:fill="DFDEEE"/>
          </w:tcPr>
          <w:p>
            <w:pPr>
              <w:spacing w:after="0"/>
              <w:rPr>
                <w:sz w:val="15"/>
                <w:szCs w:val="15"/>
                <w:color w:val="auto"/>
              </w:rPr>
            </w:pPr>
          </w:p>
        </w:tc>
        <w:tc>
          <w:tcPr>
            <w:tcW w:w="1180" w:type="dxa"/>
            <w:vAlign w:val="bottom"/>
            <w:shd w:val="clear" w:color="auto" w:fill="DFDEEE"/>
          </w:tcPr>
          <w:p>
            <w:pPr>
              <w:spacing w:after="0"/>
              <w:rPr>
                <w:sz w:val="15"/>
                <w:szCs w:val="15"/>
                <w:color w:val="auto"/>
              </w:rPr>
            </w:pPr>
          </w:p>
        </w:tc>
        <w:tc>
          <w:tcPr>
            <w:tcW w:w="580" w:type="dxa"/>
            <w:vAlign w:val="bottom"/>
            <w:shd w:val="clear" w:color="auto" w:fill="DFDEEE"/>
          </w:tcPr>
          <w:p>
            <w:pPr>
              <w:spacing w:after="0"/>
              <w:rPr>
                <w:sz w:val="15"/>
                <w:szCs w:val="15"/>
                <w:color w:val="auto"/>
              </w:rPr>
            </w:pPr>
          </w:p>
        </w:tc>
        <w:tc>
          <w:tcPr>
            <w:tcW w:w="1180" w:type="dxa"/>
            <w:vAlign w:val="bottom"/>
            <w:shd w:val="clear" w:color="auto" w:fill="DFDEEE"/>
          </w:tcPr>
          <w:p>
            <w:pPr>
              <w:spacing w:after="0"/>
              <w:rPr>
                <w:sz w:val="15"/>
                <w:szCs w:val="15"/>
                <w:color w:val="auto"/>
              </w:rPr>
            </w:pPr>
          </w:p>
        </w:tc>
        <w:tc>
          <w:tcPr>
            <w:tcW w:w="960" w:type="dxa"/>
            <w:vAlign w:val="bottom"/>
            <w:shd w:val="clear" w:color="auto" w:fill="DFDEEE"/>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1200" w:type="dxa"/>
            <w:vAlign w:val="bottom"/>
            <w:vMerge w:val="restart"/>
            <w:shd w:val="clear" w:color="auto" w:fill="DFDEEE"/>
          </w:tcPr>
          <w:p>
            <w:pPr>
              <w:ind w:left="20"/>
              <w:spacing w:after="0"/>
              <w:rPr>
                <w:sz w:val="20"/>
                <w:szCs w:val="20"/>
                <w:color w:val="auto"/>
              </w:rPr>
            </w:pPr>
            <w:r>
              <w:rPr>
                <w:rFonts w:ascii="Arial" w:cs="Arial" w:eastAsia="Arial" w:hAnsi="Arial"/>
                <w:sz w:val="14"/>
                <w:szCs w:val="14"/>
                <w:b w:val="1"/>
                <w:bCs w:val="1"/>
                <w:color w:val="29378D"/>
              </w:rPr>
              <w:t>Roeder</w:t>
            </w:r>
          </w:p>
        </w:tc>
        <w:tc>
          <w:tcPr>
            <w:tcW w:w="960" w:type="dxa"/>
            <w:vAlign w:val="bottom"/>
            <w:shd w:val="clear" w:color="auto" w:fill="DFDEEE"/>
          </w:tcPr>
          <w:p>
            <w:pPr>
              <w:spacing w:after="0"/>
              <w:rPr>
                <w:sz w:val="8"/>
                <w:szCs w:val="8"/>
                <w:color w:val="auto"/>
              </w:rPr>
            </w:pPr>
          </w:p>
        </w:tc>
        <w:tc>
          <w:tcPr>
            <w:tcW w:w="1140" w:type="dxa"/>
            <w:vAlign w:val="bottom"/>
            <w:shd w:val="clear" w:color="auto" w:fill="DFDEEE"/>
          </w:tcPr>
          <w:p>
            <w:pPr>
              <w:spacing w:after="0"/>
              <w:rPr>
                <w:sz w:val="8"/>
                <w:szCs w:val="8"/>
                <w:color w:val="auto"/>
              </w:rPr>
            </w:pPr>
          </w:p>
        </w:tc>
        <w:tc>
          <w:tcPr>
            <w:tcW w:w="940" w:type="dxa"/>
            <w:vAlign w:val="bottom"/>
            <w:vMerge w:val="continue"/>
            <w:shd w:val="clear" w:color="auto" w:fill="DFDEEE"/>
          </w:tcPr>
          <w:p>
            <w:pPr>
              <w:spacing w:after="0"/>
              <w:rPr>
                <w:sz w:val="8"/>
                <w:szCs w:val="8"/>
                <w:color w:val="auto"/>
              </w:rPr>
            </w:pPr>
          </w:p>
        </w:tc>
        <w:tc>
          <w:tcPr>
            <w:tcW w:w="1240" w:type="dxa"/>
            <w:vAlign w:val="bottom"/>
            <w:vMerge w:val="continue"/>
            <w:shd w:val="clear" w:color="auto" w:fill="DFDEEE"/>
          </w:tcPr>
          <w:p>
            <w:pPr>
              <w:spacing w:after="0"/>
              <w:rPr>
                <w:sz w:val="8"/>
                <w:szCs w:val="8"/>
                <w:color w:val="auto"/>
              </w:rPr>
            </w:pPr>
          </w:p>
        </w:tc>
        <w:tc>
          <w:tcPr>
            <w:tcW w:w="800" w:type="dxa"/>
            <w:vAlign w:val="bottom"/>
            <w:vMerge w:val="continue"/>
            <w:shd w:val="clear" w:color="auto" w:fill="DFDEEE"/>
          </w:tcPr>
          <w:p>
            <w:pPr>
              <w:spacing w:after="0"/>
              <w:rPr>
                <w:sz w:val="8"/>
                <w:szCs w:val="8"/>
                <w:color w:val="auto"/>
              </w:rPr>
            </w:pPr>
          </w:p>
        </w:tc>
        <w:tc>
          <w:tcPr>
            <w:tcW w:w="140" w:type="dxa"/>
            <w:vAlign w:val="bottom"/>
            <w:shd w:val="clear" w:color="auto" w:fill="DFDEEE"/>
          </w:tcPr>
          <w:p>
            <w:pPr>
              <w:spacing w:after="0"/>
              <w:rPr>
                <w:sz w:val="8"/>
                <w:szCs w:val="8"/>
                <w:color w:val="auto"/>
              </w:rPr>
            </w:pPr>
          </w:p>
        </w:tc>
        <w:tc>
          <w:tcPr>
            <w:tcW w:w="920" w:type="dxa"/>
            <w:vAlign w:val="bottom"/>
            <w:shd w:val="clear" w:color="auto" w:fill="DFDEEE"/>
          </w:tcPr>
          <w:p>
            <w:pPr>
              <w:spacing w:after="0"/>
              <w:rPr>
                <w:sz w:val="8"/>
                <w:szCs w:val="8"/>
                <w:color w:val="auto"/>
              </w:rPr>
            </w:pPr>
          </w:p>
        </w:tc>
        <w:tc>
          <w:tcPr>
            <w:tcW w:w="1180" w:type="dxa"/>
            <w:vAlign w:val="bottom"/>
            <w:shd w:val="clear" w:color="auto" w:fill="DFDEEE"/>
          </w:tcPr>
          <w:p>
            <w:pPr>
              <w:spacing w:after="0"/>
              <w:rPr>
                <w:sz w:val="8"/>
                <w:szCs w:val="8"/>
                <w:color w:val="auto"/>
              </w:rPr>
            </w:pPr>
          </w:p>
        </w:tc>
        <w:tc>
          <w:tcPr>
            <w:tcW w:w="580" w:type="dxa"/>
            <w:vAlign w:val="bottom"/>
            <w:shd w:val="clear" w:color="auto" w:fill="DFDEEE"/>
          </w:tcPr>
          <w:p>
            <w:pPr>
              <w:spacing w:after="0"/>
              <w:rPr>
                <w:sz w:val="8"/>
                <w:szCs w:val="8"/>
                <w:color w:val="auto"/>
              </w:rPr>
            </w:pPr>
          </w:p>
        </w:tc>
        <w:tc>
          <w:tcPr>
            <w:tcW w:w="1180" w:type="dxa"/>
            <w:vAlign w:val="bottom"/>
            <w:shd w:val="clear" w:color="auto" w:fill="DFDEEE"/>
          </w:tcPr>
          <w:p>
            <w:pPr>
              <w:spacing w:after="0"/>
              <w:rPr>
                <w:sz w:val="8"/>
                <w:szCs w:val="8"/>
                <w:color w:val="auto"/>
              </w:rPr>
            </w:pPr>
          </w:p>
        </w:tc>
        <w:tc>
          <w:tcPr>
            <w:tcW w:w="960" w:type="dxa"/>
            <w:vAlign w:val="bottom"/>
            <w:shd w:val="clear" w:color="auto" w:fill="DFDEE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200" w:type="dxa"/>
            <w:vAlign w:val="bottom"/>
            <w:tcBorders>
              <w:bottom w:val="single" w:sz="8" w:color="DFDEEE"/>
            </w:tcBorders>
            <w:vMerge w:val="continue"/>
            <w:shd w:val="clear" w:color="auto" w:fill="DFDEEE"/>
          </w:tcPr>
          <w:p>
            <w:pPr>
              <w:spacing w:after="0"/>
              <w:rPr>
                <w:sz w:val="7"/>
                <w:szCs w:val="7"/>
                <w:color w:val="auto"/>
              </w:rPr>
            </w:pPr>
          </w:p>
        </w:tc>
        <w:tc>
          <w:tcPr>
            <w:tcW w:w="960" w:type="dxa"/>
            <w:vAlign w:val="bottom"/>
            <w:tcBorders>
              <w:bottom w:val="single" w:sz="8" w:color="BCBEC0"/>
            </w:tcBorders>
            <w:shd w:val="clear" w:color="auto" w:fill="DFDEEE"/>
          </w:tcPr>
          <w:p>
            <w:pPr>
              <w:spacing w:after="0"/>
              <w:rPr>
                <w:sz w:val="7"/>
                <w:szCs w:val="7"/>
                <w:color w:val="auto"/>
              </w:rPr>
            </w:pPr>
          </w:p>
        </w:tc>
        <w:tc>
          <w:tcPr>
            <w:tcW w:w="1140" w:type="dxa"/>
            <w:vAlign w:val="bottom"/>
            <w:tcBorders>
              <w:bottom w:val="single" w:sz="8" w:color="BCBEC0"/>
            </w:tcBorders>
            <w:shd w:val="clear" w:color="auto" w:fill="DFDEEE"/>
          </w:tcPr>
          <w:p>
            <w:pPr>
              <w:spacing w:after="0"/>
              <w:rPr>
                <w:sz w:val="7"/>
                <w:szCs w:val="7"/>
                <w:color w:val="auto"/>
              </w:rPr>
            </w:pPr>
          </w:p>
        </w:tc>
        <w:tc>
          <w:tcPr>
            <w:tcW w:w="940" w:type="dxa"/>
            <w:vAlign w:val="bottom"/>
            <w:tcBorders>
              <w:bottom w:val="single" w:sz="8" w:color="BCBEC0"/>
            </w:tcBorders>
            <w:shd w:val="clear" w:color="auto" w:fill="DFDEEE"/>
          </w:tcPr>
          <w:p>
            <w:pPr>
              <w:spacing w:after="0"/>
              <w:rPr>
                <w:sz w:val="7"/>
                <w:szCs w:val="7"/>
                <w:color w:val="auto"/>
              </w:rPr>
            </w:pPr>
          </w:p>
        </w:tc>
        <w:tc>
          <w:tcPr>
            <w:tcW w:w="1240" w:type="dxa"/>
            <w:vAlign w:val="bottom"/>
            <w:tcBorders>
              <w:bottom w:val="single" w:sz="8" w:color="BCBEC0"/>
            </w:tcBorders>
            <w:shd w:val="clear" w:color="auto" w:fill="DFDEEE"/>
          </w:tcPr>
          <w:p>
            <w:pPr>
              <w:spacing w:after="0"/>
              <w:rPr>
                <w:sz w:val="7"/>
                <w:szCs w:val="7"/>
                <w:color w:val="auto"/>
              </w:rPr>
            </w:pPr>
          </w:p>
        </w:tc>
        <w:tc>
          <w:tcPr>
            <w:tcW w:w="800" w:type="dxa"/>
            <w:vAlign w:val="bottom"/>
            <w:tcBorders>
              <w:bottom w:val="single" w:sz="8" w:color="BCBEC0"/>
            </w:tcBorders>
            <w:shd w:val="clear" w:color="auto" w:fill="DFDEEE"/>
          </w:tcPr>
          <w:p>
            <w:pPr>
              <w:spacing w:after="0"/>
              <w:rPr>
                <w:sz w:val="7"/>
                <w:szCs w:val="7"/>
                <w:color w:val="auto"/>
              </w:rPr>
            </w:pPr>
          </w:p>
        </w:tc>
        <w:tc>
          <w:tcPr>
            <w:tcW w:w="140" w:type="dxa"/>
            <w:vAlign w:val="bottom"/>
            <w:tcBorders>
              <w:bottom w:val="single" w:sz="8" w:color="BCBEC0"/>
            </w:tcBorders>
            <w:shd w:val="clear" w:color="auto" w:fill="DFDEEE"/>
          </w:tcPr>
          <w:p>
            <w:pPr>
              <w:spacing w:after="0"/>
              <w:rPr>
                <w:sz w:val="7"/>
                <w:szCs w:val="7"/>
                <w:color w:val="auto"/>
              </w:rPr>
            </w:pPr>
          </w:p>
        </w:tc>
        <w:tc>
          <w:tcPr>
            <w:tcW w:w="920" w:type="dxa"/>
            <w:vAlign w:val="bottom"/>
            <w:tcBorders>
              <w:bottom w:val="single" w:sz="8" w:color="BCBEC0"/>
            </w:tcBorders>
            <w:shd w:val="clear" w:color="auto" w:fill="DFDEEE"/>
          </w:tcPr>
          <w:p>
            <w:pPr>
              <w:spacing w:after="0"/>
              <w:rPr>
                <w:sz w:val="7"/>
                <w:szCs w:val="7"/>
                <w:color w:val="auto"/>
              </w:rPr>
            </w:pPr>
          </w:p>
        </w:tc>
        <w:tc>
          <w:tcPr>
            <w:tcW w:w="1180" w:type="dxa"/>
            <w:vAlign w:val="bottom"/>
            <w:tcBorders>
              <w:bottom w:val="single" w:sz="8" w:color="BCBEC0"/>
            </w:tcBorders>
            <w:shd w:val="clear" w:color="auto" w:fill="DFDEEE"/>
          </w:tcPr>
          <w:p>
            <w:pPr>
              <w:spacing w:after="0"/>
              <w:rPr>
                <w:sz w:val="7"/>
                <w:szCs w:val="7"/>
                <w:color w:val="auto"/>
              </w:rPr>
            </w:pPr>
          </w:p>
        </w:tc>
        <w:tc>
          <w:tcPr>
            <w:tcW w:w="580" w:type="dxa"/>
            <w:vAlign w:val="bottom"/>
            <w:tcBorders>
              <w:bottom w:val="single" w:sz="8" w:color="BCBEC0"/>
            </w:tcBorders>
            <w:shd w:val="clear" w:color="auto" w:fill="DFDEEE"/>
          </w:tcPr>
          <w:p>
            <w:pPr>
              <w:spacing w:after="0"/>
              <w:rPr>
                <w:sz w:val="7"/>
                <w:szCs w:val="7"/>
                <w:color w:val="auto"/>
              </w:rPr>
            </w:pPr>
          </w:p>
        </w:tc>
        <w:tc>
          <w:tcPr>
            <w:tcW w:w="1180" w:type="dxa"/>
            <w:vAlign w:val="bottom"/>
            <w:tcBorders>
              <w:bottom w:val="single" w:sz="8" w:color="BCBEC0"/>
            </w:tcBorders>
            <w:shd w:val="clear" w:color="auto" w:fill="DFDEEE"/>
          </w:tcPr>
          <w:p>
            <w:pPr>
              <w:spacing w:after="0"/>
              <w:rPr>
                <w:sz w:val="7"/>
                <w:szCs w:val="7"/>
                <w:color w:val="auto"/>
              </w:rPr>
            </w:pPr>
          </w:p>
        </w:tc>
        <w:tc>
          <w:tcPr>
            <w:tcW w:w="960" w:type="dxa"/>
            <w:vAlign w:val="bottom"/>
            <w:tcBorders>
              <w:bottom w:val="single" w:sz="8" w:color="BCBEC0"/>
            </w:tcBorders>
            <w:shd w:val="clear" w:color="auto" w:fill="DFDEEE"/>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1200" w:type="dxa"/>
            <w:vAlign w:val="bottom"/>
            <w:tcBorders>
              <w:bottom w:val="single" w:sz="8" w:color="DFDEEE"/>
            </w:tcBorders>
            <w:shd w:val="clear" w:color="auto" w:fill="DFDEEE"/>
          </w:tcPr>
          <w:p>
            <w:pPr>
              <w:spacing w:after="0"/>
              <w:rPr>
                <w:sz w:val="17"/>
                <w:szCs w:val="17"/>
                <w:color w:val="auto"/>
              </w:rPr>
            </w:pPr>
          </w:p>
        </w:tc>
        <w:tc>
          <w:tcPr>
            <w:tcW w:w="9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RPSR</w:t>
            </w:r>
          </w:p>
        </w:tc>
        <w:tc>
          <w:tcPr>
            <w:tcW w:w="1140" w:type="dxa"/>
            <w:vAlign w:val="bottom"/>
            <w:tcBorders>
              <w:bottom w:val="single" w:sz="8" w:color="BCBEC0"/>
            </w:tcBorders>
            <w:shd w:val="clear" w:color="auto" w:fill="DFDEEE"/>
          </w:tcPr>
          <w:p>
            <w:pPr>
              <w:jc w:val="right"/>
              <w:ind w:right="409"/>
              <w:spacing w:after="0"/>
              <w:rPr>
                <w:sz w:val="20"/>
                <w:szCs w:val="20"/>
                <w:color w:val="auto"/>
              </w:rPr>
            </w:pPr>
            <w:r>
              <w:rPr>
                <w:rFonts w:ascii="Arial" w:cs="Arial" w:eastAsia="Arial" w:hAnsi="Arial"/>
                <w:sz w:val="14"/>
                <w:szCs w:val="14"/>
                <w:color w:val="auto"/>
              </w:rPr>
              <w:t>2/16/2023</w:t>
            </w:r>
          </w:p>
        </w:tc>
        <w:tc>
          <w:tcPr>
            <w:tcW w:w="940" w:type="dxa"/>
            <w:vAlign w:val="bottom"/>
            <w:tcBorders>
              <w:bottom w:val="single" w:sz="8" w:color="BCBEC0"/>
            </w:tcBorders>
            <w:shd w:val="clear" w:color="auto" w:fill="DFDEEE"/>
          </w:tcPr>
          <w:p>
            <w:pPr>
              <w:spacing w:after="0"/>
              <w:rPr>
                <w:sz w:val="17"/>
                <w:szCs w:val="17"/>
                <w:color w:val="auto"/>
              </w:rPr>
            </w:pPr>
          </w:p>
        </w:tc>
        <w:tc>
          <w:tcPr>
            <w:tcW w:w="1240" w:type="dxa"/>
            <w:vAlign w:val="bottom"/>
            <w:tcBorders>
              <w:bottom w:val="single" w:sz="8" w:color="BCBEC0"/>
            </w:tcBorders>
            <w:shd w:val="clear" w:color="auto" w:fill="DFDEEE"/>
          </w:tcPr>
          <w:p>
            <w:pPr>
              <w:spacing w:after="0"/>
              <w:rPr>
                <w:sz w:val="17"/>
                <w:szCs w:val="17"/>
                <w:color w:val="auto"/>
              </w:rPr>
            </w:pPr>
          </w:p>
        </w:tc>
        <w:tc>
          <w:tcPr>
            <w:tcW w:w="800" w:type="dxa"/>
            <w:vAlign w:val="bottom"/>
            <w:tcBorders>
              <w:bottom w:val="single" w:sz="8" w:color="BCBEC0"/>
            </w:tcBorders>
            <w:shd w:val="clear" w:color="auto" w:fill="DFDEEE"/>
          </w:tcPr>
          <w:p>
            <w:pPr>
              <w:spacing w:after="0"/>
              <w:rPr>
                <w:sz w:val="17"/>
                <w:szCs w:val="17"/>
                <w:color w:val="auto"/>
              </w:rPr>
            </w:pPr>
          </w:p>
        </w:tc>
        <w:tc>
          <w:tcPr>
            <w:tcW w:w="140" w:type="dxa"/>
            <w:vAlign w:val="bottom"/>
            <w:tcBorders>
              <w:bottom w:val="single" w:sz="8" w:color="BCBEC0"/>
            </w:tcBorders>
            <w:shd w:val="clear" w:color="auto" w:fill="DFDEEE"/>
          </w:tcPr>
          <w:p>
            <w:pPr>
              <w:spacing w:after="0"/>
              <w:rPr>
                <w:sz w:val="17"/>
                <w:szCs w:val="17"/>
                <w:color w:val="auto"/>
              </w:rPr>
            </w:pPr>
          </w:p>
        </w:tc>
        <w:tc>
          <w:tcPr>
            <w:tcW w:w="920" w:type="dxa"/>
            <w:vAlign w:val="bottom"/>
            <w:tcBorders>
              <w:bottom w:val="single" w:sz="8" w:color="BCBEC0"/>
            </w:tcBorders>
            <w:shd w:val="clear" w:color="auto" w:fill="DFDEEE"/>
          </w:tcPr>
          <w:p>
            <w:pPr>
              <w:ind w:left="68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BCBEC0"/>
            </w:tcBorders>
            <w:shd w:val="clear" w:color="auto" w:fill="DFDEEE"/>
          </w:tcPr>
          <w:p>
            <w:pPr>
              <w:jc w:val="right"/>
              <w:ind w:right="393"/>
              <w:spacing w:after="0"/>
              <w:rPr>
                <w:sz w:val="20"/>
                <w:szCs w:val="20"/>
                <w:color w:val="auto"/>
              </w:rPr>
            </w:pPr>
            <w:r>
              <w:rPr>
                <w:rFonts w:ascii="Arial" w:cs="Arial" w:eastAsia="Arial" w:hAnsi="Arial"/>
                <w:sz w:val="14"/>
                <w:szCs w:val="14"/>
                <w:color w:val="auto"/>
              </w:rPr>
              <w:t>4,376</w:t>
            </w:r>
          </w:p>
        </w:tc>
        <w:tc>
          <w:tcPr>
            <w:tcW w:w="5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8,752</w:t>
            </w:r>
          </w:p>
        </w:tc>
        <w:tc>
          <w:tcPr>
            <w:tcW w:w="1180" w:type="dxa"/>
            <w:vAlign w:val="bottom"/>
            <w:tcBorders>
              <w:bottom w:val="single" w:sz="8" w:color="BCBEC0"/>
            </w:tcBorders>
            <w:shd w:val="clear" w:color="auto" w:fill="DFDEEE"/>
          </w:tcPr>
          <w:p>
            <w:pPr>
              <w:spacing w:after="0"/>
              <w:rPr>
                <w:sz w:val="17"/>
                <w:szCs w:val="17"/>
                <w:color w:val="auto"/>
              </w:rPr>
            </w:pPr>
          </w:p>
        </w:tc>
        <w:tc>
          <w:tcPr>
            <w:tcW w:w="9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2,099,747</w:t>
            </w:r>
          </w:p>
        </w:tc>
        <w:tc>
          <w:tcPr>
            <w:tcW w:w="0" w:type="dxa"/>
            <w:vAlign w:val="bottom"/>
          </w:tcPr>
          <w:p>
            <w:pPr>
              <w:spacing w:after="0"/>
              <w:rPr>
                <w:sz w:val="1"/>
                <w:szCs w:val="1"/>
                <w:color w:val="auto"/>
              </w:rPr>
            </w:pPr>
          </w:p>
        </w:tc>
      </w:tr>
      <w:tr>
        <w:trPr>
          <w:trHeight w:val="210"/>
        </w:trPr>
        <w:tc>
          <w:tcPr>
            <w:tcW w:w="1200" w:type="dxa"/>
            <w:vAlign w:val="bottom"/>
            <w:tcBorders>
              <w:bottom w:val="single" w:sz="8" w:color="BCBEC0"/>
            </w:tcBorders>
            <w:shd w:val="clear" w:color="auto" w:fill="DFDEEE"/>
          </w:tcPr>
          <w:p>
            <w:pPr>
              <w:spacing w:after="0"/>
              <w:rPr>
                <w:sz w:val="18"/>
                <w:szCs w:val="18"/>
                <w:color w:val="auto"/>
              </w:rPr>
            </w:pPr>
          </w:p>
        </w:tc>
        <w:tc>
          <w:tcPr>
            <w:tcW w:w="9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RSR</w:t>
            </w:r>
          </w:p>
        </w:tc>
        <w:tc>
          <w:tcPr>
            <w:tcW w:w="1140" w:type="dxa"/>
            <w:vAlign w:val="bottom"/>
            <w:tcBorders>
              <w:bottom w:val="single" w:sz="8" w:color="BCBEC0"/>
            </w:tcBorders>
            <w:shd w:val="clear" w:color="auto" w:fill="DFDEEE"/>
          </w:tcPr>
          <w:p>
            <w:pPr>
              <w:jc w:val="right"/>
              <w:ind w:right="409"/>
              <w:spacing w:after="0"/>
              <w:rPr>
                <w:sz w:val="20"/>
                <w:szCs w:val="20"/>
                <w:color w:val="auto"/>
              </w:rPr>
            </w:pPr>
            <w:r>
              <w:rPr>
                <w:rFonts w:ascii="Arial" w:cs="Arial" w:eastAsia="Arial" w:hAnsi="Arial"/>
                <w:sz w:val="14"/>
                <w:szCs w:val="14"/>
                <w:color w:val="auto"/>
              </w:rPr>
              <w:t>2/16/2023</w:t>
            </w:r>
          </w:p>
        </w:tc>
        <w:tc>
          <w:tcPr>
            <w:tcW w:w="940" w:type="dxa"/>
            <w:vAlign w:val="bottom"/>
            <w:tcBorders>
              <w:bottom w:val="single" w:sz="8" w:color="BCBEC0"/>
            </w:tcBorders>
            <w:shd w:val="clear" w:color="auto" w:fill="DFDEEE"/>
          </w:tcPr>
          <w:p>
            <w:pPr>
              <w:spacing w:after="0"/>
              <w:rPr>
                <w:sz w:val="18"/>
                <w:szCs w:val="18"/>
                <w:color w:val="auto"/>
              </w:rPr>
            </w:pPr>
          </w:p>
        </w:tc>
        <w:tc>
          <w:tcPr>
            <w:tcW w:w="1240" w:type="dxa"/>
            <w:vAlign w:val="bottom"/>
            <w:tcBorders>
              <w:bottom w:val="single" w:sz="8" w:color="BCBEC0"/>
            </w:tcBorders>
            <w:shd w:val="clear" w:color="auto" w:fill="DFDEEE"/>
          </w:tcPr>
          <w:p>
            <w:pPr>
              <w:spacing w:after="0"/>
              <w:rPr>
                <w:sz w:val="18"/>
                <w:szCs w:val="18"/>
                <w:color w:val="auto"/>
              </w:rPr>
            </w:pPr>
          </w:p>
        </w:tc>
        <w:tc>
          <w:tcPr>
            <w:tcW w:w="800" w:type="dxa"/>
            <w:vAlign w:val="bottom"/>
            <w:tcBorders>
              <w:bottom w:val="single" w:sz="8" w:color="BCBEC0"/>
            </w:tcBorders>
            <w:shd w:val="clear" w:color="auto" w:fill="DFDEEE"/>
          </w:tcPr>
          <w:p>
            <w:pPr>
              <w:spacing w:after="0"/>
              <w:rPr>
                <w:sz w:val="18"/>
                <w:szCs w:val="18"/>
                <w:color w:val="auto"/>
              </w:rPr>
            </w:pPr>
          </w:p>
        </w:tc>
        <w:tc>
          <w:tcPr>
            <w:tcW w:w="140" w:type="dxa"/>
            <w:vAlign w:val="bottom"/>
            <w:tcBorders>
              <w:bottom w:val="single" w:sz="8" w:color="BCBEC0"/>
            </w:tcBorders>
            <w:shd w:val="clear" w:color="auto" w:fill="DFDEEE"/>
          </w:tcPr>
          <w:p>
            <w:pPr>
              <w:spacing w:after="0"/>
              <w:rPr>
                <w:sz w:val="18"/>
                <w:szCs w:val="18"/>
                <w:color w:val="auto"/>
              </w:rPr>
            </w:pPr>
          </w:p>
        </w:tc>
        <w:tc>
          <w:tcPr>
            <w:tcW w:w="920" w:type="dxa"/>
            <w:vAlign w:val="bottom"/>
            <w:tcBorders>
              <w:bottom w:val="single" w:sz="8" w:color="BCBEC0"/>
            </w:tcBorders>
            <w:shd w:val="clear" w:color="auto" w:fill="DFDEEE"/>
          </w:tcPr>
          <w:p>
            <w:pPr>
              <w:spacing w:after="0"/>
              <w:rPr>
                <w:sz w:val="18"/>
                <w:szCs w:val="18"/>
                <w:color w:val="auto"/>
              </w:rPr>
            </w:pPr>
          </w:p>
        </w:tc>
        <w:tc>
          <w:tcPr>
            <w:tcW w:w="1180" w:type="dxa"/>
            <w:vAlign w:val="bottom"/>
            <w:tcBorders>
              <w:bottom w:val="single" w:sz="8" w:color="BCBEC0"/>
            </w:tcBorders>
            <w:shd w:val="clear" w:color="auto" w:fill="DFDEEE"/>
          </w:tcPr>
          <w:p>
            <w:pPr>
              <w:spacing w:after="0"/>
              <w:rPr>
                <w:sz w:val="18"/>
                <w:szCs w:val="18"/>
                <w:color w:val="auto"/>
              </w:rPr>
            </w:pPr>
          </w:p>
        </w:tc>
        <w:tc>
          <w:tcPr>
            <w:tcW w:w="580" w:type="dxa"/>
            <w:vAlign w:val="bottom"/>
            <w:tcBorders>
              <w:bottom w:val="single" w:sz="8" w:color="BCBEC0"/>
            </w:tcBorders>
            <w:shd w:val="clear" w:color="auto" w:fill="DFDEEE"/>
          </w:tcPr>
          <w:p>
            <w:pPr>
              <w:spacing w:after="0"/>
              <w:rPr>
                <w:sz w:val="18"/>
                <w:szCs w:val="18"/>
                <w:color w:val="auto"/>
              </w:rPr>
            </w:pPr>
          </w:p>
        </w:tc>
        <w:tc>
          <w:tcPr>
            <w:tcW w:w="1180" w:type="dxa"/>
            <w:vAlign w:val="bottom"/>
            <w:tcBorders>
              <w:bottom w:val="single" w:sz="8" w:color="BCBEC0"/>
            </w:tcBorders>
            <w:shd w:val="clear" w:color="auto" w:fill="DFDEEE"/>
          </w:tcPr>
          <w:p>
            <w:pPr>
              <w:jc w:val="right"/>
              <w:ind w:right="156"/>
              <w:spacing w:after="0"/>
              <w:rPr>
                <w:sz w:val="20"/>
                <w:szCs w:val="20"/>
                <w:color w:val="auto"/>
              </w:rPr>
            </w:pPr>
            <w:r>
              <w:rPr>
                <w:rFonts w:ascii="Arial" w:cs="Arial" w:eastAsia="Arial" w:hAnsi="Arial"/>
                <w:sz w:val="14"/>
                <w:szCs w:val="14"/>
                <w:color w:val="auto"/>
              </w:rPr>
              <w:t>2,017</w:t>
            </w:r>
          </w:p>
        </w:tc>
        <w:tc>
          <w:tcPr>
            <w:tcW w:w="9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899,804</w:t>
            </w:r>
          </w:p>
        </w:tc>
        <w:tc>
          <w:tcPr>
            <w:tcW w:w="0" w:type="dxa"/>
            <w:vAlign w:val="bottom"/>
          </w:tcPr>
          <w:p>
            <w:pPr>
              <w:spacing w:after="0"/>
              <w:rPr>
                <w:sz w:val="1"/>
                <w:szCs w:val="1"/>
                <w:color w:val="auto"/>
              </w:rPr>
            </w:pPr>
          </w:p>
        </w:tc>
      </w:tr>
      <w:tr>
        <w:trPr>
          <w:trHeight w:val="210"/>
        </w:trPr>
        <w:tc>
          <w:tcPr>
            <w:tcW w:w="1200" w:type="dxa"/>
            <w:vAlign w:val="bottom"/>
            <w:shd w:val="clear" w:color="auto" w:fill="DFDEEE"/>
          </w:tcPr>
          <w:p>
            <w:pPr>
              <w:spacing w:after="0"/>
              <w:rPr>
                <w:sz w:val="18"/>
                <w:szCs w:val="18"/>
                <w:color w:val="auto"/>
              </w:rPr>
            </w:pPr>
          </w:p>
        </w:tc>
        <w:tc>
          <w:tcPr>
            <w:tcW w:w="9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RSR (5)</w:t>
            </w:r>
          </w:p>
        </w:tc>
        <w:tc>
          <w:tcPr>
            <w:tcW w:w="1140" w:type="dxa"/>
            <w:vAlign w:val="bottom"/>
            <w:shd w:val="clear" w:color="auto" w:fill="DFDEEE"/>
          </w:tcPr>
          <w:p>
            <w:pPr>
              <w:jc w:val="right"/>
              <w:ind w:right="409"/>
              <w:spacing w:after="0"/>
              <w:rPr>
                <w:sz w:val="20"/>
                <w:szCs w:val="20"/>
                <w:color w:val="auto"/>
              </w:rPr>
            </w:pPr>
            <w:r>
              <w:rPr>
                <w:rFonts w:ascii="Arial" w:cs="Arial" w:eastAsia="Arial" w:hAnsi="Arial"/>
                <w:sz w:val="14"/>
                <w:szCs w:val="14"/>
                <w:color w:val="auto"/>
              </w:rPr>
              <w:t>12/5/2023</w:t>
            </w:r>
          </w:p>
        </w:tc>
        <w:tc>
          <w:tcPr>
            <w:tcW w:w="940" w:type="dxa"/>
            <w:vAlign w:val="bottom"/>
            <w:shd w:val="clear" w:color="auto" w:fill="DFDEEE"/>
          </w:tcPr>
          <w:p>
            <w:pPr>
              <w:spacing w:after="0"/>
              <w:rPr>
                <w:sz w:val="18"/>
                <w:szCs w:val="18"/>
                <w:color w:val="auto"/>
              </w:rPr>
            </w:pPr>
          </w:p>
        </w:tc>
        <w:tc>
          <w:tcPr>
            <w:tcW w:w="1240" w:type="dxa"/>
            <w:vAlign w:val="bottom"/>
            <w:shd w:val="clear" w:color="auto" w:fill="DFDEEE"/>
          </w:tcPr>
          <w:p>
            <w:pPr>
              <w:spacing w:after="0"/>
              <w:rPr>
                <w:sz w:val="18"/>
                <w:szCs w:val="18"/>
                <w:color w:val="auto"/>
              </w:rPr>
            </w:pPr>
          </w:p>
        </w:tc>
        <w:tc>
          <w:tcPr>
            <w:tcW w:w="800" w:type="dxa"/>
            <w:vAlign w:val="bottom"/>
            <w:shd w:val="clear" w:color="auto" w:fill="DFDEEE"/>
          </w:tcPr>
          <w:p>
            <w:pPr>
              <w:spacing w:after="0"/>
              <w:rPr>
                <w:sz w:val="18"/>
                <w:szCs w:val="18"/>
                <w:color w:val="auto"/>
              </w:rPr>
            </w:pPr>
          </w:p>
        </w:tc>
        <w:tc>
          <w:tcPr>
            <w:tcW w:w="140" w:type="dxa"/>
            <w:vAlign w:val="bottom"/>
            <w:shd w:val="clear" w:color="auto" w:fill="DFDEEE"/>
          </w:tcPr>
          <w:p>
            <w:pPr>
              <w:spacing w:after="0"/>
              <w:rPr>
                <w:sz w:val="18"/>
                <w:szCs w:val="18"/>
                <w:color w:val="auto"/>
              </w:rPr>
            </w:pPr>
          </w:p>
        </w:tc>
        <w:tc>
          <w:tcPr>
            <w:tcW w:w="920" w:type="dxa"/>
            <w:vAlign w:val="bottom"/>
            <w:shd w:val="clear" w:color="auto" w:fill="DFDEEE"/>
          </w:tcPr>
          <w:p>
            <w:pPr>
              <w:spacing w:after="0"/>
              <w:rPr>
                <w:sz w:val="18"/>
                <w:szCs w:val="18"/>
                <w:color w:val="auto"/>
              </w:rPr>
            </w:pPr>
          </w:p>
        </w:tc>
        <w:tc>
          <w:tcPr>
            <w:tcW w:w="1180" w:type="dxa"/>
            <w:vAlign w:val="bottom"/>
            <w:shd w:val="clear" w:color="auto" w:fill="DFDEEE"/>
          </w:tcPr>
          <w:p>
            <w:pPr>
              <w:spacing w:after="0"/>
              <w:rPr>
                <w:sz w:val="18"/>
                <w:szCs w:val="18"/>
                <w:color w:val="auto"/>
              </w:rPr>
            </w:pPr>
          </w:p>
        </w:tc>
        <w:tc>
          <w:tcPr>
            <w:tcW w:w="580" w:type="dxa"/>
            <w:vAlign w:val="bottom"/>
            <w:shd w:val="clear" w:color="auto" w:fill="DFDEEE"/>
          </w:tcPr>
          <w:p>
            <w:pPr>
              <w:spacing w:after="0"/>
              <w:rPr>
                <w:sz w:val="18"/>
                <w:szCs w:val="18"/>
                <w:color w:val="auto"/>
              </w:rPr>
            </w:pPr>
          </w:p>
        </w:tc>
        <w:tc>
          <w:tcPr>
            <w:tcW w:w="1180" w:type="dxa"/>
            <w:vAlign w:val="bottom"/>
            <w:tcBorders>
              <w:bottom w:val="single" w:sz="8" w:color="BCBEC0"/>
            </w:tcBorders>
            <w:shd w:val="clear" w:color="auto" w:fill="DFDEEE"/>
          </w:tcPr>
          <w:p>
            <w:pPr>
              <w:jc w:val="right"/>
              <w:ind w:right="156"/>
              <w:spacing w:after="0"/>
              <w:rPr>
                <w:sz w:val="20"/>
                <w:szCs w:val="20"/>
                <w:color w:val="auto"/>
              </w:rPr>
            </w:pPr>
            <w:r>
              <w:rPr>
                <w:rFonts w:ascii="Arial" w:cs="Arial" w:eastAsia="Arial" w:hAnsi="Arial"/>
                <w:sz w:val="14"/>
                <w:szCs w:val="14"/>
                <w:color w:val="auto"/>
              </w:rPr>
              <w:t>328</w:t>
            </w:r>
          </w:p>
        </w:tc>
        <w:tc>
          <w:tcPr>
            <w:tcW w:w="9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149,899</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right="100" w:hanging="252"/>
        <w:spacing w:after="0" w:line="305" w:lineRule="auto"/>
        <w:tabs>
          <w:tab w:leader="none" w:pos="258" w:val="left"/>
        </w:tabs>
        <w:numPr>
          <w:ilvl w:val="0"/>
          <w:numId w:val="138"/>
        </w:numPr>
        <w:rPr>
          <w:rFonts w:ascii="Arial" w:cs="Arial" w:eastAsia="Arial" w:hAnsi="Arial"/>
          <w:sz w:val="14"/>
          <w:szCs w:val="14"/>
          <w:color w:val="auto"/>
        </w:rPr>
      </w:pPr>
      <w:r>
        <w:rPr>
          <w:rFonts w:ascii="Arial" w:cs="Arial" w:eastAsia="Arial" w:hAnsi="Arial"/>
          <w:sz w:val="14"/>
          <w:szCs w:val="14"/>
          <w:color w:val="auto"/>
        </w:rPr>
        <w:t>Represents the potential range of payouts under the Company’s AIP. Actual payouts are shown in the Summary Compensation Table column entitled “Non-Equity Incentive Plan Compensation” on page 71.</w:t>
      </w:r>
    </w:p>
    <w:p>
      <w:pPr>
        <w:spacing w:after="0" w:line="9" w:lineRule="exact"/>
        <w:rPr>
          <w:rFonts w:ascii="Arial" w:cs="Arial" w:eastAsia="Arial" w:hAnsi="Arial"/>
          <w:sz w:val="14"/>
          <w:szCs w:val="14"/>
          <w:color w:val="auto"/>
        </w:rPr>
      </w:pPr>
    </w:p>
    <w:p>
      <w:pPr>
        <w:ind w:left="260" w:right="380" w:hanging="252"/>
        <w:spacing w:after="0" w:line="305" w:lineRule="auto"/>
        <w:tabs>
          <w:tab w:leader="none" w:pos="258"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These amounts relate to RPSRs granted in 2023 under the 2011 Plan. For additional details on our RPSRs, refer to “Key Components of Our Executive Compensation Programs - Long-Term Incentive Compensation” on page 63.</w:t>
      </w:r>
    </w:p>
    <w:p>
      <w:pPr>
        <w:spacing w:after="0" w:line="9" w:lineRule="exact"/>
        <w:rPr>
          <w:rFonts w:ascii="Arial" w:cs="Arial" w:eastAsia="Arial" w:hAnsi="Arial"/>
          <w:sz w:val="14"/>
          <w:szCs w:val="14"/>
          <w:color w:val="auto"/>
        </w:rPr>
      </w:pPr>
    </w:p>
    <w:p>
      <w:pPr>
        <w:ind w:left="260" w:right="580" w:hanging="252"/>
        <w:spacing w:after="0" w:line="285" w:lineRule="auto"/>
        <w:tabs>
          <w:tab w:leader="none" w:pos="258"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These amounts relate to RSRs granted in 2023 under the 2011 Plan. For additional details on our RSRs, refer to “Key Components of Our Executive Compensation Programs - Long-Term Incentive Compensation” on page 63.</w:t>
      </w:r>
    </w:p>
    <w:p>
      <w:pPr>
        <w:spacing w:after="0" w:line="36" w:lineRule="exact"/>
        <w:rPr>
          <w:rFonts w:ascii="Arial" w:cs="Arial" w:eastAsia="Arial" w:hAnsi="Arial"/>
          <w:sz w:val="14"/>
          <w:szCs w:val="14"/>
          <w:color w:val="auto"/>
        </w:rPr>
      </w:pPr>
    </w:p>
    <w:p>
      <w:pPr>
        <w:ind w:left="260" w:hanging="252"/>
        <w:spacing w:after="0"/>
        <w:tabs>
          <w:tab w:leader="none" w:pos="26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 grant date fair value of awards was computed in accordance with FASB ASC Topic 718.</w:t>
      </w:r>
    </w:p>
    <w:p>
      <w:pPr>
        <w:spacing w:after="0" w:line="82" w:lineRule="exact"/>
        <w:rPr>
          <w:rFonts w:ascii="Arial" w:cs="Arial" w:eastAsia="Arial" w:hAnsi="Arial"/>
          <w:sz w:val="14"/>
          <w:szCs w:val="14"/>
          <w:color w:val="auto"/>
        </w:rPr>
      </w:pPr>
    </w:p>
    <w:p>
      <w:pPr>
        <w:ind w:left="260" w:right="160" w:hanging="252"/>
        <w:spacing w:after="0" w:line="285" w:lineRule="auto"/>
        <w:tabs>
          <w:tab w:leader="none" w:pos="258" w:val="left"/>
        </w:tabs>
        <w:numPr>
          <w:ilvl w:val="0"/>
          <w:numId w:val="138"/>
        </w:numPr>
        <w:rPr>
          <w:rFonts w:ascii="Arial" w:cs="Arial" w:eastAsia="Arial" w:hAnsi="Arial"/>
          <w:sz w:val="14"/>
          <w:szCs w:val="14"/>
          <w:color w:val="auto"/>
        </w:rPr>
      </w:pPr>
      <w:r>
        <w:rPr>
          <w:rFonts w:ascii="Arial" w:cs="Arial" w:eastAsia="Arial" w:hAnsi="Arial"/>
          <w:sz w:val="14"/>
          <w:szCs w:val="14"/>
          <w:color w:val="auto"/>
        </w:rPr>
        <w:t>Ms. Roeder was granted a RSR award on December 5, 2023 in connection with her role as Corporate Vice President and President, Defense Systems. The grant will vest two years from the grant date.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73</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Outstanding Equity Awards at 2023 Fiscal Year End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780" w:type="dxa"/>
            <w:vAlign w:val="bottom"/>
          </w:tcPr>
          <w:p>
            <w:pPr>
              <w:jc w:val="right"/>
              <w:spacing w:after="0"/>
              <w:rPr>
                <w:sz w:val="20"/>
                <w:szCs w:val="20"/>
                <w:color w:val="auto"/>
              </w:rPr>
            </w:pPr>
            <w:r>
              <w:rPr>
                <w:rFonts w:ascii="Arial" w:cs="Arial" w:eastAsia="Arial" w:hAnsi="Arial"/>
                <w:sz w:val="12"/>
                <w:szCs w:val="12"/>
                <w:b w:val="1"/>
                <w:bCs w:val="1"/>
                <w:color w:val="auto"/>
              </w:rPr>
              <w:t>Equity Incentive Plan</w:t>
            </w:r>
          </w:p>
        </w:tc>
      </w:tr>
      <w:tr>
        <w:trPr>
          <w:trHeight w:val="149"/>
        </w:trPr>
        <w:tc>
          <w:tcPr>
            <w:tcW w:w="2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160" w:type="dxa"/>
            <w:vAlign w:val="bottom"/>
          </w:tcPr>
          <w:p>
            <w:pPr>
              <w:jc w:val="right"/>
              <w:ind w:right="352"/>
              <w:spacing w:after="0"/>
              <w:rPr>
                <w:sz w:val="20"/>
                <w:szCs w:val="20"/>
                <w:color w:val="auto"/>
              </w:rPr>
            </w:pPr>
            <w:r>
              <w:rPr>
                <w:rFonts w:ascii="Arial" w:cs="Arial" w:eastAsia="Arial" w:hAnsi="Arial"/>
                <w:sz w:val="12"/>
                <w:szCs w:val="12"/>
                <w:b w:val="1"/>
                <w:bCs w:val="1"/>
                <w:color w:val="auto"/>
              </w:rPr>
              <w:t>Equity Incentive Plan</w:t>
            </w:r>
          </w:p>
        </w:tc>
        <w:tc>
          <w:tcPr>
            <w:tcW w:w="1780" w:type="dxa"/>
            <w:vAlign w:val="bottom"/>
          </w:tcPr>
          <w:p>
            <w:pPr>
              <w:jc w:val="right"/>
              <w:spacing w:after="0"/>
              <w:rPr>
                <w:sz w:val="20"/>
                <w:szCs w:val="20"/>
                <w:color w:val="auto"/>
              </w:rPr>
            </w:pPr>
            <w:r>
              <w:rPr>
                <w:rFonts w:ascii="Arial" w:cs="Arial" w:eastAsia="Arial" w:hAnsi="Arial"/>
                <w:sz w:val="12"/>
                <w:szCs w:val="12"/>
                <w:b w:val="1"/>
                <w:bCs w:val="1"/>
                <w:color w:val="auto"/>
              </w:rPr>
              <w:t>Awards: Market</w:t>
            </w:r>
          </w:p>
        </w:tc>
      </w:tr>
      <w:tr>
        <w:trPr>
          <w:trHeight w:val="135"/>
        </w:trPr>
        <w:tc>
          <w:tcPr>
            <w:tcW w:w="2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Number of</w:t>
            </w:r>
          </w:p>
        </w:tc>
        <w:tc>
          <w:tcPr>
            <w:tcW w:w="2080" w:type="dxa"/>
            <w:vAlign w:val="bottom"/>
          </w:tcPr>
          <w:p>
            <w:pPr>
              <w:jc w:val="right"/>
              <w:ind w:right="351"/>
              <w:spacing w:after="0" w:line="135" w:lineRule="exact"/>
              <w:rPr>
                <w:sz w:val="20"/>
                <w:szCs w:val="20"/>
                <w:color w:val="auto"/>
              </w:rPr>
            </w:pPr>
            <w:r>
              <w:rPr>
                <w:rFonts w:ascii="Arial" w:cs="Arial" w:eastAsia="Arial" w:hAnsi="Arial"/>
                <w:sz w:val="12"/>
                <w:szCs w:val="12"/>
                <w:b w:val="1"/>
                <w:bCs w:val="1"/>
                <w:color w:val="auto"/>
              </w:rPr>
              <w:t>Market Value of</w:t>
            </w:r>
          </w:p>
        </w:tc>
        <w:tc>
          <w:tcPr>
            <w:tcW w:w="2160" w:type="dxa"/>
            <w:vAlign w:val="bottom"/>
          </w:tcPr>
          <w:p>
            <w:pPr>
              <w:jc w:val="right"/>
              <w:ind w:right="352"/>
              <w:spacing w:after="0" w:line="135" w:lineRule="exact"/>
              <w:rPr>
                <w:sz w:val="20"/>
                <w:szCs w:val="20"/>
                <w:color w:val="auto"/>
              </w:rPr>
            </w:pPr>
            <w:r>
              <w:rPr>
                <w:rFonts w:ascii="Arial" w:cs="Arial" w:eastAsia="Arial" w:hAnsi="Arial"/>
                <w:sz w:val="12"/>
                <w:szCs w:val="12"/>
                <w:b w:val="1"/>
                <w:bCs w:val="1"/>
                <w:color w:val="auto"/>
              </w:rPr>
              <w:t>Awards: Number of</w:t>
            </w:r>
          </w:p>
        </w:tc>
        <w:tc>
          <w:tcPr>
            <w:tcW w:w="17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or Payout Value of</w:t>
            </w:r>
          </w:p>
        </w:tc>
      </w:tr>
      <w:tr>
        <w:trPr>
          <w:trHeight w:val="135"/>
        </w:trPr>
        <w:tc>
          <w:tcPr>
            <w:tcW w:w="2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Shares or Units of</w:t>
            </w:r>
          </w:p>
        </w:tc>
        <w:tc>
          <w:tcPr>
            <w:tcW w:w="2080" w:type="dxa"/>
            <w:vAlign w:val="bottom"/>
          </w:tcPr>
          <w:p>
            <w:pPr>
              <w:jc w:val="right"/>
              <w:ind w:right="351"/>
              <w:spacing w:after="0" w:line="135" w:lineRule="exact"/>
              <w:rPr>
                <w:sz w:val="20"/>
                <w:szCs w:val="20"/>
                <w:color w:val="auto"/>
              </w:rPr>
            </w:pPr>
            <w:r>
              <w:rPr>
                <w:rFonts w:ascii="Arial" w:cs="Arial" w:eastAsia="Arial" w:hAnsi="Arial"/>
                <w:sz w:val="12"/>
                <w:szCs w:val="12"/>
                <w:b w:val="1"/>
                <w:bCs w:val="1"/>
                <w:color w:val="auto"/>
              </w:rPr>
              <w:t>Shares or Units of</w:t>
            </w:r>
          </w:p>
        </w:tc>
        <w:tc>
          <w:tcPr>
            <w:tcW w:w="2160" w:type="dxa"/>
            <w:vAlign w:val="bottom"/>
          </w:tcPr>
          <w:p>
            <w:pPr>
              <w:jc w:val="right"/>
              <w:ind w:right="352"/>
              <w:spacing w:after="0" w:line="135" w:lineRule="exact"/>
              <w:rPr>
                <w:sz w:val="20"/>
                <w:szCs w:val="20"/>
                <w:color w:val="auto"/>
              </w:rPr>
            </w:pPr>
            <w:r>
              <w:rPr>
                <w:rFonts w:ascii="Arial" w:cs="Arial" w:eastAsia="Arial" w:hAnsi="Arial"/>
                <w:sz w:val="12"/>
                <w:szCs w:val="12"/>
                <w:b w:val="1"/>
                <w:bCs w:val="1"/>
                <w:color w:val="auto"/>
              </w:rPr>
              <w:t>Unearned Shares, Units</w:t>
            </w:r>
          </w:p>
        </w:tc>
        <w:tc>
          <w:tcPr>
            <w:tcW w:w="17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Unearned Shares, Units</w:t>
            </w:r>
          </w:p>
        </w:tc>
      </w:tr>
      <w:tr>
        <w:trPr>
          <w:trHeight w:val="148"/>
        </w:trPr>
        <w:tc>
          <w:tcPr>
            <w:tcW w:w="2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Arial" w:cs="Arial" w:eastAsia="Arial" w:hAnsi="Arial"/>
                <w:sz w:val="12"/>
                <w:szCs w:val="12"/>
                <w:b w:val="1"/>
                <w:bCs w:val="1"/>
                <w:color w:val="auto"/>
              </w:rPr>
              <w:t>Stock that Have</w:t>
            </w:r>
          </w:p>
        </w:tc>
        <w:tc>
          <w:tcPr>
            <w:tcW w:w="2080" w:type="dxa"/>
            <w:vAlign w:val="bottom"/>
          </w:tcPr>
          <w:p>
            <w:pPr>
              <w:jc w:val="right"/>
              <w:ind w:right="351"/>
              <w:spacing w:after="0"/>
              <w:rPr>
                <w:sz w:val="20"/>
                <w:szCs w:val="20"/>
                <w:color w:val="auto"/>
              </w:rPr>
            </w:pPr>
            <w:r>
              <w:rPr>
                <w:rFonts w:ascii="Arial" w:cs="Arial" w:eastAsia="Arial" w:hAnsi="Arial"/>
                <w:sz w:val="12"/>
                <w:szCs w:val="12"/>
                <w:b w:val="1"/>
                <w:bCs w:val="1"/>
                <w:color w:val="auto"/>
              </w:rPr>
              <w:t>Stock that Have</w:t>
            </w:r>
          </w:p>
        </w:tc>
        <w:tc>
          <w:tcPr>
            <w:tcW w:w="2160" w:type="dxa"/>
            <w:vAlign w:val="bottom"/>
          </w:tcPr>
          <w:p>
            <w:pPr>
              <w:jc w:val="right"/>
              <w:ind w:right="352"/>
              <w:spacing w:after="0"/>
              <w:rPr>
                <w:sz w:val="20"/>
                <w:szCs w:val="20"/>
                <w:color w:val="auto"/>
              </w:rPr>
            </w:pPr>
            <w:r>
              <w:rPr>
                <w:rFonts w:ascii="Arial" w:cs="Arial" w:eastAsia="Arial" w:hAnsi="Arial"/>
                <w:sz w:val="12"/>
                <w:szCs w:val="12"/>
                <w:b w:val="1"/>
                <w:bCs w:val="1"/>
                <w:color w:val="auto"/>
              </w:rPr>
              <w:t>or Other Rights that</w:t>
            </w:r>
          </w:p>
        </w:tc>
        <w:tc>
          <w:tcPr>
            <w:tcW w:w="1780" w:type="dxa"/>
            <w:vAlign w:val="bottom"/>
          </w:tcPr>
          <w:p>
            <w:pPr>
              <w:jc w:val="right"/>
              <w:spacing w:after="0"/>
              <w:rPr>
                <w:sz w:val="20"/>
                <w:szCs w:val="20"/>
                <w:color w:val="auto"/>
              </w:rPr>
            </w:pPr>
            <w:r>
              <w:rPr>
                <w:rFonts w:ascii="Arial" w:cs="Arial" w:eastAsia="Arial" w:hAnsi="Arial"/>
                <w:sz w:val="12"/>
                <w:szCs w:val="12"/>
                <w:b w:val="1"/>
                <w:bCs w:val="1"/>
                <w:color w:val="auto"/>
              </w:rPr>
              <w:t>or Other Rights that</w:t>
            </w:r>
          </w:p>
        </w:tc>
      </w:tr>
      <w:tr>
        <w:trPr>
          <w:trHeight w:val="135"/>
        </w:trPr>
        <w:tc>
          <w:tcPr>
            <w:tcW w:w="2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Not Vested</w:t>
            </w:r>
            <w:r>
              <w:rPr>
                <w:rFonts w:ascii="Arial" w:cs="Arial" w:eastAsia="Arial" w:hAnsi="Arial"/>
                <w:sz w:val="15"/>
                <w:szCs w:val="15"/>
                <w:b w:val="1"/>
                <w:bCs w:val="1"/>
                <w:color w:val="auto"/>
                <w:vertAlign w:val="superscript"/>
              </w:rPr>
              <w:t>(1)</w:t>
            </w:r>
          </w:p>
        </w:tc>
        <w:tc>
          <w:tcPr>
            <w:tcW w:w="2080" w:type="dxa"/>
            <w:vAlign w:val="bottom"/>
          </w:tcPr>
          <w:p>
            <w:pPr>
              <w:jc w:val="right"/>
              <w:ind w:right="351"/>
              <w:spacing w:after="0" w:line="135" w:lineRule="exact"/>
              <w:rPr>
                <w:sz w:val="20"/>
                <w:szCs w:val="20"/>
                <w:color w:val="auto"/>
              </w:rPr>
            </w:pPr>
            <w:r>
              <w:rPr>
                <w:rFonts w:ascii="Arial" w:cs="Arial" w:eastAsia="Arial" w:hAnsi="Arial"/>
                <w:sz w:val="12"/>
                <w:szCs w:val="12"/>
                <w:b w:val="1"/>
                <w:bCs w:val="1"/>
                <w:color w:val="auto"/>
              </w:rPr>
              <w:t>Not Vested</w:t>
            </w:r>
            <w:r>
              <w:rPr>
                <w:rFonts w:ascii="Arial" w:cs="Arial" w:eastAsia="Arial" w:hAnsi="Arial"/>
                <w:sz w:val="15"/>
                <w:szCs w:val="15"/>
                <w:b w:val="1"/>
                <w:bCs w:val="1"/>
                <w:color w:val="auto"/>
                <w:vertAlign w:val="superscript"/>
              </w:rPr>
              <w:t>(2)</w:t>
            </w:r>
          </w:p>
        </w:tc>
        <w:tc>
          <w:tcPr>
            <w:tcW w:w="2160" w:type="dxa"/>
            <w:vAlign w:val="bottom"/>
          </w:tcPr>
          <w:p>
            <w:pPr>
              <w:jc w:val="right"/>
              <w:ind w:right="352"/>
              <w:spacing w:after="0" w:line="135" w:lineRule="exact"/>
              <w:rPr>
                <w:sz w:val="20"/>
                <w:szCs w:val="20"/>
                <w:color w:val="auto"/>
              </w:rPr>
            </w:pPr>
            <w:r>
              <w:rPr>
                <w:rFonts w:ascii="Arial" w:cs="Arial" w:eastAsia="Arial" w:hAnsi="Arial"/>
                <w:sz w:val="12"/>
                <w:szCs w:val="12"/>
                <w:b w:val="1"/>
                <w:bCs w:val="1"/>
                <w:color w:val="auto"/>
              </w:rPr>
              <w:t>Have Not Vested</w:t>
            </w:r>
            <w:r>
              <w:rPr>
                <w:rFonts w:ascii="Arial" w:cs="Arial" w:eastAsia="Arial" w:hAnsi="Arial"/>
                <w:sz w:val="15"/>
                <w:szCs w:val="15"/>
                <w:b w:val="1"/>
                <w:bCs w:val="1"/>
                <w:color w:val="auto"/>
                <w:vertAlign w:val="superscript"/>
              </w:rPr>
              <w:t>(3)</w:t>
            </w:r>
          </w:p>
        </w:tc>
        <w:tc>
          <w:tcPr>
            <w:tcW w:w="17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Have Not Vested</w:t>
            </w:r>
            <w:r>
              <w:rPr>
                <w:rFonts w:ascii="Arial" w:cs="Arial" w:eastAsia="Arial" w:hAnsi="Arial"/>
                <w:sz w:val="15"/>
                <w:szCs w:val="15"/>
                <w:b w:val="1"/>
                <w:bCs w:val="1"/>
                <w:color w:val="auto"/>
                <w:vertAlign w:val="superscript"/>
              </w:rPr>
              <w:t>(2)</w:t>
            </w:r>
          </w:p>
        </w:tc>
      </w:tr>
      <w:tr>
        <w:trPr>
          <w:trHeight w:val="179"/>
        </w:trPr>
        <w:tc>
          <w:tcPr>
            <w:tcW w:w="2260" w:type="dxa"/>
            <w:vAlign w:val="bottom"/>
            <w:tcBorders>
              <w:bottom w:val="single" w:sz="8" w:color="29378D"/>
            </w:tcBorders>
          </w:tcPr>
          <w:p>
            <w:pPr>
              <w:ind w:left="20"/>
              <w:spacing w:after="0"/>
              <w:rPr>
                <w:sz w:val="20"/>
                <w:szCs w:val="20"/>
                <w:color w:val="auto"/>
              </w:rPr>
            </w:pPr>
            <w:r>
              <w:rPr>
                <w:rFonts w:ascii="Arial" w:cs="Arial" w:eastAsia="Arial" w:hAnsi="Arial"/>
                <w:sz w:val="12"/>
                <w:szCs w:val="12"/>
                <w:b w:val="1"/>
                <w:bCs w:val="1"/>
                <w:color w:val="auto"/>
              </w:rPr>
              <w:t>Name</w:t>
            </w:r>
          </w:p>
        </w:tc>
        <w:tc>
          <w:tcPr>
            <w:tcW w:w="1280" w:type="dxa"/>
            <w:vAlign w:val="bottom"/>
            <w:tcBorders>
              <w:bottom w:val="single" w:sz="8" w:color="29378D"/>
            </w:tcBorders>
          </w:tcPr>
          <w:p>
            <w:pPr>
              <w:jc w:val="right"/>
              <w:spacing w:after="0"/>
              <w:rPr>
                <w:sz w:val="20"/>
                <w:szCs w:val="20"/>
                <w:color w:val="auto"/>
              </w:rPr>
            </w:pPr>
            <w:r>
              <w:rPr>
                <w:rFonts w:ascii="Arial" w:cs="Arial" w:eastAsia="Arial" w:hAnsi="Arial"/>
                <w:sz w:val="12"/>
                <w:szCs w:val="12"/>
                <w:b w:val="1"/>
                <w:bCs w:val="1"/>
                <w:color w:val="auto"/>
              </w:rPr>
              <w:t>Grant Date</w:t>
            </w:r>
          </w:p>
        </w:tc>
        <w:tc>
          <w:tcPr>
            <w:tcW w:w="1660" w:type="dxa"/>
            <w:vAlign w:val="bottom"/>
            <w:tcBorders>
              <w:bottom w:val="single" w:sz="8" w:color="29378D"/>
            </w:tcBorders>
          </w:tcPr>
          <w:p>
            <w:pPr>
              <w:jc w:val="right"/>
              <w:spacing w:after="0"/>
              <w:rPr>
                <w:sz w:val="20"/>
                <w:szCs w:val="20"/>
                <w:color w:val="auto"/>
              </w:rPr>
            </w:pPr>
            <w:r>
              <w:rPr>
                <w:rFonts w:ascii="Arial" w:cs="Arial" w:eastAsia="Arial" w:hAnsi="Arial"/>
                <w:sz w:val="12"/>
                <w:szCs w:val="12"/>
                <w:b w:val="1"/>
                <w:bCs w:val="1"/>
                <w:color w:val="auto"/>
              </w:rPr>
              <w:t>(#)</w:t>
            </w:r>
          </w:p>
        </w:tc>
        <w:tc>
          <w:tcPr>
            <w:tcW w:w="2080" w:type="dxa"/>
            <w:vAlign w:val="bottom"/>
            <w:tcBorders>
              <w:bottom w:val="single" w:sz="8" w:color="29378D"/>
            </w:tcBorders>
          </w:tcPr>
          <w:p>
            <w:pPr>
              <w:jc w:val="right"/>
              <w:ind w:right="351"/>
              <w:spacing w:after="0"/>
              <w:rPr>
                <w:sz w:val="20"/>
                <w:szCs w:val="20"/>
                <w:color w:val="auto"/>
              </w:rPr>
            </w:pPr>
            <w:r>
              <w:rPr>
                <w:rFonts w:ascii="Arial" w:cs="Arial" w:eastAsia="Arial" w:hAnsi="Arial"/>
                <w:sz w:val="12"/>
                <w:szCs w:val="12"/>
                <w:b w:val="1"/>
                <w:bCs w:val="1"/>
                <w:color w:val="auto"/>
              </w:rPr>
              <w:t>($)</w:t>
            </w:r>
          </w:p>
        </w:tc>
        <w:tc>
          <w:tcPr>
            <w:tcW w:w="2160" w:type="dxa"/>
            <w:vAlign w:val="bottom"/>
            <w:tcBorders>
              <w:bottom w:val="single" w:sz="8" w:color="29378D"/>
            </w:tcBorders>
          </w:tcPr>
          <w:p>
            <w:pPr>
              <w:jc w:val="right"/>
              <w:ind w:right="352"/>
              <w:spacing w:after="0"/>
              <w:rPr>
                <w:sz w:val="20"/>
                <w:szCs w:val="20"/>
                <w:color w:val="auto"/>
              </w:rPr>
            </w:pPr>
            <w:r>
              <w:rPr>
                <w:rFonts w:ascii="Arial" w:cs="Arial" w:eastAsia="Arial" w:hAnsi="Arial"/>
                <w:sz w:val="12"/>
                <w:szCs w:val="12"/>
                <w:b w:val="1"/>
                <w:bCs w:val="1"/>
                <w:color w:val="auto"/>
              </w:rPr>
              <w:t>(#)</w:t>
            </w:r>
          </w:p>
        </w:tc>
        <w:tc>
          <w:tcPr>
            <w:tcW w:w="1780" w:type="dxa"/>
            <w:vAlign w:val="bottom"/>
            <w:tcBorders>
              <w:bottom w:val="single" w:sz="8" w:color="29378D"/>
            </w:tcBorders>
          </w:tcPr>
          <w:p>
            <w:pPr>
              <w:jc w:val="right"/>
              <w:spacing w:after="0"/>
              <w:rPr>
                <w:sz w:val="20"/>
                <w:szCs w:val="20"/>
                <w:color w:val="auto"/>
              </w:rPr>
            </w:pPr>
            <w:r>
              <w:rPr>
                <w:rFonts w:ascii="Arial" w:cs="Arial" w:eastAsia="Arial" w:hAnsi="Arial"/>
                <w:sz w:val="12"/>
                <w:szCs w:val="12"/>
                <w:b w:val="1"/>
                <w:bCs w:val="1"/>
                <w:color w:val="auto"/>
              </w:rPr>
              <w:t>($)</w:t>
            </w:r>
          </w:p>
        </w:tc>
      </w:tr>
      <w:tr>
        <w:trPr>
          <w:trHeight w:val="215"/>
        </w:trPr>
        <w:tc>
          <w:tcPr>
            <w:tcW w:w="226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Kathy J. Warden</w:t>
            </w:r>
          </w:p>
        </w:tc>
        <w:tc>
          <w:tcPr>
            <w:tcW w:w="12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2/16/2023</w:t>
            </w:r>
          </w:p>
        </w:tc>
        <w:tc>
          <w:tcPr>
            <w:tcW w:w="16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10,760</w:t>
            </w:r>
          </w:p>
        </w:tc>
        <w:tc>
          <w:tcPr>
            <w:tcW w:w="2080" w:type="dxa"/>
            <w:vAlign w:val="bottom"/>
            <w:tcBorders>
              <w:bottom w:val="single" w:sz="8" w:color="BCBEC0"/>
            </w:tcBorders>
            <w:shd w:val="clear" w:color="auto" w:fill="DFDEEE"/>
          </w:tcPr>
          <w:p>
            <w:pPr>
              <w:jc w:val="right"/>
              <w:ind w:right="391"/>
              <w:spacing w:after="0"/>
              <w:rPr>
                <w:sz w:val="20"/>
                <w:szCs w:val="20"/>
                <w:color w:val="auto"/>
              </w:rPr>
            </w:pPr>
            <w:r>
              <w:rPr>
                <w:rFonts w:ascii="Arial" w:cs="Arial" w:eastAsia="Arial" w:hAnsi="Arial"/>
                <w:sz w:val="14"/>
                <w:szCs w:val="14"/>
                <w:color w:val="auto"/>
              </w:rPr>
              <w:t>5,037,186</w:t>
            </w:r>
          </w:p>
        </w:tc>
        <w:tc>
          <w:tcPr>
            <w:tcW w:w="2160" w:type="dxa"/>
            <w:vAlign w:val="bottom"/>
            <w:tcBorders>
              <w:bottom w:val="single" w:sz="8" w:color="BCBEC0"/>
            </w:tcBorders>
            <w:shd w:val="clear" w:color="auto" w:fill="DFDEEE"/>
          </w:tcPr>
          <w:p>
            <w:pPr>
              <w:jc w:val="right"/>
              <w:ind w:right="392"/>
              <w:spacing w:after="0"/>
              <w:rPr>
                <w:sz w:val="20"/>
                <w:szCs w:val="20"/>
                <w:color w:val="auto"/>
              </w:rPr>
            </w:pPr>
            <w:r>
              <w:rPr>
                <w:rFonts w:ascii="Arial" w:cs="Arial" w:eastAsia="Arial" w:hAnsi="Arial"/>
                <w:sz w:val="14"/>
                <w:szCs w:val="14"/>
                <w:color w:val="auto"/>
              </w:rPr>
              <w:t>23,342</w:t>
            </w:r>
          </w:p>
        </w:tc>
        <w:tc>
          <w:tcPr>
            <w:tcW w:w="1780" w:type="dxa"/>
            <w:vAlign w:val="bottom"/>
            <w:tcBorders>
              <w:bottom w:val="single" w:sz="8" w:color="BCBEC0"/>
            </w:tcBorders>
            <w:shd w:val="clear" w:color="auto" w:fill="DFDEEE"/>
          </w:tcPr>
          <w:p>
            <w:pPr>
              <w:jc w:val="right"/>
              <w:ind w:right="12"/>
              <w:spacing w:after="0"/>
              <w:rPr>
                <w:sz w:val="20"/>
                <w:szCs w:val="20"/>
                <w:color w:val="auto"/>
              </w:rPr>
            </w:pPr>
            <w:r>
              <w:rPr>
                <w:rFonts w:ascii="Arial" w:cs="Arial" w:eastAsia="Arial" w:hAnsi="Arial"/>
                <w:sz w:val="14"/>
                <w:szCs w:val="14"/>
                <w:color w:val="auto"/>
              </w:rPr>
              <w:t>10,927,324</w:t>
            </w:r>
          </w:p>
        </w:tc>
      </w:tr>
      <w:tr>
        <w:trPr>
          <w:trHeight w:val="207"/>
        </w:trPr>
        <w:tc>
          <w:tcPr>
            <w:tcW w:w="2260" w:type="dxa"/>
            <w:vAlign w:val="bottom"/>
            <w:tcBorders>
              <w:bottom w:val="single" w:sz="8" w:color="DFDEEE"/>
            </w:tcBorders>
            <w:shd w:val="clear" w:color="auto" w:fill="DFDEEE"/>
          </w:tcPr>
          <w:p>
            <w:pPr>
              <w:spacing w:after="0"/>
              <w:rPr>
                <w:sz w:val="17"/>
                <w:szCs w:val="17"/>
                <w:color w:val="auto"/>
              </w:rPr>
            </w:pPr>
          </w:p>
        </w:tc>
        <w:tc>
          <w:tcPr>
            <w:tcW w:w="12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2/15/2022</w:t>
            </w:r>
          </w:p>
        </w:tc>
        <w:tc>
          <w:tcPr>
            <w:tcW w:w="16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11,672</w:t>
            </w:r>
          </w:p>
        </w:tc>
        <w:tc>
          <w:tcPr>
            <w:tcW w:w="2080" w:type="dxa"/>
            <w:vAlign w:val="bottom"/>
            <w:tcBorders>
              <w:bottom w:val="single" w:sz="8" w:color="BCBEC0"/>
            </w:tcBorders>
            <w:shd w:val="clear" w:color="auto" w:fill="DFDEEE"/>
          </w:tcPr>
          <w:p>
            <w:pPr>
              <w:jc w:val="right"/>
              <w:ind w:right="391"/>
              <w:spacing w:after="0"/>
              <w:rPr>
                <w:sz w:val="20"/>
                <w:szCs w:val="20"/>
                <w:color w:val="auto"/>
              </w:rPr>
            </w:pPr>
            <w:r>
              <w:rPr>
                <w:rFonts w:ascii="Arial" w:cs="Arial" w:eastAsia="Arial" w:hAnsi="Arial"/>
                <w:sz w:val="14"/>
                <w:szCs w:val="14"/>
                <w:color w:val="auto"/>
              </w:rPr>
              <w:t>5,464,130</w:t>
            </w:r>
          </w:p>
        </w:tc>
        <w:tc>
          <w:tcPr>
            <w:tcW w:w="2160" w:type="dxa"/>
            <w:vAlign w:val="bottom"/>
            <w:tcBorders>
              <w:bottom w:val="single" w:sz="8" w:color="BCBEC0"/>
            </w:tcBorders>
            <w:shd w:val="clear" w:color="auto" w:fill="DFDEEE"/>
          </w:tcPr>
          <w:p>
            <w:pPr>
              <w:jc w:val="right"/>
              <w:ind w:right="392"/>
              <w:spacing w:after="0"/>
              <w:rPr>
                <w:sz w:val="20"/>
                <w:szCs w:val="20"/>
                <w:color w:val="auto"/>
              </w:rPr>
            </w:pPr>
            <w:r>
              <w:rPr>
                <w:rFonts w:ascii="Arial" w:cs="Arial" w:eastAsia="Arial" w:hAnsi="Arial"/>
                <w:sz w:val="14"/>
                <w:szCs w:val="14"/>
                <w:color w:val="auto"/>
              </w:rPr>
              <w:t>25,561</w:t>
            </w:r>
          </w:p>
        </w:tc>
        <w:tc>
          <w:tcPr>
            <w:tcW w:w="1780" w:type="dxa"/>
            <w:vAlign w:val="bottom"/>
            <w:tcBorders>
              <w:bottom w:val="single" w:sz="8" w:color="BCBEC0"/>
            </w:tcBorders>
            <w:shd w:val="clear" w:color="auto" w:fill="DFDEEE"/>
          </w:tcPr>
          <w:p>
            <w:pPr>
              <w:jc w:val="right"/>
              <w:ind w:right="12"/>
              <w:spacing w:after="0"/>
              <w:rPr>
                <w:sz w:val="20"/>
                <w:szCs w:val="20"/>
                <w:color w:val="auto"/>
              </w:rPr>
            </w:pPr>
            <w:r>
              <w:rPr>
                <w:rFonts w:ascii="Arial" w:cs="Arial" w:eastAsia="Arial" w:hAnsi="Arial"/>
                <w:sz w:val="14"/>
                <w:szCs w:val="14"/>
                <w:color w:val="auto"/>
              </w:rPr>
              <w:t>11,966,127</w:t>
            </w:r>
          </w:p>
        </w:tc>
      </w:tr>
      <w:tr>
        <w:trPr>
          <w:trHeight w:val="209"/>
        </w:trPr>
        <w:tc>
          <w:tcPr>
            <w:tcW w:w="2260" w:type="dxa"/>
            <w:vAlign w:val="bottom"/>
            <w:tcBorders>
              <w:bottom w:val="single" w:sz="8" w:color="BCBEC0"/>
            </w:tcBorders>
            <w:shd w:val="clear" w:color="auto" w:fill="DFDEEE"/>
          </w:tcPr>
          <w:p>
            <w:pPr>
              <w:spacing w:after="0"/>
              <w:rPr>
                <w:sz w:val="18"/>
                <w:szCs w:val="18"/>
                <w:color w:val="auto"/>
              </w:rPr>
            </w:pPr>
          </w:p>
        </w:tc>
        <w:tc>
          <w:tcPr>
            <w:tcW w:w="12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2/16/2021</w:t>
            </w:r>
          </w:p>
        </w:tc>
        <w:tc>
          <w:tcPr>
            <w:tcW w:w="16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14,776</w:t>
            </w:r>
          </w:p>
        </w:tc>
        <w:tc>
          <w:tcPr>
            <w:tcW w:w="2080" w:type="dxa"/>
            <w:vAlign w:val="bottom"/>
            <w:tcBorders>
              <w:bottom w:val="single" w:sz="8" w:color="BCBEC0"/>
            </w:tcBorders>
            <w:shd w:val="clear" w:color="auto" w:fill="DFDEEE"/>
          </w:tcPr>
          <w:p>
            <w:pPr>
              <w:jc w:val="right"/>
              <w:ind w:right="391"/>
              <w:spacing w:after="0"/>
              <w:rPr>
                <w:sz w:val="20"/>
                <w:szCs w:val="20"/>
                <w:color w:val="auto"/>
              </w:rPr>
            </w:pPr>
            <w:r>
              <w:rPr>
                <w:rFonts w:ascii="Arial" w:cs="Arial" w:eastAsia="Arial" w:hAnsi="Arial"/>
                <w:sz w:val="14"/>
                <w:szCs w:val="14"/>
                <w:color w:val="auto"/>
              </w:rPr>
              <w:t>6,917,237</w:t>
            </w:r>
          </w:p>
        </w:tc>
        <w:tc>
          <w:tcPr>
            <w:tcW w:w="2160" w:type="dxa"/>
            <w:vAlign w:val="bottom"/>
            <w:tcBorders>
              <w:bottom w:val="single" w:sz="8" w:color="BCBEC0"/>
            </w:tcBorders>
            <w:shd w:val="clear" w:color="auto" w:fill="DFDEEE"/>
          </w:tcPr>
          <w:p>
            <w:pPr>
              <w:jc w:val="right"/>
              <w:ind w:right="392"/>
              <w:spacing w:after="0"/>
              <w:rPr>
                <w:sz w:val="20"/>
                <w:szCs w:val="20"/>
                <w:color w:val="auto"/>
              </w:rPr>
            </w:pPr>
            <w:r>
              <w:rPr>
                <w:rFonts w:ascii="Arial" w:cs="Arial" w:eastAsia="Arial" w:hAnsi="Arial"/>
                <w:sz w:val="14"/>
                <w:szCs w:val="14"/>
                <w:color w:val="auto"/>
              </w:rPr>
              <w:t>32,505</w:t>
            </w:r>
          </w:p>
        </w:tc>
        <w:tc>
          <w:tcPr>
            <w:tcW w:w="1780" w:type="dxa"/>
            <w:vAlign w:val="bottom"/>
            <w:tcBorders>
              <w:bottom w:val="single" w:sz="8" w:color="BCBEC0"/>
            </w:tcBorders>
            <w:shd w:val="clear" w:color="auto" w:fill="DFDEEE"/>
          </w:tcPr>
          <w:p>
            <w:pPr>
              <w:jc w:val="right"/>
              <w:ind w:right="12"/>
              <w:spacing w:after="0"/>
              <w:rPr>
                <w:sz w:val="20"/>
                <w:szCs w:val="20"/>
                <w:color w:val="auto"/>
              </w:rPr>
            </w:pPr>
            <w:r>
              <w:rPr>
                <w:rFonts w:ascii="Arial" w:cs="Arial" w:eastAsia="Arial" w:hAnsi="Arial"/>
                <w:sz w:val="14"/>
                <w:szCs w:val="14"/>
                <w:color w:val="auto"/>
              </w:rPr>
              <w:t>15,216,891</w:t>
            </w:r>
          </w:p>
        </w:tc>
      </w:tr>
      <w:tr>
        <w:trPr>
          <w:trHeight w:val="213"/>
        </w:trPr>
        <w:tc>
          <w:tcPr>
            <w:tcW w:w="2260" w:type="dxa"/>
            <w:vAlign w:val="bottom"/>
          </w:tcPr>
          <w:p>
            <w:pPr>
              <w:ind w:left="20"/>
              <w:spacing w:after="0"/>
              <w:rPr>
                <w:sz w:val="20"/>
                <w:szCs w:val="20"/>
                <w:color w:val="auto"/>
              </w:rPr>
            </w:pPr>
            <w:r>
              <w:rPr>
                <w:rFonts w:ascii="Arial" w:cs="Arial" w:eastAsia="Arial" w:hAnsi="Arial"/>
                <w:sz w:val="14"/>
                <w:szCs w:val="14"/>
                <w:b w:val="1"/>
                <w:bCs w:val="1"/>
                <w:color w:val="29378D"/>
              </w:rPr>
              <w:t>David F. Keffer</w:t>
            </w:r>
          </w:p>
        </w:tc>
        <w:tc>
          <w:tcPr>
            <w:tcW w:w="1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2/16/2023</w:t>
            </w:r>
          </w:p>
        </w:tc>
        <w:tc>
          <w:tcPr>
            <w:tcW w:w="16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2,286</w:t>
            </w:r>
          </w:p>
        </w:tc>
        <w:tc>
          <w:tcPr>
            <w:tcW w:w="2080" w:type="dxa"/>
            <w:vAlign w:val="bottom"/>
            <w:tcBorders>
              <w:bottom w:val="single" w:sz="8" w:color="BCBEC0"/>
            </w:tcBorders>
          </w:tcPr>
          <w:p>
            <w:pPr>
              <w:jc w:val="right"/>
              <w:ind w:right="391"/>
              <w:spacing w:after="0"/>
              <w:rPr>
                <w:sz w:val="20"/>
                <w:szCs w:val="20"/>
                <w:color w:val="auto"/>
              </w:rPr>
            </w:pPr>
            <w:r>
              <w:rPr>
                <w:rFonts w:ascii="Arial" w:cs="Arial" w:eastAsia="Arial" w:hAnsi="Arial"/>
                <w:sz w:val="14"/>
                <w:szCs w:val="14"/>
                <w:color w:val="auto"/>
              </w:rPr>
              <w:t>1,070,168</w:t>
            </w:r>
          </w:p>
        </w:tc>
        <w:tc>
          <w:tcPr>
            <w:tcW w:w="2160" w:type="dxa"/>
            <w:vAlign w:val="bottom"/>
            <w:tcBorders>
              <w:bottom w:val="single" w:sz="8" w:color="BCBEC0"/>
            </w:tcBorders>
          </w:tcPr>
          <w:p>
            <w:pPr>
              <w:jc w:val="right"/>
              <w:ind w:right="392"/>
              <w:spacing w:after="0"/>
              <w:rPr>
                <w:sz w:val="20"/>
                <w:szCs w:val="20"/>
                <w:color w:val="auto"/>
              </w:rPr>
            </w:pPr>
            <w:r>
              <w:rPr>
                <w:rFonts w:ascii="Arial" w:cs="Arial" w:eastAsia="Arial" w:hAnsi="Arial"/>
                <w:sz w:val="14"/>
                <w:szCs w:val="14"/>
                <w:color w:val="auto"/>
              </w:rPr>
              <w:t>4,960</w:t>
            </w:r>
          </w:p>
        </w:tc>
        <w:tc>
          <w:tcPr>
            <w:tcW w:w="1780" w:type="dxa"/>
            <w:vAlign w:val="bottom"/>
            <w:tcBorders>
              <w:bottom w:val="single" w:sz="8" w:color="BCBEC0"/>
            </w:tcBorders>
          </w:tcPr>
          <w:p>
            <w:pPr>
              <w:jc w:val="right"/>
              <w:ind w:right="12"/>
              <w:spacing w:after="0"/>
              <w:rPr>
                <w:sz w:val="20"/>
                <w:szCs w:val="20"/>
                <w:color w:val="auto"/>
              </w:rPr>
            </w:pPr>
            <w:r>
              <w:rPr>
                <w:rFonts w:ascii="Arial" w:cs="Arial" w:eastAsia="Arial" w:hAnsi="Arial"/>
                <w:sz w:val="14"/>
                <w:szCs w:val="14"/>
                <w:color w:val="auto"/>
              </w:rPr>
              <w:t>2,321,974</w:t>
            </w:r>
          </w:p>
        </w:tc>
      </w:tr>
      <w:tr>
        <w:trPr>
          <w:trHeight w:val="207"/>
        </w:trPr>
        <w:tc>
          <w:tcPr>
            <w:tcW w:w="2260" w:type="dxa"/>
            <w:vAlign w:val="bottom"/>
          </w:tcPr>
          <w:p>
            <w:pPr>
              <w:spacing w:after="0"/>
              <w:rPr>
                <w:sz w:val="17"/>
                <w:szCs w:val="17"/>
                <w:color w:val="auto"/>
              </w:rPr>
            </w:pPr>
          </w:p>
        </w:tc>
        <w:tc>
          <w:tcPr>
            <w:tcW w:w="1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2/15/2022</w:t>
            </w:r>
          </w:p>
        </w:tc>
        <w:tc>
          <w:tcPr>
            <w:tcW w:w="16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2,621</w:t>
            </w:r>
          </w:p>
        </w:tc>
        <w:tc>
          <w:tcPr>
            <w:tcW w:w="2080" w:type="dxa"/>
            <w:vAlign w:val="bottom"/>
            <w:tcBorders>
              <w:bottom w:val="single" w:sz="8" w:color="BCBEC0"/>
            </w:tcBorders>
          </w:tcPr>
          <w:p>
            <w:pPr>
              <w:jc w:val="right"/>
              <w:ind w:right="391"/>
              <w:spacing w:after="0"/>
              <w:rPr>
                <w:sz w:val="20"/>
                <w:szCs w:val="20"/>
                <w:color w:val="auto"/>
              </w:rPr>
            </w:pPr>
            <w:r>
              <w:rPr>
                <w:rFonts w:ascii="Arial" w:cs="Arial" w:eastAsia="Arial" w:hAnsi="Arial"/>
                <w:sz w:val="14"/>
                <w:szCs w:val="14"/>
                <w:color w:val="auto"/>
              </w:rPr>
              <w:t>1,226,995</w:t>
            </w:r>
          </w:p>
        </w:tc>
        <w:tc>
          <w:tcPr>
            <w:tcW w:w="2160" w:type="dxa"/>
            <w:vAlign w:val="bottom"/>
            <w:tcBorders>
              <w:bottom w:val="single" w:sz="8" w:color="BCBEC0"/>
            </w:tcBorders>
          </w:tcPr>
          <w:p>
            <w:pPr>
              <w:jc w:val="right"/>
              <w:ind w:right="392"/>
              <w:spacing w:after="0"/>
              <w:rPr>
                <w:sz w:val="20"/>
                <w:szCs w:val="20"/>
                <w:color w:val="auto"/>
              </w:rPr>
            </w:pPr>
            <w:r>
              <w:rPr>
                <w:rFonts w:ascii="Arial" w:cs="Arial" w:eastAsia="Arial" w:hAnsi="Arial"/>
                <w:sz w:val="14"/>
                <w:szCs w:val="14"/>
                <w:color w:val="auto"/>
              </w:rPr>
              <w:t>5,741</w:t>
            </w:r>
          </w:p>
        </w:tc>
        <w:tc>
          <w:tcPr>
            <w:tcW w:w="1780" w:type="dxa"/>
            <w:vAlign w:val="bottom"/>
            <w:tcBorders>
              <w:bottom w:val="single" w:sz="8" w:color="BCBEC0"/>
            </w:tcBorders>
          </w:tcPr>
          <w:p>
            <w:pPr>
              <w:jc w:val="right"/>
              <w:ind w:right="12"/>
              <w:spacing w:after="0"/>
              <w:rPr>
                <w:sz w:val="20"/>
                <w:szCs w:val="20"/>
                <w:color w:val="auto"/>
              </w:rPr>
            </w:pPr>
            <w:r>
              <w:rPr>
                <w:rFonts w:ascii="Arial" w:cs="Arial" w:eastAsia="Arial" w:hAnsi="Arial"/>
                <w:sz w:val="14"/>
                <w:szCs w:val="14"/>
                <w:color w:val="auto"/>
              </w:rPr>
              <w:t>2,687,592</w:t>
            </w:r>
          </w:p>
        </w:tc>
      </w:tr>
      <w:tr>
        <w:trPr>
          <w:trHeight w:val="209"/>
        </w:trPr>
        <w:tc>
          <w:tcPr>
            <w:tcW w:w="2260" w:type="dxa"/>
            <w:vAlign w:val="bottom"/>
            <w:tcBorders>
              <w:bottom w:val="single" w:sz="8" w:color="BCBEC0"/>
            </w:tcBorders>
          </w:tcPr>
          <w:p>
            <w:pPr>
              <w:spacing w:after="0"/>
              <w:rPr>
                <w:sz w:val="18"/>
                <w:szCs w:val="18"/>
                <w:color w:val="auto"/>
              </w:rPr>
            </w:pPr>
          </w:p>
        </w:tc>
        <w:tc>
          <w:tcPr>
            <w:tcW w:w="1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2/16/2021</w:t>
            </w:r>
          </w:p>
        </w:tc>
        <w:tc>
          <w:tcPr>
            <w:tcW w:w="16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3,284</w:t>
            </w:r>
          </w:p>
        </w:tc>
        <w:tc>
          <w:tcPr>
            <w:tcW w:w="2080" w:type="dxa"/>
            <w:vAlign w:val="bottom"/>
            <w:tcBorders>
              <w:bottom w:val="single" w:sz="8" w:color="BCBEC0"/>
            </w:tcBorders>
          </w:tcPr>
          <w:p>
            <w:pPr>
              <w:jc w:val="right"/>
              <w:ind w:right="391"/>
              <w:spacing w:after="0"/>
              <w:rPr>
                <w:sz w:val="20"/>
                <w:szCs w:val="20"/>
                <w:color w:val="auto"/>
              </w:rPr>
            </w:pPr>
            <w:r>
              <w:rPr>
                <w:rFonts w:ascii="Arial" w:cs="Arial" w:eastAsia="Arial" w:hAnsi="Arial"/>
                <w:sz w:val="14"/>
                <w:szCs w:val="14"/>
                <w:color w:val="auto"/>
              </w:rPr>
              <w:t>1,537,372</w:t>
            </w:r>
          </w:p>
        </w:tc>
        <w:tc>
          <w:tcPr>
            <w:tcW w:w="2160" w:type="dxa"/>
            <w:vAlign w:val="bottom"/>
            <w:tcBorders>
              <w:bottom w:val="single" w:sz="8" w:color="BCBEC0"/>
            </w:tcBorders>
          </w:tcPr>
          <w:p>
            <w:pPr>
              <w:jc w:val="right"/>
              <w:ind w:right="392"/>
              <w:spacing w:after="0"/>
              <w:rPr>
                <w:sz w:val="20"/>
                <w:szCs w:val="20"/>
                <w:color w:val="auto"/>
              </w:rPr>
            </w:pPr>
            <w:r>
              <w:rPr>
                <w:rFonts w:ascii="Arial" w:cs="Arial" w:eastAsia="Arial" w:hAnsi="Arial"/>
                <w:sz w:val="14"/>
                <w:szCs w:val="14"/>
                <w:color w:val="auto"/>
              </w:rPr>
              <w:t>7,223</w:t>
            </w:r>
          </w:p>
        </w:tc>
        <w:tc>
          <w:tcPr>
            <w:tcW w:w="1780" w:type="dxa"/>
            <w:vAlign w:val="bottom"/>
            <w:tcBorders>
              <w:bottom w:val="single" w:sz="8" w:color="BCBEC0"/>
            </w:tcBorders>
          </w:tcPr>
          <w:p>
            <w:pPr>
              <w:jc w:val="right"/>
              <w:ind w:right="12"/>
              <w:spacing w:after="0"/>
              <w:rPr>
                <w:sz w:val="20"/>
                <w:szCs w:val="20"/>
                <w:color w:val="auto"/>
              </w:rPr>
            </w:pPr>
            <w:r>
              <w:rPr>
                <w:rFonts w:ascii="Arial" w:cs="Arial" w:eastAsia="Arial" w:hAnsi="Arial"/>
                <w:sz w:val="14"/>
                <w:szCs w:val="14"/>
                <w:color w:val="auto"/>
              </w:rPr>
              <w:t>3,381,375</w:t>
            </w:r>
          </w:p>
        </w:tc>
      </w:tr>
      <w:tr>
        <w:trPr>
          <w:trHeight w:val="213"/>
        </w:trPr>
        <w:tc>
          <w:tcPr>
            <w:tcW w:w="226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Mark A. Caylor</w:t>
            </w:r>
          </w:p>
        </w:tc>
        <w:tc>
          <w:tcPr>
            <w:tcW w:w="1280" w:type="dxa"/>
            <w:vAlign w:val="bottom"/>
            <w:tcBorders>
              <w:bottom w:val="single" w:sz="8" w:color="D1D3D4"/>
            </w:tcBorders>
            <w:shd w:val="clear" w:color="auto" w:fill="DFDEEE"/>
          </w:tcPr>
          <w:p>
            <w:pPr>
              <w:jc w:val="right"/>
              <w:spacing w:after="0"/>
              <w:rPr>
                <w:sz w:val="20"/>
                <w:szCs w:val="20"/>
                <w:color w:val="auto"/>
              </w:rPr>
            </w:pPr>
            <w:r>
              <w:rPr>
                <w:rFonts w:ascii="Arial" w:cs="Arial" w:eastAsia="Arial" w:hAnsi="Arial"/>
                <w:sz w:val="14"/>
                <w:szCs w:val="14"/>
                <w:color w:val="auto"/>
              </w:rPr>
              <w:t>2/16/2023</w:t>
            </w:r>
          </w:p>
        </w:tc>
        <w:tc>
          <w:tcPr>
            <w:tcW w:w="1660" w:type="dxa"/>
            <w:vAlign w:val="bottom"/>
            <w:tcBorders>
              <w:bottom w:val="single" w:sz="8" w:color="D1D3D4"/>
            </w:tcBorders>
            <w:shd w:val="clear" w:color="auto" w:fill="DFDEEE"/>
          </w:tcPr>
          <w:p>
            <w:pPr>
              <w:jc w:val="right"/>
              <w:spacing w:after="0"/>
              <w:rPr>
                <w:sz w:val="20"/>
                <w:szCs w:val="20"/>
                <w:color w:val="auto"/>
              </w:rPr>
            </w:pPr>
            <w:r>
              <w:rPr>
                <w:rFonts w:ascii="Arial" w:cs="Arial" w:eastAsia="Arial" w:hAnsi="Arial"/>
                <w:sz w:val="14"/>
                <w:szCs w:val="14"/>
                <w:color w:val="auto"/>
              </w:rPr>
              <w:t>2,152</w:t>
            </w:r>
          </w:p>
        </w:tc>
        <w:tc>
          <w:tcPr>
            <w:tcW w:w="2080" w:type="dxa"/>
            <w:vAlign w:val="bottom"/>
            <w:tcBorders>
              <w:bottom w:val="single" w:sz="8" w:color="D1D3D4"/>
            </w:tcBorders>
            <w:shd w:val="clear" w:color="auto" w:fill="DFDEEE"/>
          </w:tcPr>
          <w:p>
            <w:pPr>
              <w:jc w:val="right"/>
              <w:ind w:right="391"/>
              <w:spacing w:after="0"/>
              <w:rPr>
                <w:sz w:val="20"/>
                <w:szCs w:val="20"/>
                <w:color w:val="auto"/>
              </w:rPr>
            </w:pPr>
            <w:r>
              <w:rPr>
                <w:rFonts w:ascii="Arial" w:cs="Arial" w:eastAsia="Arial" w:hAnsi="Arial"/>
                <w:sz w:val="14"/>
                <w:szCs w:val="14"/>
                <w:color w:val="auto"/>
              </w:rPr>
              <w:t>1,007,437</w:t>
            </w:r>
          </w:p>
        </w:tc>
        <w:tc>
          <w:tcPr>
            <w:tcW w:w="2160" w:type="dxa"/>
            <w:vAlign w:val="bottom"/>
            <w:tcBorders>
              <w:bottom w:val="single" w:sz="8" w:color="D1D3D4"/>
            </w:tcBorders>
            <w:shd w:val="clear" w:color="auto" w:fill="DFDEEE"/>
          </w:tcPr>
          <w:p>
            <w:pPr>
              <w:jc w:val="right"/>
              <w:ind w:right="392"/>
              <w:spacing w:after="0"/>
              <w:rPr>
                <w:sz w:val="20"/>
                <w:szCs w:val="20"/>
                <w:color w:val="auto"/>
              </w:rPr>
            </w:pPr>
            <w:r>
              <w:rPr>
                <w:rFonts w:ascii="Arial" w:cs="Arial" w:eastAsia="Arial" w:hAnsi="Arial"/>
                <w:sz w:val="14"/>
                <w:szCs w:val="14"/>
                <w:color w:val="auto"/>
              </w:rPr>
              <w:t>4,669</w:t>
            </w:r>
          </w:p>
        </w:tc>
        <w:tc>
          <w:tcPr>
            <w:tcW w:w="1780" w:type="dxa"/>
            <w:vAlign w:val="bottom"/>
            <w:tcBorders>
              <w:bottom w:val="single" w:sz="8" w:color="D1D3D4"/>
            </w:tcBorders>
            <w:shd w:val="clear" w:color="auto" w:fill="DFDEEE"/>
          </w:tcPr>
          <w:p>
            <w:pPr>
              <w:jc w:val="right"/>
              <w:ind w:right="12"/>
              <w:spacing w:after="0"/>
              <w:rPr>
                <w:sz w:val="20"/>
                <w:szCs w:val="20"/>
                <w:color w:val="auto"/>
              </w:rPr>
            </w:pPr>
            <w:r>
              <w:rPr>
                <w:rFonts w:ascii="Arial" w:cs="Arial" w:eastAsia="Arial" w:hAnsi="Arial"/>
                <w:sz w:val="14"/>
                <w:szCs w:val="14"/>
                <w:color w:val="auto"/>
              </w:rPr>
              <w:t>2,185,746</w:t>
            </w:r>
          </w:p>
        </w:tc>
      </w:tr>
      <w:tr>
        <w:trPr>
          <w:trHeight w:val="206"/>
        </w:trPr>
        <w:tc>
          <w:tcPr>
            <w:tcW w:w="2260" w:type="dxa"/>
            <w:vAlign w:val="bottom"/>
            <w:tcBorders>
              <w:bottom w:val="single" w:sz="8" w:color="DFDEEE"/>
            </w:tcBorders>
            <w:shd w:val="clear" w:color="auto" w:fill="DFDEEE"/>
          </w:tcPr>
          <w:p>
            <w:pPr>
              <w:spacing w:after="0"/>
              <w:rPr>
                <w:sz w:val="17"/>
                <w:szCs w:val="17"/>
                <w:color w:val="auto"/>
              </w:rPr>
            </w:pPr>
          </w:p>
        </w:tc>
        <w:tc>
          <w:tcPr>
            <w:tcW w:w="1280" w:type="dxa"/>
            <w:vAlign w:val="bottom"/>
            <w:tcBorders>
              <w:bottom w:val="single" w:sz="8" w:color="D1D3D4"/>
            </w:tcBorders>
            <w:shd w:val="clear" w:color="auto" w:fill="DFDEEE"/>
          </w:tcPr>
          <w:p>
            <w:pPr>
              <w:jc w:val="right"/>
              <w:spacing w:after="0"/>
              <w:rPr>
                <w:sz w:val="20"/>
                <w:szCs w:val="20"/>
                <w:color w:val="auto"/>
              </w:rPr>
            </w:pPr>
            <w:r>
              <w:rPr>
                <w:rFonts w:ascii="Arial" w:cs="Arial" w:eastAsia="Arial" w:hAnsi="Arial"/>
                <w:sz w:val="14"/>
                <w:szCs w:val="14"/>
                <w:color w:val="auto"/>
              </w:rPr>
              <w:t>2/15/2022</w:t>
            </w:r>
          </w:p>
        </w:tc>
        <w:tc>
          <w:tcPr>
            <w:tcW w:w="1660" w:type="dxa"/>
            <w:vAlign w:val="bottom"/>
            <w:tcBorders>
              <w:bottom w:val="single" w:sz="8" w:color="D1D3D4"/>
            </w:tcBorders>
            <w:shd w:val="clear" w:color="auto" w:fill="DFDEEE"/>
          </w:tcPr>
          <w:p>
            <w:pPr>
              <w:jc w:val="right"/>
              <w:spacing w:after="0"/>
              <w:rPr>
                <w:sz w:val="20"/>
                <w:szCs w:val="20"/>
                <w:color w:val="auto"/>
              </w:rPr>
            </w:pPr>
            <w:r>
              <w:rPr>
                <w:rFonts w:ascii="Arial" w:cs="Arial" w:eastAsia="Arial" w:hAnsi="Arial"/>
                <w:sz w:val="14"/>
                <w:szCs w:val="14"/>
                <w:color w:val="auto"/>
              </w:rPr>
              <w:t>2,457</w:t>
            </w:r>
          </w:p>
        </w:tc>
        <w:tc>
          <w:tcPr>
            <w:tcW w:w="2080" w:type="dxa"/>
            <w:vAlign w:val="bottom"/>
            <w:tcBorders>
              <w:bottom w:val="single" w:sz="8" w:color="D1D3D4"/>
            </w:tcBorders>
            <w:shd w:val="clear" w:color="auto" w:fill="DFDEEE"/>
          </w:tcPr>
          <w:p>
            <w:pPr>
              <w:jc w:val="right"/>
              <w:ind w:right="391"/>
              <w:spacing w:after="0"/>
              <w:rPr>
                <w:sz w:val="20"/>
                <w:szCs w:val="20"/>
                <w:color w:val="auto"/>
              </w:rPr>
            </w:pPr>
            <w:r>
              <w:rPr>
                <w:rFonts w:ascii="Arial" w:cs="Arial" w:eastAsia="Arial" w:hAnsi="Arial"/>
                <w:sz w:val="14"/>
                <w:szCs w:val="14"/>
                <w:color w:val="auto"/>
              </w:rPr>
              <w:t>1,150,220</w:t>
            </w:r>
          </w:p>
        </w:tc>
        <w:tc>
          <w:tcPr>
            <w:tcW w:w="2160" w:type="dxa"/>
            <w:vAlign w:val="bottom"/>
            <w:tcBorders>
              <w:bottom w:val="single" w:sz="8" w:color="D1D3D4"/>
            </w:tcBorders>
            <w:shd w:val="clear" w:color="auto" w:fill="DFDEEE"/>
          </w:tcPr>
          <w:p>
            <w:pPr>
              <w:jc w:val="right"/>
              <w:ind w:right="392"/>
              <w:spacing w:after="0"/>
              <w:rPr>
                <w:sz w:val="20"/>
                <w:szCs w:val="20"/>
                <w:color w:val="auto"/>
              </w:rPr>
            </w:pPr>
            <w:r>
              <w:rPr>
                <w:rFonts w:ascii="Arial" w:cs="Arial" w:eastAsia="Arial" w:hAnsi="Arial"/>
                <w:sz w:val="14"/>
                <w:szCs w:val="14"/>
                <w:color w:val="auto"/>
              </w:rPr>
              <w:t>5,381</w:t>
            </w:r>
          </w:p>
        </w:tc>
        <w:tc>
          <w:tcPr>
            <w:tcW w:w="1780" w:type="dxa"/>
            <w:vAlign w:val="bottom"/>
            <w:tcBorders>
              <w:bottom w:val="single" w:sz="8" w:color="D1D3D4"/>
            </w:tcBorders>
            <w:shd w:val="clear" w:color="auto" w:fill="DFDEEE"/>
          </w:tcPr>
          <w:p>
            <w:pPr>
              <w:jc w:val="right"/>
              <w:ind w:right="12"/>
              <w:spacing w:after="0"/>
              <w:rPr>
                <w:sz w:val="20"/>
                <w:szCs w:val="20"/>
                <w:color w:val="auto"/>
              </w:rPr>
            </w:pPr>
            <w:r>
              <w:rPr>
                <w:rFonts w:ascii="Arial" w:cs="Arial" w:eastAsia="Arial" w:hAnsi="Arial"/>
                <w:sz w:val="14"/>
                <w:szCs w:val="14"/>
                <w:color w:val="auto"/>
              </w:rPr>
              <w:t>2,519,061</w:t>
            </w:r>
          </w:p>
        </w:tc>
      </w:tr>
      <w:tr>
        <w:trPr>
          <w:trHeight w:val="209"/>
        </w:trPr>
        <w:tc>
          <w:tcPr>
            <w:tcW w:w="2260" w:type="dxa"/>
            <w:vAlign w:val="bottom"/>
            <w:tcBorders>
              <w:bottom w:val="single" w:sz="8" w:color="BCBEC0"/>
            </w:tcBorders>
            <w:shd w:val="clear" w:color="auto" w:fill="DFDEEE"/>
          </w:tcPr>
          <w:p>
            <w:pPr>
              <w:spacing w:after="0"/>
              <w:rPr>
                <w:sz w:val="18"/>
                <w:szCs w:val="18"/>
                <w:color w:val="auto"/>
              </w:rPr>
            </w:pPr>
          </w:p>
        </w:tc>
        <w:tc>
          <w:tcPr>
            <w:tcW w:w="1280" w:type="dxa"/>
            <w:vAlign w:val="bottom"/>
            <w:tcBorders>
              <w:bottom w:val="single" w:sz="8" w:color="D1D3D4"/>
            </w:tcBorders>
            <w:shd w:val="clear" w:color="auto" w:fill="DFDEEE"/>
          </w:tcPr>
          <w:p>
            <w:pPr>
              <w:jc w:val="right"/>
              <w:spacing w:after="0"/>
              <w:rPr>
                <w:sz w:val="20"/>
                <w:szCs w:val="20"/>
                <w:color w:val="auto"/>
              </w:rPr>
            </w:pPr>
            <w:r>
              <w:rPr>
                <w:rFonts w:ascii="Arial" w:cs="Arial" w:eastAsia="Arial" w:hAnsi="Arial"/>
                <w:sz w:val="14"/>
                <w:szCs w:val="14"/>
                <w:color w:val="auto"/>
              </w:rPr>
              <w:t>2/16/2021</w:t>
            </w:r>
          </w:p>
        </w:tc>
        <w:tc>
          <w:tcPr>
            <w:tcW w:w="1660" w:type="dxa"/>
            <w:vAlign w:val="bottom"/>
            <w:tcBorders>
              <w:bottom w:val="single" w:sz="8" w:color="D1D3D4"/>
            </w:tcBorders>
            <w:shd w:val="clear" w:color="auto" w:fill="DFDEEE"/>
          </w:tcPr>
          <w:p>
            <w:pPr>
              <w:jc w:val="right"/>
              <w:spacing w:after="0"/>
              <w:rPr>
                <w:sz w:val="20"/>
                <w:szCs w:val="20"/>
                <w:color w:val="auto"/>
              </w:rPr>
            </w:pPr>
            <w:r>
              <w:rPr>
                <w:rFonts w:ascii="Arial" w:cs="Arial" w:eastAsia="Arial" w:hAnsi="Arial"/>
                <w:sz w:val="14"/>
                <w:szCs w:val="14"/>
                <w:color w:val="auto"/>
              </w:rPr>
              <w:t>3,284</w:t>
            </w:r>
          </w:p>
        </w:tc>
        <w:tc>
          <w:tcPr>
            <w:tcW w:w="2080" w:type="dxa"/>
            <w:vAlign w:val="bottom"/>
            <w:tcBorders>
              <w:bottom w:val="single" w:sz="8" w:color="D1D3D4"/>
            </w:tcBorders>
            <w:shd w:val="clear" w:color="auto" w:fill="DFDEEE"/>
          </w:tcPr>
          <w:p>
            <w:pPr>
              <w:jc w:val="right"/>
              <w:ind w:right="391"/>
              <w:spacing w:after="0"/>
              <w:rPr>
                <w:sz w:val="20"/>
                <w:szCs w:val="20"/>
                <w:color w:val="auto"/>
              </w:rPr>
            </w:pPr>
            <w:r>
              <w:rPr>
                <w:rFonts w:ascii="Arial" w:cs="Arial" w:eastAsia="Arial" w:hAnsi="Arial"/>
                <w:sz w:val="14"/>
                <w:szCs w:val="14"/>
                <w:color w:val="auto"/>
              </w:rPr>
              <w:t>1,537,372</w:t>
            </w:r>
          </w:p>
        </w:tc>
        <w:tc>
          <w:tcPr>
            <w:tcW w:w="2160" w:type="dxa"/>
            <w:vAlign w:val="bottom"/>
            <w:tcBorders>
              <w:bottom w:val="single" w:sz="8" w:color="D1D3D4"/>
            </w:tcBorders>
            <w:shd w:val="clear" w:color="auto" w:fill="DFDEEE"/>
          </w:tcPr>
          <w:p>
            <w:pPr>
              <w:jc w:val="right"/>
              <w:ind w:right="392"/>
              <w:spacing w:after="0"/>
              <w:rPr>
                <w:sz w:val="20"/>
                <w:szCs w:val="20"/>
                <w:color w:val="auto"/>
              </w:rPr>
            </w:pPr>
            <w:r>
              <w:rPr>
                <w:rFonts w:ascii="Arial" w:cs="Arial" w:eastAsia="Arial" w:hAnsi="Arial"/>
                <w:sz w:val="14"/>
                <w:szCs w:val="14"/>
                <w:color w:val="auto"/>
              </w:rPr>
              <w:t>7,223</w:t>
            </w:r>
          </w:p>
        </w:tc>
        <w:tc>
          <w:tcPr>
            <w:tcW w:w="1780" w:type="dxa"/>
            <w:vAlign w:val="bottom"/>
            <w:tcBorders>
              <w:bottom w:val="single" w:sz="8" w:color="D1D3D4"/>
            </w:tcBorders>
            <w:shd w:val="clear" w:color="auto" w:fill="DFDEEE"/>
          </w:tcPr>
          <w:p>
            <w:pPr>
              <w:jc w:val="right"/>
              <w:ind w:right="12"/>
              <w:spacing w:after="0"/>
              <w:rPr>
                <w:sz w:val="20"/>
                <w:szCs w:val="20"/>
                <w:color w:val="auto"/>
              </w:rPr>
            </w:pPr>
            <w:r>
              <w:rPr>
                <w:rFonts w:ascii="Arial" w:cs="Arial" w:eastAsia="Arial" w:hAnsi="Arial"/>
                <w:sz w:val="14"/>
                <w:szCs w:val="14"/>
                <w:color w:val="auto"/>
              </w:rPr>
              <w:t>3,381,375</w:t>
            </w:r>
          </w:p>
        </w:tc>
      </w:tr>
      <w:tr>
        <w:trPr>
          <w:trHeight w:val="213"/>
        </w:trPr>
        <w:tc>
          <w:tcPr>
            <w:tcW w:w="2260" w:type="dxa"/>
            <w:vAlign w:val="bottom"/>
          </w:tcPr>
          <w:p>
            <w:pPr>
              <w:ind w:left="20"/>
              <w:spacing w:after="0"/>
              <w:rPr>
                <w:sz w:val="20"/>
                <w:szCs w:val="20"/>
                <w:color w:val="auto"/>
              </w:rPr>
            </w:pPr>
            <w:r>
              <w:rPr>
                <w:rFonts w:ascii="Arial" w:cs="Arial" w:eastAsia="Arial" w:hAnsi="Arial"/>
                <w:sz w:val="14"/>
                <w:szCs w:val="14"/>
                <w:b w:val="1"/>
                <w:bCs w:val="1"/>
                <w:color w:val="29378D"/>
              </w:rPr>
              <w:t>Thomas H. Jones</w:t>
            </w:r>
          </w:p>
        </w:tc>
        <w:tc>
          <w:tcPr>
            <w:tcW w:w="1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2/16/2023</w:t>
            </w:r>
          </w:p>
        </w:tc>
        <w:tc>
          <w:tcPr>
            <w:tcW w:w="16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2,152</w:t>
            </w:r>
          </w:p>
        </w:tc>
        <w:tc>
          <w:tcPr>
            <w:tcW w:w="2080" w:type="dxa"/>
            <w:vAlign w:val="bottom"/>
            <w:tcBorders>
              <w:bottom w:val="single" w:sz="8" w:color="BCBEC0"/>
            </w:tcBorders>
          </w:tcPr>
          <w:p>
            <w:pPr>
              <w:jc w:val="right"/>
              <w:ind w:right="391"/>
              <w:spacing w:after="0"/>
              <w:rPr>
                <w:sz w:val="20"/>
                <w:szCs w:val="20"/>
                <w:color w:val="auto"/>
              </w:rPr>
            </w:pPr>
            <w:r>
              <w:rPr>
                <w:rFonts w:ascii="Arial" w:cs="Arial" w:eastAsia="Arial" w:hAnsi="Arial"/>
                <w:sz w:val="14"/>
                <w:szCs w:val="14"/>
                <w:color w:val="auto"/>
              </w:rPr>
              <w:t>1,007,437</w:t>
            </w:r>
          </w:p>
        </w:tc>
        <w:tc>
          <w:tcPr>
            <w:tcW w:w="2160" w:type="dxa"/>
            <w:vAlign w:val="bottom"/>
            <w:tcBorders>
              <w:bottom w:val="single" w:sz="8" w:color="BCBEC0"/>
            </w:tcBorders>
          </w:tcPr>
          <w:p>
            <w:pPr>
              <w:jc w:val="right"/>
              <w:ind w:right="392"/>
              <w:spacing w:after="0"/>
              <w:rPr>
                <w:sz w:val="20"/>
                <w:szCs w:val="20"/>
                <w:color w:val="auto"/>
              </w:rPr>
            </w:pPr>
            <w:r>
              <w:rPr>
                <w:rFonts w:ascii="Arial" w:cs="Arial" w:eastAsia="Arial" w:hAnsi="Arial"/>
                <w:sz w:val="14"/>
                <w:szCs w:val="14"/>
                <w:color w:val="auto"/>
              </w:rPr>
              <w:t>4,669</w:t>
            </w:r>
          </w:p>
        </w:tc>
        <w:tc>
          <w:tcPr>
            <w:tcW w:w="1780" w:type="dxa"/>
            <w:vAlign w:val="bottom"/>
            <w:tcBorders>
              <w:bottom w:val="single" w:sz="8" w:color="BCBEC0"/>
            </w:tcBorders>
          </w:tcPr>
          <w:p>
            <w:pPr>
              <w:jc w:val="right"/>
              <w:ind w:right="12"/>
              <w:spacing w:after="0"/>
              <w:rPr>
                <w:sz w:val="20"/>
                <w:szCs w:val="20"/>
                <w:color w:val="auto"/>
              </w:rPr>
            </w:pPr>
            <w:r>
              <w:rPr>
                <w:rFonts w:ascii="Arial" w:cs="Arial" w:eastAsia="Arial" w:hAnsi="Arial"/>
                <w:sz w:val="14"/>
                <w:szCs w:val="14"/>
                <w:color w:val="auto"/>
              </w:rPr>
              <w:t>2,185,746</w:t>
            </w:r>
          </w:p>
        </w:tc>
      </w:tr>
      <w:tr>
        <w:trPr>
          <w:trHeight w:val="207"/>
        </w:trPr>
        <w:tc>
          <w:tcPr>
            <w:tcW w:w="2260" w:type="dxa"/>
            <w:vAlign w:val="bottom"/>
          </w:tcPr>
          <w:p>
            <w:pPr>
              <w:spacing w:after="0"/>
              <w:rPr>
                <w:sz w:val="17"/>
                <w:szCs w:val="17"/>
                <w:color w:val="auto"/>
              </w:rPr>
            </w:pPr>
          </w:p>
        </w:tc>
        <w:tc>
          <w:tcPr>
            <w:tcW w:w="1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2/15/2022</w:t>
            </w:r>
          </w:p>
        </w:tc>
        <w:tc>
          <w:tcPr>
            <w:tcW w:w="16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2,457</w:t>
            </w:r>
          </w:p>
        </w:tc>
        <w:tc>
          <w:tcPr>
            <w:tcW w:w="2080" w:type="dxa"/>
            <w:vAlign w:val="bottom"/>
            <w:tcBorders>
              <w:bottom w:val="single" w:sz="8" w:color="BCBEC0"/>
            </w:tcBorders>
          </w:tcPr>
          <w:p>
            <w:pPr>
              <w:jc w:val="right"/>
              <w:ind w:right="391"/>
              <w:spacing w:after="0"/>
              <w:rPr>
                <w:sz w:val="20"/>
                <w:szCs w:val="20"/>
                <w:color w:val="auto"/>
              </w:rPr>
            </w:pPr>
            <w:r>
              <w:rPr>
                <w:rFonts w:ascii="Arial" w:cs="Arial" w:eastAsia="Arial" w:hAnsi="Arial"/>
                <w:sz w:val="14"/>
                <w:szCs w:val="14"/>
                <w:color w:val="auto"/>
              </w:rPr>
              <w:t>1,150,220</w:t>
            </w:r>
          </w:p>
        </w:tc>
        <w:tc>
          <w:tcPr>
            <w:tcW w:w="2160" w:type="dxa"/>
            <w:vAlign w:val="bottom"/>
            <w:tcBorders>
              <w:bottom w:val="single" w:sz="8" w:color="BCBEC0"/>
            </w:tcBorders>
          </w:tcPr>
          <w:p>
            <w:pPr>
              <w:jc w:val="right"/>
              <w:ind w:right="392"/>
              <w:spacing w:after="0"/>
              <w:rPr>
                <w:sz w:val="20"/>
                <w:szCs w:val="20"/>
                <w:color w:val="auto"/>
              </w:rPr>
            </w:pPr>
            <w:r>
              <w:rPr>
                <w:rFonts w:ascii="Arial" w:cs="Arial" w:eastAsia="Arial" w:hAnsi="Arial"/>
                <w:sz w:val="14"/>
                <w:szCs w:val="14"/>
                <w:color w:val="auto"/>
              </w:rPr>
              <w:t>5,381</w:t>
            </w:r>
          </w:p>
        </w:tc>
        <w:tc>
          <w:tcPr>
            <w:tcW w:w="1780" w:type="dxa"/>
            <w:vAlign w:val="bottom"/>
            <w:tcBorders>
              <w:bottom w:val="single" w:sz="8" w:color="BCBEC0"/>
            </w:tcBorders>
          </w:tcPr>
          <w:p>
            <w:pPr>
              <w:jc w:val="right"/>
              <w:ind w:right="12"/>
              <w:spacing w:after="0"/>
              <w:rPr>
                <w:sz w:val="20"/>
                <w:szCs w:val="20"/>
                <w:color w:val="auto"/>
              </w:rPr>
            </w:pPr>
            <w:r>
              <w:rPr>
                <w:rFonts w:ascii="Arial" w:cs="Arial" w:eastAsia="Arial" w:hAnsi="Arial"/>
                <w:sz w:val="14"/>
                <w:szCs w:val="14"/>
                <w:color w:val="auto"/>
              </w:rPr>
              <w:t>2,519,061</w:t>
            </w:r>
          </w:p>
        </w:tc>
      </w:tr>
      <w:tr>
        <w:trPr>
          <w:trHeight w:val="210"/>
        </w:trPr>
        <w:tc>
          <w:tcPr>
            <w:tcW w:w="2260" w:type="dxa"/>
            <w:vAlign w:val="bottom"/>
            <w:tcBorders>
              <w:bottom w:val="single" w:sz="8" w:color="BCBEC0"/>
            </w:tcBorders>
          </w:tcPr>
          <w:p>
            <w:pPr>
              <w:spacing w:after="0"/>
              <w:rPr>
                <w:sz w:val="18"/>
                <w:szCs w:val="18"/>
                <w:color w:val="auto"/>
              </w:rPr>
            </w:pPr>
          </w:p>
        </w:tc>
        <w:tc>
          <w:tcPr>
            <w:tcW w:w="1280" w:type="dxa"/>
            <w:vAlign w:val="bottom"/>
            <w:tcBorders>
              <w:bottom w:val="single" w:sz="8" w:color="D1D3D4"/>
            </w:tcBorders>
          </w:tcPr>
          <w:p>
            <w:pPr>
              <w:jc w:val="right"/>
              <w:spacing w:after="0"/>
              <w:rPr>
                <w:sz w:val="20"/>
                <w:szCs w:val="20"/>
                <w:color w:val="auto"/>
              </w:rPr>
            </w:pPr>
            <w:r>
              <w:rPr>
                <w:rFonts w:ascii="Arial" w:cs="Arial" w:eastAsia="Arial" w:hAnsi="Arial"/>
                <w:sz w:val="14"/>
                <w:szCs w:val="14"/>
                <w:color w:val="auto"/>
              </w:rPr>
              <w:t>2/16/2021</w:t>
            </w:r>
          </w:p>
        </w:tc>
        <w:tc>
          <w:tcPr>
            <w:tcW w:w="1660" w:type="dxa"/>
            <w:vAlign w:val="bottom"/>
            <w:tcBorders>
              <w:bottom w:val="single" w:sz="8" w:color="D1D3D4"/>
            </w:tcBorders>
          </w:tcPr>
          <w:p>
            <w:pPr>
              <w:jc w:val="right"/>
              <w:spacing w:after="0"/>
              <w:rPr>
                <w:sz w:val="20"/>
                <w:szCs w:val="20"/>
                <w:color w:val="auto"/>
              </w:rPr>
            </w:pPr>
            <w:r>
              <w:rPr>
                <w:rFonts w:ascii="Arial" w:cs="Arial" w:eastAsia="Arial" w:hAnsi="Arial"/>
                <w:sz w:val="14"/>
                <w:szCs w:val="14"/>
                <w:color w:val="auto"/>
              </w:rPr>
              <w:t>3,284</w:t>
            </w:r>
          </w:p>
        </w:tc>
        <w:tc>
          <w:tcPr>
            <w:tcW w:w="2080" w:type="dxa"/>
            <w:vAlign w:val="bottom"/>
            <w:tcBorders>
              <w:bottom w:val="single" w:sz="8" w:color="D1D3D4"/>
            </w:tcBorders>
          </w:tcPr>
          <w:p>
            <w:pPr>
              <w:jc w:val="right"/>
              <w:ind w:right="391"/>
              <w:spacing w:after="0"/>
              <w:rPr>
                <w:sz w:val="20"/>
                <w:szCs w:val="20"/>
                <w:color w:val="auto"/>
              </w:rPr>
            </w:pPr>
            <w:r>
              <w:rPr>
                <w:rFonts w:ascii="Arial" w:cs="Arial" w:eastAsia="Arial" w:hAnsi="Arial"/>
                <w:sz w:val="14"/>
                <w:szCs w:val="14"/>
                <w:color w:val="auto"/>
              </w:rPr>
              <w:t>1,537,372</w:t>
            </w:r>
          </w:p>
        </w:tc>
        <w:tc>
          <w:tcPr>
            <w:tcW w:w="2160" w:type="dxa"/>
            <w:vAlign w:val="bottom"/>
            <w:tcBorders>
              <w:bottom w:val="single" w:sz="8" w:color="D1D3D4"/>
            </w:tcBorders>
          </w:tcPr>
          <w:p>
            <w:pPr>
              <w:jc w:val="right"/>
              <w:ind w:right="392"/>
              <w:spacing w:after="0"/>
              <w:rPr>
                <w:sz w:val="20"/>
                <w:szCs w:val="20"/>
                <w:color w:val="auto"/>
              </w:rPr>
            </w:pPr>
            <w:r>
              <w:rPr>
                <w:rFonts w:ascii="Arial" w:cs="Arial" w:eastAsia="Arial" w:hAnsi="Arial"/>
                <w:sz w:val="14"/>
                <w:szCs w:val="14"/>
                <w:color w:val="auto"/>
              </w:rPr>
              <w:t>7,223</w:t>
            </w:r>
          </w:p>
        </w:tc>
        <w:tc>
          <w:tcPr>
            <w:tcW w:w="1780" w:type="dxa"/>
            <w:vAlign w:val="bottom"/>
            <w:tcBorders>
              <w:bottom w:val="single" w:sz="8" w:color="D1D3D4"/>
            </w:tcBorders>
          </w:tcPr>
          <w:p>
            <w:pPr>
              <w:jc w:val="right"/>
              <w:ind w:right="12"/>
              <w:spacing w:after="0"/>
              <w:rPr>
                <w:sz w:val="20"/>
                <w:szCs w:val="20"/>
                <w:color w:val="auto"/>
              </w:rPr>
            </w:pPr>
            <w:r>
              <w:rPr>
                <w:rFonts w:ascii="Arial" w:cs="Arial" w:eastAsia="Arial" w:hAnsi="Arial"/>
                <w:sz w:val="14"/>
                <w:szCs w:val="14"/>
                <w:color w:val="auto"/>
              </w:rPr>
              <w:t>3,381,375</w:t>
            </w:r>
          </w:p>
        </w:tc>
      </w:tr>
      <w:tr>
        <w:trPr>
          <w:trHeight w:val="213"/>
        </w:trPr>
        <w:tc>
          <w:tcPr>
            <w:tcW w:w="226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Roshan S. Roeder</w:t>
            </w:r>
          </w:p>
        </w:tc>
        <w:tc>
          <w:tcPr>
            <w:tcW w:w="1280" w:type="dxa"/>
            <w:vAlign w:val="bottom"/>
            <w:tcBorders>
              <w:bottom w:val="single" w:sz="8" w:color="D1D3D4"/>
            </w:tcBorders>
            <w:shd w:val="clear" w:color="auto" w:fill="DFDEEE"/>
          </w:tcPr>
          <w:p>
            <w:pPr>
              <w:jc w:val="right"/>
              <w:spacing w:after="0"/>
              <w:rPr>
                <w:sz w:val="20"/>
                <w:szCs w:val="20"/>
                <w:color w:val="auto"/>
              </w:rPr>
            </w:pPr>
            <w:r>
              <w:rPr>
                <w:rFonts w:ascii="Arial" w:cs="Arial" w:eastAsia="Arial" w:hAnsi="Arial"/>
                <w:sz w:val="14"/>
                <w:szCs w:val="14"/>
                <w:color w:val="auto"/>
              </w:rPr>
              <w:t>12/5/2023</w:t>
            </w:r>
          </w:p>
        </w:tc>
        <w:tc>
          <w:tcPr>
            <w:tcW w:w="1660" w:type="dxa"/>
            <w:vAlign w:val="bottom"/>
            <w:tcBorders>
              <w:bottom w:val="single" w:sz="8" w:color="D1D3D4"/>
            </w:tcBorders>
            <w:shd w:val="clear" w:color="auto" w:fill="DFDEEE"/>
          </w:tcPr>
          <w:p>
            <w:pPr>
              <w:jc w:val="right"/>
              <w:spacing w:after="0"/>
              <w:rPr>
                <w:sz w:val="20"/>
                <w:szCs w:val="20"/>
                <w:color w:val="auto"/>
              </w:rPr>
            </w:pPr>
            <w:r>
              <w:rPr>
                <w:rFonts w:ascii="Arial" w:cs="Arial" w:eastAsia="Arial" w:hAnsi="Arial"/>
                <w:sz w:val="14"/>
                <w:szCs w:val="14"/>
                <w:color w:val="auto"/>
              </w:rPr>
              <w:t>328</w:t>
            </w:r>
          </w:p>
        </w:tc>
        <w:tc>
          <w:tcPr>
            <w:tcW w:w="2080" w:type="dxa"/>
            <w:vAlign w:val="bottom"/>
            <w:tcBorders>
              <w:bottom w:val="single" w:sz="8" w:color="D1D3D4"/>
            </w:tcBorders>
            <w:shd w:val="clear" w:color="auto" w:fill="DFDEEE"/>
          </w:tcPr>
          <w:p>
            <w:pPr>
              <w:jc w:val="right"/>
              <w:ind w:right="391"/>
              <w:spacing w:after="0"/>
              <w:rPr>
                <w:sz w:val="20"/>
                <w:szCs w:val="20"/>
                <w:color w:val="auto"/>
              </w:rPr>
            </w:pPr>
            <w:r>
              <w:rPr>
                <w:rFonts w:ascii="Arial" w:cs="Arial" w:eastAsia="Arial" w:hAnsi="Arial"/>
                <w:sz w:val="14"/>
                <w:szCs w:val="14"/>
                <w:color w:val="auto"/>
              </w:rPr>
              <w:t>153,550</w:t>
            </w:r>
          </w:p>
        </w:tc>
        <w:tc>
          <w:tcPr>
            <w:tcW w:w="2160" w:type="dxa"/>
            <w:vAlign w:val="bottom"/>
            <w:tcBorders>
              <w:bottom w:val="single" w:sz="8" w:color="D1D3D4"/>
            </w:tcBorders>
            <w:shd w:val="clear" w:color="auto" w:fill="DFDEEE"/>
          </w:tcPr>
          <w:p>
            <w:pPr>
              <w:jc w:val="right"/>
              <w:ind w:right="392"/>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D1D3D4"/>
            </w:tcBorders>
            <w:shd w:val="clear" w:color="auto" w:fill="DFDEEE"/>
          </w:tcPr>
          <w:p>
            <w:pPr>
              <w:jc w:val="right"/>
              <w:ind w:right="12"/>
              <w:spacing w:after="0"/>
              <w:rPr>
                <w:sz w:val="20"/>
                <w:szCs w:val="20"/>
                <w:color w:val="auto"/>
              </w:rPr>
            </w:pPr>
            <w:r>
              <w:rPr>
                <w:rFonts w:ascii="Arial" w:cs="Arial" w:eastAsia="Arial" w:hAnsi="Arial"/>
                <w:sz w:val="14"/>
                <w:szCs w:val="14"/>
                <w:color w:val="auto"/>
              </w:rPr>
              <w:t>—</w:t>
            </w:r>
          </w:p>
        </w:tc>
      </w:tr>
      <w:tr>
        <w:trPr>
          <w:trHeight w:val="206"/>
        </w:trPr>
        <w:tc>
          <w:tcPr>
            <w:tcW w:w="2260" w:type="dxa"/>
            <w:vAlign w:val="bottom"/>
            <w:tcBorders>
              <w:bottom w:val="single" w:sz="8" w:color="DFDEEE"/>
            </w:tcBorders>
            <w:shd w:val="clear" w:color="auto" w:fill="DFDEEE"/>
          </w:tcPr>
          <w:p>
            <w:pPr>
              <w:spacing w:after="0"/>
              <w:rPr>
                <w:sz w:val="17"/>
                <w:szCs w:val="17"/>
                <w:color w:val="auto"/>
              </w:rPr>
            </w:pPr>
          </w:p>
        </w:tc>
        <w:tc>
          <w:tcPr>
            <w:tcW w:w="12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2/16/2023</w:t>
            </w:r>
          </w:p>
        </w:tc>
        <w:tc>
          <w:tcPr>
            <w:tcW w:w="16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2,017</w:t>
            </w:r>
          </w:p>
        </w:tc>
        <w:tc>
          <w:tcPr>
            <w:tcW w:w="2080" w:type="dxa"/>
            <w:vAlign w:val="bottom"/>
            <w:tcBorders>
              <w:bottom w:val="single" w:sz="8" w:color="BCBEC0"/>
            </w:tcBorders>
            <w:shd w:val="clear" w:color="auto" w:fill="DFDEEE"/>
          </w:tcPr>
          <w:p>
            <w:pPr>
              <w:jc w:val="right"/>
              <w:ind w:right="391"/>
              <w:spacing w:after="0"/>
              <w:rPr>
                <w:sz w:val="20"/>
                <w:szCs w:val="20"/>
                <w:color w:val="auto"/>
              </w:rPr>
            </w:pPr>
            <w:r>
              <w:rPr>
                <w:rFonts w:ascii="Arial" w:cs="Arial" w:eastAsia="Arial" w:hAnsi="Arial"/>
                <w:sz w:val="14"/>
                <w:szCs w:val="14"/>
                <w:color w:val="auto"/>
              </w:rPr>
              <w:t>944,238</w:t>
            </w:r>
          </w:p>
        </w:tc>
        <w:tc>
          <w:tcPr>
            <w:tcW w:w="2160" w:type="dxa"/>
            <w:vAlign w:val="bottom"/>
            <w:tcBorders>
              <w:bottom w:val="single" w:sz="8" w:color="BCBEC0"/>
            </w:tcBorders>
            <w:shd w:val="clear" w:color="auto" w:fill="DFDEEE"/>
          </w:tcPr>
          <w:p>
            <w:pPr>
              <w:jc w:val="right"/>
              <w:ind w:right="392"/>
              <w:spacing w:after="0"/>
              <w:rPr>
                <w:sz w:val="20"/>
                <w:szCs w:val="20"/>
                <w:color w:val="auto"/>
              </w:rPr>
            </w:pPr>
            <w:r>
              <w:rPr>
                <w:rFonts w:ascii="Arial" w:cs="Arial" w:eastAsia="Arial" w:hAnsi="Arial"/>
                <w:sz w:val="14"/>
                <w:szCs w:val="14"/>
                <w:color w:val="auto"/>
              </w:rPr>
              <w:t>4,376</w:t>
            </w:r>
          </w:p>
        </w:tc>
        <w:tc>
          <w:tcPr>
            <w:tcW w:w="1780" w:type="dxa"/>
            <w:vAlign w:val="bottom"/>
            <w:tcBorders>
              <w:bottom w:val="single" w:sz="8" w:color="BCBEC0"/>
            </w:tcBorders>
            <w:shd w:val="clear" w:color="auto" w:fill="DFDEEE"/>
          </w:tcPr>
          <w:p>
            <w:pPr>
              <w:jc w:val="right"/>
              <w:ind w:right="12"/>
              <w:spacing w:after="0"/>
              <w:rPr>
                <w:sz w:val="20"/>
                <w:szCs w:val="20"/>
                <w:color w:val="auto"/>
              </w:rPr>
            </w:pPr>
            <w:r>
              <w:rPr>
                <w:rFonts w:ascii="Arial" w:cs="Arial" w:eastAsia="Arial" w:hAnsi="Arial"/>
                <w:sz w:val="14"/>
                <w:szCs w:val="14"/>
                <w:color w:val="auto"/>
              </w:rPr>
              <w:t>2,048,581</w:t>
            </w:r>
          </w:p>
        </w:tc>
      </w:tr>
      <w:tr>
        <w:trPr>
          <w:trHeight w:val="210"/>
        </w:trPr>
        <w:tc>
          <w:tcPr>
            <w:tcW w:w="2260" w:type="dxa"/>
            <w:vAlign w:val="bottom"/>
            <w:tcBorders>
              <w:bottom w:val="single" w:sz="8" w:color="DFDEEE"/>
            </w:tcBorders>
            <w:shd w:val="clear" w:color="auto" w:fill="DFDEEE"/>
          </w:tcPr>
          <w:p>
            <w:pPr>
              <w:spacing w:after="0"/>
              <w:rPr>
                <w:sz w:val="18"/>
                <w:szCs w:val="18"/>
                <w:color w:val="auto"/>
              </w:rPr>
            </w:pPr>
          </w:p>
        </w:tc>
        <w:tc>
          <w:tcPr>
            <w:tcW w:w="12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2/15/2022</w:t>
            </w:r>
          </w:p>
        </w:tc>
        <w:tc>
          <w:tcPr>
            <w:tcW w:w="16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292</w:t>
            </w:r>
          </w:p>
        </w:tc>
        <w:tc>
          <w:tcPr>
            <w:tcW w:w="2080" w:type="dxa"/>
            <w:vAlign w:val="bottom"/>
            <w:tcBorders>
              <w:bottom w:val="single" w:sz="8" w:color="BCBEC0"/>
            </w:tcBorders>
            <w:shd w:val="clear" w:color="auto" w:fill="DFDEEE"/>
          </w:tcPr>
          <w:p>
            <w:pPr>
              <w:jc w:val="right"/>
              <w:ind w:right="391"/>
              <w:spacing w:after="0"/>
              <w:rPr>
                <w:sz w:val="20"/>
                <w:szCs w:val="20"/>
                <w:color w:val="auto"/>
              </w:rPr>
            </w:pPr>
            <w:r>
              <w:rPr>
                <w:rFonts w:ascii="Arial" w:cs="Arial" w:eastAsia="Arial" w:hAnsi="Arial"/>
                <w:sz w:val="14"/>
                <w:szCs w:val="14"/>
                <w:color w:val="auto"/>
              </w:rPr>
              <w:t>136,697</w:t>
            </w:r>
          </w:p>
        </w:tc>
        <w:tc>
          <w:tcPr>
            <w:tcW w:w="2160" w:type="dxa"/>
            <w:vAlign w:val="bottom"/>
            <w:tcBorders>
              <w:bottom w:val="single" w:sz="8" w:color="BCBEC0"/>
            </w:tcBorders>
            <w:shd w:val="clear" w:color="auto" w:fill="DFDEEE"/>
          </w:tcPr>
          <w:p>
            <w:pPr>
              <w:jc w:val="right"/>
              <w:ind w:right="392"/>
              <w:spacing w:after="0"/>
              <w:rPr>
                <w:sz w:val="20"/>
                <w:szCs w:val="20"/>
                <w:color w:val="auto"/>
              </w:rPr>
            </w:pPr>
            <w:r>
              <w:rPr>
                <w:rFonts w:ascii="Arial" w:cs="Arial" w:eastAsia="Arial" w:hAnsi="Arial"/>
                <w:sz w:val="14"/>
                <w:szCs w:val="14"/>
                <w:color w:val="auto"/>
              </w:rPr>
              <w:t>640</w:t>
            </w:r>
          </w:p>
        </w:tc>
        <w:tc>
          <w:tcPr>
            <w:tcW w:w="1780" w:type="dxa"/>
            <w:vAlign w:val="bottom"/>
            <w:tcBorders>
              <w:bottom w:val="single" w:sz="8" w:color="BCBEC0"/>
            </w:tcBorders>
            <w:shd w:val="clear" w:color="auto" w:fill="DFDEEE"/>
          </w:tcPr>
          <w:p>
            <w:pPr>
              <w:jc w:val="right"/>
              <w:ind w:right="12"/>
              <w:spacing w:after="0"/>
              <w:rPr>
                <w:sz w:val="20"/>
                <w:szCs w:val="20"/>
                <w:color w:val="auto"/>
              </w:rPr>
            </w:pPr>
            <w:r>
              <w:rPr>
                <w:rFonts w:ascii="Arial" w:cs="Arial" w:eastAsia="Arial" w:hAnsi="Arial"/>
                <w:sz w:val="14"/>
                <w:szCs w:val="14"/>
                <w:color w:val="auto"/>
              </w:rPr>
              <w:t>299,610</w:t>
            </w:r>
          </w:p>
        </w:tc>
      </w:tr>
      <w:tr>
        <w:trPr>
          <w:trHeight w:val="209"/>
        </w:trPr>
        <w:tc>
          <w:tcPr>
            <w:tcW w:w="2260" w:type="dxa"/>
            <w:vAlign w:val="bottom"/>
            <w:shd w:val="clear" w:color="auto" w:fill="DFDEEE"/>
          </w:tcPr>
          <w:p>
            <w:pPr>
              <w:spacing w:after="0"/>
              <w:rPr>
                <w:sz w:val="18"/>
                <w:szCs w:val="18"/>
                <w:color w:val="auto"/>
              </w:rPr>
            </w:pPr>
          </w:p>
        </w:tc>
        <w:tc>
          <w:tcPr>
            <w:tcW w:w="12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2/16/2021</w:t>
            </w:r>
          </w:p>
        </w:tc>
        <w:tc>
          <w:tcPr>
            <w:tcW w:w="16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335</w:t>
            </w:r>
          </w:p>
        </w:tc>
        <w:tc>
          <w:tcPr>
            <w:tcW w:w="2080" w:type="dxa"/>
            <w:vAlign w:val="bottom"/>
            <w:tcBorders>
              <w:bottom w:val="single" w:sz="8" w:color="BCBEC0"/>
            </w:tcBorders>
            <w:shd w:val="clear" w:color="auto" w:fill="DFDEEE"/>
          </w:tcPr>
          <w:p>
            <w:pPr>
              <w:jc w:val="right"/>
              <w:ind w:right="391"/>
              <w:spacing w:after="0"/>
              <w:rPr>
                <w:sz w:val="20"/>
                <w:szCs w:val="20"/>
                <w:color w:val="auto"/>
              </w:rPr>
            </w:pPr>
            <w:r>
              <w:rPr>
                <w:rFonts w:ascii="Arial" w:cs="Arial" w:eastAsia="Arial" w:hAnsi="Arial"/>
                <w:sz w:val="14"/>
                <w:szCs w:val="14"/>
                <w:color w:val="auto"/>
              </w:rPr>
              <w:t>156,827</w:t>
            </w:r>
          </w:p>
        </w:tc>
        <w:tc>
          <w:tcPr>
            <w:tcW w:w="2160" w:type="dxa"/>
            <w:vAlign w:val="bottom"/>
            <w:tcBorders>
              <w:bottom w:val="single" w:sz="8" w:color="BCBEC0"/>
            </w:tcBorders>
            <w:shd w:val="clear" w:color="auto" w:fill="DFDEEE"/>
          </w:tcPr>
          <w:p>
            <w:pPr>
              <w:jc w:val="right"/>
              <w:ind w:right="392"/>
              <w:spacing w:after="0"/>
              <w:rPr>
                <w:sz w:val="20"/>
                <w:szCs w:val="20"/>
                <w:color w:val="auto"/>
              </w:rPr>
            </w:pPr>
            <w:r>
              <w:rPr>
                <w:rFonts w:ascii="Arial" w:cs="Arial" w:eastAsia="Arial" w:hAnsi="Arial"/>
                <w:sz w:val="14"/>
                <w:szCs w:val="14"/>
                <w:color w:val="auto"/>
              </w:rPr>
              <w:t>738</w:t>
            </w:r>
          </w:p>
        </w:tc>
        <w:tc>
          <w:tcPr>
            <w:tcW w:w="1780" w:type="dxa"/>
            <w:vAlign w:val="bottom"/>
            <w:tcBorders>
              <w:bottom w:val="single" w:sz="8" w:color="BCBEC0"/>
            </w:tcBorders>
            <w:shd w:val="clear" w:color="auto" w:fill="DFDEEE"/>
          </w:tcPr>
          <w:p>
            <w:pPr>
              <w:jc w:val="right"/>
              <w:ind w:right="12"/>
              <w:spacing w:after="0"/>
              <w:rPr>
                <w:sz w:val="20"/>
                <w:szCs w:val="20"/>
                <w:color w:val="auto"/>
              </w:rPr>
            </w:pPr>
            <w:r>
              <w:rPr>
                <w:rFonts w:ascii="Arial" w:cs="Arial" w:eastAsia="Arial" w:hAnsi="Arial"/>
                <w:sz w:val="14"/>
                <w:szCs w:val="14"/>
                <w:color w:val="auto"/>
              </w:rPr>
              <w:t>345,487</w:t>
            </w:r>
          </w:p>
        </w:tc>
      </w:tr>
    </w:tbl>
    <w:p>
      <w:pPr>
        <w:spacing w:after="0" w:line="153" w:lineRule="exact"/>
        <w:rPr>
          <w:sz w:val="20"/>
          <w:szCs w:val="20"/>
          <w:color w:val="auto"/>
        </w:rPr>
      </w:pPr>
    </w:p>
    <w:p>
      <w:pPr>
        <w:ind w:left="260" w:hanging="252"/>
        <w:spacing w:after="0"/>
        <w:tabs>
          <w:tab w:leader="none" w:pos="26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Outstanding RSRs generally vest three years from date of grant.</w:t>
      </w:r>
    </w:p>
    <w:p>
      <w:pPr>
        <w:spacing w:after="0" w:line="82" w:lineRule="exact"/>
        <w:rPr>
          <w:rFonts w:ascii="Arial" w:cs="Arial" w:eastAsia="Arial" w:hAnsi="Arial"/>
          <w:sz w:val="14"/>
          <w:szCs w:val="14"/>
          <w:color w:val="auto"/>
        </w:rPr>
      </w:pPr>
    </w:p>
    <w:p>
      <w:pPr>
        <w:ind w:left="260" w:hanging="252"/>
        <w:spacing w:after="0"/>
        <w:tabs>
          <w:tab w:leader="none" w:pos="26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value listed is based on the closing price of the Company’s stock of $468.14 on December 29, 2023, the last trading day of the year.</w:t>
      </w:r>
    </w:p>
    <w:p>
      <w:pPr>
        <w:spacing w:after="0" w:line="82" w:lineRule="exact"/>
        <w:rPr>
          <w:rFonts w:ascii="Arial" w:cs="Arial" w:eastAsia="Arial" w:hAnsi="Arial"/>
          <w:sz w:val="14"/>
          <w:szCs w:val="14"/>
          <w:color w:val="auto"/>
        </w:rPr>
      </w:pPr>
    </w:p>
    <w:p>
      <w:pPr>
        <w:ind w:left="260" w:right="180" w:hanging="252"/>
        <w:spacing w:after="0" w:line="269" w:lineRule="auto"/>
        <w:tabs>
          <w:tab w:leader="none" w:pos="258" w:val="left"/>
        </w:tabs>
        <w:numPr>
          <w:ilvl w:val="0"/>
          <w:numId w:val="139"/>
        </w:numPr>
        <w:rPr>
          <w:rFonts w:ascii="Arial" w:cs="Arial" w:eastAsia="Arial" w:hAnsi="Arial"/>
          <w:sz w:val="14"/>
          <w:szCs w:val="14"/>
          <w:color w:val="auto"/>
        </w:rPr>
      </w:pPr>
      <w:r>
        <w:rPr>
          <w:rFonts w:ascii="Arial" w:cs="Arial" w:eastAsia="Arial" w:hAnsi="Arial"/>
          <w:sz w:val="14"/>
          <w:szCs w:val="14"/>
          <w:color w:val="auto"/>
        </w:rPr>
        <w:t>Outstanding RPSRs granted in 2023, 2022 and 2021 vest based on performance for the three-year performance period ending on December 31, 2025, 2024 and 2023, respectively. All RPSR grants are subject to the Compensation and Human Capital Committee’s approval of the performance-based earn-out percentage applicable to the grant following the end of the performance period. Amounts presented assume target level performance. The 2021 RPSRs were distributed in February 2024 upon the Compensation and Human Capital Committee’s approval. The actual number of shares distributed to the NEOs in February 2024 as a result of the vesting was as follows:</w:t>
      </w:r>
    </w:p>
    <w:p>
      <w:pPr>
        <w:spacing w:after="0" w:line="201" w:lineRule="exact"/>
        <w:rPr>
          <w:sz w:val="20"/>
          <w:szCs w:val="20"/>
          <w:color w:val="auto"/>
        </w:rPr>
      </w:pPr>
    </w:p>
    <w:tbl>
      <w:tblPr>
        <w:tblLayout w:type="fixed"/>
        <w:tblInd w:w="400" w:type="dxa"/>
        <w:tblCellMar>
          <w:top w:w="0" w:type="dxa"/>
          <w:left w:w="0" w:type="dxa"/>
          <w:bottom w:w="0" w:type="dxa"/>
          <w:right w:w="0" w:type="dxa"/>
        </w:tblCellMar>
      </w:tblPr>
      <w:tr>
        <w:trPr>
          <w:trHeight w:val="172"/>
        </w:trPr>
        <w:tc>
          <w:tcPr>
            <w:tcW w:w="49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5880" w:type="dxa"/>
            <w:vAlign w:val="bottom"/>
          </w:tcPr>
          <w:p>
            <w:pPr>
              <w:jc w:val="right"/>
              <w:spacing w:after="0"/>
              <w:rPr>
                <w:sz w:val="20"/>
                <w:szCs w:val="20"/>
                <w:color w:val="auto"/>
              </w:rPr>
            </w:pPr>
            <w:r>
              <w:rPr>
                <w:rFonts w:ascii="Arial" w:cs="Arial" w:eastAsia="Arial" w:hAnsi="Arial"/>
                <w:sz w:val="13"/>
                <w:szCs w:val="13"/>
                <w:b w:val="1"/>
                <w:bCs w:val="1"/>
                <w:color w:val="auto"/>
              </w:rPr>
              <w:t>Actual Shares Distributed (#)</w:t>
            </w:r>
          </w:p>
        </w:tc>
        <w:tc>
          <w:tcPr>
            <w:tcW w:w="0" w:type="dxa"/>
            <w:vAlign w:val="bottom"/>
          </w:tcPr>
          <w:p>
            <w:pPr>
              <w:spacing w:after="0"/>
              <w:rPr>
                <w:sz w:val="1"/>
                <w:szCs w:val="1"/>
                <w:color w:val="auto"/>
              </w:rPr>
            </w:pPr>
          </w:p>
        </w:tc>
      </w:tr>
      <w:tr>
        <w:trPr>
          <w:trHeight w:val="108"/>
        </w:trPr>
        <w:tc>
          <w:tcPr>
            <w:tcW w:w="4960" w:type="dxa"/>
            <w:vAlign w:val="bottom"/>
            <w:vMerge w:val="continue"/>
          </w:tcPr>
          <w:p>
            <w:pPr>
              <w:spacing w:after="0"/>
              <w:rPr>
                <w:sz w:val="9"/>
                <w:szCs w:val="9"/>
                <w:color w:val="auto"/>
              </w:rPr>
            </w:pPr>
          </w:p>
        </w:tc>
        <w:tc>
          <w:tcPr>
            <w:tcW w:w="5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4960" w:type="dxa"/>
            <w:vAlign w:val="bottom"/>
            <w:tcBorders>
              <w:bottom w:val="single" w:sz="8" w:color="29378D"/>
            </w:tcBorders>
          </w:tcPr>
          <w:p>
            <w:pPr>
              <w:spacing w:after="0" w:line="20" w:lineRule="exact"/>
              <w:rPr>
                <w:sz w:val="1"/>
                <w:szCs w:val="1"/>
                <w:color w:val="auto"/>
              </w:rPr>
            </w:pPr>
          </w:p>
        </w:tc>
        <w:tc>
          <w:tcPr>
            <w:tcW w:w="588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9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Ms. Warden</w:t>
            </w:r>
          </w:p>
        </w:tc>
        <w:tc>
          <w:tcPr>
            <w:tcW w:w="58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45,832</w:t>
            </w:r>
          </w:p>
        </w:tc>
        <w:tc>
          <w:tcPr>
            <w:tcW w:w="0" w:type="dxa"/>
            <w:vAlign w:val="bottom"/>
          </w:tcPr>
          <w:p>
            <w:pPr>
              <w:spacing w:after="0"/>
              <w:rPr>
                <w:sz w:val="1"/>
                <w:szCs w:val="1"/>
                <w:color w:val="auto"/>
              </w:rPr>
            </w:pPr>
          </w:p>
        </w:tc>
      </w:tr>
      <w:tr>
        <w:trPr>
          <w:trHeight w:val="209"/>
        </w:trPr>
        <w:tc>
          <w:tcPr>
            <w:tcW w:w="496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29378D"/>
              </w:rPr>
              <w:t>Mr. Keffer</w:t>
            </w:r>
          </w:p>
        </w:tc>
        <w:tc>
          <w:tcPr>
            <w:tcW w:w="5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10,184</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Mr. Caylor</w:t>
            </w:r>
          </w:p>
        </w:tc>
        <w:tc>
          <w:tcPr>
            <w:tcW w:w="58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10,184</w:t>
            </w:r>
          </w:p>
        </w:tc>
        <w:tc>
          <w:tcPr>
            <w:tcW w:w="0" w:type="dxa"/>
            <w:vAlign w:val="bottom"/>
          </w:tcPr>
          <w:p>
            <w:pPr>
              <w:spacing w:after="0"/>
              <w:rPr>
                <w:sz w:val="1"/>
                <w:szCs w:val="1"/>
                <w:color w:val="auto"/>
              </w:rPr>
            </w:pPr>
          </w:p>
        </w:tc>
      </w:tr>
      <w:tr>
        <w:trPr>
          <w:trHeight w:val="209"/>
        </w:trPr>
        <w:tc>
          <w:tcPr>
            <w:tcW w:w="496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29378D"/>
              </w:rPr>
              <w:t>Mr. Jones</w:t>
            </w:r>
          </w:p>
        </w:tc>
        <w:tc>
          <w:tcPr>
            <w:tcW w:w="5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10,184</w:t>
            </w:r>
          </w:p>
        </w:tc>
        <w:tc>
          <w:tcPr>
            <w:tcW w:w="0" w:type="dxa"/>
            <w:vAlign w:val="bottom"/>
          </w:tcPr>
          <w:p>
            <w:pPr>
              <w:spacing w:after="0"/>
              <w:rPr>
                <w:sz w:val="1"/>
                <w:szCs w:val="1"/>
                <w:color w:val="auto"/>
              </w:rPr>
            </w:pPr>
          </w:p>
        </w:tc>
      </w:tr>
      <w:tr>
        <w:trPr>
          <w:trHeight w:val="209"/>
        </w:trPr>
        <w:tc>
          <w:tcPr>
            <w:tcW w:w="496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Ms. Roeder</w:t>
            </w:r>
          </w:p>
        </w:tc>
        <w:tc>
          <w:tcPr>
            <w:tcW w:w="58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1,041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0" w:hanging="494"/>
        <w:spacing w:after="0"/>
        <w:tabs>
          <w:tab w:leader="none" w:pos="520" w:val="left"/>
        </w:tabs>
        <w:numPr>
          <w:ilvl w:val="0"/>
          <w:numId w:val="140"/>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2023 Stock Vested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20" w:type="dxa"/>
            <w:vAlign w:val="bottom"/>
          </w:tcPr>
          <w:p>
            <w:pPr>
              <w:spacing w:after="0"/>
              <w:rPr>
                <w:sz w:val="19"/>
                <w:szCs w:val="19"/>
                <w:color w:val="auto"/>
              </w:rPr>
            </w:pPr>
          </w:p>
        </w:tc>
        <w:tc>
          <w:tcPr>
            <w:tcW w:w="4160" w:type="dxa"/>
            <w:vAlign w:val="bottom"/>
          </w:tcPr>
          <w:p>
            <w:pPr>
              <w:jc w:val="right"/>
              <w:ind w:right="446"/>
              <w:spacing w:after="0"/>
              <w:rPr>
                <w:sz w:val="20"/>
                <w:szCs w:val="20"/>
                <w:color w:val="auto"/>
              </w:rPr>
            </w:pPr>
            <w:r>
              <w:rPr>
                <w:rFonts w:ascii="Arial" w:cs="Arial" w:eastAsia="Arial" w:hAnsi="Arial"/>
                <w:sz w:val="13"/>
                <w:szCs w:val="13"/>
                <w:b w:val="1"/>
                <w:bCs w:val="1"/>
                <w:color w:val="auto"/>
              </w:rPr>
              <w:t>Stock Awards</w:t>
            </w:r>
            <w:r>
              <w:rPr>
                <w:rFonts w:ascii="Arial" w:cs="Arial" w:eastAsia="Arial" w:hAnsi="Arial"/>
                <w:sz w:val="16"/>
                <w:szCs w:val="16"/>
                <w:b w:val="1"/>
                <w:bCs w:val="1"/>
                <w:color w:val="auto"/>
                <w:vertAlign w:val="superscript"/>
              </w:rPr>
              <w:t>(1)(2)</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5020" w:type="dxa"/>
            <w:vAlign w:val="bottom"/>
          </w:tcPr>
          <w:p>
            <w:pPr>
              <w:spacing w:after="0"/>
              <w:rPr>
                <w:sz w:val="6"/>
                <w:szCs w:val="6"/>
                <w:color w:val="auto"/>
              </w:rPr>
            </w:pPr>
          </w:p>
        </w:tc>
        <w:tc>
          <w:tcPr>
            <w:tcW w:w="4160" w:type="dxa"/>
            <w:vAlign w:val="bottom"/>
            <w:tcBorders>
              <w:bottom w:val="single" w:sz="8" w:color="29378D"/>
            </w:tcBorders>
          </w:tcPr>
          <w:p>
            <w:pPr>
              <w:spacing w:after="0"/>
              <w:rPr>
                <w:sz w:val="6"/>
                <w:szCs w:val="6"/>
                <w:color w:val="auto"/>
              </w:rPr>
            </w:pPr>
          </w:p>
        </w:tc>
        <w:tc>
          <w:tcPr>
            <w:tcW w:w="2060" w:type="dxa"/>
            <w:vAlign w:val="bottom"/>
            <w:tcBorders>
              <w:bottom w:val="single" w:sz="8" w:color="29378D"/>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50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4160" w:type="dxa"/>
            <w:vAlign w:val="bottom"/>
          </w:tcPr>
          <w:p>
            <w:pPr>
              <w:jc w:val="right"/>
              <w:ind w:right="426"/>
              <w:spacing w:after="0"/>
              <w:rPr>
                <w:sz w:val="20"/>
                <w:szCs w:val="20"/>
                <w:color w:val="auto"/>
              </w:rPr>
            </w:pPr>
            <w:r>
              <w:rPr>
                <w:rFonts w:ascii="Arial" w:cs="Arial" w:eastAsia="Arial" w:hAnsi="Arial"/>
                <w:sz w:val="13"/>
                <w:szCs w:val="13"/>
                <w:b w:val="1"/>
                <w:bCs w:val="1"/>
                <w:color w:val="auto"/>
              </w:rPr>
              <w:t>Number of Shares Acquired on Vesting</w:t>
            </w:r>
          </w:p>
        </w:tc>
        <w:tc>
          <w:tcPr>
            <w:tcW w:w="2060" w:type="dxa"/>
            <w:vAlign w:val="bottom"/>
          </w:tcPr>
          <w:p>
            <w:pPr>
              <w:jc w:val="right"/>
              <w:spacing w:after="0"/>
              <w:rPr>
                <w:sz w:val="20"/>
                <w:szCs w:val="20"/>
                <w:color w:val="auto"/>
              </w:rPr>
            </w:pPr>
            <w:r>
              <w:rPr>
                <w:rFonts w:ascii="Arial" w:cs="Arial" w:eastAsia="Arial" w:hAnsi="Arial"/>
                <w:sz w:val="13"/>
                <w:szCs w:val="13"/>
                <w:b w:val="1"/>
                <w:bCs w:val="1"/>
                <w:color w:val="auto"/>
              </w:rPr>
              <w:t>Value Realized on Vesting</w:t>
            </w:r>
          </w:p>
        </w:tc>
        <w:tc>
          <w:tcPr>
            <w:tcW w:w="0" w:type="dxa"/>
            <w:vAlign w:val="bottom"/>
          </w:tcPr>
          <w:p>
            <w:pPr>
              <w:spacing w:after="0"/>
              <w:rPr>
                <w:sz w:val="1"/>
                <w:szCs w:val="1"/>
                <w:color w:val="auto"/>
              </w:rPr>
            </w:pPr>
          </w:p>
        </w:tc>
      </w:tr>
      <w:tr>
        <w:trPr>
          <w:trHeight w:val="176"/>
        </w:trPr>
        <w:tc>
          <w:tcPr>
            <w:tcW w:w="5020" w:type="dxa"/>
            <w:vAlign w:val="bottom"/>
            <w:tcBorders>
              <w:bottom w:val="single" w:sz="8" w:color="29378D"/>
            </w:tcBorders>
            <w:vMerge w:val="continue"/>
          </w:tcPr>
          <w:p>
            <w:pPr>
              <w:spacing w:after="0"/>
              <w:rPr>
                <w:sz w:val="15"/>
                <w:szCs w:val="15"/>
                <w:color w:val="auto"/>
              </w:rPr>
            </w:pPr>
          </w:p>
        </w:tc>
        <w:tc>
          <w:tcPr>
            <w:tcW w:w="4160" w:type="dxa"/>
            <w:vAlign w:val="bottom"/>
            <w:tcBorders>
              <w:bottom w:val="single" w:sz="8" w:color="29378D"/>
            </w:tcBorders>
          </w:tcPr>
          <w:p>
            <w:pPr>
              <w:jc w:val="right"/>
              <w:ind w:right="426"/>
              <w:spacing w:after="0"/>
              <w:rPr>
                <w:sz w:val="20"/>
                <w:szCs w:val="20"/>
                <w:color w:val="auto"/>
              </w:rPr>
            </w:pPr>
            <w:r>
              <w:rPr>
                <w:rFonts w:ascii="Arial" w:cs="Arial" w:eastAsia="Arial" w:hAnsi="Arial"/>
                <w:sz w:val="13"/>
                <w:szCs w:val="13"/>
                <w:b w:val="1"/>
                <w:bCs w:val="1"/>
                <w:color w:val="auto"/>
              </w:rPr>
              <w:t>(#)</w:t>
            </w:r>
          </w:p>
        </w:tc>
        <w:tc>
          <w:tcPr>
            <w:tcW w:w="2060" w:type="dxa"/>
            <w:vAlign w:val="bottom"/>
            <w:tcBorders>
              <w:bottom w:val="single" w:sz="8" w:color="29378D"/>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46"/>
        </w:trPr>
        <w:tc>
          <w:tcPr>
            <w:tcW w:w="502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6"/>
                <w:szCs w:val="16"/>
                <w:b w:val="1"/>
                <w:bCs w:val="1"/>
                <w:color w:val="29378D"/>
              </w:rPr>
              <w:t>Kathy J. Warden</w:t>
            </w:r>
          </w:p>
        </w:tc>
        <w:tc>
          <w:tcPr>
            <w:tcW w:w="4160" w:type="dxa"/>
            <w:vAlign w:val="bottom"/>
            <w:tcBorders>
              <w:bottom w:val="single" w:sz="8" w:color="DFDEEE"/>
            </w:tcBorders>
            <w:shd w:val="clear" w:color="auto" w:fill="DFDEEE"/>
          </w:tcPr>
          <w:p>
            <w:pPr>
              <w:jc w:val="right"/>
              <w:ind w:right="486"/>
              <w:spacing w:after="0"/>
              <w:rPr>
                <w:sz w:val="20"/>
                <w:szCs w:val="20"/>
                <w:color w:val="auto"/>
              </w:rPr>
            </w:pPr>
            <w:r>
              <w:rPr>
                <w:rFonts w:ascii="Arial" w:cs="Arial" w:eastAsia="Arial" w:hAnsi="Arial"/>
                <w:sz w:val="16"/>
                <w:szCs w:val="16"/>
                <w:color w:val="auto"/>
              </w:rPr>
              <w:t>47,953</w:t>
            </w:r>
          </w:p>
        </w:tc>
        <w:tc>
          <w:tcPr>
            <w:tcW w:w="2060" w:type="dxa"/>
            <w:vAlign w:val="bottom"/>
            <w:tcBorders>
              <w:bottom w:val="single" w:sz="8" w:color="DFDEEE"/>
            </w:tcBorders>
            <w:shd w:val="clear" w:color="auto" w:fill="DFDEEE"/>
          </w:tcPr>
          <w:p>
            <w:pPr>
              <w:jc w:val="right"/>
              <w:ind w:right="4"/>
              <w:spacing w:after="0"/>
              <w:rPr>
                <w:sz w:val="20"/>
                <w:szCs w:val="20"/>
                <w:color w:val="auto"/>
              </w:rPr>
            </w:pPr>
            <w:r>
              <w:rPr>
                <w:rFonts w:ascii="Arial" w:cs="Arial" w:eastAsia="Arial" w:hAnsi="Arial"/>
                <w:sz w:val="16"/>
                <w:szCs w:val="16"/>
                <w:color w:val="auto"/>
              </w:rPr>
              <w:t>22,302,651</w:t>
            </w:r>
          </w:p>
        </w:tc>
        <w:tc>
          <w:tcPr>
            <w:tcW w:w="0" w:type="dxa"/>
            <w:vAlign w:val="bottom"/>
          </w:tcPr>
          <w:p>
            <w:pPr>
              <w:spacing w:after="0"/>
              <w:rPr>
                <w:sz w:val="1"/>
                <w:szCs w:val="1"/>
                <w:color w:val="auto"/>
              </w:rPr>
            </w:pPr>
          </w:p>
        </w:tc>
      </w:tr>
      <w:tr>
        <w:trPr>
          <w:trHeight w:val="216"/>
        </w:trPr>
        <w:tc>
          <w:tcPr>
            <w:tcW w:w="5020" w:type="dxa"/>
            <w:vAlign w:val="bottom"/>
            <w:tcBorders>
              <w:top w:val="single" w:sz="8" w:color="BCBEC0"/>
            </w:tcBorders>
          </w:tcPr>
          <w:p>
            <w:pPr>
              <w:ind w:left="20"/>
              <w:spacing w:after="0"/>
              <w:rPr>
                <w:sz w:val="20"/>
                <w:szCs w:val="20"/>
                <w:color w:val="auto"/>
              </w:rPr>
            </w:pPr>
            <w:r>
              <w:rPr>
                <w:rFonts w:ascii="Arial" w:cs="Arial" w:eastAsia="Arial" w:hAnsi="Arial"/>
                <w:sz w:val="16"/>
                <w:szCs w:val="16"/>
                <w:b w:val="1"/>
                <w:bCs w:val="1"/>
                <w:color w:val="29378D"/>
              </w:rPr>
              <w:t>David F. Keffer</w:t>
            </w:r>
          </w:p>
        </w:tc>
        <w:tc>
          <w:tcPr>
            <w:tcW w:w="4160" w:type="dxa"/>
            <w:vAlign w:val="bottom"/>
            <w:tcBorders>
              <w:top w:val="single" w:sz="8" w:color="BCBEC0"/>
            </w:tcBorders>
          </w:tcPr>
          <w:p>
            <w:pPr>
              <w:jc w:val="right"/>
              <w:ind w:right="486"/>
              <w:spacing w:after="0"/>
              <w:rPr>
                <w:sz w:val="20"/>
                <w:szCs w:val="20"/>
                <w:color w:val="auto"/>
              </w:rPr>
            </w:pPr>
            <w:r>
              <w:rPr>
                <w:rFonts w:ascii="Arial" w:cs="Arial" w:eastAsia="Arial" w:hAnsi="Arial"/>
                <w:sz w:val="16"/>
                <w:szCs w:val="16"/>
                <w:color w:val="auto"/>
              </w:rPr>
              <w:t>15,664</w:t>
            </w:r>
          </w:p>
        </w:tc>
        <w:tc>
          <w:tcPr>
            <w:tcW w:w="2060" w:type="dxa"/>
            <w:vAlign w:val="bottom"/>
            <w:tcBorders>
              <w:top w:val="single" w:sz="8" w:color="BCBEC0"/>
            </w:tcBorders>
          </w:tcPr>
          <w:p>
            <w:pPr>
              <w:jc w:val="right"/>
              <w:ind w:right="4"/>
              <w:spacing w:after="0"/>
              <w:rPr>
                <w:sz w:val="20"/>
                <w:szCs w:val="20"/>
                <w:color w:val="auto"/>
              </w:rPr>
            </w:pPr>
            <w:r>
              <w:rPr>
                <w:rFonts w:ascii="Arial" w:cs="Arial" w:eastAsia="Arial" w:hAnsi="Arial"/>
                <w:sz w:val="16"/>
                <w:szCs w:val="16"/>
                <w:color w:val="auto"/>
              </w:rPr>
              <w:t>7,217,710</w:t>
            </w:r>
          </w:p>
        </w:tc>
        <w:tc>
          <w:tcPr>
            <w:tcW w:w="0" w:type="dxa"/>
            <w:vAlign w:val="bottom"/>
          </w:tcPr>
          <w:p>
            <w:pPr>
              <w:spacing w:after="0"/>
              <w:rPr>
                <w:sz w:val="1"/>
                <w:szCs w:val="1"/>
                <w:color w:val="auto"/>
              </w:rPr>
            </w:pPr>
          </w:p>
        </w:tc>
      </w:tr>
      <w:tr>
        <w:trPr>
          <w:trHeight w:val="20"/>
        </w:trPr>
        <w:tc>
          <w:tcPr>
            <w:tcW w:w="5020" w:type="dxa"/>
            <w:vAlign w:val="bottom"/>
            <w:tcBorders>
              <w:bottom w:val="single" w:sz="8" w:color="BCBEC0"/>
            </w:tcBorders>
          </w:tcPr>
          <w:p>
            <w:pPr>
              <w:spacing w:after="0" w:line="20" w:lineRule="exact"/>
              <w:rPr>
                <w:sz w:val="1"/>
                <w:szCs w:val="1"/>
                <w:color w:val="auto"/>
              </w:rPr>
            </w:pPr>
          </w:p>
        </w:tc>
        <w:tc>
          <w:tcPr>
            <w:tcW w:w="4160" w:type="dxa"/>
            <w:vAlign w:val="bottom"/>
            <w:tcBorders>
              <w:bottom w:val="single" w:sz="8" w:color="BCBEC0"/>
            </w:tcBorders>
          </w:tcPr>
          <w:p>
            <w:pPr>
              <w:spacing w:after="0" w:line="20" w:lineRule="exact"/>
              <w:rPr>
                <w:sz w:val="1"/>
                <w:szCs w:val="1"/>
                <w:color w:val="auto"/>
              </w:rPr>
            </w:pPr>
          </w:p>
        </w:tc>
        <w:tc>
          <w:tcPr>
            <w:tcW w:w="206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502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6"/>
                <w:szCs w:val="16"/>
                <w:b w:val="1"/>
                <w:bCs w:val="1"/>
                <w:color w:val="29378D"/>
              </w:rPr>
              <w:t>Mark A. Caylor</w:t>
            </w:r>
          </w:p>
        </w:tc>
        <w:tc>
          <w:tcPr>
            <w:tcW w:w="4160" w:type="dxa"/>
            <w:vAlign w:val="bottom"/>
            <w:tcBorders>
              <w:bottom w:val="single" w:sz="8" w:color="DFDEEE"/>
            </w:tcBorders>
            <w:shd w:val="clear" w:color="auto" w:fill="DFDEEE"/>
          </w:tcPr>
          <w:p>
            <w:pPr>
              <w:jc w:val="right"/>
              <w:ind w:right="486"/>
              <w:spacing w:after="0"/>
              <w:rPr>
                <w:sz w:val="20"/>
                <w:szCs w:val="20"/>
                <w:color w:val="auto"/>
              </w:rPr>
            </w:pPr>
            <w:r>
              <w:rPr>
                <w:rFonts w:ascii="Arial" w:cs="Arial" w:eastAsia="Arial" w:hAnsi="Arial"/>
                <w:sz w:val="16"/>
                <w:szCs w:val="16"/>
                <w:color w:val="auto"/>
              </w:rPr>
              <w:t>10,657</w:t>
            </w:r>
          </w:p>
        </w:tc>
        <w:tc>
          <w:tcPr>
            <w:tcW w:w="2060" w:type="dxa"/>
            <w:vAlign w:val="bottom"/>
            <w:tcBorders>
              <w:bottom w:val="single" w:sz="8" w:color="DFDEEE"/>
            </w:tcBorders>
            <w:shd w:val="clear" w:color="auto" w:fill="DFDEEE"/>
          </w:tcPr>
          <w:p>
            <w:pPr>
              <w:jc w:val="right"/>
              <w:ind w:right="4"/>
              <w:spacing w:after="0"/>
              <w:rPr>
                <w:sz w:val="20"/>
                <w:szCs w:val="20"/>
                <w:color w:val="auto"/>
              </w:rPr>
            </w:pPr>
            <w:r>
              <w:rPr>
                <w:rFonts w:ascii="Arial" w:cs="Arial" w:eastAsia="Arial" w:hAnsi="Arial"/>
                <w:sz w:val="16"/>
                <w:szCs w:val="16"/>
                <w:color w:val="auto"/>
              </w:rPr>
              <w:t>4,956,582</w:t>
            </w:r>
          </w:p>
        </w:tc>
        <w:tc>
          <w:tcPr>
            <w:tcW w:w="0" w:type="dxa"/>
            <w:vAlign w:val="bottom"/>
          </w:tcPr>
          <w:p>
            <w:pPr>
              <w:spacing w:after="0"/>
              <w:rPr>
                <w:sz w:val="1"/>
                <w:szCs w:val="1"/>
                <w:color w:val="auto"/>
              </w:rPr>
            </w:pPr>
          </w:p>
        </w:tc>
      </w:tr>
      <w:tr>
        <w:trPr>
          <w:trHeight w:val="216"/>
        </w:trPr>
        <w:tc>
          <w:tcPr>
            <w:tcW w:w="5020" w:type="dxa"/>
            <w:vAlign w:val="bottom"/>
            <w:tcBorders>
              <w:top w:val="single" w:sz="8" w:color="BCBEC0"/>
            </w:tcBorders>
          </w:tcPr>
          <w:p>
            <w:pPr>
              <w:ind w:left="20"/>
              <w:spacing w:after="0"/>
              <w:rPr>
                <w:sz w:val="20"/>
                <w:szCs w:val="20"/>
                <w:color w:val="auto"/>
              </w:rPr>
            </w:pPr>
            <w:r>
              <w:rPr>
                <w:rFonts w:ascii="Arial" w:cs="Arial" w:eastAsia="Arial" w:hAnsi="Arial"/>
                <w:sz w:val="16"/>
                <w:szCs w:val="16"/>
                <w:b w:val="1"/>
                <w:bCs w:val="1"/>
                <w:color w:val="29378D"/>
              </w:rPr>
              <w:t>Thomas H. Jones</w:t>
            </w:r>
          </w:p>
        </w:tc>
        <w:tc>
          <w:tcPr>
            <w:tcW w:w="4160" w:type="dxa"/>
            <w:vAlign w:val="bottom"/>
            <w:tcBorders>
              <w:top w:val="single" w:sz="8" w:color="BCBEC0"/>
            </w:tcBorders>
          </w:tcPr>
          <w:p>
            <w:pPr>
              <w:jc w:val="right"/>
              <w:ind w:right="486"/>
              <w:spacing w:after="0"/>
              <w:rPr>
                <w:sz w:val="20"/>
                <w:szCs w:val="20"/>
                <w:color w:val="auto"/>
              </w:rPr>
            </w:pPr>
            <w:r>
              <w:rPr>
                <w:rFonts w:ascii="Arial" w:cs="Arial" w:eastAsia="Arial" w:hAnsi="Arial"/>
                <w:sz w:val="16"/>
                <w:szCs w:val="16"/>
                <w:color w:val="auto"/>
              </w:rPr>
              <w:t>1,683</w:t>
            </w:r>
          </w:p>
        </w:tc>
        <w:tc>
          <w:tcPr>
            <w:tcW w:w="2060" w:type="dxa"/>
            <w:vAlign w:val="bottom"/>
            <w:tcBorders>
              <w:top w:val="single" w:sz="8" w:color="BCBEC0"/>
            </w:tcBorders>
          </w:tcPr>
          <w:p>
            <w:pPr>
              <w:jc w:val="right"/>
              <w:ind w:right="4"/>
              <w:spacing w:after="0"/>
              <w:rPr>
                <w:sz w:val="20"/>
                <w:szCs w:val="20"/>
                <w:color w:val="auto"/>
              </w:rPr>
            </w:pPr>
            <w:r>
              <w:rPr>
                <w:rFonts w:ascii="Arial" w:cs="Arial" w:eastAsia="Arial" w:hAnsi="Arial"/>
                <w:sz w:val="16"/>
                <w:szCs w:val="16"/>
                <w:color w:val="auto"/>
              </w:rPr>
              <w:t>782,819</w:t>
            </w:r>
          </w:p>
        </w:tc>
        <w:tc>
          <w:tcPr>
            <w:tcW w:w="0" w:type="dxa"/>
            <w:vAlign w:val="bottom"/>
          </w:tcPr>
          <w:p>
            <w:pPr>
              <w:spacing w:after="0"/>
              <w:rPr>
                <w:sz w:val="1"/>
                <w:szCs w:val="1"/>
                <w:color w:val="auto"/>
              </w:rPr>
            </w:pPr>
          </w:p>
        </w:tc>
      </w:tr>
      <w:tr>
        <w:trPr>
          <w:trHeight w:val="20"/>
        </w:trPr>
        <w:tc>
          <w:tcPr>
            <w:tcW w:w="5020" w:type="dxa"/>
            <w:vAlign w:val="bottom"/>
            <w:tcBorders>
              <w:bottom w:val="single" w:sz="8" w:color="BCBEC0"/>
            </w:tcBorders>
          </w:tcPr>
          <w:p>
            <w:pPr>
              <w:spacing w:after="0" w:line="20" w:lineRule="exact"/>
              <w:rPr>
                <w:sz w:val="1"/>
                <w:szCs w:val="1"/>
                <w:color w:val="auto"/>
              </w:rPr>
            </w:pPr>
          </w:p>
        </w:tc>
        <w:tc>
          <w:tcPr>
            <w:tcW w:w="4160" w:type="dxa"/>
            <w:vAlign w:val="bottom"/>
            <w:tcBorders>
              <w:bottom w:val="single" w:sz="8" w:color="BCBEC0"/>
            </w:tcBorders>
          </w:tcPr>
          <w:p>
            <w:pPr>
              <w:spacing w:after="0" w:line="20" w:lineRule="exact"/>
              <w:rPr>
                <w:sz w:val="1"/>
                <w:szCs w:val="1"/>
                <w:color w:val="auto"/>
              </w:rPr>
            </w:pPr>
          </w:p>
        </w:tc>
        <w:tc>
          <w:tcPr>
            <w:tcW w:w="206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02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6"/>
                <w:szCs w:val="16"/>
                <w:b w:val="1"/>
                <w:bCs w:val="1"/>
                <w:color w:val="29378D"/>
              </w:rPr>
              <w:t>Roshan S. Roeder</w:t>
            </w:r>
          </w:p>
        </w:tc>
        <w:tc>
          <w:tcPr>
            <w:tcW w:w="4160" w:type="dxa"/>
            <w:vAlign w:val="bottom"/>
            <w:tcBorders>
              <w:bottom w:val="single" w:sz="8" w:color="DFDEEE"/>
            </w:tcBorders>
            <w:shd w:val="clear" w:color="auto" w:fill="DFDEEE"/>
          </w:tcPr>
          <w:p>
            <w:pPr>
              <w:jc w:val="right"/>
              <w:ind w:right="486"/>
              <w:spacing w:after="0"/>
              <w:rPr>
                <w:sz w:val="20"/>
                <w:szCs w:val="20"/>
                <w:color w:val="auto"/>
              </w:rPr>
            </w:pPr>
            <w:r>
              <w:rPr>
                <w:rFonts w:ascii="Arial" w:cs="Arial" w:eastAsia="Arial" w:hAnsi="Arial"/>
                <w:sz w:val="16"/>
                <w:szCs w:val="16"/>
                <w:color w:val="auto"/>
              </w:rPr>
              <w:t>962</w:t>
            </w:r>
          </w:p>
        </w:tc>
        <w:tc>
          <w:tcPr>
            <w:tcW w:w="2060" w:type="dxa"/>
            <w:vAlign w:val="bottom"/>
            <w:tcBorders>
              <w:bottom w:val="single" w:sz="8" w:color="DFDEEE"/>
            </w:tcBorders>
            <w:shd w:val="clear" w:color="auto" w:fill="DFDEEE"/>
          </w:tcPr>
          <w:p>
            <w:pPr>
              <w:jc w:val="right"/>
              <w:ind w:right="4"/>
              <w:spacing w:after="0"/>
              <w:rPr>
                <w:sz w:val="20"/>
                <w:szCs w:val="20"/>
                <w:color w:val="auto"/>
              </w:rPr>
            </w:pPr>
            <w:r>
              <w:rPr>
                <w:rFonts w:ascii="Arial" w:cs="Arial" w:eastAsia="Arial" w:hAnsi="Arial"/>
                <w:sz w:val="16"/>
                <w:szCs w:val="16"/>
                <w:color w:val="auto"/>
              </w:rPr>
              <w:t>447,364</w:t>
            </w:r>
          </w:p>
        </w:tc>
        <w:tc>
          <w:tcPr>
            <w:tcW w:w="0" w:type="dxa"/>
            <w:vAlign w:val="bottom"/>
          </w:tcPr>
          <w:p>
            <w:pPr>
              <w:spacing w:after="0"/>
              <w:rPr>
                <w:sz w:val="1"/>
                <w:szCs w:val="1"/>
                <w:color w:val="auto"/>
              </w:rPr>
            </w:pPr>
          </w:p>
        </w:tc>
      </w:tr>
      <w:tr>
        <w:trPr>
          <w:trHeight w:val="20"/>
        </w:trPr>
        <w:tc>
          <w:tcPr>
            <w:tcW w:w="5020" w:type="dxa"/>
            <w:vAlign w:val="bottom"/>
            <w:shd w:val="clear" w:color="auto" w:fill="BCBEC0"/>
          </w:tcPr>
          <w:p>
            <w:pPr>
              <w:spacing w:after="0" w:line="20" w:lineRule="exact"/>
              <w:rPr>
                <w:sz w:val="1"/>
                <w:szCs w:val="1"/>
                <w:color w:val="auto"/>
              </w:rPr>
            </w:pPr>
          </w:p>
        </w:tc>
        <w:tc>
          <w:tcPr>
            <w:tcW w:w="4160" w:type="dxa"/>
            <w:vAlign w:val="bottom"/>
            <w:shd w:val="clear" w:color="auto" w:fill="BCBEC0"/>
          </w:tcPr>
          <w:p>
            <w:pPr>
              <w:spacing w:after="0" w:line="20" w:lineRule="exact"/>
              <w:rPr>
                <w:sz w:val="1"/>
                <w:szCs w:val="1"/>
                <w:color w:val="auto"/>
              </w:rPr>
            </w:pPr>
          </w:p>
        </w:tc>
        <w:tc>
          <w:tcPr>
            <w:tcW w:w="2060" w:type="dxa"/>
            <w:vAlign w:val="bottom"/>
            <w:shd w:val="clear" w:color="auto" w:fill="BCBE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260" w:hanging="252"/>
        <w:spacing w:after="0"/>
        <w:tabs>
          <w:tab w:leader="none" w:pos="26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number of shares and the amounts reflected in the table are reported on an aggregate basis and do not reflect shares sold or withheld to pay withholding taxes.</w:t>
      </w:r>
    </w:p>
    <w:p>
      <w:pPr>
        <w:spacing w:after="0" w:line="82" w:lineRule="exact"/>
        <w:rPr>
          <w:rFonts w:ascii="Arial" w:cs="Arial" w:eastAsia="Arial" w:hAnsi="Arial"/>
          <w:sz w:val="14"/>
          <w:szCs w:val="14"/>
          <w:color w:val="auto"/>
        </w:rPr>
      </w:pPr>
    </w:p>
    <w:p>
      <w:pPr>
        <w:ind w:left="260" w:right="100" w:hanging="252"/>
        <w:spacing w:after="0" w:line="283" w:lineRule="auto"/>
        <w:tabs>
          <w:tab w:leader="none" w:pos="258" w:val="left"/>
        </w:tabs>
        <w:numPr>
          <w:ilvl w:val="0"/>
          <w:numId w:val="141"/>
        </w:numPr>
        <w:rPr>
          <w:rFonts w:ascii="Arial" w:cs="Arial" w:eastAsia="Arial" w:hAnsi="Arial"/>
          <w:sz w:val="14"/>
          <w:szCs w:val="14"/>
          <w:color w:val="auto"/>
        </w:rPr>
      </w:pPr>
      <w:r>
        <w:rPr>
          <w:rFonts w:ascii="Arial" w:cs="Arial" w:eastAsia="Arial" w:hAnsi="Arial"/>
          <w:sz w:val="14"/>
          <w:szCs w:val="14"/>
          <w:color w:val="auto"/>
        </w:rPr>
        <w:t>Consists of RPSRs and RSRs granted in 2020. The 2020 RPSRs vested based on the three-year performance period which ended on December 31, 2022 and were distributed in February 2023. The 2020 RSRs vested three years from the date of grant and were distributed in February 2023, except for Mr. Keffer's 2020 new hire RSRs, which were distributed in May 2023.</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75</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2023 Pension Benefits</w:t>
      </w:r>
    </w:p>
    <w:p>
      <w:pPr>
        <w:spacing w:after="0" w:line="148"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following table provides information about the pension plans in which the NEOs participate (described in more detail on the following pages), including the present value of each NEO’s accumulated benefits as of December 31, 2023, calculated pursuant to SEC specifications for this table. Our policy generally limits an executive’s total benefit under these plans to be no more than 60% of final average pay.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20" w:type="dxa"/>
            <w:vAlign w:val="bottom"/>
          </w:tcPr>
          <w:p>
            <w:pPr>
              <w:jc w:val="right"/>
              <w:ind w:right="326"/>
              <w:spacing w:after="0"/>
              <w:rPr>
                <w:sz w:val="20"/>
                <w:szCs w:val="20"/>
                <w:color w:val="auto"/>
              </w:rPr>
            </w:pPr>
            <w:r>
              <w:rPr>
                <w:rFonts w:ascii="Arial" w:cs="Arial" w:eastAsia="Arial" w:hAnsi="Arial"/>
                <w:sz w:val="13"/>
                <w:szCs w:val="13"/>
                <w:b w:val="1"/>
                <w:bCs w:val="1"/>
                <w:color w:val="auto"/>
              </w:rPr>
              <w:t>Present Value of</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Payments</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740" w:type="dxa"/>
            <w:vAlign w:val="bottom"/>
          </w:tcPr>
          <w:p>
            <w:pPr>
              <w:jc w:val="right"/>
              <w:ind w:right="365"/>
              <w:spacing w:after="0" w:line="135" w:lineRule="exact"/>
              <w:rPr>
                <w:sz w:val="20"/>
                <w:szCs w:val="20"/>
                <w:color w:val="auto"/>
              </w:rPr>
            </w:pPr>
            <w:r>
              <w:rPr>
                <w:rFonts w:ascii="Arial" w:cs="Arial" w:eastAsia="Arial" w:hAnsi="Arial"/>
                <w:sz w:val="13"/>
                <w:szCs w:val="13"/>
                <w:b w:val="1"/>
                <w:bCs w:val="1"/>
                <w:color w:val="auto"/>
              </w:rPr>
              <w:t>Number of Years</w:t>
            </w:r>
          </w:p>
        </w:tc>
        <w:tc>
          <w:tcPr>
            <w:tcW w:w="1820" w:type="dxa"/>
            <w:vAlign w:val="bottom"/>
          </w:tcPr>
          <w:p>
            <w:pPr>
              <w:jc w:val="right"/>
              <w:ind w:right="326"/>
              <w:spacing w:after="0" w:line="135" w:lineRule="exact"/>
              <w:rPr>
                <w:sz w:val="20"/>
                <w:szCs w:val="20"/>
                <w:color w:val="auto"/>
              </w:rPr>
            </w:pPr>
            <w:r>
              <w:rPr>
                <w:rFonts w:ascii="Arial" w:cs="Arial" w:eastAsia="Arial" w:hAnsi="Arial"/>
                <w:sz w:val="13"/>
                <w:szCs w:val="13"/>
                <w:b w:val="1"/>
                <w:bCs w:val="1"/>
                <w:color w:val="auto"/>
              </w:rPr>
              <w:t>Accumulated</w:t>
            </w:r>
          </w:p>
        </w:tc>
        <w:tc>
          <w:tcPr>
            <w:tcW w:w="11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During Last</w:t>
            </w:r>
          </w:p>
        </w:tc>
        <w:tc>
          <w:tcPr>
            <w:tcW w:w="0" w:type="dxa"/>
            <w:vAlign w:val="bottom"/>
          </w:tcPr>
          <w:p>
            <w:pPr>
              <w:spacing w:after="0"/>
              <w:rPr>
                <w:sz w:val="1"/>
                <w:szCs w:val="1"/>
                <w:color w:val="auto"/>
              </w:rPr>
            </w:pPr>
          </w:p>
        </w:tc>
      </w:tr>
      <w:tr>
        <w:trPr>
          <w:trHeight w:val="148"/>
        </w:trPr>
        <w:tc>
          <w:tcPr>
            <w:tcW w:w="26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r>
              <w:rPr>
                <w:rFonts w:ascii="Arial" w:cs="Arial" w:eastAsia="Arial" w:hAnsi="Arial"/>
                <w:sz w:val="16"/>
                <w:szCs w:val="16"/>
                <w:b w:val="1"/>
                <w:bCs w:val="1"/>
                <w:color w:val="auto"/>
                <w:vertAlign w:val="superscript"/>
              </w:rPr>
              <w:t>(1)</w:t>
            </w:r>
          </w:p>
        </w:tc>
        <w:tc>
          <w:tcPr>
            <w:tcW w:w="29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Plan Name</w:t>
            </w:r>
          </w:p>
        </w:tc>
        <w:tc>
          <w:tcPr>
            <w:tcW w:w="2740" w:type="dxa"/>
            <w:vAlign w:val="bottom"/>
          </w:tcPr>
          <w:p>
            <w:pPr>
              <w:jc w:val="right"/>
              <w:ind w:right="365"/>
              <w:spacing w:after="0" w:line="148" w:lineRule="exact"/>
              <w:rPr>
                <w:sz w:val="20"/>
                <w:szCs w:val="20"/>
                <w:color w:val="auto"/>
              </w:rPr>
            </w:pPr>
            <w:r>
              <w:rPr>
                <w:rFonts w:ascii="Arial" w:cs="Arial" w:eastAsia="Arial" w:hAnsi="Arial"/>
                <w:sz w:val="13"/>
                <w:szCs w:val="13"/>
                <w:b w:val="1"/>
                <w:bCs w:val="1"/>
                <w:color w:val="auto"/>
              </w:rPr>
              <w:t>Credited Service</w:t>
            </w:r>
            <w:r>
              <w:rPr>
                <w:rFonts w:ascii="Arial" w:cs="Arial" w:eastAsia="Arial" w:hAnsi="Arial"/>
                <w:sz w:val="16"/>
                <w:szCs w:val="16"/>
                <w:b w:val="1"/>
                <w:bCs w:val="1"/>
                <w:color w:val="auto"/>
                <w:vertAlign w:val="superscript"/>
              </w:rPr>
              <w:t>(2)</w:t>
            </w:r>
          </w:p>
        </w:tc>
        <w:tc>
          <w:tcPr>
            <w:tcW w:w="1820" w:type="dxa"/>
            <w:vAlign w:val="bottom"/>
          </w:tcPr>
          <w:p>
            <w:pPr>
              <w:jc w:val="right"/>
              <w:ind w:right="326"/>
              <w:spacing w:after="0" w:line="148" w:lineRule="exact"/>
              <w:rPr>
                <w:sz w:val="20"/>
                <w:szCs w:val="20"/>
                <w:color w:val="auto"/>
              </w:rPr>
            </w:pPr>
            <w:r>
              <w:rPr>
                <w:rFonts w:ascii="Arial" w:cs="Arial" w:eastAsia="Arial" w:hAnsi="Arial"/>
                <w:sz w:val="13"/>
                <w:szCs w:val="13"/>
                <w:b w:val="1"/>
                <w:bCs w:val="1"/>
                <w:color w:val="auto"/>
              </w:rPr>
              <w:t>Benefit</w:t>
            </w:r>
            <w:r>
              <w:rPr>
                <w:rFonts w:ascii="Arial" w:cs="Arial" w:eastAsia="Arial" w:hAnsi="Arial"/>
                <w:sz w:val="16"/>
                <w:szCs w:val="16"/>
                <w:b w:val="1"/>
                <w:bCs w:val="1"/>
                <w:color w:val="auto"/>
                <w:vertAlign w:val="superscript"/>
              </w:rPr>
              <w:t>(3)</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Fiscal Year</w:t>
            </w:r>
          </w:p>
        </w:tc>
        <w:tc>
          <w:tcPr>
            <w:tcW w:w="0" w:type="dxa"/>
            <w:vAlign w:val="bottom"/>
          </w:tcPr>
          <w:p>
            <w:pPr>
              <w:spacing w:after="0"/>
              <w:rPr>
                <w:sz w:val="1"/>
                <w:szCs w:val="1"/>
                <w:color w:val="auto"/>
              </w:rPr>
            </w:pPr>
          </w:p>
        </w:tc>
      </w:tr>
      <w:tr>
        <w:trPr>
          <w:trHeight w:val="193"/>
        </w:trPr>
        <w:tc>
          <w:tcPr>
            <w:tcW w:w="2660" w:type="dxa"/>
            <w:vAlign w:val="bottom"/>
            <w:tcBorders>
              <w:bottom w:val="single" w:sz="8" w:color="29378D"/>
            </w:tcBorders>
            <w:vMerge w:val="continue"/>
          </w:tcPr>
          <w:p>
            <w:pPr>
              <w:spacing w:after="0"/>
              <w:rPr>
                <w:sz w:val="16"/>
                <w:szCs w:val="16"/>
                <w:color w:val="auto"/>
              </w:rPr>
            </w:pPr>
          </w:p>
        </w:tc>
        <w:tc>
          <w:tcPr>
            <w:tcW w:w="2900" w:type="dxa"/>
            <w:vAlign w:val="bottom"/>
            <w:tcBorders>
              <w:bottom w:val="single" w:sz="8" w:color="29378D"/>
            </w:tcBorders>
            <w:vMerge w:val="continue"/>
          </w:tcPr>
          <w:p>
            <w:pPr>
              <w:spacing w:after="0"/>
              <w:rPr>
                <w:sz w:val="16"/>
                <w:szCs w:val="16"/>
                <w:color w:val="auto"/>
              </w:rPr>
            </w:pPr>
          </w:p>
        </w:tc>
        <w:tc>
          <w:tcPr>
            <w:tcW w:w="2740" w:type="dxa"/>
            <w:vAlign w:val="bottom"/>
            <w:tcBorders>
              <w:bottom w:val="single" w:sz="8" w:color="29378D"/>
            </w:tcBorders>
          </w:tcPr>
          <w:p>
            <w:pPr>
              <w:jc w:val="right"/>
              <w:ind w:right="365"/>
              <w:spacing w:after="0"/>
              <w:rPr>
                <w:sz w:val="20"/>
                <w:szCs w:val="20"/>
                <w:color w:val="auto"/>
              </w:rPr>
            </w:pPr>
            <w:r>
              <w:rPr>
                <w:rFonts w:ascii="Arial" w:cs="Arial" w:eastAsia="Arial" w:hAnsi="Arial"/>
                <w:sz w:val="13"/>
                <w:szCs w:val="13"/>
                <w:b w:val="1"/>
                <w:bCs w:val="1"/>
                <w:color w:val="auto"/>
              </w:rPr>
              <w:t>(#)</w:t>
            </w:r>
          </w:p>
        </w:tc>
        <w:tc>
          <w:tcPr>
            <w:tcW w:w="1820" w:type="dxa"/>
            <w:vAlign w:val="bottom"/>
            <w:tcBorders>
              <w:bottom w:val="single" w:sz="8" w:color="29378D"/>
            </w:tcBorders>
          </w:tcPr>
          <w:p>
            <w:pPr>
              <w:jc w:val="right"/>
              <w:ind w:right="326"/>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29378D"/>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37"/>
        </w:trPr>
        <w:tc>
          <w:tcPr>
            <w:tcW w:w="266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6"/>
                <w:szCs w:val="16"/>
                <w:b w:val="1"/>
                <w:bCs w:val="1"/>
                <w:color w:val="29378D"/>
              </w:rPr>
              <w:t>Kathy J. Warden</w:t>
            </w:r>
          </w:p>
        </w:tc>
        <w:tc>
          <w:tcPr>
            <w:tcW w:w="290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6"/>
                <w:szCs w:val="16"/>
                <w:color w:val="auto"/>
              </w:rPr>
              <w:t>OSERP II</w:t>
            </w:r>
          </w:p>
        </w:tc>
        <w:tc>
          <w:tcPr>
            <w:tcW w:w="2740" w:type="dxa"/>
            <w:vAlign w:val="bottom"/>
            <w:tcBorders>
              <w:bottom w:val="single" w:sz="8" w:color="DFDEEE"/>
            </w:tcBorders>
            <w:shd w:val="clear" w:color="auto" w:fill="DFDEEE"/>
          </w:tcPr>
          <w:p>
            <w:pPr>
              <w:jc w:val="right"/>
              <w:ind w:right="425"/>
              <w:spacing w:after="0"/>
              <w:rPr>
                <w:sz w:val="20"/>
                <w:szCs w:val="20"/>
                <w:color w:val="auto"/>
              </w:rPr>
            </w:pPr>
            <w:r>
              <w:rPr>
                <w:rFonts w:ascii="Arial" w:cs="Arial" w:eastAsia="Arial" w:hAnsi="Arial"/>
                <w:sz w:val="16"/>
                <w:szCs w:val="16"/>
                <w:color w:val="auto"/>
              </w:rPr>
              <w:t>15.3</w:t>
            </w:r>
          </w:p>
        </w:tc>
        <w:tc>
          <w:tcPr>
            <w:tcW w:w="1820" w:type="dxa"/>
            <w:vAlign w:val="bottom"/>
            <w:tcBorders>
              <w:bottom w:val="single" w:sz="8" w:color="DFDEEE"/>
            </w:tcBorders>
            <w:shd w:val="clear" w:color="auto" w:fill="DFDEEE"/>
          </w:tcPr>
          <w:p>
            <w:pPr>
              <w:jc w:val="right"/>
              <w:ind w:right="386"/>
              <w:spacing w:after="0"/>
              <w:rPr>
                <w:sz w:val="20"/>
                <w:szCs w:val="20"/>
                <w:color w:val="auto"/>
              </w:rPr>
            </w:pPr>
            <w:r>
              <w:rPr>
                <w:rFonts w:ascii="Arial" w:cs="Arial" w:eastAsia="Arial" w:hAnsi="Arial"/>
                <w:sz w:val="16"/>
                <w:szCs w:val="16"/>
                <w:color w:val="auto"/>
              </w:rPr>
              <w:t>3,756,405</w:t>
            </w:r>
          </w:p>
        </w:tc>
        <w:tc>
          <w:tcPr>
            <w:tcW w:w="1120" w:type="dxa"/>
            <w:vAlign w:val="bottom"/>
            <w:tcBorders>
              <w:bottom w:val="single" w:sz="8" w:color="DFDEEE"/>
            </w:tcBorders>
            <w:shd w:val="clear" w:color="auto" w:fill="DFDEEE"/>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660" w:type="dxa"/>
            <w:vAlign w:val="bottom"/>
          </w:tcPr>
          <w:p>
            <w:pPr>
              <w:ind w:left="20"/>
              <w:spacing w:after="0"/>
              <w:rPr>
                <w:sz w:val="20"/>
                <w:szCs w:val="20"/>
                <w:color w:val="auto"/>
              </w:rPr>
            </w:pPr>
            <w:r>
              <w:rPr>
                <w:rFonts w:ascii="Arial" w:cs="Arial" w:eastAsia="Arial" w:hAnsi="Arial"/>
                <w:sz w:val="16"/>
                <w:szCs w:val="16"/>
                <w:b w:val="1"/>
                <w:bCs w:val="1"/>
                <w:color w:val="29378D"/>
              </w:rPr>
              <w:t>Mark A. Caylor</w:t>
            </w:r>
          </w:p>
        </w:tc>
        <w:tc>
          <w:tcPr>
            <w:tcW w:w="2900" w:type="dxa"/>
            <w:vAlign w:val="bottom"/>
            <w:tcBorders>
              <w:top w:val="single" w:sz="8" w:color="BCBEC0"/>
            </w:tcBorders>
          </w:tcPr>
          <w:p>
            <w:pPr>
              <w:ind w:left="20"/>
              <w:spacing w:after="0"/>
              <w:rPr>
                <w:sz w:val="20"/>
                <w:szCs w:val="20"/>
                <w:color w:val="auto"/>
              </w:rPr>
            </w:pPr>
            <w:r>
              <w:rPr>
                <w:rFonts w:ascii="Arial" w:cs="Arial" w:eastAsia="Arial" w:hAnsi="Arial"/>
                <w:sz w:val="16"/>
                <w:szCs w:val="16"/>
                <w:color w:val="auto"/>
              </w:rPr>
              <w:t>S&amp;MS Pension Plan</w:t>
            </w:r>
          </w:p>
        </w:tc>
        <w:tc>
          <w:tcPr>
            <w:tcW w:w="2740" w:type="dxa"/>
            <w:vAlign w:val="bottom"/>
            <w:tcBorders>
              <w:top w:val="single" w:sz="8" w:color="BCBEC0"/>
            </w:tcBorders>
          </w:tcPr>
          <w:p>
            <w:pPr>
              <w:jc w:val="right"/>
              <w:ind w:right="425"/>
              <w:spacing w:after="0"/>
              <w:rPr>
                <w:sz w:val="20"/>
                <w:szCs w:val="20"/>
                <w:color w:val="auto"/>
              </w:rPr>
            </w:pPr>
            <w:r>
              <w:rPr>
                <w:rFonts w:ascii="Arial" w:cs="Arial" w:eastAsia="Arial" w:hAnsi="Arial"/>
                <w:sz w:val="16"/>
                <w:szCs w:val="16"/>
                <w:color w:val="auto"/>
              </w:rPr>
              <w:t>21.5</w:t>
            </w:r>
          </w:p>
        </w:tc>
        <w:tc>
          <w:tcPr>
            <w:tcW w:w="1820" w:type="dxa"/>
            <w:vAlign w:val="bottom"/>
            <w:tcBorders>
              <w:top w:val="single" w:sz="8" w:color="BCBEC0"/>
            </w:tcBorders>
          </w:tcPr>
          <w:p>
            <w:pPr>
              <w:jc w:val="right"/>
              <w:ind w:right="386"/>
              <w:spacing w:after="0"/>
              <w:rPr>
                <w:sz w:val="20"/>
                <w:szCs w:val="20"/>
                <w:color w:val="auto"/>
              </w:rPr>
            </w:pPr>
            <w:r>
              <w:rPr>
                <w:rFonts w:ascii="Arial" w:cs="Arial" w:eastAsia="Arial" w:hAnsi="Arial"/>
                <w:sz w:val="16"/>
                <w:szCs w:val="16"/>
                <w:color w:val="auto"/>
              </w:rPr>
              <w:t>806,359</w:t>
            </w:r>
          </w:p>
        </w:tc>
        <w:tc>
          <w:tcPr>
            <w:tcW w:w="1120" w:type="dxa"/>
            <w:vAlign w:val="bottom"/>
            <w:tcBorders>
              <w:top w:val="single" w:sz="8" w:color="BCBEC0"/>
            </w:tcBorders>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2900" w:type="dxa"/>
            <w:vAlign w:val="bottom"/>
            <w:tcBorders>
              <w:bottom w:val="single" w:sz="8" w:color="BCBEC0"/>
            </w:tcBorders>
          </w:tcPr>
          <w:p>
            <w:pPr>
              <w:spacing w:after="0"/>
              <w:rPr>
                <w:sz w:val="2"/>
                <w:szCs w:val="2"/>
                <w:color w:val="auto"/>
              </w:rPr>
            </w:pPr>
          </w:p>
        </w:tc>
        <w:tc>
          <w:tcPr>
            <w:tcW w:w="2740" w:type="dxa"/>
            <w:vAlign w:val="bottom"/>
            <w:tcBorders>
              <w:bottom w:val="single" w:sz="8" w:color="BCBEC0"/>
            </w:tcBorders>
          </w:tcPr>
          <w:p>
            <w:pPr>
              <w:spacing w:after="0"/>
              <w:rPr>
                <w:sz w:val="2"/>
                <w:szCs w:val="2"/>
                <w:color w:val="auto"/>
              </w:rPr>
            </w:pPr>
          </w:p>
        </w:tc>
        <w:tc>
          <w:tcPr>
            <w:tcW w:w="182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660" w:type="dxa"/>
            <w:vAlign w:val="bottom"/>
          </w:tcPr>
          <w:p>
            <w:pPr>
              <w:spacing w:after="0"/>
              <w:rPr>
                <w:sz w:val="18"/>
                <w:szCs w:val="18"/>
                <w:color w:val="auto"/>
              </w:rPr>
            </w:pPr>
          </w:p>
        </w:tc>
        <w:tc>
          <w:tcPr>
            <w:tcW w:w="2900" w:type="dxa"/>
            <w:vAlign w:val="bottom"/>
          </w:tcPr>
          <w:p>
            <w:pPr>
              <w:ind w:left="20"/>
              <w:spacing w:after="0"/>
              <w:rPr>
                <w:sz w:val="20"/>
                <w:szCs w:val="20"/>
                <w:color w:val="auto"/>
              </w:rPr>
            </w:pPr>
            <w:r>
              <w:rPr>
                <w:rFonts w:ascii="Arial" w:cs="Arial" w:eastAsia="Arial" w:hAnsi="Arial"/>
                <w:sz w:val="16"/>
                <w:szCs w:val="16"/>
                <w:color w:val="auto"/>
              </w:rPr>
              <w:t>SRIP</w:t>
            </w:r>
          </w:p>
        </w:tc>
        <w:tc>
          <w:tcPr>
            <w:tcW w:w="2740" w:type="dxa"/>
            <w:vAlign w:val="bottom"/>
          </w:tcPr>
          <w:p>
            <w:pPr>
              <w:jc w:val="right"/>
              <w:ind w:right="425"/>
              <w:spacing w:after="0"/>
              <w:rPr>
                <w:sz w:val="20"/>
                <w:szCs w:val="20"/>
                <w:color w:val="auto"/>
              </w:rPr>
            </w:pPr>
            <w:r>
              <w:rPr>
                <w:rFonts w:ascii="Arial" w:cs="Arial" w:eastAsia="Arial" w:hAnsi="Arial"/>
                <w:sz w:val="16"/>
                <w:szCs w:val="16"/>
                <w:color w:val="auto"/>
              </w:rPr>
              <w:t>21.5</w:t>
            </w:r>
          </w:p>
        </w:tc>
        <w:tc>
          <w:tcPr>
            <w:tcW w:w="1820" w:type="dxa"/>
            <w:vAlign w:val="bottom"/>
          </w:tcPr>
          <w:p>
            <w:pPr>
              <w:jc w:val="right"/>
              <w:ind w:right="386"/>
              <w:spacing w:after="0"/>
              <w:rPr>
                <w:sz w:val="20"/>
                <w:szCs w:val="20"/>
                <w:color w:val="auto"/>
              </w:rPr>
            </w:pPr>
            <w:r>
              <w:rPr>
                <w:rFonts w:ascii="Arial" w:cs="Arial" w:eastAsia="Arial" w:hAnsi="Arial"/>
                <w:sz w:val="16"/>
                <w:szCs w:val="16"/>
                <w:color w:val="auto"/>
              </w:rPr>
              <w:t>2,307,563</w:t>
            </w:r>
          </w:p>
        </w:tc>
        <w:tc>
          <w:tcPr>
            <w:tcW w:w="1120" w:type="dxa"/>
            <w:vAlign w:val="bottom"/>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2900" w:type="dxa"/>
            <w:vAlign w:val="bottom"/>
            <w:tcBorders>
              <w:bottom w:val="single" w:sz="8" w:color="BCBEC0"/>
            </w:tcBorders>
          </w:tcPr>
          <w:p>
            <w:pPr>
              <w:spacing w:after="0"/>
              <w:rPr>
                <w:sz w:val="2"/>
                <w:szCs w:val="2"/>
                <w:color w:val="auto"/>
              </w:rPr>
            </w:pPr>
          </w:p>
        </w:tc>
        <w:tc>
          <w:tcPr>
            <w:tcW w:w="2740" w:type="dxa"/>
            <w:vAlign w:val="bottom"/>
            <w:tcBorders>
              <w:bottom w:val="single" w:sz="8" w:color="BCBEC0"/>
            </w:tcBorders>
          </w:tcPr>
          <w:p>
            <w:pPr>
              <w:spacing w:after="0"/>
              <w:rPr>
                <w:sz w:val="2"/>
                <w:szCs w:val="2"/>
                <w:color w:val="auto"/>
              </w:rPr>
            </w:pPr>
          </w:p>
        </w:tc>
        <w:tc>
          <w:tcPr>
            <w:tcW w:w="182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660" w:type="dxa"/>
            <w:vAlign w:val="bottom"/>
          </w:tcPr>
          <w:p>
            <w:pPr>
              <w:spacing w:after="0"/>
              <w:rPr>
                <w:sz w:val="18"/>
                <w:szCs w:val="18"/>
                <w:color w:val="auto"/>
              </w:rPr>
            </w:pPr>
          </w:p>
        </w:tc>
        <w:tc>
          <w:tcPr>
            <w:tcW w:w="2900" w:type="dxa"/>
            <w:vAlign w:val="bottom"/>
          </w:tcPr>
          <w:p>
            <w:pPr>
              <w:ind w:left="20"/>
              <w:spacing w:after="0"/>
              <w:rPr>
                <w:sz w:val="20"/>
                <w:szCs w:val="20"/>
                <w:color w:val="auto"/>
              </w:rPr>
            </w:pPr>
            <w:r>
              <w:rPr>
                <w:rFonts w:ascii="Arial" w:cs="Arial" w:eastAsia="Arial" w:hAnsi="Arial"/>
                <w:sz w:val="16"/>
                <w:szCs w:val="16"/>
                <w:color w:val="auto"/>
              </w:rPr>
              <w:t>OSERP</w:t>
            </w:r>
          </w:p>
        </w:tc>
        <w:tc>
          <w:tcPr>
            <w:tcW w:w="2740" w:type="dxa"/>
            <w:vAlign w:val="bottom"/>
          </w:tcPr>
          <w:p>
            <w:pPr>
              <w:jc w:val="right"/>
              <w:ind w:right="425"/>
              <w:spacing w:after="0"/>
              <w:rPr>
                <w:sz w:val="20"/>
                <w:szCs w:val="20"/>
                <w:color w:val="auto"/>
              </w:rPr>
            </w:pPr>
            <w:r>
              <w:rPr>
                <w:rFonts w:ascii="Arial" w:cs="Arial" w:eastAsia="Arial" w:hAnsi="Arial"/>
                <w:sz w:val="16"/>
                <w:szCs w:val="16"/>
                <w:color w:val="auto"/>
              </w:rPr>
              <w:t>12.5</w:t>
            </w:r>
          </w:p>
        </w:tc>
        <w:tc>
          <w:tcPr>
            <w:tcW w:w="1820" w:type="dxa"/>
            <w:vAlign w:val="bottom"/>
          </w:tcPr>
          <w:p>
            <w:pPr>
              <w:jc w:val="right"/>
              <w:ind w:right="386"/>
              <w:spacing w:after="0"/>
              <w:rPr>
                <w:sz w:val="20"/>
                <w:szCs w:val="20"/>
                <w:color w:val="auto"/>
              </w:rPr>
            </w:pPr>
            <w:r>
              <w:rPr>
                <w:rFonts w:ascii="Arial" w:cs="Arial" w:eastAsia="Arial" w:hAnsi="Arial"/>
                <w:sz w:val="16"/>
                <w:szCs w:val="16"/>
                <w:color w:val="auto"/>
              </w:rPr>
              <w:t>1,039,994</w:t>
            </w:r>
          </w:p>
        </w:tc>
        <w:tc>
          <w:tcPr>
            <w:tcW w:w="1120" w:type="dxa"/>
            <w:vAlign w:val="bottom"/>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2660" w:type="dxa"/>
            <w:vAlign w:val="bottom"/>
            <w:tcBorders>
              <w:bottom w:val="single" w:sz="8" w:color="DFDEEE"/>
            </w:tcBorders>
          </w:tcPr>
          <w:p>
            <w:pPr>
              <w:spacing w:after="0"/>
              <w:rPr>
                <w:sz w:val="2"/>
                <w:szCs w:val="2"/>
                <w:color w:val="auto"/>
              </w:rPr>
            </w:pPr>
          </w:p>
        </w:tc>
        <w:tc>
          <w:tcPr>
            <w:tcW w:w="2900" w:type="dxa"/>
            <w:vAlign w:val="bottom"/>
            <w:tcBorders>
              <w:bottom w:val="single" w:sz="8" w:color="BCBEC0"/>
            </w:tcBorders>
          </w:tcPr>
          <w:p>
            <w:pPr>
              <w:spacing w:after="0"/>
              <w:rPr>
                <w:sz w:val="2"/>
                <w:szCs w:val="2"/>
                <w:color w:val="auto"/>
              </w:rPr>
            </w:pPr>
          </w:p>
        </w:tc>
        <w:tc>
          <w:tcPr>
            <w:tcW w:w="2740" w:type="dxa"/>
            <w:vAlign w:val="bottom"/>
            <w:tcBorders>
              <w:bottom w:val="single" w:sz="8" w:color="BCBEC0"/>
            </w:tcBorders>
          </w:tcPr>
          <w:p>
            <w:pPr>
              <w:spacing w:after="0"/>
              <w:rPr>
                <w:sz w:val="2"/>
                <w:szCs w:val="2"/>
                <w:color w:val="auto"/>
              </w:rPr>
            </w:pPr>
          </w:p>
        </w:tc>
        <w:tc>
          <w:tcPr>
            <w:tcW w:w="182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66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6"/>
                <w:szCs w:val="16"/>
                <w:b w:val="1"/>
                <w:bCs w:val="1"/>
                <w:color w:val="29378D"/>
              </w:rPr>
              <w:t>Roshan S. Roeder</w:t>
            </w:r>
          </w:p>
        </w:tc>
        <w:tc>
          <w:tcPr>
            <w:tcW w:w="290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6"/>
                <w:szCs w:val="16"/>
                <w:color w:val="auto"/>
              </w:rPr>
              <w:t>Pension Plan</w:t>
            </w:r>
          </w:p>
        </w:tc>
        <w:tc>
          <w:tcPr>
            <w:tcW w:w="2740" w:type="dxa"/>
            <w:vAlign w:val="bottom"/>
            <w:tcBorders>
              <w:bottom w:val="single" w:sz="8" w:color="DFDEEE"/>
            </w:tcBorders>
            <w:shd w:val="clear" w:color="auto" w:fill="DFDEEE"/>
          </w:tcPr>
          <w:p>
            <w:pPr>
              <w:jc w:val="right"/>
              <w:ind w:right="425"/>
              <w:spacing w:after="0"/>
              <w:rPr>
                <w:sz w:val="20"/>
                <w:szCs w:val="20"/>
                <w:color w:val="auto"/>
              </w:rPr>
            </w:pPr>
            <w:r>
              <w:rPr>
                <w:rFonts w:ascii="Arial" w:cs="Arial" w:eastAsia="Arial" w:hAnsi="Arial"/>
                <w:sz w:val="16"/>
                <w:szCs w:val="16"/>
                <w:color w:val="auto"/>
              </w:rPr>
              <w:t>22.0</w:t>
            </w:r>
          </w:p>
        </w:tc>
        <w:tc>
          <w:tcPr>
            <w:tcW w:w="1820" w:type="dxa"/>
            <w:vAlign w:val="bottom"/>
            <w:tcBorders>
              <w:bottom w:val="single" w:sz="8" w:color="DFDEEE"/>
            </w:tcBorders>
            <w:shd w:val="clear" w:color="auto" w:fill="DFDEEE"/>
          </w:tcPr>
          <w:p>
            <w:pPr>
              <w:jc w:val="right"/>
              <w:ind w:right="386"/>
              <w:spacing w:after="0"/>
              <w:rPr>
                <w:sz w:val="20"/>
                <w:szCs w:val="20"/>
                <w:color w:val="auto"/>
              </w:rPr>
            </w:pPr>
            <w:r>
              <w:rPr>
                <w:rFonts w:ascii="Arial" w:cs="Arial" w:eastAsia="Arial" w:hAnsi="Arial"/>
                <w:sz w:val="16"/>
                <w:szCs w:val="16"/>
                <w:color w:val="auto"/>
              </w:rPr>
              <w:t>360,128</w:t>
            </w:r>
          </w:p>
        </w:tc>
        <w:tc>
          <w:tcPr>
            <w:tcW w:w="1120" w:type="dxa"/>
            <w:vAlign w:val="bottom"/>
            <w:tcBorders>
              <w:bottom w:val="single" w:sz="8" w:color="DFDEEE"/>
            </w:tcBorders>
            <w:shd w:val="clear" w:color="auto" w:fill="DFDEEE"/>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660" w:type="dxa"/>
            <w:vAlign w:val="bottom"/>
            <w:tcBorders>
              <w:top w:val="single" w:sz="8" w:color="DFDEEE"/>
              <w:bottom w:val="single" w:sz="8" w:color="DFDEEE"/>
            </w:tcBorders>
            <w:shd w:val="clear" w:color="auto" w:fill="DFDEEE"/>
          </w:tcPr>
          <w:p>
            <w:pPr>
              <w:spacing w:after="0"/>
              <w:rPr>
                <w:sz w:val="18"/>
                <w:szCs w:val="18"/>
                <w:color w:val="auto"/>
              </w:rPr>
            </w:pPr>
          </w:p>
        </w:tc>
        <w:tc>
          <w:tcPr>
            <w:tcW w:w="2900" w:type="dxa"/>
            <w:vAlign w:val="bottom"/>
            <w:tcBorders>
              <w:top w:val="single" w:sz="8" w:color="BCBEC0"/>
              <w:bottom w:val="single" w:sz="8" w:color="DFDEEE"/>
            </w:tcBorders>
            <w:shd w:val="clear" w:color="auto" w:fill="DFDEEE"/>
          </w:tcPr>
          <w:p>
            <w:pPr>
              <w:ind w:left="20"/>
              <w:spacing w:after="0"/>
              <w:rPr>
                <w:sz w:val="20"/>
                <w:szCs w:val="20"/>
                <w:color w:val="auto"/>
              </w:rPr>
            </w:pPr>
            <w:r>
              <w:rPr>
                <w:rFonts w:ascii="Arial" w:cs="Arial" w:eastAsia="Arial" w:hAnsi="Arial"/>
                <w:sz w:val="16"/>
                <w:szCs w:val="16"/>
                <w:color w:val="auto"/>
              </w:rPr>
              <w:t>ERISA 2</w:t>
            </w:r>
          </w:p>
        </w:tc>
        <w:tc>
          <w:tcPr>
            <w:tcW w:w="2740" w:type="dxa"/>
            <w:vAlign w:val="bottom"/>
            <w:tcBorders>
              <w:top w:val="single" w:sz="8" w:color="BCBEC0"/>
              <w:bottom w:val="single" w:sz="8" w:color="DFDEEE"/>
            </w:tcBorders>
            <w:shd w:val="clear" w:color="auto" w:fill="DFDEEE"/>
          </w:tcPr>
          <w:p>
            <w:pPr>
              <w:jc w:val="right"/>
              <w:ind w:right="425"/>
              <w:spacing w:after="0"/>
              <w:rPr>
                <w:sz w:val="20"/>
                <w:szCs w:val="20"/>
                <w:color w:val="auto"/>
              </w:rPr>
            </w:pPr>
            <w:r>
              <w:rPr>
                <w:rFonts w:ascii="Arial" w:cs="Arial" w:eastAsia="Arial" w:hAnsi="Arial"/>
                <w:sz w:val="16"/>
                <w:szCs w:val="16"/>
                <w:color w:val="auto"/>
              </w:rPr>
              <w:t>22.0</w:t>
            </w:r>
          </w:p>
        </w:tc>
        <w:tc>
          <w:tcPr>
            <w:tcW w:w="1820" w:type="dxa"/>
            <w:vAlign w:val="bottom"/>
            <w:tcBorders>
              <w:top w:val="single" w:sz="8" w:color="BCBEC0"/>
              <w:bottom w:val="single" w:sz="8" w:color="DFDEEE"/>
            </w:tcBorders>
            <w:shd w:val="clear" w:color="auto" w:fill="DFDEEE"/>
          </w:tcPr>
          <w:p>
            <w:pPr>
              <w:jc w:val="right"/>
              <w:ind w:right="386"/>
              <w:spacing w:after="0"/>
              <w:rPr>
                <w:sz w:val="20"/>
                <w:szCs w:val="20"/>
                <w:color w:val="auto"/>
              </w:rPr>
            </w:pPr>
            <w:r>
              <w:rPr>
                <w:rFonts w:ascii="Arial" w:cs="Arial" w:eastAsia="Arial" w:hAnsi="Arial"/>
                <w:sz w:val="16"/>
                <w:szCs w:val="16"/>
                <w:color w:val="auto"/>
              </w:rPr>
              <w:t>165,792</w:t>
            </w:r>
          </w:p>
        </w:tc>
        <w:tc>
          <w:tcPr>
            <w:tcW w:w="1120" w:type="dxa"/>
            <w:vAlign w:val="bottom"/>
            <w:tcBorders>
              <w:top w:val="single" w:sz="8" w:color="BCBEC0"/>
              <w:bottom w:val="single" w:sz="8" w:color="DFDEEE"/>
            </w:tcBorders>
            <w:shd w:val="clear" w:color="auto" w:fill="DFDEEE"/>
          </w:tcPr>
          <w:p>
            <w:pPr>
              <w:ind w:left="8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660" w:type="dxa"/>
            <w:vAlign w:val="bottom"/>
            <w:shd w:val="clear" w:color="auto" w:fill="BCBEC0"/>
          </w:tcPr>
          <w:p>
            <w:pPr>
              <w:spacing w:after="0" w:line="20" w:lineRule="exact"/>
              <w:rPr>
                <w:sz w:val="1"/>
                <w:szCs w:val="1"/>
                <w:color w:val="auto"/>
              </w:rPr>
            </w:pPr>
          </w:p>
        </w:tc>
        <w:tc>
          <w:tcPr>
            <w:tcW w:w="2900" w:type="dxa"/>
            <w:vAlign w:val="bottom"/>
            <w:shd w:val="clear" w:color="auto" w:fill="BCBEC0"/>
          </w:tcPr>
          <w:p>
            <w:pPr>
              <w:spacing w:after="0" w:line="20" w:lineRule="exact"/>
              <w:rPr>
                <w:sz w:val="1"/>
                <w:szCs w:val="1"/>
                <w:color w:val="auto"/>
              </w:rPr>
            </w:pPr>
          </w:p>
        </w:tc>
        <w:tc>
          <w:tcPr>
            <w:tcW w:w="2740" w:type="dxa"/>
            <w:vAlign w:val="bottom"/>
            <w:shd w:val="clear" w:color="auto" w:fill="BCBEC0"/>
          </w:tcPr>
          <w:p>
            <w:pPr>
              <w:spacing w:after="0" w:line="20" w:lineRule="exact"/>
              <w:rPr>
                <w:sz w:val="1"/>
                <w:szCs w:val="1"/>
                <w:color w:val="auto"/>
              </w:rPr>
            </w:pPr>
          </w:p>
        </w:tc>
        <w:tc>
          <w:tcPr>
            <w:tcW w:w="1820" w:type="dxa"/>
            <w:vAlign w:val="bottom"/>
            <w:shd w:val="clear" w:color="auto" w:fill="BCBEC0"/>
          </w:tcPr>
          <w:p>
            <w:pPr>
              <w:spacing w:after="0" w:line="20" w:lineRule="exact"/>
              <w:rPr>
                <w:sz w:val="1"/>
                <w:szCs w:val="1"/>
                <w:color w:val="auto"/>
              </w:rPr>
            </w:pPr>
          </w:p>
        </w:tc>
        <w:tc>
          <w:tcPr>
            <w:tcW w:w="1120" w:type="dxa"/>
            <w:vAlign w:val="bottom"/>
            <w:shd w:val="clear" w:color="auto" w:fill="BCBE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260" w:right="220" w:hanging="252"/>
        <w:spacing w:after="0" w:line="305" w:lineRule="auto"/>
        <w:tabs>
          <w:tab w:leader="none" w:pos="258" w:val="left"/>
        </w:tabs>
        <w:numPr>
          <w:ilvl w:val="0"/>
          <w:numId w:val="142"/>
        </w:numPr>
        <w:rPr>
          <w:rFonts w:ascii="Arial" w:cs="Arial" w:eastAsia="Arial" w:hAnsi="Arial"/>
          <w:sz w:val="14"/>
          <w:szCs w:val="14"/>
          <w:color w:val="auto"/>
        </w:rPr>
      </w:pPr>
      <w:r>
        <w:rPr>
          <w:rFonts w:ascii="Arial" w:cs="Arial" w:eastAsia="Arial" w:hAnsi="Arial"/>
          <w:sz w:val="14"/>
          <w:szCs w:val="14"/>
          <w:color w:val="auto"/>
        </w:rPr>
        <w:t>Mr. Keffer and Mr. Jones were hired after the Company’s defined benefit pension plans were closed to new entrants and as a result, they do not participate in any defined benefit pension plans.</w:t>
      </w:r>
    </w:p>
    <w:p>
      <w:pPr>
        <w:spacing w:after="0" w:line="9" w:lineRule="exact"/>
        <w:rPr>
          <w:rFonts w:ascii="Arial" w:cs="Arial" w:eastAsia="Arial" w:hAnsi="Arial"/>
          <w:sz w:val="14"/>
          <w:szCs w:val="14"/>
          <w:color w:val="auto"/>
        </w:rPr>
      </w:pPr>
    </w:p>
    <w:p>
      <w:pPr>
        <w:ind w:left="260" w:right="300" w:hanging="252"/>
        <w:spacing w:after="0" w:line="305" w:lineRule="auto"/>
        <w:tabs>
          <w:tab w:leader="none" w:pos="258" w:val="left"/>
        </w:tabs>
        <w:numPr>
          <w:ilvl w:val="0"/>
          <w:numId w:val="142"/>
        </w:numPr>
        <w:rPr>
          <w:rFonts w:ascii="Arial" w:cs="Arial" w:eastAsia="Arial" w:hAnsi="Arial"/>
          <w:sz w:val="14"/>
          <w:szCs w:val="14"/>
          <w:color w:val="auto"/>
        </w:rPr>
      </w:pPr>
      <w:r>
        <w:rPr>
          <w:rFonts w:ascii="Arial" w:cs="Arial" w:eastAsia="Arial" w:hAnsi="Arial"/>
          <w:sz w:val="14"/>
          <w:szCs w:val="14"/>
          <w:color w:val="auto"/>
        </w:rPr>
        <w:t>Credited service under OSERP for Mr. Caylor is less than actual service because credited service under this plan stopped as of December 31, 2014. Each NEO’s actual service is as follows: Ms. Warden: 15.3 years, Mr. Caylor: 21.5 and Ms. Roeder: 21.8 years.</w:t>
      </w:r>
    </w:p>
    <w:p>
      <w:pPr>
        <w:spacing w:after="0" w:line="9" w:lineRule="exact"/>
        <w:rPr>
          <w:rFonts w:ascii="Arial" w:cs="Arial" w:eastAsia="Arial" w:hAnsi="Arial"/>
          <w:sz w:val="14"/>
          <w:szCs w:val="14"/>
          <w:color w:val="auto"/>
        </w:rPr>
      </w:pPr>
    </w:p>
    <w:p>
      <w:pPr>
        <w:ind w:left="260" w:hanging="252"/>
        <w:spacing w:after="0"/>
        <w:tabs>
          <w:tab w:leader="none" w:pos="26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Amounts are calculated using the following assumptions:</w:t>
      </w:r>
    </w:p>
    <w:p>
      <w:pPr>
        <w:spacing w:after="0" w:line="82" w:lineRule="exact"/>
        <w:rPr>
          <w:rFonts w:ascii="Arial" w:cs="Arial" w:eastAsia="Arial" w:hAnsi="Arial"/>
          <w:sz w:val="14"/>
          <w:szCs w:val="14"/>
          <w:color w:val="auto"/>
        </w:rPr>
      </w:pPr>
    </w:p>
    <w:p>
      <w:pPr>
        <w:ind w:left="420" w:hanging="153"/>
        <w:spacing w:after="0"/>
        <w:tabs>
          <w:tab w:leader="none" w:pos="420" w:val="left"/>
        </w:tabs>
        <w:numPr>
          <w:ilvl w:val="1"/>
          <w:numId w:val="142"/>
        </w:numPr>
        <w:rPr>
          <w:rFonts w:ascii="Arial" w:cs="Arial" w:eastAsia="Arial" w:hAnsi="Arial"/>
          <w:sz w:val="14"/>
          <w:szCs w:val="14"/>
          <w:b w:val="1"/>
          <w:bCs w:val="1"/>
          <w:color w:val="29378D"/>
        </w:rPr>
      </w:pPr>
      <w:r>
        <w:rPr>
          <w:rFonts w:ascii="Arial" w:cs="Arial" w:eastAsia="Arial" w:hAnsi="Arial"/>
          <w:sz w:val="14"/>
          <w:szCs w:val="14"/>
          <w:color w:val="auto"/>
        </w:rPr>
        <w:t>the NEO retires on the earliest date he/she could receive an unreduced benefit under each plan;</w:t>
      </w:r>
    </w:p>
    <w:p>
      <w:pPr>
        <w:spacing w:after="0" w:line="82" w:lineRule="exact"/>
        <w:rPr>
          <w:rFonts w:ascii="Arial" w:cs="Arial" w:eastAsia="Arial" w:hAnsi="Arial"/>
          <w:sz w:val="14"/>
          <w:szCs w:val="14"/>
          <w:b w:val="1"/>
          <w:bCs w:val="1"/>
          <w:color w:val="29378D"/>
        </w:rPr>
      </w:pPr>
    </w:p>
    <w:p>
      <w:pPr>
        <w:ind w:left="420" w:hanging="153"/>
        <w:spacing w:after="0"/>
        <w:tabs>
          <w:tab w:leader="none" w:pos="420" w:val="left"/>
        </w:tabs>
        <w:numPr>
          <w:ilvl w:val="1"/>
          <w:numId w:val="142"/>
        </w:numPr>
        <w:rPr>
          <w:rFonts w:ascii="Arial" w:cs="Arial" w:eastAsia="Arial" w:hAnsi="Arial"/>
          <w:sz w:val="14"/>
          <w:szCs w:val="14"/>
          <w:b w:val="1"/>
          <w:bCs w:val="1"/>
          <w:color w:val="29378D"/>
        </w:rPr>
      </w:pPr>
      <w:r>
        <w:rPr>
          <w:rFonts w:ascii="Arial" w:cs="Arial" w:eastAsia="Arial" w:hAnsi="Arial"/>
          <w:sz w:val="14"/>
          <w:szCs w:val="14"/>
          <w:color w:val="auto"/>
        </w:rPr>
        <w:t>the form of payment is a single life annuity; and</w:t>
      </w:r>
    </w:p>
    <w:p>
      <w:pPr>
        <w:spacing w:after="0" w:line="82" w:lineRule="exact"/>
        <w:rPr>
          <w:rFonts w:ascii="Arial" w:cs="Arial" w:eastAsia="Arial" w:hAnsi="Arial"/>
          <w:sz w:val="14"/>
          <w:szCs w:val="14"/>
          <w:b w:val="1"/>
          <w:bCs w:val="1"/>
          <w:color w:val="29378D"/>
        </w:rPr>
      </w:pPr>
    </w:p>
    <w:p>
      <w:pPr>
        <w:ind w:left="460" w:right="60" w:hanging="193"/>
        <w:spacing w:after="0" w:line="305" w:lineRule="auto"/>
        <w:tabs>
          <w:tab w:leader="none" w:pos="410" w:val="left"/>
        </w:tabs>
        <w:numPr>
          <w:ilvl w:val="1"/>
          <w:numId w:val="142"/>
        </w:numPr>
        <w:rPr>
          <w:rFonts w:ascii="Arial" w:cs="Arial" w:eastAsia="Arial" w:hAnsi="Arial"/>
          <w:sz w:val="14"/>
          <w:szCs w:val="14"/>
          <w:b w:val="1"/>
          <w:bCs w:val="1"/>
          <w:color w:val="29378D"/>
        </w:rPr>
      </w:pPr>
      <w:r>
        <w:rPr>
          <w:rFonts w:ascii="Arial" w:cs="Arial" w:eastAsia="Arial" w:hAnsi="Arial"/>
          <w:sz w:val="14"/>
          <w:szCs w:val="14"/>
          <w:color w:val="auto"/>
        </w:rPr>
        <w:t>the discount rate is 5.14% for the Pension Plan, 5.15% for the S&amp;MS Pension Plan and 5.15% for all other plans. The mortality table is the Pri-2012 White Collar mortality table projected generationally with an adjusted version of Scale MP-2021 for all plans.</w:t>
      </w:r>
    </w:p>
    <w:p>
      <w:pPr>
        <w:spacing w:after="0" w:line="205"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Pension Plans and Descriptions</w:t>
      </w:r>
    </w:p>
    <w:p>
      <w:pPr>
        <w:spacing w:after="0" w:line="123"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Most of the pension plans were closed to new hires in 2008. Prior to that time, the Company consolidated the pension plan provisions from diverse Heritage Formulas to a Cash Balance Formula. Over time, the Company also transitioned officers, including NEOs, from SERPs to a deferred compensation plan, called the Officers Retirement Account Contribution Plan (ORAC). In addition, all final average pay formulas were frozen as of December 31, 2014.</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pension plans in which NEOs participate are listed below in alphabetical order.</w:t>
      </w:r>
    </w:p>
    <w:p>
      <w:pPr>
        <w:spacing w:after="0" w:line="113" w:lineRule="exact"/>
        <w:rPr>
          <w:sz w:val="20"/>
          <w:szCs w:val="20"/>
          <w:color w:val="auto"/>
        </w:rPr>
      </w:pPr>
    </w:p>
    <w:p>
      <w:pPr>
        <w:ind w:left="200" w:right="180" w:hanging="192"/>
        <w:spacing w:after="0" w:line="299" w:lineRule="auto"/>
        <w:tabs>
          <w:tab w:leader="none" w:pos="143" w:val="left"/>
        </w:tabs>
        <w:numPr>
          <w:ilvl w:val="0"/>
          <w:numId w:val="143"/>
        </w:numPr>
        <w:rPr>
          <w:rFonts w:ascii="Arial" w:cs="Arial" w:eastAsia="Arial" w:hAnsi="Arial"/>
          <w:sz w:val="16"/>
          <w:szCs w:val="16"/>
          <w:b w:val="1"/>
          <w:bCs w:val="1"/>
          <w:color w:val="29378D"/>
        </w:rPr>
      </w:pPr>
      <w:r>
        <w:rPr>
          <w:rFonts w:ascii="Arial" w:cs="Arial" w:eastAsia="Arial" w:hAnsi="Arial"/>
          <w:sz w:val="16"/>
          <w:szCs w:val="16"/>
          <w:color w:val="auto"/>
        </w:rPr>
        <w:t>ERISA 2 is the ERISA Supplemental Program 2. This plan makes participants whole for benefits they lose under the Pension Plan due to certain Internal Revenue Code limits.</w:t>
      </w:r>
    </w:p>
    <w:p>
      <w:pPr>
        <w:ind w:left="160" w:hanging="152"/>
        <w:spacing w:after="0"/>
        <w:tabs>
          <w:tab w:leader="none" w:pos="160" w:val="left"/>
        </w:tabs>
        <w:numPr>
          <w:ilvl w:val="0"/>
          <w:numId w:val="143"/>
        </w:numPr>
        <w:rPr>
          <w:rFonts w:ascii="Arial" w:cs="Arial" w:eastAsia="Arial" w:hAnsi="Arial"/>
          <w:sz w:val="16"/>
          <w:szCs w:val="16"/>
          <w:color w:val="29378D"/>
        </w:rPr>
      </w:pPr>
      <w:r>
        <w:rPr>
          <w:rFonts w:ascii="Arial" w:cs="Arial" w:eastAsia="Arial" w:hAnsi="Arial"/>
          <w:sz w:val="16"/>
          <w:szCs w:val="16"/>
          <w:color w:val="auto"/>
        </w:rPr>
        <w:t>OSERP is the Officers Supplemental Executive Retirement Program. This plan provides a supplemental pension benefit for certain Company officers.</w:t>
      </w:r>
    </w:p>
    <w:p>
      <w:pPr>
        <w:spacing w:after="0" w:line="86" w:lineRule="exact"/>
        <w:rPr>
          <w:rFonts w:ascii="Arial" w:cs="Arial" w:eastAsia="Arial" w:hAnsi="Arial"/>
          <w:sz w:val="16"/>
          <w:szCs w:val="16"/>
          <w:color w:val="29378D"/>
        </w:rPr>
      </w:pPr>
    </w:p>
    <w:p>
      <w:pPr>
        <w:ind w:left="140" w:hanging="132"/>
        <w:spacing w:after="0"/>
        <w:tabs>
          <w:tab w:leader="none" w:pos="140" w:val="left"/>
        </w:tabs>
        <w:numPr>
          <w:ilvl w:val="0"/>
          <w:numId w:val="143"/>
        </w:numPr>
        <w:rPr>
          <w:rFonts w:ascii="Arial" w:cs="Arial" w:eastAsia="Arial" w:hAnsi="Arial"/>
          <w:sz w:val="16"/>
          <w:szCs w:val="16"/>
          <w:b w:val="1"/>
          <w:bCs w:val="1"/>
          <w:color w:val="29378D"/>
        </w:rPr>
      </w:pPr>
      <w:r>
        <w:rPr>
          <w:rFonts w:ascii="Arial" w:cs="Arial" w:eastAsia="Arial" w:hAnsi="Arial"/>
          <w:sz w:val="16"/>
          <w:szCs w:val="16"/>
          <w:color w:val="auto"/>
        </w:rPr>
        <w:t>OSERP II is the Officers Supplemental Executive Retirement Program II. This plan provides a pension benefit for certain Company officers.</w:t>
      </w:r>
    </w:p>
    <w:p>
      <w:pPr>
        <w:spacing w:after="0" w:line="86" w:lineRule="exact"/>
        <w:rPr>
          <w:rFonts w:ascii="Arial" w:cs="Arial" w:eastAsia="Arial" w:hAnsi="Arial"/>
          <w:sz w:val="16"/>
          <w:szCs w:val="16"/>
          <w:b w:val="1"/>
          <w:bCs w:val="1"/>
          <w:color w:val="29378D"/>
        </w:rPr>
      </w:pPr>
    </w:p>
    <w:p>
      <w:pPr>
        <w:ind w:left="160" w:hanging="152"/>
        <w:spacing w:after="0"/>
        <w:tabs>
          <w:tab w:leader="none" w:pos="160" w:val="left"/>
        </w:tabs>
        <w:numPr>
          <w:ilvl w:val="0"/>
          <w:numId w:val="143"/>
        </w:numPr>
        <w:rPr>
          <w:rFonts w:ascii="Arial" w:cs="Arial" w:eastAsia="Arial" w:hAnsi="Arial"/>
          <w:sz w:val="16"/>
          <w:szCs w:val="16"/>
          <w:color w:val="29378D"/>
        </w:rPr>
      </w:pPr>
      <w:r>
        <w:rPr>
          <w:rFonts w:ascii="Arial" w:cs="Arial" w:eastAsia="Arial" w:hAnsi="Arial"/>
          <w:sz w:val="16"/>
          <w:szCs w:val="16"/>
          <w:color w:val="auto"/>
        </w:rPr>
        <w:t>Pension Plan is the Northrop Grumman Pension Plan. This is a tax qualified pension plan covering a broad base of Company employees.</w:t>
      </w:r>
    </w:p>
    <w:p>
      <w:pPr>
        <w:spacing w:after="0" w:line="86" w:lineRule="exact"/>
        <w:rPr>
          <w:rFonts w:ascii="Arial" w:cs="Arial" w:eastAsia="Arial" w:hAnsi="Arial"/>
          <w:sz w:val="16"/>
          <w:szCs w:val="16"/>
          <w:color w:val="29378D"/>
        </w:rPr>
      </w:pPr>
    </w:p>
    <w:p>
      <w:pPr>
        <w:ind w:left="200" w:right="380" w:hanging="192"/>
        <w:spacing w:after="0" w:line="286" w:lineRule="auto"/>
        <w:tabs>
          <w:tab w:leader="none" w:pos="143" w:val="left"/>
        </w:tabs>
        <w:numPr>
          <w:ilvl w:val="0"/>
          <w:numId w:val="143"/>
        </w:numPr>
        <w:rPr>
          <w:rFonts w:ascii="Arial" w:cs="Arial" w:eastAsia="Arial" w:hAnsi="Arial"/>
          <w:sz w:val="16"/>
          <w:szCs w:val="16"/>
          <w:b w:val="1"/>
          <w:bCs w:val="1"/>
          <w:color w:val="29378D"/>
        </w:rPr>
      </w:pPr>
      <w:r>
        <w:rPr>
          <w:rFonts w:ascii="Arial" w:cs="Arial" w:eastAsia="Arial" w:hAnsi="Arial"/>
          <w:sz w:val="16"/>
          <w:szCs w:val="16"/>
          <w:color w:val="auto"/>
        </w:rPr>
        <w:t>S&amp;MS Pension Plan is the Northrop Grumman Space &amp; Mission Systems Salaried Pension Plan. This is a tax qualified pension plan covering a broad base of Company employees.</w:t>
      </w:r>
    </w:p>
    <w:p>
      <w:pPr>
        <w:spacing w:after="0" w:line="20" w:lineRule="exact"/>
        <w:rPr>
          <w:rFonts w:ascii="Arial" w:cs="Arial" w:eastAsia="Arial" w:hAnsi="Arial"/>
          <w:sz w:val="16"/>
          <w:szCs w:val="16"/>
          <w:b w:val="1"/>
          <w:bCs w:val="1"/>
          <w:color w:val="29378D"/>
        </w:rPr>
      </w:pPr>
    </w:p>
    <w:p>
      <w:pPr>
        <w:ind w:left="200" w:right="540" w:hanging="192"/>
        <w:spacing w:after="0" w:line="286" w:lineRule="auto"/>
        <w:tabs>
          <w:tab w:leader="none" w:pos="143" w:val="left"/>
        </w:tabs>
        <w:numPr>
          <w:ilvl w:val="0"/>
          <w:numId w:val="143"/>
        </w:numPr>
        <w:rPr>
          <w:rFonts w:ascii="Arial" w:cs="Arial" w:eastAsia="Arial" w:hAnsi="Arial"/>
          <w:sz w:val="16"/>
          <w:szCs w:val="16"/>
          <w:b w:val="1"/>
          <w:bCs w:val="1"/>
          <w:color w:val="29378D"/>
        </w:rPr>
      </w:pPr>
      <w:r>
        <w:rPr>
          <w:rFonts w:ascii="Arial" w:cs="Arial" w:eastAsia="Arial" w:hAnsi="Arial"/>
          <w:sz w:val="16"/>
          <w:szCs w:val="16"/>
          <w:color w:val="auto"/>
        </w:rPr>
        <w:t>SRIP is the Northrop Grumman Supplementary Retirement Income Plan. This plan makes participants whole for benefits they lose under the S&amp;MS Pension Plan due to certain Internal Revenue Code limits.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494"/>
        <w:spacing w:after="0"/>
        <w:tabs>
          <w:tab w:leader="none" w:pos="520" w:val="left"/>
        </w:tabs>
        <w:numPr>
          <w:ilvl w:val="0"/>
          <w:numId w:val="144"/>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Pension Plan and S&amp;MS Pension Plan (Tax Qualified Plan)</w:t>
      </w:r>
    </w:p>
    <w:p>
      <w:pPr>
        <w:spacing w:after="0" w:line="12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Pension Plan and S&amp;MS Pension Plan have a heritage (non-cash balance) pension formula (Heritage Formulas). These are described in detail in the Heritage Formula table that follows. Prior to 2005, the Company transitioned the Heritage Formulas in these plans to a Cash Balance Formula. The Cash Balance Formula is a percentage of pay credited to a hypothetical account, which grows with interest. At retirement, the Cash Balance Account is converted to a monthly pension benefit (further information is included in the Cash Balance Formulas section below). The final benefit from each plan is the sum of the two formulas: the Heritage Formula benefit plus the Cash Balance Formula benefit.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Mr. Caylor receives a benefit under a Heritage Formula and a Cash Balance Formula in the S&amp;MS Pension Plan.</w:t>
      </w:r>
    </w:p>
    <w:p>
      <w:pPr>
        <w:spacing w:after="0" w:line="113"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Ms. Roeder has pension benefits under two subplans of the Pension Plan due to her transfer between business units. She receives a benefit under a Heritage Formula and a Cash Balance Formula in the Northrop Grumman Electronic Systems Pension Plan, a subplan of the Pension Plan (ES Subplan) based on her employment in this subplan. She also receives a benefit under the Northrop Grumman Retirement Value Plan (RVP Subplan) Cash Balance Formula.</w:t>
      </w:r>
    </w:p>
    <w:p>
      <w:pPr>
        <w:spacing w:after="0" w:line="220"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Heritage Formulas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key features of the Heritage Formula applicable to the eligible NEO.</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20" w:type="dxa"/>
            <w:vAlign w:val="bottom"/>
          </w:tcPr>
          <w:p>
            <w:pPr>
              <w:ind w:left="20"/>
              <w:spacing w:after="0"/>
              <w:rPr>
                <w:sz w:val="20"/>
                <w:szCs w:val="20"/>
                <w:color w:val="auto"/>
              </w:rPr>
            </w:pPr>
            <w:r>
              <w:rPr>
                <w:rFonts w:ascii="Arial" w:cs="Arial" w:eastAsia="Arial" w:hAnsi="Arial"/>
                <w:sz w:val="13"/>
                <w:szCs w:val="13"/>
                <w:b w:val="1"/>
                <w:bCs w:val="1"/>
                <w:color w:val="auto"/>
              </w:rPr>
              <w:t>Feature</w:t>
            </w:r>
          </w:p>
        </w:tc>
        <w:tc>
          <w:tcPr>
            <w:tcW w:w="3520" w:type="dxa"/>
            <w:vAlign w:val="bottom"/>
          </w:tcPr>
          <w:p>
            <w:pPr>
              <w:ind w:left="1520"/>
              <w:spacing w:after="0"/>
              <w:rPr>
                <w:sz w:val="20"/>
                <w:szCs w:val="20"/>
                <w:color w:val="auto"/>
              </w:rPr>
            </w:pPr>
            <w:r>
              <w:rPr>
                <w:rFonts w:ascii="Arial" w:cs="Arial" w:eastAsia="Arial" w:hAnsi="Arial"/>
                <w:sz w:val="13"/>
                <w:szCs w:val="13"/>
                <w:b w:val="1"/>
                <w:bCs w:val="1"/>
                <w:color w:val="auto"/>
              </w:rPr>
              <w:t>ES Subplan</w:t>
            </w:r>
          </w:p>
        </w:tc>
        <w:tc>
          <w:tcPr>
            <w:tcW w:w="3420" w:type="dxa"/>
            <w:vAlign w:val="bottom"/>
          </w:tcPr>
          <w:p>
            <w:pPr>
              <w:ind w:left="1140"/>
              <w:spacing w:after="0"/>
              <w:rPr>
                <w:sz w:val="20"/>
                <w:szCs w:val="20"/>
                <w:color w:val="auto"/>
              </w:rPr>
            </w:pPr>
            <w:r>
              <w:rPr>
                <w:rFonts w:ascii="Arial" w:cs="Arial" w:eastAsia="Arial" w:hAnsi="Arial"/>
                <w:sz w:val="13"/>
                <w:szCs w:val="13"/>
                <w:b w:val="1"/>
                <w:bCs w:val="1"/>
                <w:color w:val="auto"/>
              </w:rPr>
              <w:t>S&amp;MS Pension Plan</w:t>
            </w:r>
          </w:p>
        </w:tc>
      </w:tr>
      <w:tr>
        <w:trPr>
          <w:trHeight w:val="22"/>
        </w:trPr>
        <w:tc>
          <w:tcPr>
            <w:tcW w:w="4120" w:type="dxa"/>
            <w:vAlign w:val="bottom"/>
            <w:tcBorders>
              <w:bottom w:val="single" w:sz="8" w:color="29378D"/>
            </w:tcBorders>
          </w:tcPr>
          <w:p>
            <w:pPr>
              <w:spacing w:after="0" w:line="20" w:lineRule="exact"/>
              <w:rPr>
                <w:sz w:val="1"/>
                <w:szCs w:val="1"/>
                <w:color w:val="auto"/>
              </w:rPr>
            </w:pPr>
          </w:p>
        </w:tc>
        <w:tc>
          <w:tcPr>
            <w:tcW w:w="3520" w:type="dxa"/>
            <w:vAlign w:val="bottom"/>
            <w:tcBorders>
              <w:bottom w:val="single" w:sz="8" w:color="29378D"/>
            </w:tcBorders>
          </w:tcPr>
          <w:p>
            <w:pPr>
              <w:spacing w:after="0" w:line="20" w:lineRule="exact"/>
              <w:rPr>
                <w:sz w:val="1"/>
                <w:szCs w:val="1"/>
                <w:color w:val="auto"/>
              </w:rPr>
            </w:pPr>
          </w:p>
        </w:tc>
        <w:tc>
          <w:tcPr>
            <w:tcW w:w="3420" w:type="dxa"/>
            <w:vAlign w:val="bottom"/>
            <w:tcBorders>
              <w:bottom w:val="single" w:sz="8" w:color="29378D"/>
            </w:tcBorders>
          </w:tcPr>
          <w:p>
            <w:pPr>
              <w:spacing w:after="0" w:line="20" w:lineRule="exact"/>
              <w:rPr>
                <w:sz w:val="1"/>
                <w:szCs w:val="1"/>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6"/>
                <w:szCs w:val="16"/>
                <w:color w:val="auto"/>
              </w:rPr>
              <w:t>Benefit Formula</w:t>
            </w:r>
          </w:p>
        </w:tc>
        <w:tc>
          <w:tcPr>
            <w:tcW w:w="3520" w:type="dxa"/>
            <w:vAlign w:val="bottom"/>
          </w:tcPr>
          <w:p>
            <w:pPr>
              <w:ind w:left="180"/>
              <w:spacing w:after="0"/>
              <w:rPr>
                <w:sz w:val="20"/>
                <w:szCs w:val="20"/>
                <w:color w:val="auto"/>
              </w:rPr>
            </w:pPr>
            <w:r>
              <w:rPr>
                <w:rFonts w:ascii="Arial" w:cs="Arial" w:eastAsia="Arial" w:hAnsi="Arial"/>
                <w:sz w:val="16"/>
                <w:szCs w:val="16"/>
                <w:color w:val="auto"/>
              </w:rPr>
              <w:t>Eligible Pay x 2%</w:t>
            </w:r>
          </w:p>
        </w:tc>
        <w:tc>
          <w:tcPr>
            <w:tcW w:w="3420" w:type="dxa"/>
            <w:vAlign w:val="bottom"/>
          </w:tcPr>
          <w:p>
            <w:pPr>
              <w:ind w:left="60"/>
              <w:spacing w:after="0"/>
              <w:rPr>
                <w:sz w:val="20"/>
                <w:szCs w:val="20"/>
                <w:color w:val="auto"/>
              </w:rPr>
            </w:pPr>
            <w:r>
              <w:rPr>
                <w:rFonts w:ascii="Arial" w:cs="Arial" w:eastAsia="Arial" w:hAnsi="Arial"/>
                <w:sz w:val="16"/>
                <w:szCs w:val="16"/>
                <w:color w:val="auto"/>
              </w:rPr>
              <w:t>(Final Average Pay x 1.5% minus Covered</w:t>
            </w:r>
          </w:p>
        </w:tc>
      </w:tr>
      <w:tr>
        <w:trPr>
          <w:trHeight w:val="189"/>
        </w:trPr>
        <w:tc>
          <w:tcPr>
            <w:tcW w:w="4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420" w:type="dxa"/>
            <w:vAlign w:val="bottom"/>
          </w:tcPr>
          <w:p>
            <w:pPr>
              <w:ind w:left="60"/>
              <w:spacing w:after="0"/>
              <w:rPr>
                <w:sz w:val="20"/>
                <w:szCs w:val="20"/>
                <w:color w:val="auto"/>
              </w:rPr>
            </w:pPr>
            <w:r>
              <w:rPr>
                <w:rFonts w:ascii="Arial" w:cs="Arial" w:eastAsia="Arial" w:hAnsi="Arial"/>
                <w:sz w:val="16"/>
                <w:szCs w:val="16"/>
                <w:color w:val="auto"/>
              </w:rPr>
              <w:t>Compensation x 0.4%) times Pre-January 1,</w:t>
            </w:r>
          </w:p>
        </w:tc>
      </w:tr>
      <w:tr>
        <w:trPr>
          <w:trHeight w:val="224"/>
        </w:trPr>
        <w:tc>
          <w:tcPr>
            <w:tcW w:w="4120" w:type="dxa"/>
            <w:vAlign w:val="bottom"/>
            <w:tcBorders>
              <w:bottom w:val="single" w:sz="8" w:color="BCBEC0"/>
            </w:tcBorders>
          </w:tcPr>
          <w:p>
            <w:pPr>
              <w:spacing w:after="0"/>
              <w:rPr>
                <w:sz w:val="19"/>
                <w:szCs w:val="19"/>
                <w:color w:val="auto"/>
              </w:rPr>
            </w:pPr>
          </w:p>
        </w:tc>
        <w:tc>
          <w:tcPr>
            <w:tcW w:w="3520" w:type="dxa"/>
            <w:vAlign w:val="bottom"/>
            <w:tcBorders>
              <w:bottom w:val="single" w:sz="8" w:color="BCBEC0"/>
            </w:tcBorders>
          </w:tcPr>
          <w:p>
            <w:pPr>
              <w:spacing w:after="0"/>
              <w:rPr>
                <w:sz w:val="19"/>
                <w:szCs w:val="19"/>
                <w:color w:val="auto"/>
              </w:rPr>
            </w:pPr>
          </w:p>
        </w:tc>
        <w:tc>
          <w:tcPr>
            <w:tcW w:w="3420" w:type="dxa"/>
            <w:vAlign w:val="bottom"/>
            <w:tcBorders>
              <w:bottom w:val="single" w:sz="8" w:color="BCBEC0"/>
            </w:tcBorders>
          </w:tcPr>
          <w:p>
            <w:pPr>
              <w:ind w:left="60"/>
              <w:spacing w:after="0"/>
              <w:rPr>
                <w:sz w:val="20"/>
                <w:szCs w:val="20"/>
                <w:color w:val="auto"/>
              </w:rPr>
            </w:pPr>
            <w:r>
              <w:rPr>
                <w:rFonts w:ascii="Arial" w:cs="Arial" w:eastAsia="Arial" w:hAnsi="Arial"/>
                <w:sz w:val="16"/>
                <w:szCs w:val="16"/>
                <w:color w:val="auto"/>
              </w:rPr>
              <w:t>2005 service</w:t>
            </w:r>
          </w:p>
        </w:tc>
      </w:tr>
      <w:tr>
        <w:trPr>
          <w:trHeight w:val="215"/>
        </w:trPr>
        <w:tc>
          <w:tcPr>
            <w:tcW w:w="4120" w:type="dxa"/>
            <w:vAlign w:val="bottom"/>
          </w:tcPr>
          <w:p>
            <w:pPr>
              <w:ind w:left="20"/>
              <w:spacing w:after="0" w:line="216" w:lineRule="exact"/>
              <w:rPr>
                <w:sz w:val="20"/>
                <w:szCs w:val="20"/>
                <w:color w:val="auto"/>
              </w:rPr>
            </w:pPr>
            <w:r>
              <w:rPr>
                <w:rFonts w:ascii="Arial" w:cs="Arial" w:eastAsia="Arial" w:hAnsi="Arial"/>
                <w:sz w:val="16"/>
                <w:szCs w:val="16"/>
                <w:color w:val="auto"/>
              </w:rPr>
              <w:t>Final Average Pay</w:t>
            </w:r>
            <w:r>
              <w:rPr>
                <w:rFonts w:ascii="Arial" w:cs="Arial" w:eastAsia="Arial" w:hAnsi="Arial"/>
                <w:sz w:val="21"/>
                <w:szCs w:val="21"/>
                <w:color w:val="auto"/>
                <w:vertAlign w:val="superscript"/>
              </w:rPr>
              <w:t>(1)</w:t>
            </w:r>
          </w:p>
        </w:tc>
        <w:tc>
          <w:tcPr>
            <w:tcW w:w="3520" w:type="dxa"/>
            <w:vAlign w:val="bottom"/>
          </w:tcPr>
          <w:p>
            <w:pPr>
              <w:ind w:left="180"/>
              <w:spacing w:after="0"/>
              <w:rPr>
                <w:sz w:val="20"/>
                <w:szCs w:val="20"/>
                <w:color w:val="auto"/>
              </w:rPr>
            </w:pPr>
            <w:r>
              <w:rPr>
                <w:rFonts w:ascii="Arial" w:cs="Arial" w:eastAsia="Arial" w:hAnsi="Arial"/>
                <w:sz w:val="16"/>
                <w:szCs w:val="16"/>
                <w:color w:val="auto"/>
              </w:rPr>
              <w:t>Not applicable</w:t>
            </w:r>
          </w:p>
        </w:tc>
        <w:tc>
          <w:tcPr>
            <w:tcW w:w="3420" w:type="dxa"/>
            <w:vAlign w:val="bottom"/>
          </w:tcPr>
          <w:p>
            <w:pPr>
              <w:ind w:left="60"/>
              <w:spacing w:after="0"/>
              <w:rPr>
                <w:sz w:val="20"/>
                <w:szCs w:val="20"/>
                <w:color w:val="auto"/>
              </w:rPr>
            </w:pPr>
            <w:r>
              <w:rPr>
                <w:rFonts w:ascii="Arial" w:cs="Arial" w:eastAsia="Arial" w:hAnsi="Arial"/>
                <w:sz w:val="16"/>
                <w:szCs w:val="16"/>
                <w:color w:val="auto"/>
              </w:rPr>
              <w:t>Average of the highest five consecutive years</w:t>
            </w:r>
          </w:p>
        </w:tc>
      </w:tr>
      <w:tr>
        <w:trPr>
          <w:trHeight w:val="189"/>
        </w:trPr>
        <w:tc>
          <w:tcPr>
            <w:tcW w:w="41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420" w:type="dxa"/>
            <w:vAlign w:val="bottom"/>
          </w:tcPr>
          <w:p>
            <w:pPr>
              <w:ind w:left="60"/>
              <w:spacing w:after="0"/>
              <w:rPr>
                <w:sz w:val="20"/>
                <w:szCs w:val="20"/>
                <w:color w:val="auto"/>
              </w:rPr>
            </w:pPr>
            <w:r>
              <w:rPr>
                <w:rFonts w:ascii="Arial" w:cs="Arial" w:eastAsia="Arial" w:hAnsi="Arial"/>
                <w:sz w:val="16"/>
                <w:szCs w:val="16"/>
                <w:color w:val="auto"/>
              </w:rPr>
              <w:t>of Eligible Pay; Covered Compensation is</w:t>
            </w:r>
          </w:p>
        </w:tc>
      </w:tr>
      <w:tr>
        <w:trPr>
          <w:trHeight w:val="224"/>
        </w:trPr>
        <w:tc>
          <w:tcPr>
            <w:tcW w:w="4120" w:type="dxa"/>
            <w:vAlign w:val="bottom"/>
            <w:tcBorders>
              <w:bottom w:val="single" w:sz="8" w:color="BCBEC0"/>
            </w:tcBorders>
          </w:tcPr>
          <w:p>
            <w:pPr>
              <w:spacing w:after="0"/>
              <w:rPr>
                <w:sz w:val="19"/>
                <w:szCs w:val="19"/>
                <w:color w:val="auto"/>
              </w:rPr>
            </w:pPr>
          </w:p>
        </w:tc>
        <w:tc>
          <w:tcPr>
            <w:tcW w:w="3520" w:type="dxa"/>
            <w:vAlign w:val="bottom"/>
            <w:tcBorders>
              <w:bottom w:val="single" w:sz="8" w:color="BCBEC0"/>
            </w:tcBorders>
          </w:tcPr>
          <w:p>
            <w:pPr>
              <w:spacing w:after="0"/>
              <w:rPr>
                <w:sz w:val="19"/>
                <w:szCs w:val="19"/>
                <w:color w:val="auto"/>
              </w:rPr>
            </w:pPr>
          </w:p>
        </w:tc>
        <w:tc>
          <w:tcPr>
            <w:tcW w:w="3420" w:type="dxa"/>
            <w:vAlign w:val="bottom"/>
            <w:tcBorders>
              <w:bottom w:val="single" w:sz="8" w:color="BCBEC0"/>
            </w:tcBorders>
          </w:tcPr>
          <w:p>
            <w:pPr>
              <w:ind w:left="60"/>
              <w:spacing w:after="0"/>
              <w:rPr>
                <w:sz w:val="20"/>
                <w:szCs w:val="20"/>
                <w:color w:val="auto"/>
              </w:rPr>
            </w:pPr>
            <w:r>
              <w:rPr>
                <w:rFonts w:ascii="Arial" w:cs="Arial" w:eastAsia="Arial" w:hAnsi="Arial"/>
                <w:sz w:val="16"/>
                <w:szCs w:val="16"/>
                <w:color w:val="auto"/>
              </w:rPr>
              <w:t>specified by the IRS</w:t>
            </w:r>
          </w:p>
        </w:tc>
      </w:tr>
      <w:tr>
        <w:trPr>
          <w:trHeight w:val="188"/>
        </w:trPr>
        <w:tc>
          <w:tcPr>
            <w:tcW w:w="4120" w:type="dxa"/>
            <w:vAlign w:val="bottom"/>
          </w:tcPr>
          <w:p>
            <w:pPr>
              <w:ind w:left="20"/>
              <w:spacing w:after="0"/>
              <w:rPr>
                <w:sz w:val="20"/>
                <w:szCs w:val="20"/>
                <w:color w:val="auto"/>
              </w:rPr>
            </w:pPr>
            <w:r>
              <w:rPr>
                <w:rFonts w:ascii="Arial" w:cs="Arial" w:eastAsia="Arial" w:hAnsi="Arial"/>
                <w:sz w:val="16"/>
                <w:szCs w:val="16"/>
                <w:color w:val="auto"/>
              </w:rPr>
              <w:t>Eligible Pay (limited by Internal Revenue Code section</w:t>
            </w:r>
          </w:p>
        </w:tc>
        <w:tc>
          <w:tcPr>
            <w:tcW w:w="3520" w:type="dxa"/>
            <w:vAlign w:val="bottom"/>
          </w:tcPr>
          <w:p>
            <w:pPr>
              <w:ind w:left="180"/>
              <w:spacing w:after="0"/>
              <w:rPr>
                <w:sz w:val="20"/>
                <w:szCs w:val="20"/>
                <w:color w:val="auto"/>
              </w:rPr>
            </w:pPr>
            <w:r>
              <w:rPr>
                <w:rFonts w:ascii="Arial" w:cs="Arial" w:eastAsia="Arial" w:hAnsi="Arial"/>
                <w:sz w:val="16"/>
                <w:szCs w:val="16"/>
                <w:color w:val="auto"/>
              </w:rPr>
              <w:t>Salary plus bonus paid while participating in</w:t>
            </w:r>
          </w:p>
        </w:tc>
        <w:tc>
          <w:tcPr>
            <w:tcW w:w="3420" w:type="dxa"/>
            <w:vAlign w:val="bottom"/>
          </w:tcPr>
          <w:p>
            <w:pPr>
              <w:ind w:left="60"/>
              <w:spacing w:after="0"/>
              <w:rPr>
                <w:sz w:val="20"/>
                <w:szCs w:val="20"/>
                <w:color w:val="auto"/>
              </w:rPr>
            </w:pPr>
            <w:r>
              <w:rPr>
                <w:rFonts w:ascii="Arial" w:cs="Arial" w:eastAsia="Arial" w:hAnsi="Arial"/>
                <w:sz w:val="16"/>
                <w:szCs w:val="16"/>
                <w:color w:val="auto"/>
              </w:rPr>
              <w:t>Salary plus bonus</w:t>
            </w:r>
          </w:p>
        </w:tc>
      </w:tr>
      <w:tr>
        <w:trPr>
          <w:trHeight w:val="251"/>
        </w:trPr>
        <w:tc>
          <w:tcPr>
            <w:tcW w:w="412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401(a)(17))</w:t>
            </w:r>
          </w:p>
        </w:tc>
        <w:tc>
          <w:tcPr>
            <w:tcW w:w="3520" w:type="dxa"/>
            <w:vAlign w:val="bottom"/>
            <w:tcBorders>
              <w:bottom w:val="single" w:sz="8" w:color="BCBEC0"/>
            </w:tcBorders>
          </w:tcPr>
          <w:p>
            <w:pPr>
              <w:ind w:left="180"/>
              <w:spacing w:after="0"/>
              <w:rPr>
                <w:sz w:val="20"/>
                <w:szCs w:val="20"/>
                <w:color w:val="auto"/>
              </w:rPr>
            </w:pPr>
            <w:r>
              <w:rPr>
                <w:rFonts w:ascii="Arial" w:cs="Arial" w:eastAsia="Arial" w:hAnsi="Arial"/>
                <w:sz w:val="16"/>
                <w:szCs w:val="16"/>
                <w:color w:val="auto"/>
              </w:rPr>
              <w:t>this subplan</w:t>
            </w:r>
          </w:p>
        </w:tc>
        <w:tc>
          <w:tcPr>
            <w:tcW w:w="3420" w:type="dxa"/>
            <w:vAlign w:val="bottom"/>
            <w:tcBorders>
              <w:bottom w:val="single" w:sz="8" w:color="BCBEC0"/>
            </w:tcBorders>
          </w:tcPr>
          <w:p>
            <w:pPr>
              <w:spacing w:after="0"/>
              <w:rPr>
                <w:sz w:val="21"/>
                <w:szCs w:val="2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Normal Retirement</w:t>
            </w:r>
          </w:p>
        </w:tc>
        <w:tc>
          <w:tcPr>
            <w:tcW w:w="3520" w:type="dxa"/>
            <w:vAlign w:val="bottom"/>
          </w:tcPr>
          <w:p>
            <w:pPr>
              <w:ind w:left="180"/>
              <w:spacing w:after="0"/>
              <w:rPr>
                <w:sz w:val="20"/>
                <w:szCs w:val="20"/>
                <w:color w:val="auto"/>
              </w:rPr>
            </w:pPr>
            <w:r>
              <w:rPr>
                <w:rFonts w:ascii="Arial" w:cs="Arial" w:eastAsia="Arial" w:hAnsi="Arial"/>
                <w:sz w:val="16"/>
                <w:szCs w:val="16"/>
                <w:color w:val="auto"/>
              </w:rPr>
              <w:t>Age 65</w:t>
            </w:r>
          </w:p>
        </w:tc>
        <w:tc>
          <w:tcPr>
            <w:tcW w:w="3420" w:type="dxa"/>
            <w:vAlign w:val="bottom"/>
          </w:tcPr>
          <w:p>
            <w:pPr>
              <w:ind w:left="60"/>
              <w:spacing w:after="0"/>
              <w:rPr>
                <w:sz w:val="20"/>
                <w:szCs w:val="20"/>
                <w:color w:val="auto"/>
              </w:rPr>
            </w:pPr>
            <w:r>
              <w:rPr>
                <w:rFonts w:ascii="Arial" w:cs="Arial" w:eastAsia="Arial" w:hAnsi="Arial"/>
                <w:sz w:val="16"/>
                <w:szCs w:val="16"/>
                <w:color w:val="auto"/>
              </w:rPr>
              <w:t>Age 65</w:t>
            </w:r>
          </w:p>
        </w:tc>
      </w:tr>
      <w:tr>
        <w:trPr>
          <w:trHeight w:val="28"/>
        </w:trPr>
        <w:tc>
          <w:tcPr>
            <w:tcW w:w="4120" w:type="dxa"/>
            <w:vAlign w:val="bottom"/>
            <w:tcBorders>
              <w:bottom w:val="single" w:sz="8" w:color="BCBEC0"/>
            </w:tcBorders>
          </w:tcPr>
          <w:p>
            <w:pPr>
              <w:spacing w:after="0"/>
              <w:rPr>
                <w:sz w:val="2"/>
                <w:szCs w:val="2"/>
                <w:color w:val="auto"/>
              </w:rPr>
            </w:pPr>
          </w:p>
        </w:tc>
        <w:tc>
          <w:tcPr>
            <w:tcW w:w="6940" w:type="dxa"/>
            <w:vAlign w:val="bottom"/>
            <w:tcBorders>
              <w:bottom w:val="single" w:sz="8" w:color="BCBEC0"/>
            </w:tcBorders>
            <w:gridSpan w:val="2"/>
          </w:tcPr>
          <w:p>
            <w:pPr>
              <w:spacing w:after="0"/>
              <w:rPr>
                <w:sz w:val="2"/>
                <w:szCs w:val="2"/>
                <w:color w:val="auto"/>
              </w:rPr>
            </w:pPr>
          </w:p>
        </w:tc>
      </w:tr>
      <w:tr>
        <w:trPr>
          <w:trHeight w:val="182"/>
        </w:trPr>
        <w:tc>
          <w:tcPr>
            <w:tcW w:w="4120" w:type="dxa"/>
            <w:vAlign w:val="bottom"/>
          </w:tcPr>
          <w:p>
            <w:pPr>
              <w:ind w:left="20"/>
              <w:spacing w:after="0" w:line="182" w:lineRule="exact"/>
              <w:rPr>
                <w:sz w:val="20"/>
                <w:szCs w:val="20"/>
                <w:color w:val="auto"/>
              </w:rPr>
            </w:pPr>
            <w:r>
              <w:rPr>
                <w:rFonts w:ascii="Arial" w:cs="Arial" w:eastAsia="Arial" w:hAnsi="Arial"/>
                <w:sz w:val="16"/>
                <w:szCs w:val="16"/>
                <w:color w:val="auto"/>
              </w:rPr>
              <w:t>Early Retirement</w:t>
            </w:r>
          </w:p>
        </w:tc>
        <w:tc>
          <w:tcPr>
            <w:tcW w:w="6940" w:type="dxa"/>
            <w:vAlign w:val="bottom"/>
            <w:gridSpan w:val="2"/>
          </w:tcPr>
          <w:p>
            <w:pPr>
              <w:ind w:left="180"/>
              <w:spacing w:after="0" w:line="182" w:lineRule="exact"/>
              <w:rPr>
                <w:sz w:val="20"/>
                <w:szCs w:val="20"/>
                <w:color w:val="auto"/>
              </w:rPr>
            </w:pPr>
            <w:r>
              <w:rPr>
                <w:rFonts w:ascii="Arial" w:cs="Arial" w:eastAsia="Arial" w:hAnsi="Arial"/>
                <w:sz w:val="16"/>
                <w:szCs w:val="16"/>
                <w:color w:val="auto"/>
              </w:rPr>
              <w:t>Age 58 with 30 years of service or age 60 with Age 55 with 10 years of service</w:t>
            </w:r>
          </w:p>
        </w:tc>
      </w:tr>
      <w:tr>
        <w:trPr>
          <w:trHeight w:val="215"/>
        </w:trPr>
        <w:tc>
          <w:tcPr>
            <w:tcW w:w="412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6"/>
                <w:szCs w:val="16"/>
                <w:color w:val="auto"/>
              </w:rPr>
              <w:t>10 years of service</w:t>
            </w:r>
          </w:p>
        </w:tc>
        <w:tc>
          <w:tcPr>
            <w:tcW w:w="3420" w:type="dxa"/>
            <w:vAlign w:val="bottom"/>
          </w:tcPr>
          <w:p>
            <w:pPr>
              <w:spacing w:after="0"/>
              <w:rPr>
                <w:sz w:val="18"/>
                <w:szCs w:val="18"/>
                <w:color w:val="auto"/>
              </w:rPr>
            </w:pPr>
          </w:p>
        </w:tc>
      </w:tr>
      <w:tr>
        <w:trPr>
          <w:trHeight w:val="29"/>
        </w:trPr>
        <w:tc>
          <w:tcPr>
            <w:tcW w:w="4120" w:type="dxa"/>
            <w:vAlign w:val="bottom"/>
            <w:tcBorders>
              <w:bottom w:val="single" w:sz="8" w:color="BCBEC0"/>
            </w:tcBorders>
          </w:tcPr>
          <w:p>
            <w:pPr>
              <w:spacing w:after="0"/>
              <w:rPr>
                <w:sz w:val="2"/>
                <w:szCs w:val="2"/>
                <w:color w:val="auto"/>
              </w:rPr>
            </w:pPr>
          </w:p>
        </w:tc>
        <w:tc>
          <w:tcPr>
            <w:tcW w:w="3520" w:type="dxa"/>
            <w:vAlign w:val="bottom"/>
            <w:tcBorders>
              <w:bottom w:val="single" w:sz="8" w:color="BCBEC0"/>
            </w:tcBorders>
          </w:tcPr>
          <w:p>
            <w:pPr>
              <w:spacing w:after="0"/>
              <w:rPr>
                <w:sz w:val="2"/>
                <w:szCs w:val="2"/>
                <w:color w:val="auto"/>
              </w:rPr>
            </w:pPr>
          </w:p>
        </w:tc>
        <w:tc>
          <w:tcPr>
            <w:tcW w:w="3420" w:type="dxa"/>
            <w:vAlign w:val="bottom"/>
            <w:tcBorders>
              <w:bottom w:val="single" w:sz="8" w:color="BCBEC0"/>
            </w:tcBorders>
          </w:tcPr>
          <w:p>
            <w:pPr>
              <w:spacing w:after="0"/>
              <w:rPr>
                <w:sz w:val="2"/>
                <w:szCs w:val="2"/>
                <w:color w:val="auto"/>
              </w:rPr>
            </w:pPr>
          </w:p>
        </w:tc>
      </w:tr>
      <w:tr>
        <w:trPr>
          <w:trHeight w:val="209"/>
        </w:trPr>
        <w:tc>
          <w:tcPr>
            <w:tcW w:w="4120" w:type="dxa"/>
            <w:vAlign w:val="bottom"/>
          </w:tcPr>
          <w:p>
            <w:pPr>
              <w:ind w:left="20"/>
              <w:spacing w:after="0"/>
              <w:rPr>
                <w:sz w:val="20"/>
                <w:szCs w:val="20"/>
                <w:color w:val="auto"/>
              </w:rPr>
            </w:pPr>
            <w:r>
              <w:rPr>
                <w:rFonts w:ascii="Arial" w:cs="Arial" w:eastAsia="Arial" w:hAnsi="Arial"/>
                <w:sz w:val="16"/>
                <w:szCs w:val="16"/>
                <w:color w:val="auto"/>
              </w:rPr>
              <w:t>Early Retirement Reduction (for retirements occurring</w:t>
            </w:r>
          </w:p>
        </w:tc>
        <w:tc>
          <w:tcPr>
            <w:tcW w:w="3520" w:type="dxa"/>
            <w:vAlign w:val="bottom"/>
          </w:tcPr>
          <w:p>
            <w:pPr>
              <w:ind w:left="180"/>
              <w:spacing w:after="0"/>
              <w:rPr>
                <w:sz w:val="20"/>
                <w:szCs w:val="20"/>
                <w:color w:val="auto"/>
              </w:rPr>
            </w:pPr>
            <w:r>
              <w:rPr>
                <w:rFonts w:ascii="Arial" w:cs="Arial" w:eastAsia="Arial" w:hAnsi="Arial"/>
                <w:sz w:val="16"/>
                <w:szCs w:val="16"/>
                <w:color w:val="auto"/>
              </w:rPr>
              <w:t>Benefits are reduced for commencement prior</w:t>
            </w:r>
          </w:p>
        </w:tc>
        <w:tc>
          <w:tcPr>
            <w:tcW w:w="3420" w:type="dxa"/>
            <w:vAlign w:val="bottom"/>
          </w:tcPr>
          <w:p>
            <w:pPr>
              <w:ind w:left="60"/>
              <w:spacing w:after="0"/>
              <w:rPr>
                <w:sz w:val="20"/>
                <w:szCs w:val="20"/>
                <w:color w:val="auto"/>
              </w:rPr>
            </w:pPr>
            <w:r>
              <w:rPr>
                <w:rFonts w:ascii="Arial" w:cs="Arial" w:eastAsia="Arial" w:hAnsi="Arial"/>
                <w:sz w:val="16"/>
                <w:szCs w:val="16"/>
                <w:color w:val="auto"/>
              </w:rPr>
              <w:t>Benefits are reduced for commencement prior</w:t>
            </w:r>
          </w:p>
        </w:tc>
      </w:tr>
      <w:tr>
        <w:trPr>
          <w:trHeight w:val="224"/>
        </w:trPr>
        <w:tc>
          <w:tcPr>
            <w:tcW w:w="412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between Early Retirement and Normal Retirement)</w:t>
            </w:r>
          </w:p>
        </w:tc>
        <w:tc>
          <w:tcPr>
            <w:tcW w:w="3520" w:type="dxa"/>
            <w:vAlign w:val="bottom"/>
            <w:tcBorders>
              <w:bottom w:val="single" w:sz="8" w:color="BCBEC0"/>
            </w:tcBorders>
          </w:tcPr>
          <w:p>
            <w:pPr>
              <w:ind w:left="180"/>
              <w:spacing w:after="0"/>
              <w:rPr>
                <w:sz w:val="20"/>
                <w:szCs w:val="20"/>
                <w:color w:val="auto"/>
              </w:rPr>
            </w:pPr>
            <w:r>
              <w:rPr>
                <w:rFonts w:ascii="Arial" w:cs="Arial" w:eastAsia="Arial" w:hAnsi="Arial"/>
                <w:sz w:val="16"/>
                <w:szCs w:val="16"/>
                <w:color w:val="auto"/>
              </w:rPr>
              <w:t>to age 65</w:t>
            </w:r>
          </w:p>
        </w:tc>
        <w:tc>
          <w:tcPr>
            <w:tcW w:w="3420" w:type="dxa"/>
            <w:vAlign w:val="bottom"/>
            <w:tcBorders>
              <w:bottom w:val="single" w:sz="8" w:color="BCBEC0"/>
            </w:tcBorders>
          </w:tcPr>
          <w:p>
            <w:pPr>
              <w:ind w:left="60"/>
              <w:spacing w:after="0"/>
              <w:rPr>
                <w:sz w:val="20"/>
                <w:szCs w:val="20"/>
                <w:color w:val="auto"/>
              </w:rPr>
            </w:pPr>
            <w:r>
              <w:rPr>
                <w:rFonts w:ascii="Arial" w:cs="Arial" w:eastAsia="Arial" w:hAnsi="Arial"/>
                <w:sz w:val="16"/>
                <w:szCs w:val="16"/>
                <w:color w:val="auto"/>
              </w:rPr>
              <w:t>to age 62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(1) Final Average Pay was frozen for the S&amp;MS Pension Plan as of December 31, 2014.</w:t>
      </w:r>
    </w:p>
    <w:p>
      <w:pPr>
        <w:spacing w:after="0" w:line="278"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Cash Balance Formulas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RVP Cash Balance Formula in the Pension Plan is a hypothetical account balance consisting of pay credits plus interest. It has the following features:</w:t>
      </w:r>
    </w:p>
    <w:p>
      <w:pPr>
        <w:spacing w:after="0" w:line="248" w:lineRule="exact"/>
        <w:rPr>
          <w:sz w:val="20"/>
          <w:szCs w:val="20"/>
          <w:color w:val="auto"/>
        </w:rPr>
      </w:pPr>
    </w:p>
    <w:p>
      <w:pPr>
        <w:ind w:left="200" w:right="180" w:hanging="192"/>
        <w:spacing w:after="0" w:line="304" w:lineRule="auto"/>
        <w:tabs>
          <w:tab w:leader="none" w:pos="143" w:val="left"/>
        </w:tabs>
        <w:numPr>
          <w:ilvl w:val="0"/>
          <w:numId w:val="145"/>
        </w:numPr>
        <w:rPr>
          <w:rFonts w:ascii="Arial" w:cs="Arial" w:eastAsia="Arial" w:hAnsi="Arial"/>
          <w:sz w:val="16"/>
          <w:szCs w:val="16"/>
          <w:b w:val="1"/>
          <w:bCs w:val="1"/>
          <w:color w:val="29378D"/>
        </w:rPr>
      </w:pPr>
      <w:r>
        <w:rPr>
          <w:rFonts w:ascii="Arial" w:cs="Arial" w:eastAsia="Arial" w:hAnsi="Arial"/>
          <w:sz w:val="16"/>
          <w:szCs w:val="16"/>
          <w:color w:val="auto"/>
        </w:rPr>
        <w:t>pay credits are a percentage of pay that vary based on an employee's "points" (age plus service) and are credited monthly. The percentage applicable to the NEO as of her transfer from the RVP subplan was 4.5%.</w:t>
      </w:r>
    </w:p>
    <w:p>
      <w:pPr>
        <w:spacing w:after="0" w:line="6" w:lineRule="exact"/>
        <w:rPr>
          <w:rFonts w:ascii="Arial" w:cs="Arial" w:eastAsia="Arial" w:hAnsi="Arial"/>
          <w:sz w:val="16"/>
          <w:szCs w:val="16"/>
          <w:b w:val="1"/>
          <w:bCs w:val="1"/>
          <w:color w:val="29378D"/>
        </w:rPr>
      </w:pPr>
    </w:p>
    <w:p>
      <w:pPr>
        <w:ind w:left="160" w:hanging="152"/>
        <w:spacing w:after="0"/>
        <w:tabs>
          <w:tab w:leader="none" w:pos="160" w:val="left"/>
        </w:tabs>
        <w:numPr>
          <w:ilvl w:val="0"/>
          <w:numId w:val="145"/>
        </w:numPr>
        <w:rPr>
          <w:rFonts w:ascii="Arial" w:cs="Arial" w:eastAsia="Arial" w:hAnsi="Arial"/>
          <w:sz w:val="16"/>
          <w:szCs w:val="16"/>
          <w:color w:val="29378D"/>
        </w:rPr>
      </w:pPr>
      <w:r>
        <w:rPr>
          <w:rFonts w:ascii="Arial" w:cs="Arial" w:eastAsia="Arial" w:hAnsi="Arial"/>
          <w:sz w:val="16"/>
          <w:szCs w:val="16"/>
          <w:color w:val="auto"/>
        </w:rPr>
        <w:t>interest is credited at the 30-year U.S. Treasury bond rate. The December 31, 2023 interest credit rate was 4.28%.</w:t>
      </w:r>
    </w:p>
    <w:p>
      <w:pPr>
        <w:spacing w:after="0" w:line="72" w:lineRule="exact"/>
        <w:rPr>
          <w:rFonts w:ascii="Arial" w:cs="Arial" w:eastAsia="Arial" w:hAnsi="Arial"/>
          <w:sz w:val="16"/>
          <w:szCs w:val="16"/>
          <w:color w:val="29378D"/>
        </w:rPr>
      </w:pPr>
    </w:p>
    <w:p>
      <w:pPr>
        <w:ind w:left="160" w:hanging="152"/>
        <w:spacing w:after="0"/>
        <w:tabs>
          <w:tab w:leader="none" w:pos="160" w:val="left"/>
        </w:tabs>
        <w:numPr>
          <w:ilvl w:val="0"/>
          <w:numId w:val="145"/>
        </w:numPr>
        <w:rPr>
          <w:rFonts w:ascii="Arial" w:cs="Arial" w:eastAsia="Arial" w:hAnsi="Arial"/>
          <w:sz w:val="16"/>
          <w:szCs w:val="16"/>
          <w:color w:val="29378D"/>
        </w:rPr>
      </w:pPr>
      <w:r>
        <w:rPr>
          <w:rFonts w:ascii="Arial" w:cs="Arial" w:eastAsia="Arial" w:hAnsi="Arial"/>
          <w:sz w:val="16"/>
          <w:szCs w:val="16"/>
          <w:color w:val="auto"/>
        </w:rPr>
        <w:t>eligible pay is salary plus bonus, as limited by Internal Revenue Code section 401(a)(17).</w:t>
      </w:r>
    </w:p>
    <w:p>
      <w:pPr>
        <w:spacing w:after="0" w:line="86" w:lineRule="exact"/>
        <w:rPr>
          <w:rFonts w:ascii="Arial" w:cs="Arial" w:eastAsia="Arial" w:hAnsi="Arial"/>
          <w:sz w:val="16"/>
          <w:szCs w:val="16"/>
          <w:color w:val="29378D"/>
        </w:rPr>
      </w:pPr>
    </w:p>
    <w:p>
      <w:pPr>
        <w:ind w:left="200" w:right="580" w:hanging="192"/>
        <w:spacing w:after="0" w:line="286" w:lineRule="auto"/>
        <w:tabs>
          <w:tab w:leader="none" w:pos="157" w:val="left"/>
        </w:tabs>
        <w:numPr>
          <w:ilvl w:val="0"/>
          <w:numId w:val="145"/>
        </w:numPr>
        <w:rPr>
          <w:rFonts w:ascii="Arial" w:cs="Arial" w:eastAsia="Arial" w:hAnsi="Arial"/>
          <w:sz w:val="16"/>
          <w:szCs w:val="16"/>
          <w:color w:val="29378D"/>
        </w:rPr>
      </w:pPr>
      <w:r>
        <w:rPr>
          <w:rFonts w:ascii="Arial" w:cs="Arial" w:eastAsia="Arial" w:hAnsi="Arial"/>
          <w:sz w:val="16"/>
          <w:szCs w:val="16"/>
          <w:color w:val="auto"/>
        </w:rPr>
        <w:t>after termination of employment, a participant's vested RVP Cash Balance benefit may be distributed immediately, regardless of age, in a variety of actuarially equivalent monthly annuities or as a lump sum.</w:t>
      </w:r>
    </w:p>
    <w:p>
      <w:pPr>
        <w:spacing w:after="0" w:line="264"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color w:val="auto"/>
        </w:rPr>
        <w:t>The Cash Balance formula in the Pension Plan and the S&amp;MS Pension Plan is a hypothetical account balance consisting of pay credits plus interest. It has the following features:</w:t>
      </w:r>
    </w:p>
    <w:p>
      <w:pPr>
        <w:spacing w:after="0" w:line="1" w:lineRule="exact"/>
        <w:rPr>
          <w:sz w:val="20"/>
          <w:szCs w:val="20"/>
          <w:color w:val="auto"/>
        </w:rPr>
      </w:pPr>
    </w:p>
    <w:p>
      <w:pPr>
        <w:ind w:left="200" w:right="420" w:hanging="192"/>
        <w:spacing w:after="0" w:line="299" w:lineRule="auto"/>
        <w:tabs>
          <w:tab w:leader="none" w:pos="143" w:val="left"/>
        </w:tabs>
        <w:numPr>
          <w:ilvl w:val="0"/>
          <w:numId w:val="146"/>
        </w:numPr>
        <w:rPr>
          <w:rFonts w:ascii="Arial" w:cs="Arial" w:eastAsia="Arial" w:hAnsi="Arial"/>
          <w:sz w:val="16"/>
          <w:szCs w:val="16"/>
          <w:b w:val="1"/>
          <w:bCs w:val="1"/>
          <w:color w:val="29378D"/>
        </w:rPr>
      </w:pPr>
      <w:r>
        <w:rPr>
          <w:rFonts w:ascii="Arial" w:cs="Arial" w:eastAsia="Arial" w:hAnsi="Arial"/>
          <w:sz w:val="16"/>
          <w:szCs w:val="16"/>
          <w:color w:val="auto"/>
        </w:rPr>
        <w:t>pay credits are a percentage of pay that vary based on an employee’s ”points” (age plus service) and are credited monthly. The range of percentages applicable to the NEOs on December 31, 2023 was 6.5% - 7.5%.</w:t>
      </w:r>
    </w:p>
    <w:p>
      <w:pPr>
        <w:ind w:left="200" w:right="100" w:hanging="192"/>
        <w:spacing w:after="0" w:line="304" w:lineRule="auto"/>
        <w:tabs>
          <w:tab w:leader="none" w:pos="143" w:val="left"/>
        </w:tabs>
        <w:numPr>
          <w:ilvl w:val="0"/>
          <w:numId w:val="146"/>
        </w:numPr>
        <w:rPr>
          <w:rFonts w:ascii="Arial" w:cs="Arial" w:eastAsia="Arial" w:hAnsi="Arial"/>
          <w:sz w:val="16"/>
          <w:szCs w:val="16"/>
          <w:b w:val="1"/>
          <w:bCs w:val="1"/>
          <w:color w:val="00249C"/>
        </w:rPr>
      </w:pPr>
      <w:r>
        <w:rPr>
          <w:rFonts w:ascii="Arial" w:cs="Arial" w:eastAsia="Arial" w:hAnsi="Arial"/>
          <w:sz w:val="16"/>
          <w:szCs w:val="16"/>
          <w:color w:val="auto"/>
        </w:rPr>
        <w:t>interest is credited at the 30-year U.S. Treasury bond rate subject to a minimum annual interest rate of 2.25%. The December 31, 2023 interest credit rate was 4.28%.</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77</w:t>
            </w:r>
          </w:p>
        </w:tc>
      </w:tr>
      <w:tr>
        <w:trPr>
          <w:trHeight w:val="30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40" w:hanging="132"/>
        <w:spacing w:after="0"/>
        <w:tabs>
          <w:tab w:leader="none" w:pos="140" w:val="left"/>
        </w:tabs>
        <w:numPr>
          <w:ilvl w:val="0"/>
          <w:numId w:val="147"/>
        </w:numPr>
        <w:rPr>
          <w:rFonts w:ascii="Arial" w:cs="Arial" w:eastAsia="Arial" w:hAnsi="Arial"/>
          <w:sz w:val="16"/>
          <w:szCs w:val="16"/>
          <w:b w:val="1"/>
          <w:bCs w:val="1"/>
          <w:color w:val="00249C"/>
        </w:rPr>
      </w:pPr>
      <w:r>
        <w:rPr>
          <w:rFonts w:ascii="Arial" w:cs="Arial" w:eastAsia="Arial" w:hAnsi="Arial"/>
          <w:sz w:val="16"/>
          <w:szCs w:val="16"/>
          <w:color w:val="auto"/>
        </w:rPr>
        <w:t>eligible pay is salary plus bonus, as limited by Internal Revenue Code section 401(a)(17).</w:t>
      </w:r>
    </w:p>
    <w:p>
      <w:pPr>
        <w:spacing w:after="0" w:line="86" w:lineRule="exact"/>
        <w:rPr>
          <w:rFonts w:ascii="Arial" w:cs="Arial" w:eastAsia="Arial" w:hAnsi="Arial"/>
          <w:sz w:val="16"/>
          <w:szCs w:val="16"/>
          <w:b w:val="1"/>
          <w:bCs w:val="1"/>
          <w:color w:val="00249C"/>
        </w:rPr>
      </w:pPr>
    </w:p>
    <w:p>
      <w:pPr>
        <w:ind w:left="140" w:hanging="132"/>
        <w:spacing w:after="0"/>
        <w:tabs>
          <w:tab w:leader="none" w:pos="140" w:val="left"/>
        </w:tabs>
        <w:numPr>
          <w:ilvl w:val="0"/>
          <w:numId w:val="147"/>
        </w:numPr>
        <w:rPr>
          <w:rFonts w:ascii="Arial" w:cs="Arial" w:eastAsia="Arial" w:hAnsi="Arial"/>
          <w:sz w:val="16"/>
          <w:szCs w:val="16"/>
          <w:b w:val="1"/>
          <w:bCs w:val="1"/>
          <w:color w:val="00249C"/>
        </w:rPr>
      </w:pPr>
      <w:r>
        <w:rPr>
          <w:rFonts w:ascii="Arial" w:cs="Arial" w:eastAsia="Arial" w:hAnsi="Arial"/>
          <w:sz w:val="16"/>
          <w:szCs w:val="16"/>
          <w:color w:val="auto"/>
        </w:rPr>
        <w:t>eligibility for early retirement occurs at age 55 with 10 years of service. Benefits may be reduced if commenced prior to Normal Retirement Age (65).</w:t>
      </w:r>
    </w:p>
    <w:p>
      <w:pPr>
        <w:spacing w:after="0" w:line="273"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ERISA 2 and SRIP (Nonqualified Restoration Plans)</w:t>
      </w:r>
    </w:p>
    <w:p>
      <w:pPr>
        <w:spacing w:after="0" w:line="12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ERISA 2 and SRIP are nonqualified plans that restore benefits provided for under the Pension Plan and S&amp;MS Pension Plan, respectively, but for the limits on eligible pay imposed by Internal Revenue Code section 401(a)(17) and the overall benefit limitation of Internal Revenue Code section 415. Benefits and features in these restoration plans otherwise are generally the same as described above for the underlying tax qualified plan.</w:t>
      </w:r>
    </w:p>
    <w:p>
      <w:pPr>
        <w:spacing w:after="0" w:line="216"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OSERP and OSERP II (Nonqualified Supplemental Executive Retirement Plans)</w:t>
      </w:r>
    </w:p>
    <w:p>
      <w:pPr>
        <w:spacing w:after="0" w:line="123"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These plans provide supplemental pension benefits. They were closed to new hires on or before 2009. In addition, final average pay and associated service under these plans were frozen as of December 31, 2014.</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highlights the key features of these plans applicable to eligible NEOs.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Borders>
              <w:bottom w:val="single" w:sz="8" w:color="29378D"/>
            </w:tcBorders>
          </w:tcPr>
          <w:p>
            <w:pPr>
              <w:ind w:left="20"/>
              <w:spacing w:after="0"/>
              <w:rPr>
                <w:sz w:val="20"/>
                <w:szCs w:val="20"/>
                <w:color w:val="auto"/>
              </w:rPr>
            </w:pPr>
            <w:r>
              <w:rPr>
                <w:rFonts w:ascii="Arial" w:cs="Arial" w:eastAsia="Arial" w:hAnsi="Arial"/>
                <w:sz w:val="13"/>
                <w:szCs w:val="13"/>
                <w:b w:val="1"/>
                <w:bCs w:val="1"/>
                <w:color w:val="auto"/>
              </w:rPr>
              <w:t>Feature</w:t>
            </w:r>
          </w:p>
        </w:tc>
        <w:tc>
          <w:tcPr>
            <w:tcW w:w="8620" w:type="dxa"/>
            <w:vAlign w:val="bottom"/>
            <w:tcBorders>
              <w:bottom w:val="single" w:sz="8" w:color="29378D"/>
            </w:tcBorders>
          </w:tcPr>
          <w:p>
            <w:pPr>
              <w:ind w:left="3800"/>
              <w:spacing w:after="0"/>
              <w:rPr>
                <w:sz w:val="20"/>
                <w:szCs w:val="20"/>
                <w:color w:val="auto"/>
              </w:rPr>
            </w:pPr>
            <w:r>
              <w:rPr>
                <w:rFonts w:ascii="Arial" w:cs="Arial" w:eastAsia="Arial" w:hAnsi="Arial"/>
                <w:sz w:val="13"/>
                <w:szCs w:val="13"/>
                <w:b w:val="1"/>
                <w:bCs w:val="1"/>
                <w:color w:val="auto"/>
              </w:rPr>
              <w:t>OSERP and OSERP II</w:t>
            </w:r>
            <w:r>
              <w:rPr>
                <w:rFonts w:ascii="Arial" w:cs="Arial" w:eastAsia="Arial" w:hAnsi="Arial"/>
                <w:sz w:val="16"/>
                <w:szCs w:val="16"/>
                <w:b w:val="1"/>
                <w:bCs w:val="1"/>
                <w:color w:val="auto"/>
                <w:vertAlign w:val="superscript"/>
              </w:rPr>
              <w:t>(1)</w:t>
            </w:r>
          </w:p>
        </w:tc>
      </w:tr>
      <w:tr>
        <w:trPr>
          <w:trHeight w:val="182"/>
        </w:trPr>
        <w:tc>
          <w:tcPr>
            <w:tcW w:w="2580" w:type="dxa"/>
            <w:vAlign w:val="bottom"/>
          </w:tcPr>
          <w:p>
            <w:pPr>
              <w:ind w:left="20"/>
              <w:spacing w:after="0" w:line="182" w:lineRule="exact"/>
              <w:rPr>
                <w:sz w:val="20"/>
                <w:szCs w:val="20"/>
                <w:color w:val="auto"/>
              </w:rPr>
            </w:pPr>
            <w:r>
              <w:rPr>
                <w:rFonts w:ascii="Arial" w:cs="Arial" w:eastAsia="Arial" w:hAnsi="Arial"/>
                <w:sz w:val="16"/>
                <w:szCs w:val="16"/>
                <w:color w:val="auto"/>
              </w:rPr>
              <w:t>Benefit Formula</w:t>
            </w:r>
          </w:p>
        </w:tc>
        <w:tc>
          <w:tcPr>
            <w:tcW w:w="8620" w:type="dxa"/>
            <w:vAlign w:val="bottom"/>
          </w:tcPr>
          <w:p>
            <w:pPr>
              <w:ind w:left="440"/>
              <w:spacing w:after="0" w:line="182" w:lineRule="exact"/>
              <w:rPr>
                <w:sz w:val="20"/>
                <w:szCs w:val="20"/>
                <w:color w:val="auto"/>
              </w:rPr>
            </w:pPr>
            <w:r>
              <w:rPr>
                <w:rFonts w:ascii="Arial" w:cs="Arial" w:eastAsia="Arial" w:hAnsi="Arial"/>
                <w:sz w:val="16"/>
                <w:szCs w:val="16"/>
                <w:color w:val="auto"/>
              </w:rPr>
              <w:t>Final Average Pay times 2% for each year of service up to 10 years, 1.5% for each subsequent year up to 20</w:t>
            </w:r>
          </w:p>
        </w:tc>
      </w:tr>
      <w:tr>
        <w:trPr>
          <w:trHeight w:val="215"/>
        </w:trPr>
        <w:tc>
          <w:tcPr>
            <w:tcW w:w="2580" w:type="dxa"/>
            <w:vAlign w:val="bottom"/>
          </w:tcPr>
          <w:p>
            <w:pPr>
              <w:spacing w:after="0"/>
              <w:rPr>
                <w:sz w:val="18"/>
                <w:szCs w:val="18"/>
                <w:color w:val="auto"/>
              </w:rPr>
            </w:pPr>
          </w:p>
        </w:tc>
        <w:tc>
          <w:tcPr>
            <w:tcW w:w="8620" w:type="dxa"/>
            <w:vAlign w:val="bottom"/>
          </w:tcPr>
          <w:p>
            <w:pPr>
              <w:ind w:left="440"/>
              <w:spacing w:after="0"/>
              <w:rPr>
                <w:sz w:val="20"/>
                <w:szCs w:val="20"/>
                <w:color w:val="auto"/>
              </w:rPr>
            </w:pPr>
            <w:r>
              <w:rPr>
                <w:rFonts w:ascii="Arial" w:cs="Arial" w:eastAsia="Arial" w:hAnsi="Arial"/>
                <w:sz w:val="16"/>
                <w:szCs w:val="16"/>
                <w:color w:val="auto"/>
              </w:rPr>
              <w:t>years, and 1% for each additional year over 20 and less than 45</w:t>
            </w:r>
          </w:p>
        </w:tc>
      </w:tr>
      <w:tr>
        <w:trPr>
          <w:trHeight w:val="29"/>
        </w:trPr>
        <w:tc>
          <w:tcPr>
            <w:tcW w:w="2580" w:type="dxa"/>
            <w:vAlign w:val="bottom"/>
            <w:tcBorders>
              <w:bottom w:val="single" w:sz="8" w:color="BCBEC0"/>
            </w:tcBorders>
          </w:tcPr>
          <w:p>
            <w:pPr>
              <w:spacing w:after="0"/>
              <w:rPr>
                <w:sz w:val="2"/>
                <w:szCs w:val="2"/>
                <w:color w:val="auto"/>
              </w:rPr>
            </w:pPr>
          </w:p>
        </w:tc>
        <w:tc>
          <w:tcPr>
            <w:tcW w:w="8620" w:type="dxa"/>
            <w:vAlign w:val="bottom"/>
            <w:tcBorders>
              <w:bottom w:val="single" w:sz="8" w:color="BCBEC0"/>
            </w:tcBorders>
          </w:tcPr>
          <w:p>
            <w:pPr>
              <w:spacing w:after="0"/>
              <w:rPr>
                <w:sz w:val="2"/>
                <w:szCs w:val="2"/>
                <w:color w:val="auto"/>
              </w:rPr>
            </w:pPr>
          </w:p>
        </w:tc>
      </w:tr>
      <w:tr>
        <w:trPr>
          <w:trHeight w:val="208"/>
        </w:trPr>
        <w:tc>
          <w:tcPr>
            <w:tcW w:w="2580" w:type="dxa"/>
            <w:vAlign w:val="bottom"/>
          </w:tcPr>
          <w:p>
            <w:pPr>
              <w:ind w:left="20"/>
              <w:spacing w:after="0"/>
              <w:rPr>
                <w:sz w:val="20"/>
                <w:szCs w:val="20"/>
                <w:color w:val="auto"/>
              </w:rPr>
            </w:pPr>
            <w:r>
              <w:rPr>
                <w:rFonts w:ascii="Arial" w:cs="Arial" w:eastAsia="Arial" w:hAnsi="Arial"/>
                <w:sz w:val="16"/>
                <w:szCs w:val="16"/>
                <w:color w:val="auto"/>
              </w:rPr>
              <w:t>Final Average Pay</w:t>
            </w:r>
          </w:p>
        </w:tc>
        <w:tc>
          <w:tcPr>
            <w:tcW w:w="8620" w:type="dxa"/>
            <w:vAlign w:val="bottom"/>
          </w:tcPr>
          <w:p>
            <w:pPr>
              <w:ind w:left="440"/>
              <w:spacing w:after="0"/>
              <w:rPr>
                <w:sz w:val="20"/>
                <w:szCs w:val="20"/>
                <w:color w:val="auto"/>
              </w:rPr>
            </w:pPr>
            <w:r>
              <w:rPr>
                <w:rFonts w:ascii="Arial" w:cs="Arial" w:eastAsia="Arial" w:hAnsi="Arial"/>
                <w:sz w:val="16"/>
                <w:szCs w:val="16"/>
                <w:color w:val="auto"/>
              </w:rPr>
              <w:t>Average of highest three years of Eligible Pay</w:t>
            </w:r>
          </w:p>
        </w:tc>
      </w:tr>
      <w:tr>
        <w:trPr>
          <w:trHeight w:val="28"/>
        </w:trPr>
        <w:tc>
          <w:tcPr>
            <w:tcW w:w="2580" w:type="dxa"/>
            <w:vAlign w:val="bottom"/>
            <w:tcBorders>
              <w:bottom w:val="single" w:sz="8" w:color="BCBEC0"/>
            </w:tcBorders>
          </w:tcPr>
          <w:p>
            <w:pPr>
              <w:spacing w:after="0"/>
              <w:rPr>
                <w:sz w:val="2"/>
                <w:szCs w:val="2"/>
                <w:color w:val="auto"/>
              </w:rPr>
            </w:pPr>
          </w:p>
        </w:tc>
        <w:tc>
          <w:tcPr>
            <w:tcW w:w="8620" w:type="dxa"/>
            <w:vAlign w:val="bottom"/>
            <w:tcBorders>
              <w:bottom w:val="single" w:sz="8" w:color="BCBEC0"/>
            </w:tcBorders>
          </w:tcPr>
          <w:p>
            <w:pPr>
              <w:spacing w:after="0"/>
              <w:rPr>
                <w:sz w:val="2"/>
                <w:szCs w:val="2"/>
                <w:color w:val="auto"/>
              </w:rPr>
            </w:pPr>
          </w:p>
        </w:tc>
      </w:tr>
      <w:tr>
        <w:trPr>
          <w:trHeight w:val="208"/>
        </w:trPr>
        <w:tc>
          <w:tcPr>
            <w:tcW w:w="2580" w:type="dxa"/>
            <w:vAlign w:val="bottom"/>
          </w:tcPr>
          <w:p>
            <w:pPr>
              <w:ind w:left="20"/>
              <w:spacing w:after="0"/>
              <w:rPr>
                <w:sz w:val="20"/>
                <w:szCs w:val="20"/>
                <w:color w:val="auto"/>
              </w:rPr>
            </w:pPr>
            <w:r>
              <w:rPr>
                <w:rFonts w:ascii="Arial" w:cs="Arial" w:eastAsia="Arial" w:hAnsi="Arial"/>
                <w:sz w:val="16"/>
                <w:szCs w:val="16"/>
                <w:color w:val="auto"/>
              </w:rPr>
              <w:t>Eligible Pay</w:t>
            </w:r>
          </w:p>
        </w:tc>
        <w:tc>
          <w:tcPr>
            <w:tcW w:w="8620" w:type="dxa"/>
            <w:vAlign w:val="bottom"/>
          </w:tcPr>
          <w:p>
            <w:pPr>
              <w:ind w:left="440"/>
              <w:spacing w:after="0"/>
              <w:rPr>
                <w:sz w:val="20"/>
                <w:szCs w:val="20"/>
                <w:color w:val="auto"/>
              </w:rPr>
            </w:pPr>
            <w:r>
              <w:rPr>
                <w:rFonts w:ascii="Arial" w:cs="Arial" w:eastAsia="Arial" w:hAnsi="Arial"/>
                <w:sz w:val="16"/>
                <w:szCs w:val="16"/>
                <w:color w:val="auto"/>
              </w:rPr>
              <w:t>Salary and bonus (including amounts above Internal Revenue Code limits and amounts deferred)</w:t>
            </w:r>
          </w:p>
        </w:tc>
      </w:tr>
      <w:tr>
        <w:trPr>
          <w:trHeight w:val="28"/>
        </w:trPr>
        <w:tc>
          <w:tcPr>
            <w:tcW w:w="2580" w:type="dxa"/>
            <w:vAlign w:val="bottom"/>
            <w:tcBorders>
              <w:bottom w:val="single" w:sz="8" w:color="BCBEC0"/>
            </w:tcBorders>
          </w:tcPr>
          <w:p>
            <w:pPr>
              <w:spacing w:after="0"/>
              <w:rPr>
                <w:sz w:val="2"/>
                <w:szCs w:val="2"/>
                <w:color w:val="auto"/>
              </w:rPr>
            </w:pPr>
          </w:p>
        </w:tc>
        <w:tc>
          <w:tcPr>
            <w:tcW w:w="8620" w:type="dxa"/>
            <w:vAlign w:val="bottom"/>
            <w:tcBorders>
              <w:bottom w:val="single" w:sz="8" w:color="BCBEC0"/>
            </w:tcBorders>
          </w:tcPr>
          <w:p>
            <w:pPr>
              <w:spacing w:after="0"/>
              <w:rPr>
                <w:sz w:val="2"/>
                <w:szCs w:val="2"/>
                <w:color w:val="auto"/>
              </w:rPr>
            </w:pPr>
          </w:p>
        </w:tc>
      </w:tr>
      <w:tr>
        <w:trPr>
          <w:trHeight w:val="208"/>
        </w:trPr>
        <w:tc>
          <w:tcPr>
            <w:tcW w:w="2580" w:type="dxa"/>
            <w:vAlign w:val="bottom"/>
          </w:tcPr>
          <w:p>
            <w:pPr>
              <w:ind w:left="20"/>
              <w:spacing w:after="0"/>
              <w:rPr>
                <w:sz w:val="20"/>
                <w:szCs w:val="20"/>
                <w:color w:val="auto"/>
              </w:rPr>
            </w:pPr>
            <w:r>
              <w:rPr>
                <w:rFonts w:ascii="Arial" w:cs="Arial" w:eastAsia="Arial" w:hAnsi="Arial"/>
                <w:sz w:val="16"/>
                <w:szCs w:val="16"/>
                <w:color w:val="auto"/>
              </w:rPr>
              <w:t>Normal Retirement</w:t>
            </w:r>
          </w:p>
        </w:tc>
        <w:tc>
          <w:tcPr>
            <w:tcW w:w="8620" w:type="dxa"/>
            <w:vAlign w:val="bottom"/>
          </w:tcPr>
          <w:p>
            <w:pPr>
              <w:ind w:left="440"/>
              <w:spacing w:after="0"/>
              <w:rPr>
                <w:sz w:val="20"/>
                <w:szCs w:val="20"/>
                <w:color w:val="auto"/>
              </w:rPr>
            </w:pPr>
            <w:r>
              <w:rPr>
                <w:rFonts w:ascii="Arial" w:cs="Arial" w:eastAsia="Arial" w:hAnsi="Arial"/>
                <w:sz w:val="16"/>
                <w:szCs w:val="16"/>
                <w:color w:val="auto"/>
              </w:rPr>
              <w:t>Age 65</w:t>
            </w:r>
          </w:p>
        </w:tc>
      </w:tr>
      <w:tr>
        <w:trPr>
          <w:trHeight w:val="28"/>
        </w:trPr>
        <w:tc>
          <w:tcPr>
            <w:tcW w:w="2580" w:type="dxa"/>
            <w:vAlign w:val="bottom"/>
            <w:tcBorders>
              <w:bottom w:val="single" w:sz="8" w:color="BCBEC0"/>
            </w:tcBorders>
          </w:tcPr>
          <w:p>
            <w:pPr>
              <w:spacing w:after="0"/>
              <w:rPr>
                <w:sz w:val="2"/>
                <w:szCs w:val="2"/>
                <w:color w:val="auto"/>
              </w:rPr>
            </w:pPr>
          </w:p>
        </w:tc>
        <w:tc>
          <w:tcPr>
            <w:tcW w:w="8620" w:type="dxa"/>
            <w:vAlign w:val="bottom"/>
            <w:tcBorders>
              <w:bottom w:val="single" w:sz="8" w:color="BCBEC0"/>
            </w:tcBorders>
          </w:tcPr>
          <w:p>
            <w:pPr>
              <w:spacing w:after="0"/>
              <w:rPr>
                <w:sz w:val="2"/>
                <w:szCs w:val="2"/>
                <w:color w:val="auto"/>
              </w:rPr>
            </w:pPr>
          </w:p>
        </w:tc>
      </w:tr>
      <w:tr>
        <w:trPr>
          <w:trHeight w:val="208"/>
        </w:trPr>
        <w:tc>
          <w:tcPr>
            <w:tcW w:w="2580" w:type="dxa"/>
            <w:vAlign w:val="bottom"/>
          </w:tcPr>
          <w:p>
            <w:pPr>
              <w:ind w:left="20"/>
              <w:spacing w:after="0"/>
              <w:rPr>
                <w:sz w:val="20"/>
                <w:szCs w:val="20"/>
                <w:color w:val="auto"/>
              </w:rPr>
            </w:pPr>
            <w:r>
              <w:rPr>
                <w:rFonts w:ascii="Arial" w:cs="Arial" w:eastAsia="Arial" w:hAnsi="Arial"/>
                <w:sz w:val="16"/>
                <w:szCs w:val="16"/>
                <w:color w:val="auto"/>
              </w:rPr>
              <w:t>Early Retirement</w:t>
            </w:r>
          </w:p>
        </w:tc>
        <w:tc>
          <w:tcPr>
            <w:tcW w:w="8620" w:type="dxa"/>
            <w:vAlign w:val="bottom"/>
          </w:tcPr>
          <w:p>
            <w:pPr>
              <w:ind w:left="440"/>
              <w:spacing w:after="0"/>
              <w:rPr>
                <w:sz w:val="20"/>
                <w:szCs w:val="20"/>
                <w:color w:val="auto"/>
              </w:rPr>
            </w:pPr>
            <w:r>
              <w:rPr>
                <w:rFonts w:ascii="Arial" w:cs="Arial" w:eastAsia="Arial" w:hAnsi="Arial"/>
                <w:sz w:val="16"/>
                <w:szCs w:val="16"/>
                <w:color w:val="auto"/>
              </w:rPr>
              <w:t>Age 55 with 10 years of service</w:t>
            </w:r>
          </w:p>
        </w:tc>
      </w:tr>
      <w:tr>
        <w:trPr>
          <w:trHeight w:val="28"/>
        </w:trPr>
        <w:tc>
          <w:tcPr>
            <w:tcW w:w="2580" w:type="dxa"/>
            <w:vAlign w:val="bottom"/>
            <w:tcBorders>
              <w:bottom w:val="single" w:sz="8" w:color="BCBEC0"/>
            </w:tcBorders>
          </w:tcPr>
          <w:p>
            <w:pPr>
              <w:spacing w:after="0"/>
              <w:rPr>
                <w:sz w:val="2"/>
                <w:szCs w:val="2"/>
                <w:color w:val="auto"/>
              </w:rPr>
            </w:pPr>
          </w:p>
        </w:tc>
        <w:tc>
          <w:tcPr>
            <w:tcW w:w="8620" w:type="dxa"/>
            <w:vAlign w:val="bottom"/>
            <w:tcBorders>
              <w:bottom w:val="single" w:sz="8" w:color="BCBEC0"/>
            </w:tcBorders>
          </w:tcPr>
          <w:p>
            <w:pPr>
              <w:spacing w:after="0"/>
              <w:rPr>
                <w:sz w:val="2"/>
                <w:szCs w:val="2"/>
                <w:color w:val="auto"/>
              </w:rPr>
            </w:pPr>
          </w:p>
        </w:tc>
      </w:tr>
      <w:tr>
        <w:trPr>
          <w:trHeight w:val="208"/>
        </w:trPr>
        <w:tc>
          <w:tcPr>
            <w:tcW w:w="2580" w:type="dxa"/>
            <w:vAlign w:val="bottom"/>
          </w:tcPr>
          <w:p>
            <w:pPr>
              <w:ind w:left="20"/>
              <w:spacing w:after="0"/>
              <w:rPr>
                <w:sz w:val="20"/>
                <w:szCs w:val="20"/>
                <w:color w:val="auto"/>
              </w:rPr>
            </w:pPr>
            <w:r>
              <w:rPr>
                <w:rFonts w:ascii="Arial" w:cs="Arial" w:eastAsia="Arial" w:hAnsi="Arial"/>
                <w:sz w:val="16"/>
                <w:szCs w:val="16"/>
                <w:color w:val="auto"/>
              </w:rPr>
              <w:t>Early Retirement Reduction</w:t>
            </w:r>
          </w:p>
        </w:tc>
        <w:tc>
          <w:tcPr>
            <w:tcW w:w="8620" w:type="dxa"/>
            <w:vAlign w:val="bottom"/>
          </w:tcPr>
          <w:p>
            <w:pPr>
              <w:ind w:left="440"/>
              <w:spacing w:after="0"/>
              <w:rPr>
                <w:sz w:val="20"/>
                <w:szCs w:val="20"/>
                <w:color w:val="auto"/>
              </w:rPr>
            </w:pPr>
            <w:r>
              <w:rPr>
                <w:rFonts w:ascii="Arial" w:cs="Arial" w:eastAsia="Arial" w:hAnsi="Arial"/>
                <w:sz w:val="16"/>
                <w:szCs w:val="16"/>
                <w:color w:val="auto"/>
              </w:rPr>
              <w:t>Benefits are reduced for commencement prior to the earlier of age 65 or 85 points (age + service)</w:t>
            </w:r>
          </w:p>
        </w:tc>
      </w:tr>
      <w:tr>
        <w:trPr>
          <w:trHeight w:val="28"/>
        </w:trPr>
        <w:tc>
          <w:tcPr>
            <w:tcW w:w="2580" w:type="dxa"/>
            <w:vAlign w:val="bottom"/>
            <w:tcBorders>
              <w:bottom w:val="single" w:sz="8" w:color="BCBEC0"/>
            </w:tcBorders>
          </w:tcPr>
          <w:p>
            <w:pPr>
              <w:spacing w:after="0"/>
              <w:rPr>
                <w:sz w:val="2"/>
                <w:szCs w:val="2"/>
                <w:color w:val="auto"/>
              </w:rPr>
            </w:pPr>
          </w:p>
        </w:tc>
        <w:tc>
          <w:tcPr>
            <w:tcW w:w="8620" w:type="dxa"/>
            <w:vAlign w:val="bottom"/>
            <w:tcBorders>
              <w:bottom w:val="single" w:sz="8" w:color="BCBEC0"/>
            </w:tcBorders>
          </w:tcPr>
          <w:p>
            <w:pPr>
              <w:spacing w:after="0"/>
              <w:rPr>
                <w:sz w:val="2"/>
                <w:szCs w:val="2"/>
                <w:color w:val="auto"/>
              </w:rPr>
            </w:pPr>
          </w:p>
        </w:tc>
      </w:tr>
      <w:tr>
        <w:trPr>
          <w:trHeight w:val="208"/>
        </w:trPr>
        <w:tc>
          <w:tcPr>
            <w:tcW w:w="2580" w:type="dxa"/>
            <w:vAlign w:val="bottom"/>
          </w:tcPr>
          <w:p>
            <w:pPr>
              <w:ind w:left="20"/>
              <w:spacing w:after="0"/>
              <w:rPr>
                <w:sz w:val="20"/>
                <w:szCs w:val="20"/>
                <w:color w:val="auto"/>
              </w:rPr>
            </w:pPr>
            <w:r>
              <w:rPr>
                <w:rFonts w:ascii="Arial" w:cs="Arial" w:eastAsia="Arial" w:hAnsi="Arial"/>
                <w:sz w:val="16"/>
                <w:szCs w:val="16"/>
                <w:color w:val="auto"/>
              </w:rPr>
              <w:t>Reductions From Other Plans</w:t>
            </w:r>
          </w:p>
        </w:tc>
        <w:tc>
          <w:tcPr>
            <w:tcW w:w="8620" w:type="dxa"/>
            <w:vAlign w:val="bottom"/>
          </w:tcPr>
          <w:p>
            <w:pPr>
              <w:ind w:left="440"/>
              <w:spacing w:after="0"/>
              <w:rPr>
                <w:sz w:val="20"/>
                <w:szCs w:val="20"/>
                <w:color w:val="auto"/>
              </w:rPr>
            </w:pPr>
            <w:r>
              <w:rPr>
                <w:rFonts w:ascii="Arial" w:cs="Arial" w:eastAsia="Arial" w:hAnsi="Arial"/>
                <w:sz w:val="16"/>
                <w:szCs w:val="16"/>
                <w:color w:val="auto"/>
              </w:rPr>
              <w:t>Reduced by any other Company pension benefits</w:t>
            </w:r>
          </w:p>
        </w:tc>
      </w:tr>
      <w:tr>
        <w:trPr>
          <w:trHeight w:val="28"/>
        </w:trPr>
        <w:tc>
          <w:tcPr>
            <w:tcW w:w="2580" w:type="dxa"/>
            <w:vAlign w:val="bottom"/>
            <w:tcBorders>
              <w:bottom w:val="single" w:sz="8" w:color="BCBEC0"/>
            </w:tcBorders>
          </w:tcPr>
          <w:p>
            <w:pPr>
              <w:spacing w:after="0"/>
              <w:rPr>
                <w:sz w:val="2"/>
                <w:szCs w:val="2"/>
                <w:color w:val="auto"/>
              </w:rPr>
            </w:pPr>
          </w:p>
        </w:tc>
        <w:tc>
          <w:tcPr>
            <w:tcW w:w="8620" w:type="dxa"/>
            <w:vAlign w:val="bottom"/>
            <w:tcBorders>
              <w:bottom w:val="single" w:sz="8" w:color="BCBEC0"/>
            </w:tcBorders>
          </w:tcPr>
          <w:p>
            <w:pPr>
              <w:spacing w:after="0"/>
              <w:rPr>
                <w:sz w:val="2"/>
                <w:szCs w:val="2"/>
                <w:color w:val="auto"/>
              </w:rPr>
            </w:pPr>
          </w:p>
        </w:tc>
      </w:tr>
    </w:tbl>
    <w:p>
      <w:pPr>
        <w:spacing w:after="0" w:line="193" w:lineRule="exact"/>
        <w:rPr>
          <w:sz w:val="20"/>
          <w:szCs w:val="20"/>
          <w:color w:val="auto"/>
        </w:rPr>
      </w:pPr>
    </w:p>
    <w:p>
      <w:pPr>
        <w:ind w:left="260" w:right="140" w:hanging="252"/>
        <w:spacing w:after="0" w:line="305" w:lineRule="auto"/>
        <w:tabs>
          <w:tab w:leader="none" w:pos="258" w:val="left"/>
        </w:tabs>
        <w:numPr>
          <w:ilvl w:val="0"/>
          <w:numId w:val="148"/>
        </w:numPr>
        <w:rPr>
          <w:rFonts w:ascii="Arial" w:cs="Arial" w:eastAsia="Arial" w:hAnsi="Arial"/>
          <w:sz w:val="14"/>
          <w:szCs w:val="14"/>
          <w:color w:val="auto"/>
        </w:rPr>
      </w:pPr>
      <w:r>
        <w:rPr>
          <w:rFonts w:ascii="Arial" w:cs="Arial" w:eastAsia="Arial" w:hAnsi="Arial"/>
          <w:sz w:val="14"/>
          <w:szCs w:val="14"/>
          <w:color w:val="auto"/>
        </w:rPr>
        <w:t>Ms. Warden participates in OSERP II, which mirrors the benefits provided under the Cash Balance Formula with a pay-based credit percentage of 6.5% (without regard to limits imposed by the Internal Revenue Code sections 401(a)(17) and 415) and under the OSERP provisions described above.</w:t>
      </w:r>
    </w:p>
    <w:p>
      <w:pPr>
        <w:spacing w:after="0" w:line="205"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Information on Executives Eligible for Early Retirement</w:t>
      </w:r>
    </w:p>
    <w:p>
      <w:pPr>
        <w:spacing w:after="0" w:line="123"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The following NEO was eligible for early retirement as of December 31, 2023 (timing below excludes delays imposed by Internal Revenue Code section 409A):</w:t>
      </w:r>
    </w:p>
    <w:p>
      <w:pPr>
        <w:spacing w:after="0" w:line="48" w:lineRule="exact"/>
        <w:rPr>
          <w:sz w:val="20"/>
          <w:szCs w:val="20"/>
          <w:color w:val="auto"/>
        </w:rPr>
      </w:pPr>
    </w:p>
    <w:p>
      <w:pPr>
        <w:ind w:left="200" w:right="940" w:hanging="192"/>
        <w:spacing w:after="0" w:line="304" w:lineRule="auto"/>
        <w:tabs>
          <w:tab w:leader="none" w:pos="143" w:val="left"/>
        </w:tabs>
        <w:numPr>
          <w:ilvl w:val="0"/>
          <w:numId w:val="149"/>
        </w:numPr>
        <w:rPr>
          <w:rFonts w:ascii="Arial" w:cs="Arial" w:eastAsia="Arial" w:hAnsi="Arial"/>
          <w:sz w:val="16"/>
          <w:szCs w:val="16"/>
          <w:b w:val="1"/>
          <w:bCs w:val="1"/>
          <w:color w:val="29378D"/>
        </w:rPr>
      </w:pPr>
      <w:r>
        <w:rPr>
          <w:rFonts w:ascii="Arial" w:cs="Arial" w:eastAsia="Arial" w:hAnsi="Arial"/>
          <w:sz w:val="16"/>
          <w:szCs w:val="16"/>
          <w:color w:val="auto"/>
        </w:rPr>
        <w:t>If Mr. Caylor had retired on December 31, 2023, he would have been eligible to receive an estimated total annual pension benefit of $308,729 (commencing January 1, 2024).</w:t>
      </w:r>
    </w:p>
    <w:p>
      <w:pPr>
        <w:spacing w:after="0" w:line="200" w:lineRule="exact"/>
        <w:rPr>
          <w:sz w:val="20"/>
          <w:szCs w:val="20"/>
          <w:color w:val="auto"/>
        </w:rPr>
      </w:pPr>
    </w:p>
    <w:p>
      <w:pPr>
        <w:spacing w:after="0" w:line="392" w:lineRule="exact"/>
        <w:rPr>
          <w:sz w:val="20"/>
          <w:szCs w:val="20"/>
          <w:color w:val="auto"/>
        </w:rPr>
      </w:pPr>
    </w:p>
    <w:p>
      <w:pPr>
        <w:ind w:left="520" w:hanging="494"/>
        <w:spacing w:after="0"/>
        <w:tabs>
          <w:tab w:leader="none" w:pos="520" w:val="left"/>
        </w:tabs>
        <w:numPr>
          <w:ilvl w:val="0"/>
          <w:numId w:val="150"/>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81" w:name="page82"/>
    <w:bookmarkEnd w:id="81"/>
    <w:p>
      <w:pPr>
        <w:jc w:val="right"/>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2023 Nonqualified Deferred Compensation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780" w:type="dxa"/>
            <w:vAlign w:val="bottom"/>
          </w:tcPr>
          <w:p>
            <w:pPr>
              <w:jc w:val="right"/>
              <w:ind w:right="212"/>
              <w:spacing w:after="0"/>
              <w:rPr>
                <w:sz w:val="20"/>
                <w:szCs w:val="20"/>
                <w:color w:val="auto"/>
              </w:rPr>
            </w:pPr>
            <w:r>
              <w:rPr>
                <w:rFonts w:ascii="Arial" w:cs="Arial" w:eastAsia="Arial" w:hAnsi="Arial"/>
                <w:sz w:val="12"/>
                <w:szCs w:val="12"/>
                <w:b w:val="1"/>
                <w:bCs w:val="1"/>
                <w:color w:val="auto"/>
              </w:rPr>
              <w:t>Executive</w:t>
            </w:r>
          </w:p>
        </w:tc>
        <w:tc>
          <w:tcPr>
            <w:tcW w:w="1460" w:type="dxa"/>
            <w:vAlign w:val="bottom"/>
          </w:tcPr>
          <w:p>
            <w:pPr>
              <w:jc w:val="right"/>
              <w:ind w:right="212"/>
              <w:spacing w:after="0"/>
              <w:rPr>
                <w:sz w:val="20"/>
                <w:szCs w:val="20"/>
                <w:color w:val="auto"/>
              </w:rPr>
            </w:pPr>
            <w:r>
              <w:rPr>
                <w:rFonts w:ascii="Arial" w:cs="Arial" w:eastAsia="Arial" w:hAnsi="Arial"/>
                <w:sz w:val="12"/>
                <w:szCs w:val="12"/>
                <w:b w:val="1"/>
                <w:bCs w:val="1"/>
                <w:color w:val="auto"/>
              </w:rPr>
              <w:t>Registrant</w:t>
            </w:r>
          </w:p>
        </w:tc>
        <w:tc>
          <w:tcPr>
            <w:tcW w:w="1480" w:type="dxa"/>
            <w:vAlign w:val="bottom"/>
          </w:tcPr>
          <w:p>
            <w:pPr>
              <w:jc w:val="right"/>
              <w:ind w:right="234"/>
              <w:spacing w:after="0"/>
              <w:rPr>
                <w:sz w:val="20"/>
                <w:szCs w:val="20"/>
                <w:color w:val="auto"/>
              </w:rPr>
            </w:pPr>
            <w:r>
              <w:rPr>
                <w:rFonts w:ascii="Arial" w:cs="Arial" w:eastAsia="Arial" w:hAnsi="Arial"/>
                <w:sz w:val="12"/>
                <w:szCs w:val="12"/>
                <w:b w:val="1"/>
                <w:bCs w:val="1"/>
                <w:color w:val="auto"/>
              </w:rPr>
              <w:t>Aggregate</w:t>
            </w:r>
          </w:p>
        </w:tc>
        <w:tc>
          <w:tcPr>
            <w:tcW w:w="1300" w:type="dxa"/>
            <w:vAlign w:val="bottom"/>
          </w:tcPr>
          <w:p>
            <w:pPr>
              <w:jc w:val="right"/>
              <w:ind w:right="212"/>
              <w:spacing w:after="0"/>
              <w:rPr>
                <w:sz w:val="20"/>
                <w:szCs w:val="20"/>
                <w:color w:val="auto"/>
              </w:rPr>
            </w:pPr>
            <w:r>
              <w:rPr>
                <w:rFonts w:ascii="Arial" w:cs="Arial" w:eastAsia="Arial" w:hAnsi="Arial"/>
                <w:sz w:val="12"/>
                <w:szCs w:val="12"/>
                <w:b w:val="1"/>
                <w:bCs w:val="1"/>
                <w:color w:val="auto"/>
              </w:rPr>
              <w:t>Aggregate</w:t>
            </w: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Aggregate</w:t>
            </w:r>
          </w:p>
        </w:tc>
      </w:tr>
      <w:tr>
        <w:trPr>
          <w:trHeight w:val="135"/>
        </w:trPr>
        <w:tc>
          <w:tcPr>
            <w:tcW w:w="25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780" w:type="dxa"/>
            <w:vAlign w:val="bottom"/>
          </w:tcPr>
          <w:p>
            <w:pPr>
              <w:jc w:val="right"/>
              <w:ind w:right="212"/>
              <w:spacing w:after="0" w:line="135" w:lineRule="exact"/>
              <w:rPr>
                <w:sz w:val="20"/>
                <w:szCs w:val="20"/>
                <w:color w:val="auto"/>
              </w:rPr>
            </w:pPr>
            <w:r>
              <w:rPr>
                <w:rFonts w:ascii="Arial" w:cs="Arial" w:eastAsia="Arial" w:hAnsi="Arial"/>
                <w:sz w:val="12"/>
                <w:szCs w:val="12"/>
                <w:b w:val="1"/>
                <w:bCs w:val="1"/>
                <w:color w:val="auto"/>
              </w:rPr>
              <w:t>Contributions in</w:t>
            </w:r>
          </w:p>
        </w:tc>
        <w:tc>
          <w:tcPr>
            <w:tcW w:w="1460" w:type="dxa"/>
            <w:vAlign w:val="bottom"/>
          </w:tcPr>
          <w:p>
            <w:pPr>
              <w:jc w:val="right"/>
              <w:ind w:right="212"/>
              <w:spacing w:after="0" w:line="135" w:lineRule="exact"/>
              <w:rPr>
                <w:sz w:val="20"/>
                <w:szCs w:val="20"/>
                <w:color w:val="auto"/>
              </w:rPr>
            </w:pPr>
            <w:r>
              <w:rPr>
                <w:rFonts w:ascii="Arial" w:cs="Arial" w:eastAsia="Arial" w:hAnsi="Arial"/>
                <w:sz w:val="12"/>
                <w:szCs w:val="12"/>
                <w:b w:val="1"/>
                <w:bCs w:val="1"/>
                <w:color w:val="auto"/>
              </w:rPr>
              <w:t>Contributions in</w:t>
            </w:r>
          </w:p>
        </w:tc>
        <w:tc>
          <w:tcPr>
            <w:tcW w:w="1480" w:type="dxa"/>
            <w:vAlign w:val="bottom"/>
          </w:tcPr>
          <w:p>
            <w:pPr>
              <w:jc w:val="right"/>
              <w:ind w:right="234"/>
              <w:spacing w:after="0" w:line="135" w:lineRule="exact"/>
              <w:rPr>
                <w:sz w:val="20"/>
                <w:szCs w:val="20"/>
                <w:color w:val="auto"/>
              </w:rPr>
            </w:pPr>
            <w:r>
              <w:rPr>
                <w:rFonts w:ascii="Arial" w:cs="Arial" w:eastAsia="Arial" w:hAnsi="Arial"/>
                <w:sz w:val="12"/>
                <w:szCs w:val="12"/>
                <w:b w:val="1"/>
                <w:bCs w:val="1"/>
                <w:color w:val="auto"/>
              </w:rPr>
              <w:t>Earnings in Last</w:t>
            </w:r>
          </w:p>
        </w:tc>
        <w:tc>
          <w:tcPr>
            <w:tcW w:w="1300" w:type="dxa"/>
            <w:vAlign w:val="bottom"/>
          </w:tcPr>
          <w:p>
            <w:pPr>
              <w:jc w:val="right"/>
              <w:ind w:right="212"/>
              <w:spacing w:after="0" w:line="135" w:lineRule="exact"/>
              <w:rPr>
                <w:sz w:val="20"/>
                <w:szCs w:val="20"/>
                <w:color w:val="auto"/>
              </w:rPr>
            </w:pPr>
            <w:r>
              <w:rPr>
                <w:rFonts w:ascii="Arial" w:cs="Arial" w:eastAsia="Arial" w:hAnsi="Arial"/>
                <w:sz w:val="12"/>
                <w:szCs w:val="12"/>
                <w:b w:val="1"/>
                <w:bCs w:val="1"/>
                <w:color w:val="auto"/>
              </w:rPr>
              <w:t>Withdrawals/</w:t>
            </w:r>
          </w:p>
        </w:tc>
        <w:tc>
          <w:tcPr>
            <w:tcW w:w="11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Balance at Last</w:t>
            </w:r>
          </w:p>
        </w:tc>
      </w:tr>
      <w:tr>
        <w:trPr>
          <w:trHeight w:val="135"/>
        </w:trPr>
        <w:tc>
          <w:tcPr>
            <w:tcW w:w="25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780" w:type="dxa"/>
            <w:vAlign w:val="bottom"/>
          </w:tcPr>
          <w:p>
            <w:pPr>
              <w:jc w:val="right"/>
              <w:ind w:right="212"/>
              <w:spacing w:after="0" w:line="135" w:lineRule="exact"/>
              <w:rPr>
                <w:sz w:val="20"/>
                <w:szCs w:val="20"/>
                <w:color w:val="auto"/>
              </w:rPr>
            </w:pPr>
            <w:r>
              <w:rPr>
                <w:rFonts w:ascii="Arial" w:cs="Arial" w:eastAsia="Arial" w:hAnsi="Arial"/>
                <w:sz w:val="12"/>
                <w:szCs w:val="12"/>
                <w:b w:val="1"/>
                <w:bCs w:val="1"/>
                <w:color w:val="auto"/>
              </w:rPr>
              <w:t>Last FY</w:t>
            </w:r>
            <w:r>
              <w:rPr>
                <w:rFonts w:ascii="Arial" w:cs="Arial" w:eastAsia="Arial" w:hAnsi="Arial"/>
                <w:sz w:val="15"/>
                <w:szCs w:val="15"/>
                <w:b w:val="1"/>
                <w:bCs w:val="1"/>
                <w:color w:val="auto"/>
                <w:vertAlign w:val="superscript"/>
              </w:rPr>
              <w:t>(1)</w:t>
            </w:r>
          </w:p>
        </w:tc>
        <w:tc>
          <w:tcPr>
            <w:tcW w:w="1460" w:type="dxa"/>
            <w:vAlign w:val="bottom"/>
          </w:tcPr>
          <w:p>
            <w:pPr>
              <w:jc w:val="right"/>
              <w:ind w:right="212"/>
              <w:spacing w:after="0" w:line="135" w:lineRule="exact"/>
              <w:rPr>
                <w:sz w:val="20"/>
                <w:szCs w:val="20"/>
                <w:color w:val="auto"/>
              </w:rPr>
            </w:pPr>
            <w:r>
              <w:rPr>
                <w:rFonts w:ascii="Arial" w:cs="Arial" w:eastAsia="Arial" w:hAnsi="Arial"/>
                <w:sz w:val="12"/>
                <w:szCs w:val="12"/>
                <w:b w:val="1"/>
                <w:bCs w:val="1"/>
                <w:color w:val="auto"/>
              </w:rPr>
              <w:t>Last FY</w:t>
            </w:r>
            <w:r>
              <w:rPr>
                <w:rFonts w:ascii="Arial" w:cs="Arial" w:eastAsia="Arial" w:hAnsi="Arial"/>
                <w:sz w:val="15"/>
                <w:szCs w:val="15"/>
                <w:b w:val="1"/>
                <w:bCs w:val="1"/>
                <w:color w:val="auto"/>
                <w:vertAlign w:val="superscript"/>
              </w:rPr>
              <w:t>(2)</w:t>
            </w:r>
          </w:p>
        </w:tc>
        <w:tc>
          <w:tcPr>
            <w:tcW w:w="1480" w:type="dxa"/>
            <w:vAlign w:val="bottom"/>
          </w:tcPr>
          <w:p>
            <w:pPr>
              <w:jc w:val="right"/>
              <w:ind w:right="234"/>
              <w:spacing w:after="0" w:line="135" w:lineRule="exact"/>
              <w:rPr>
                <w:sz w:val="20"/>
                <w:szCs w:val="20"/>
                <w:color w:val="auto"/>
              </w:rPr>
            </w:pPr>
            <w:r>
              <w:rPr>
                <w:rFonts w:ascii="Arial" w:cs="Arial" w:eastAsia="Arial" w:hAnsi="Arial"/>
                <w:sz w:val="15"/>
                <w:szCs w:val="15"/>
                <w:b w:val="1"/>
                <w:bCs w:val="1"/>
                <w:color w:val="auto"/>
                <w:vertAlign w:val="subscript"/>
              </w:rPr>
              <w:t>FY</w:t>
            </w:r>
            <w:r>
              <w:rPr>
                <w:rFonts w:ascii="Arial" w:cs="Arial" w:eastAsia="Arial" w:hAnsi="Arial"/>
                <w:sz w:val="6"/>
                <w:szCs w:val="6"/>
                <w:b w:val="1"/>
                <w:bCs w:val="1"/>
                <w:color w:val="auto"/>
              </w:rPr>
              <w:t>(3)</w:t>
            </w:r>
          </w:p>
        </w:tc>
        <w:tc>
          <w:tcPr>
            <w:tcW w:w="1300" w:type="dxa"/>
            <w:vAlign w:val="bottom"/>
          </w:tcPr>
          <w:p>
            <w:pPr>
              <w:jc w:val="right"/>
              <w:ind w:right="212"/>
              <w:spacing w:after="0" w:line="135" w:lineRule="exact"/>
              <w:rPr>
                <w:sz w:val="20"/>
                <w:szCs w:val="20"/>
                <w:color w:val="auto"/>
              </w:rPr>
            </w:pPr>
            <w:r>
              <w:rPr>
                <w:rFonts w:ascii="Arial" w:cs="Arial" w:eastAsia="Arial" w:hAnsi="Arial"/>
                <w:sz w:val="12"/>
                <w:szCs w:val="12"/>
                <w:b w:val="1"/>
                <w:bCs w:val="1"/>
                <w:color w:val="auto"/>
              </w:rPr>
              <w:t>Distributions</w:t>
            </w:r>
          </w:p>
        </w:tc>
        <w:tc>
          <w:tcPr>
            <w:tcW w:w="114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FYE</w:t>
            </w:r>
            <w:r>
              <w:rPr>
                <w:rFonts w:ascii="Arial" w:cs="Arial" w:eastAsia="Arial" w:hAnsi="Arial"/>
                <w:sz w:val="15"/>
                <w:szCs w:val="15"/>
                <w:b w:val="1"/>
                <w:bCs w:val="1"/>
                <w:color w:val="auto"/>
                <w:vertAlign w:val="superscript"/>
              </w:rPr>
              <w:t>(4)</w:t>
            </w:r>
          </w:p>
        </w:tc>
      </w:tr>
      <w:tr>
        <w:trPr>
          <w:trHeight w:val="160"/>
        </w:trPr>
        <w:tc>
          <w:tcPr>
            <w:tcW w:w="2560" w:type="dxa"/>
            <w:vAlign w:val="bottom"/>
          </w:tcPr>
          <w:p>
            <w:pPr>
              <w:ind w:left="20"/>
              <w:spacing w:after="0"/>
              <w:rPr>
                <w:sz w:val="20"/>
                <w:szCs w:val="20"/>
                <w:color w:val="auto"/>
              </w:rPr>
            </w:pPr>
            <w:r>
              <w:rPr>
                <w:rFonts w:ascii="Arial" w:cs="Arial" w:eastAsia="Arial" w:hAnsi="Arial"/>
                <w:sz w:val="12"/>
                <w:szCs w:val="12"/>
                <w:b w:val="1"/>
                <w:bCs w:val="1"/>
                <w:color w:val="auto"/>
              </w:rPr>
              <w:t>Name</w:t>
            </w:r>
          </w:p>
        </w:tc>
        <w:tc>
          <w:tcPr>
            <w:tcW w:w="1520" w:type="dxa"/>
            <w:vAlign w:val="bottom"/>
          </w:tcPr>
          <w:p>
            <w:pPr>
              <w:ind w:left="20"/>
              <w:spacing w:after="0"/>
              <w:rPr>
                <w:sz w:val="20"/>
                <w:szCs w:val="20"/>
                <w:color w:val="auto"/>
              </w:rPr>
            </w:pPr>
            <w:r>
              <w:rPr>
                <w:rFonts w:ascii="Arial" w:cs="Arial" w:eastAsia="Arial" w:hAnsi="Arial"/>
                <w:sz w:val="12"/>
                <w:szCs w:val="12"/>
                <w:b w:val="1"/>
                <w:bCs w:val="1"/>
                <w:color w:val="auto"/>
              </w:rPr>
              <w:t>Plan Name</w:t>
            </w:r>
          </w:p>
        </w:tc>
        <w:tc>
          <w:tcPr>
            <w:tcW w:w="1780" w:type="dxa"/>
            <w:vAlign w:val="bottom"/>
          </w:tcPr>
          <w:p>
            <w:pPr>
              <w:jc w:val="right"/>
              <w:ind w:right="212"/>
              <w:spacing w:after="0"/>
              <w:rPr>
                <w:sz w:val="20"/>
                <w:szCs w:val="20"/>
                <w:color w:val="auto"/>
              </w:rPr>
            </w:pPr>
            <w:r>
              <w:rPr>
                <w:rFonts w:ascii="Arial" w:cs="Arial" w:eastAsia="Arial" w:hAnsi="Arial"/>
                <w:sz w:val="12"/>
                <w:szCs w:val="12"/>
                <w:b w:val="1"/>
                <w:bCs w:val="1"/>
                <w:color w:val="auto"/>
              </w:rPr>
              <w:t>($)</w:t>
            </w:r>
          </w:p>
        </w:tc>
        <w:tc>
          <w:tcPr>
            <w:tcW w:w="1460" w:type="dxa"/>
            <w:vAlign w:val="bottom"/>
          </w:tcPr>
          <w:p>
            <w:pPr>
              <w:jc w:val="right"/>
              <w:ind w:right="212"/>
              <w:spacing w:after="0"/>
              <w:rPr>
                <w:sz w:val="20"/>
                <w:szCs w:val="20"/>
                <w:color w:val="auto"/>
              </w:rPr>
            </w:pPr>
            <w:r>
              <w:rPr>
                <w:rFonts w:ascii="Arial" w:cs="Arial" w:eastAsia="Arial" w:hAnsi="Arial"/>
                <w:sz w:val="12"/>
                <w:szCs w:val="12"/>
                <w:b w:val="1"/>
                <w:bCs w:val="1"/>
                <w:color w:val="auto"/>
              </w:rPr>
              <w:t>($)</w:t>
            </w:r>
          </w:p>
        </w:tc>
        <w:tc>
          <w:tcPr>
            <w:tcW w:w="1480" w:type="dxa"/>
            <w:vAlign w:val="bottom"/>
          </w:tcPr>
          <w:p>
            <w:pPr>
              <w:jc w:val="right"/>
              <w:ind w:right="234"/>
              <w:spacing w:after="0"/>
              <w:rPr>
                <w:sz w:val="20"/>
                <w:szCs w:val="20"/>
                <w:color w:val="auto"/>
              </w:rPr>
            </w:pPr>
            <w:r>
              <w:rPr>
                <w:rFonts w:ascii="Arial" w:cs="Arial" w:eastAsia="Arial" w:hAnsi="Arial"/>
                <w:sz w:val="12"/>
                <w:szCs w:val="12"/>
                <w:b w:val="1"/>
                <w:bCs w:val="1"/>
                <w:color w:val="auto"/>
              </w:rPr>
              <w:t>($)</w:t>
            </w:r>
          </w:p>
        </w:tc>
        <w:tc>
          <w:tcPr>
            <w:tcW w:w="1300" w:type="dxa"/>
            <w:vAlign w:val="bottom"/>
          </w:tcPr>
          <w:p>
            <w:pPr>
              <w:jc w:val="right"/>
              <w:ind w:right="212"/>
              <w:spacing w:after="0"/>
              <w:rPr>
                <w:sz w:val="20"/>
                <w:szCs w:val="20"/>
                <w:color w:val="auto"/>
              </w:rPr>
            </w:pPr>
            <w:r>
              <w:rPr>
                <w:rFonts w:ascii="Arial" w:cs="Arial" w:eastAsia="Arial" w:hAnsi="Arial"/>
                <w:sz w:val="12"/>
                <w:szCs w:val="12"/>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26"/>
        </w:trPr>
        <w:tc>
          <w:tcPr>
            <w:tcW w:w="2560" w:type="dxa"/>
            <w:vAlign w:val="bottom"/>
            <w:tcBorders>
              <w:bottom w:val="single" w:sz="8" w:color="29378D"/>
            </w:tcBorders>
          </w:tcPr>
          <w:p>
            <w:pPr>
              <w:spacing w:after="0"/>
              <w:rPr>
                <w:sz w:val="2"/>
                <w:szCs w:val="2"/>
                <w:color w:val="auto"/>
              </w:rPr>
            </w:pPr>
          </w:p>
        </w:tc>
        <w:tc>
          <w:tcPr>
            <w:tcW w:w="1520" w:type="dxa"/>
            <w:vAlign w:val="bottom"/>
            <w:tcBorders>
              <w:bottom w:val="single" w:sz="8" w:color="29378D"/>
            </w:tcBorders>
          </w:tcPr>
          <w:p>
            <w:pPr>
              <w:spacing w:after="0"/>
              <w:rPr>
                <w:sz w:val="2"/>
                <w:szCs w:val="2"/>
                <w:color w:val="auto"/>
              </w:rPr>
            </w:pPr>
          </w:p>
        </w:tc>
        <w:tc>
          <w:tcPr>
            <w:tcW w:w="1780" w:type="dxa"/>
            <w:vAlign w:val="bottom"/>
            <w:tcBorders>
              <w:bottom w:val="single" w:sz="8" w:color="29378D"/>
            </w:tcBorders>
          </w:tcPr>
          <w:p>
            <w:pPr>
              <w:spacing w:after="0"/>
              <w:rPr>
                <w:sz w:val="2"/>
                <w:szCs w:val="2"/>
                <w:color w:val="auto"/>
              </w:rPr>
            </w:pPr>
          </w:p>
        </w:tc>
        <w:tc>
          <w:tcPr>
            <w:tcW w:w="1460" w:type="dxa"/>
            <w:vAlign w:val="bottom"/>
            <w:tcBorders>
              <w:bottom w:val="single" w:sz="8" w:color="29378D"/>
            </w:tcBorders>
          </w:tcPr>
          <w:p>
            <w:pPr>
              <w:spacing w:after="0"/>
              <w:rPr>
                <w:sz w:val="2"/>
                <w:szCs w:val="2"/>
                <w:color w:val="auto"/>
              </w:rPr>
            </w:pPr>
          </w:p>
        </w:tc>
        <w:tc>
          <w:tcPr>
            <w:tcW w:w="1480" w:type="dxa"/>
            <w:vAlign w:val="bottom"/>
            <w:tcBorders>
              <w:bottom w:val="single" w:sz="8" w:color="29378D"/>
            </w:tcBorders>
          </w:tcPr>
          <w:p>
            <w:pPr>
              <w:spacing w:after="0"/>
              <w:rPr>
                <w:sz w:val="2"/>
                <w:szCs w:val="2"/>
                <w:color w:val="auto"/>
              </w:rPr>
            </w:pPr>
          </w:p>
        </w:tc>
        <w:tc>
          <w:tcPr>
            <w:tcW w:w="1300" w:type="dxa"/>
            <w:vAlign w:val="bottom"/>
            <w:tcBorders>
              <w:bottom w:val="single" w:sz="8" w:color="29378D"/>
            </w:tcBorders>
          </w:tcPr>
          <w:p>
            <w:pPr>
              <w:spacing w:after="0"/>
              <w:rPr>
                <w:sz w:val="2"/>
                <w:szCs w:val="2"/>
                <w:color w:val="auto"/>
              </w:rPr>
            </w:pPr>
          </w:p>
        </w:tc>
        <w:tc>
          <w:tcPr>
            <w:tcW w:w="1140" w:type="dxa"/>
            <w:vAlign w:val="bottom"/>
            <w:tcBorders>
              <w:bottom w:val="single" w:sz="8" w:color="29378D"/>
            </w:tcBorders>
          </w:tcPr>
          <w:p>
            <w:pPr>
              <w:spacing w:after="0"/>
              <w:rPr>
                <w:sz w:val="2"/>
                <w:szCs w:val="2"/>
                <w:color w:val="auto"/>
              </w:rPr>
            </w:pPr>
          </w:p>
        </w:tc>
      </w:tr>
      <w:tr>
        <w:trPr>
          <w:trHeight w:val="208"/>
        </w:trPr>
        <w:tc>
          <w:tcPr>
            <w:tcW w:w="256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Kathy J. Warden</w:t>
            </w:r>
          </w:p>
        </w:tc>
        <w:tc>
          <w:tcPr>
            <w:tcW w:w="152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Savings Excess</w:t>
            </w:r>
          </w:p>
        </w:tc>
        <w:tc>
          <w:tcPr>
            <w:tcW w:w="1780" w:type="dxa"/>
            <w:vAlign w:val="bottom"/>
            <w:tcBorders>
              <w:bottom w:val="single" w:sz="8" w:color="BCBEC0"/>
            </w:tcBorders>
            <w:shd w:val="clear" w:color="auto" w:fill="DFDEEE"/>
          </w:tcPr>
          <w:p>
            <w:pPr>
              <w:jc w:val="right"/>
              <w:ind w:right="252"/>
              <w:spacing w:after="0"/>
              <w:rPr>
                <w:sz w:val="20"/>
                <w:szCs w:val="20"/>
                <w:color w:val="auto"/>
              </w:rPr>
            </w:pPr>
            <w:r>
              <w:rPr>
                <w:rFonts w:ascii="Arial" w:cs="Arial" w:eastAsia="Arial" w:hAnsi="Arial"/>
                <w:sz w:val="14"/>
                <w:szCs w:val="14"/>
                <w:color w:val="auto"/>
              </w:rPr>
              <w:t>484,251</w:t>
            </w:r>
          </w:p>
        </w:tc>
        <w:tc>
          <w:tcPr>
            <w:tcW w:w="1460" w:type="dxa"/>
            <w:vAlign w:val="bottom"/>
            <w:tcBorders>
              <w:bottom w:val="single" w:sz="8" w:color="BCBEC0"/>
            </w:tcBorders>
            <w:shd w:val="clear" w:color="auto" w:fill="DFDEEE"/>
          </w:tcPr>
          <w:p>
            <w:pPr>
              <w:jc w:val="right"/>
              <w:ind w:right="272"/>
              <w:spacing w:after="0"/>
              <w:rPr>
                <w:sz w:val="20"/>
                <w:szCs w:val="20"/>
                <w:color w:val="auto"/>
              </w:rPr>
            </w:pPr>
            <w:r>
              <w:rPr>
                <w:rFonts w:ascii="Arial" w:cs="Arial" w:eastAsia="Arial" w:hAnsi="Arial"/>
                <w:sz w:val="14"/>
                <w:szCs w:val="14"/>
                <w:color w:val="auto"/>
              </w:rPr>
              <w:t>218,269</w:t>
            </w:r>
          </w:p>
        </w:tc>
        <w:tc>
          <w:tcPr>
            <w:tcW w:w="1480" w:type="dxa"/>
            <w:vAlign w:val="bottom"/>
            <w:tcBorders>
              <w:bottom w:val="single" w:sz="8" w:color="BCBEC0"/>
            </w:tcBorders>
            <w:shd w:val="clear" w:color="auto" w:fill="DFDEEE"/>
          </w:tcPr>
          <w:p>
            <w:pPr>
              <w:jc w:val="right"/>
              <w:ind w:right="294"/>
              <w:spacing w:after="0"/>
              <w:rPr>
                <w:sz w:val="20"/>
                <w:szCs w:val="20"/>
                <w:color w:val="auto"/>
              </w:rPr>
            </w:pPr>
            <w:r>
              <w:rPr>
                <w:rFonts w:ascii="Arial" w:cs="Arial" w:eastAsia="Arial" w:hAnsi="Arial"/>
                <w:sz w:val="14"/>
                <w:szCs w:val="14"/>
                <w:color w:val="auto"/>
              </w:rPr>
              <w:t>982,507</w:t>
            </w:r>
          </w:p>
        </w:tc>
        <w:tc>
          <w:tcPr>
            <w:tcW w:w="1300" w:type="dxa"/>
            <w:vAlign w:val="bottom"/>
            <w:tcBorders>
              <w:bottom w:val="single" w:sz="8" w:color="BCBEC0"/>
            </w:tcBorders>
            <w:shd w:val="clear" w:color="auto" w:fill="DFDEEE"/>
          </w:tcPr>
          <w:p>
            <w:pPr>
              <w:jc w:val="right"/>
              <w:ind w:right="232"/>
              <w:spacing w:after="0"/>
              <w:rPr>
                <w:sz w:val="20"/>
                <w:szCs w:val="20"/>
                <w:color w:val="auto"/>
              </w:rPr>
            </w:pPr>
            <w:r>
              <w:rPr>
                <w:rFonts w:ascii="Arial" w:cs="Arial" w:eastAsia="Arial" w:hAnsi="Arial"/>
                <w:sz w:val="14"/>
                <w:szCs w:val="14"/>
                <w:color w:val="auto"/>
              </w:rPr>
              <w:t>(5,106)</w:t>
            </w:r>
          </w:p>
        </w:tc>
        <w:tc>
          <w:tcPr>
            <w:tcW w:w="114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6,086,675</w:t>
            </w:r>
          </w:p>
        </w:tc>
      </w:tr>
      <w:tr>
        <w:trPr>
          <w:trHeight w:val="207"/>
        </w:trPr>
        <w:tc>
          <w:tcPr>
            <w:tcW w:w="2560" w:type="dxa"/>
            <w:vAlign w:val="bottom"/>
            <w:tcBorders>
              <w:bottom w:val="single" w:sz="8" w:color="BCBEC0"/>
            </w:tcBorders>
            <w:shd w:val="clear" w:color="auto" w:fill="DFDEEE"/>
          </w:tcPr>
          <w:p>
            <w:pPr>
              <w:spacing w:after="0"/>
              <w:rPr>
                <w:sz w:val="17"/>
                <w:szCs w:val="17"/>
                <w:color w:val="auto"/>
              </w:rPr>
            </w:pPr>
          </w:p>
        </w:tc>
        <w:tc>
          <w:tcPr>
            <w:tcW w:w="152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ORAC</w:t>
            </w:r>
          </w:p>
        </w:tc>
        <w:tc>
          <w:tcPr>
            <w:tcW w:w="1780" w:type="dxa"/>
            <w:vAlign w:val="bottom"/>
            <w:tcBorders>
              <w:bottom w:val="single" w:sz="8" w:color="BCBEC0"/>
            </w:tcBorders>
            <w:shd w:val="clear" w:color="auto" w:fill="DFDEEE"/>
          </w:tcPr>
          <w:p>
            <w:pPr>
              <w:jc w:val="right"/>
              <w:ind w:right="252"/>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BCBEC0"/>
            </w:tcBorders>
            <w:shd w:val="clear" w:color="auto" w:fill="DFDEEE"/>
          </w:tcPr>
          <w:p>
            <w:pPr>
              <w:jc w:val="right"/>
              <w:ind w:right="272"/>
              <w:spacing w:after="0"/>
              <w:rPr>
                <w:sz w:val="20"/>
                <w:szCs w:val="20"/>
                <w:color w:val="auto"/>
              </w:rPr>
            </w:pPr>
            <w:r>
              <w:rPr>
                <w:rFonts w:ascii="Arial" w:cs="Arial" w:eastAsia="Arial" w:hAnsi="Arial"/>
                <w:sz w:val="14"/>
                <w:szCs w:val="14"/>
                <w:color w:val="auto"/>
              </w:rPr>
              <w:t>228,423</w:t>
            </w:r>
          </w:p>
        </w:tc>
        <w:tc>
          <w:tcPr>
            <w:tcW w:w="1480" w:type="dxa"/>
            <w:vAlign w:val="bottom"/>
            <w:tcBorders>
              <w:bottom w:val="single" w:sz="8" w:color="BCBEC0"/>
            </w:tcBorders>
            <w:shd w:val="clear" w:color="auto" w:fill="DFDEEE"/>
          </w:tcPr>
          <w:p>
            <w:pPr>
              <w:jc w:val="right"/>
              <w:ind w:right="294"/>
              <w:spacing w:after="0"/>
              <w:rPr>
                <w:sz w:val="20"/>
                <w:szCs w:val="20"/>
                <w:color w:val="auto"/>
              </w:rPr>
            </w:pPr>
            <w:r>
              <w:rPr>
                <w:rFonts w:ascii="Arial" w:cs="Arial" w:eastAsia="Arial" w:hAnsi="Arial"/>
                <w:sz w:val="14"/>
                <w:szCs w:val="14"/>
                <w:color w:val="auto"/>
              </w:rPr>
              <w:t>226,571</w:t>
            </w:r>
          </w:p>
        </w:tc>
        <w:tc>
          <w:tcPr>
            <w:tcW w:w="1300" w:type="dxa"/>
            <w:vAlign w:val="bottom"/>
            <w:tcBorders>
              <w:bottom w:val="single" w:sz="8" w:color="BCBEC0"/>
            </w:tcBorders>
            <w:shd w:val="clear" w:color="auto" w:fill="DFDEEE"/>
          </w:tcPr>
          <w:p>
            <w:pPr>
              <w:jc w:val="right"/>
              <w:ind w:right="232"/>
              <w:spacing w:after="0"/>
              <w:rPr>
                <w:sz w:val="20"/>
                <w:szCs w:val="20"/>
                <w:color w:val="auto"/>
              </w:rPr>
            </w:pPr>
            <w:r>
              <w:rPr>
                <w:rFonts w:ascii="Arial" w:cs="Arial" w:eastAsia="Arial" w:hAnsi="Arial"/>
                <w:sz w:val="14"/>
                <w:szCs w:val="14"/>
                <w:color w:val="auto"/>
              </w:rPr>
              <w:t>(5,061)</w:t>
            </w:r>
          </w:p>
        </w:tc>
        <w:tc>
          <w:tcPr>
            <w:tcW w:w="114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1,701,709</w:t>
            </w:r>
          </w:p>
        </w:tc>
      </w:tr>
      <w:tr>
        <w:trPr>
          <w:trHeight w:val="213"/>
        </w:trPr>
        <w:tc>
          <w:tcPr>
            <w:tcW w:w="2560" w:type="dxa"/>
            <w:vAlign w:val="bottom"/>
          </w:tcPr>
          <w:p>
            <w:pPr>
              <w:ind w:left="20"/>
              <w:spacing w:after="0"/>
              <w:rPr>
                <w:sz w:val="20"/>
                <w:szCs w:val="20"/>
                <w:color w:val="auto"/>
              </w:rPr>
            </w:pPr>
            <w:r>
              <w:rPr>
                <w:rFonts w:ascii="Arial" w:cs="Arial" w:eastAsia="Arial" w:hAnsi="Arial"/>
                <w:sz w:val="14"/>
                <w:szCs w:val="14"/>
                <w:b w:val="1"/>
                <w:bCs w:val="1"/>
                <w:color w:val="29378D"/>
              </w:rPr>
              <w:t>David F. Keffer</w:t>
            </w:r>
          </w:p>
        </w:tc>
        <w:tc>
          <w:tcPr>
            <w:tcW w:w="152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Savings Excess</w:t>
            </w:r>
          </w:p>
        </w:tc>
        <w:tc>
          <w:tcPr>
            <w:tcW w:w="1780" w:type="dxa"/>
            <w:vAlign w:val="bottom"/>
            <w:tcBorders>
              <w:bottom w:val="single" w:sz="8" w:color="BCBEC0"/>
            </w:tcBorders>
          </w:tcPr>
          <w:p>
            <w:pPr>
              <w:jc w:val="right"/>
              <w:ind w:right="252"/>
              <w:spacing w:after="0"/>
              <w:rPr>
                <w:sz w:val="20"/>
                <w:szCs w:val="20"/>
                <w:color w:val="auto"/>
              </w:rPr>
            </w:pPr>
            <w:r>
              <w:rPr>
                <w:rFonts w:ascii="Arial" w:cs="Arial" w:eastAsia="Arial" w:hAnsi="Arial"/>
                <w:sz w:val="14"/>
                <w:szCs w:val="14"/>
                <w:color w:val="auto"/>
              </w:rPr>
              <w:t>129,856</w:t>
            </w:r>
          </w:p>
        </w:tc>
        <w:tc>
          <w:tcPr>
            <w:tcW w:w="1460" w:type="dxa"/>
            <w:vAlign w:val="bottom"/>
            <w:tcBorders>
              <w:bottom w:val="single" w:sz="8" w:color="BCBEC0"/>
            </w:tcBorders>
          </w:tcPr>
          <w:p>
            <w:pPr>
              <w:jc w:val="right"/>
              <w:ind w:right="272"/>
              <w:spacing w:after="0"/>
              <w:rPr>
                <w:sz w:val="20"/>
                <w:szCs w:val="20"/>
                <w:color w:val="auto"/>
              </w:rPr>
            </w:pPr>
            <w:r>
              <w:rPr>
                <w:rFonts w:ascii="Arial" w:cs="Arial" w:eastAsia="Arial" w:hAnsi="Arial"/>
                <w:sz w:val="14"/>
                <w:szCs w:val="14"/>
                <w:color w:val="auto"/>
              </w:rPr>
              <w:t>97,392</w:t>
            </w:r>
          </w:p>
        </w:tc>
        <w:tc>
          <w:tcPr>
            <w:tcW w:w="1480" w:type="dxa"/>
            <w:vAlign w:val="bottom"/>
            <w:tcBorders>
              <w:bottom w:val="single" w:sz="8" w:color="BCBEC0"/>
            </w:tcBorders>
          </w:tcPr>
          <w:p>
            <w:pPr>
              <w:jc w:val="right"/>
              <w:ind w:right="294"/>
              <w:spacing w:after="0"/>
              <w:rPr>
                <w:sz w:val="20"/>
                <w:szCs w:val="20"/>
                <w:color w:val="auto"/>
              </w:rPr>
            </w:pPr>
            <w:r>
              <w:rPr>
                <w:rFonts w:ascii="Arial" w:cs="Arial" w:eastAsia="Arial" w:hAnsi="Arial"/>
                <w:sz w:val="14"/>
                <w:szCs w:val="14"/>
                <w:color w:val="auto"/>
              </w:rPr>
              <w:t>95,741</w:t>
            </w:r>
          </w:p>
        </w:tc>
        <w:tc>
          <w:tcPr>
            <w:tcW w:w="1300" w:type="dxa"/>
            <w:vAlign w:val="bottom"/>
            <w:tcBorders>
              <w:bottom w:val="single" w:sz="8" w:color="BCBEC0"/>
            </w:tcBorders>
          </w:tcPr>
          <w:p>
            <w:pPr>
              <w:jc w:val="right"/>
              <w:ind w:right="232"/>
              <w:spacing w:after="0"/>
              <w:rPr>
                <w:sz w:val="20"/>
                <w:szCs w:val="20"/>
                <w:color w:val="auto"/>
              </w:rPr>
            </w:pPr>
            <w:r>
              <w:rPr>
                <w:rFonts w:ascii="Arial" w:cs="Arial" w:eastAsia="Arial" w:hAnsi="Arial"/>
                <w:sz w:val="14"/>
                <w:szCs w:val="14"/>
                <w:color w:val="auto"/>
              </w:rPr>
              <w:t>(6,188)</w:t>
            </w:r>
          </w:p>
        </w:tc>
        <w:tc>
          <w:tcPr>
            <w:tcW w:w="114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696,363</w:t>
            </w:r>
          </w:p>
        </w:tc>
      </w:tr>
      <w:tr>
        <w:trPr>
          <w:trHeight w:val="206"/>
        </w:trPr>
        <w:tc>
          <w:tcPr>
            <w:tcW w:w="2560" w:type="dxa"/>
            <w:vAlign w:val="bottom"/>
            <w:tcBorders>
              <w:bottom w:val="single" w:sz="8" w:color="BCBEC0"/>
            </w:tcBorders>
          </w:tcPr>
          <w:p>
            <w:pPr>
              <w:spacing w:after="0"/>
              <w:rPr>
                <w:sz w:val="17"/>
                <w:szCs w:val="17"/>
                <w:color w:val="auto"/>
              </w:rPr>
            </w:pPr>
          </w:p>
        </w:tc>
        <w:tc>
          <w:tcPr>
            <w:tcW w:w="152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ORAC</w:t>
            </w:r>
          </w:p>
        </w:tc>
        <w:tc>
          <w:tcPr>
            <w:tcW w:w="1780" w:type="dxa"/>
            <w:vAlign w:val="bottom"/>
            <w:tcBorders>
              <w:bottom w:val="single" w:sz="8" w:color="BCBEC0"/>
            </w:tcBorders>
          </w:tcPr>
          <w:p>
            <w:pPr>
              <w:jc w:val="right"/>
              <w:ind w:right="252"/>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BCBEC0"/>
            </w:tcBorders>
          </w:tcPr>
          <w:p>
            <w:pPr>
              <w:jc w:val="right"/>
              <w:ind w:right="272"/>
              <w:spacing w:after="0"/>
              <w:rPr>
                <w:sz w:val="20"/>
                <w:szCs w:val="20"/>
                <w:color w:val="auto"/>
              </w:rPr>
            </w:pPr>
            <w:r>
              <w:rPr>
                <w:rFonts w:ascii="Arial" w:cs="Arial" w:eastAsia="Arial" w:hAnsi="Arial"/>
                <w:sz w:val="14"/>
                <w:szCs w:val="14"/>
                <w:color w:val="auto"/>
              </w:rPr>
              <w:t>78,128</w:t>
            </w:r>
          </w:p>
        </w:tc>
        <w:tc>
          <w:tcPr>
            <w:tcW w:w="1480" w:type="dxa"/>
            <w:vAlign w:val="bottom"/>
            <w:tcBorders>
              <w:bottom w:val="single" w:sz="8" w:color="BCBEC0"/>
            </w:tcBorders>
          </w:tcPr>
          <w:p>
            <w:pPr>
              <w:jc w:val="right"/>
              <w:ind w:right="294"/>
              <w:spacing w:after="0"/>
              <w:rPr>
                <w:sz w:val="20"/>
                <w:szCs w:val="20"/>
                <w:color w:val="auto"/>
              </w:rPr>
            </w:pPr>
            <w:r>
              <w:rPr>
                <w:rFonts w:ascii="Arial" w:cs="Arial" w:eastAsia="Arial" w:hAnsi="Arial"/>
                <w:sz w:val="14"/>
                <w:szCs w:val="14"/>
                <w:color w:val="auto"/>
              </w:rPr>
              <w:t>26,039</w:t>
            </w:r>
          </w:p>
        </w:tc>
        <w:tc>
          <w:tcPr>
            <w:tcW w:w="1300" w:type="dxa"/>
            <w:vAlign w:val="bottom"/>
            <w:tcBorders>
              <w:bottom w:val="single" w:sz="8" w:color="BCBEC0"/>
            </w:tcBorders>
          </w:tcPr>
          <w:p>
            <w:pPr>
              <w:jc w:val="right"/>
              <w:ind w:right="232"/>
              <w:spacing w:after="0"/>
              <w:rPr>
                <w:sz w:val="20"/>
                <w:szCs w:val="20"/>
                <w:color w:val="auto"/>
              </w:rPr>
            </w:pPr>
            <w:r>
              <w:rPr>
                <w:rFonts w:ascii="Arial" w:cs="Arial" w:eastAsia="Arial" w:hAnsi="Arial"/>
                <w:sz w:val="14"/>
                <w:szCs w:val="14"/>
                <w:color w:val="auto"/>
              </w:rPr>
              <w:t>(3,864)</w:t>
            </w:r>
          </w:p>
        </w:tc>
        <w:tc>
          <w:tcPr>
            <w:tcW w:w="114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260,881</w:t>
            </w:r>
          </w:p>
        </w:tc>
      </w:tr>
      <w:tr>
        <w:trPr>
          <w:trHeight w:val="213"/>
        </w:trPr>
        <w:tc>
          <w:tcPr>
            <w:tcW w:w="256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Mark A. Caylor</w:t>
            </w:r>
          </w:p>
        </w:tc>
        <w:tc>
          <w:tcPr>
            <w:tcW w:w="152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Savings Excess</w:t>
            </w:r>
          </w:p>
        </w:tc>
        <w:tc>
          <w:tcPr>
            <w:tcW w:w="1780" w:type="dxa"/>
            <w:vAlign w:val="bottom"/>
            <w:tcBorders>
              <w:bottom w:val="single" w:sz="8" w:color="BCBEC0"/>
            </w:tcBorders>
            <w:shd w:val="clear" w:color="auto" w:fill="DFDEEE"/>
          </w:tcPr>
          <w:p>
            <w:pPr>
              <w:jc w:val="right"/>
              <w:ind w:right="252"/>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BCBEC0"/>
            </w:tcBorders>
            <w:shd w:val="clear" w:color="auto" w:fill="DFDEEE"/>
          </w:tcPr>
          <w:p>
            <w:pPr>
              <w:jc w:val="right"/>
              <w:ind w:right="272"/>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CBEC0"/>
            </w:tcBorders>
            <w:shd w:val="clear" w:color="auto" w:fill="DFDEEE"/>
          </w:tcPr>
          <w:p>
            <w:pPr>
              <w:jc w:val="right"/>
              <w:ind w:right="294"/>
              <w:spacing w:after="0"/>
              <w:rPr>
                <w:sz w:val="20"/>
                <w:szCs w:val="20"/>
                <w:color w:val="auto"/>
              </w:rPr>
            </w:pPr>
            <w:r>
              <w:rPr>
                <w:rFonts w:ascii="Arial" w:cs="Arial" w:eastAsia="Arial" w:hAnsi="Arial"/>
                <w:sz w:val="14"/>
                <w:szCs w:val="14"/>
                <w:color w:val="auto"/>
              </w:rPr>
              <w:t>42,550</w:t>
            </w:r>
          </w:p>
        </w:tc>
        <w:tc>
          <w:tcPr>
            <w:tcW w:w="1300" w:type="dxa"/>
            <w:vAlign w:val="bottom"/>
            <w:tcBorders>
              <w:bottom w:val="single" w:sz="8" w:color="BCBEC0"/>
            </w:tcBorders>
            <w:shd w:val="clear" w:color="auto" w:fill="DFDEEE"/>
          </w:tcPr>
          <w:p>
            <w:pPr>
              <w:jc w:val="right"/>
              <w:ind w:right="272"/>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246,207</w:t>
            </w:r>
          </w:p>
        </w:tc>
      </w:tr>
      <w:tr>
        <w:trPr>
          <w:trHeight w:val="207"/>
        </w:trPr>
        <w:tc>
          <w:tcPr>
            <w:tcW w:w="2560" w:type="dxa"/>
            <w:vAlign w:val="bottom"/>
            <w:tcBorders>
              <w:bottom w:val="single" w:sz="8" w:color="BCBEC0"/>
            </w:tcBorders>
            <w:shd w:val="clear" w:color="auto" w:fill="DFDEEE"/>
          </w:tcPr>
          <w:p>
            <w:pPr>
              <w:spacing w:after="0"/>
              <w:rPr>
                <w:sz w:val="17"/>
                <w:szCs w:val="17"/>
                <w:color w:val="auto"/>
              </w:rPr>
            </w:pPr>
          </w:p>
        </w:tc>
        <w:tc>
          <w:tcPr>
            <w:tcW w:w="152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ORAC</w:t>
            </w:r>
          </w:p>
        </w:tc>
        <w:tc>
          <w:tcPr>
            <w:tcW w:w="1780" w:type="dxa"/>
            <w:vAlign w:val="bottom"/>
            <w:tcBorders>
              <w:bottom w:val="single" w:sz="8" w:color="BCBEC0"/>
            </w:tcBorders>
            <w:shd w:val="clear" w:color="auto" w:fill="DFDEEE"/>
          </w:tcPr>
          <w:p>
            <w:pPr>
              <w:jc w:val="right"/>
              <w:ind w:right="252"/>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BCBEC0"/>
            </w:tcBorders>
            <w:shd w:val="clear" w:color="auto" w:fill="DFDEEE"/>
          </w:tcPr>
          <w:p>
            <w:pPr>
              <w:jc w:val="right"/>
              <w:ind w:right="272"/>
              <w:spacing w:after="0"/>
              <w:rPr>
                <w:sz w:val="20"/>
                <w:szCs w:val="20"/>
                <w:color w:val="auto"/>
              </w:rPr>
            </w:pPr>
            <w:r>
              <w:rPr>
                <w:rFonts w:ascii="Arial" w:cs="Arial" w:eastAsia="Arial" w:hAnsi="Arial"/>
                <w:sz w:val="14"/>
                <w:szCs w:val="14"/>
                <w:color w:val="auto"/>
              </w:rPr>
              <w:t>80,029</w:t>
            </w:r>
          </w:p>
        </w:tc>
        <w:tc>
          <w:tcPr>
            <w:tcW w:w="1480" w:type="dxa"/>
            <w:vAlign w:val="bottom"/>
            <w:tcBorders>
              <w:bottom w:val="single" w:sz="8" w:color="BCBEC0"/>
            </w:tcBorders>
            <w:shd w:val="clear" w:color="auto" w:fill="DFDEEE"/>
          </w:tcPr>
          <w:p>
            <w:pPr>
              <w:jc w:val="right"/>
              <w:ind w:right="294"/>
              <w:spacing w:after="0"/>
              <w:rPr>
                <w:sz w:val="20"/>
                <w:szCs w:val="20"/>
                <w:color w:val="auto"/>
              </w:rPr>
            </w:pPr>
            <w:r>
              <w:rPr>
                <w:rFonts w:ascii="Arial" w:cs="Arial" w:eastAsia="Arial" w:hAnsi="Arial"/>
                <w:sz w:val="14"/>
                <w:szCs w:val="14"/>
                <w:color w:val="auto"/>
              </w:rPr>
              <w:t>100,975</w:t>
            </w:r>
          </w:p>
        </w:tc>
        <w:tc>
          <w:tcPr>
            <w:tcW w:w="1300" w:type="dxa"/>
            <w:vAlign w:val="bottom"/>
            <w:tcBorders>
              <w:bottom w:val="single" w:sz="8" w:color="BCBEC0"/>
            </w:tcBorders>
            <w:shd w:val="clear" w:color="auto" w:fill="DFDEEE"/>
          </w:tcPr>
          <w:p>
            <w:pPr>
              <w:jc w:val="right"/>
              <w:ind w:right="232"/>
              <w:spacing w:after="0"/>
              <w:rPr>
                <w:sz w:val="20"/>
                <w:szCs w:val="20"/>
                <w:color w:val="auto"/>
              </w:rPr>
            </w:pPr>
            <w:r>
              <w:rPr>
                <w:rFonts w:ascii="Arial" w:cs="Arial" w:eastAsia="Arial" w:hAnsi="Arial"/>
                <w:sz w:val="14"/>
                <w:szCs w:val="14"/>
                <w:color w:val="auto"/>
              </w:rPr>
              <w:t>(1,849)</w:t>
            </w:r>
          </w:p>
        </w:tc>
        <w:tc>
          <w:tcPr>
            <w:tcW w:w="114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832,436</w:t>
            </w:r>
          </w:p>
        </w:tc>
      </w:tr>
      <w:tr>
        <w:trPr>
          <w:trHeight w:val="212"/>
        </w:trPr>
        <w:tc>
          <w:tcPr>
            <w:tcW w:w="2560" w:type="dxa"/>
            <w:vAlign w:val="bottom"/>
          </w:tcPr>
          <w:p>
            <w:pPr>
              <w:ind w:left="20"/>
              <w:spacing w:after="0"/>
              <w:rPr>
                <w:sz w:val="20"/>
                <w:szCs w:val="20"/>
                <w:color w:val="auto"/>
              </w:rPr>
            </w:pPr>
            <w:r>
              <w:rPr>
                <w:rFonts w:ascii="Arial" w:cs="Arial" w:eastAsia="Arial" w:hAnsi="Arial"/>
                <w:sz w:val="14"/>
                <w:szCs w:val="14"/>
                <w:b w:val="1"/>
                <w:bCs w:val="1"/>
                <w:color w:val="29378D"/>
              </w:rPr>
              <w:t>Thomas H. Jones</w:t>
            </w:r>
          </w:p>
        </w:tc>
        <w:tc>
          <w:tcPr>
            <w:tcW w:w="152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Savings Excess</w:t>
            </w:r>
          </w:p>
        </w:tc>
        <w:tc>
          <w:tcPr>
            <w:tcW w:w="1780" w:type="dxa"/>
            <w:vAlign w:val="bottom"/>
            <w:tcBorders>
              <w:bottom w:val="single" w:sz="8" w:color="BCBEC0"/>
            </w:tcBorders>
          </w:tcPr>
          <w:p>
            <w:pPr>
              <w:jc w:val="right"/>
              <w:ind w:right="252"/>
              <w:spacing w:after="0"/>
              <w:rPr>
                <w:sz w:val="20"/>
                <w:szCs w:val="20"/>
                <w:color w:val="auto"/>
              </w:rPr>
            </w:pPr>
            <w:r>
              <w:rPr>
                <w:rFonts w:ascii="Arial" w:cs="Arial" w:eastAsia="Arial" w:hAnsi="Arial"/>
                <w:sz w:val="14"/>
                <w:szCs w:val="14"/>
                <w:color w:val="auto"/>
              </w:rPr>
              <w:t>118,423</w:t>
            </w:r>
          </w:p>
        </w:tc>
        <w:tc>
          <w:tcPr>
            <w:tcW w:w="1460" w:type="dxa"/>
            <w:vAlign w:val="bottom"/>
            <w:tcBorders>
              <w:bottom w:val="single" w:sz="8" w:color="BCBEC0"/>
            </w:tcBorders>
          </w:tcPr>
          <w:p>
            <w:pPr>
              <w:jc w:val="right"/>
              <w:ind w:right="272"/>
              <w:spacing w:after="0"/>
              <w:rPr>
                <w:sz w:val="20"/>
                <w:szCs w:val="20"/>
                <w:color w:val="auto"/>
              </w:rPr>
            </w:pPr>
            <w:r>
              <w:rPr>
                <w:rFonts w:ascii="Arial" w:cs="Arial" w:eastAsia="Arial" w:hAnsi="Arial"/>
                <w:sz w:val="14"/>
                <w:szCs w:val="14"/>
                <w:color w:val="auto"/>
              </w:rPr>
              <w:t>133,226</w:t>
            </w:r>
          </w:p>
        </w:tc>
        <w:tc>
          <w:tcPr>
            <w:tcW w:w="1480" w:type="dxa"/>
            <w:vAlign w:val="bottom"/>
            <w:tcBorders>
              <w:bottom w:val="single" w:sz="8" w:color="BCBEC0"/>
            </w:tcBorders>
          </w:tcPr>
          <w:p>
            <w:pPr>
              <w:jc w:val="right"/>
              <w:ind w:right="294"/>
              <w:spacing w:after="0"/>
              <w:rPr>
                <w:sz w:val="20"/>
                <w:szCs w:val="20"/>
                <w:color w:val="auto"/>
              </w:rPr>
            </w:pPr>
            <w:r>
              <w:rPr>
                <w:rFonts w:ascii="Arial" w:cs="Arial" w:eastAsia="Arial" w:hAnsi="Arial"/>
                <w:sz w:val="14"/>
                <w:szCs w:val="14"/>
                <w:color w:val="auto"/>
              </w:rPr>
              <w:t>97,591</w:t>
            </w:r>
          </w:p>
        </w:tc>
        <w:tc>
          <w:tcPr>
            <w:tcW w:w="1300" w:type="dxa"/>
            <w:vAlign w:val="bottom"/>
            <w:tcBorders>
              <w:bottom w:val="single" w:sz="8" w:color="BCBEC0"/>
            </w:tcBorders>
          </w:tcPr>
          <w:p>
            <w:pPr>
              <w:jc w:val="right"/>
              <w:ind w:right="232"/>
              <w:spacing w:after="0"/>
              <w:rPr>
                <w:sz w:val="20"/>
                <w:szCs w:val="20"/>
                <w:color w:val="auto"/>
              </w:rPr>
            </w:pPr>
            <w:r>
              <w:rPr>
                <w:rFonts w:ascii="Arial" w:cs="Arial" w:eastAsia="Arial" w:hAnsi="Arial"/>
                <w:sz w:val="14"/>
                <w:szCs w:val="14"/>
                <w:color w:val="auto"/>
              </w:rPr>
              <w:t>(3,072)</w:t>
            </w:r>
          </w:p>
        </w:tc>
        <w:tc>
          <w:tcPr>
            <w:tcW w:w="114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961,404</w:t>
            </w:r>
          </w:p>
        </w:tc>
      </w:tr>
      <w:tr>
        <w:trPr>
          <w:trHeight w:val="207"/>
        </w:trPr>
        <w:tc>
          <w:tcPr>
            <w:tcW w:w="2560" w:type="dxa"/>
            <w:vAlign w:val="bottom"/>
            <w:tcBorders>
              <w:bottom w:val="single" w:sz="8" w:color="BCBEC0"/>
            </w:tcBorders>
          </w:tcPr>
          <w:p>
            <w:pPr>
              <w:spacing w:after="0"/>
              <w:rPr>
                <w:sz w:val="17"/>
                <w:szCs w:val="17"/>
                <w:color w:val="auto"/>
              </w:rPr>
            </w:pPr>
          </w:p>
        </w:tc>
        <w:tc>
          <w:tcPr>
            <w:tcW w:w="152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ORAC</w:t>
            </w:r>
          </w:p>
        </w:tc>
        <w:tc>
          <w:tcPr>
            <w:tcW w:w="1780" w:type="dxa"/>
            <w:vAlign w:val="bottom"/>
            <w:tcBorders>
              <w:bottom w:val="single" w:sz="8" w:color="BCBEC0"/>
            </w:tcBorders>
          </w:tcPr>
          <w:p>
            <w:pPr>
              <w:jc w:val="right"/>
              <w:ind w:right="252"/>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BCBEC0"/>
            </w:tcBorders>
          </w:tcPr>
          <w:p>
            <w:pPr>
              <w:jc w:val="right"/>
              <w:ind w:right="272"/>
              <w:spacing w:after="0"/>
              <w:rPr>
                <w:sz w:val="20"/>
                <w:szCs w:val="20"/>
                <w:color w:val="auto"/>
              </w:rPr>
            </w:pPr>
            <w:r>
              <w:rPr>
                <w:rFonts w:ascii="Arial" w:cs="Arial" w:eastAsia="Arial" w:hAnsi="Arial"/>
                <w:sz w:val="14"/>
                <w:szCs w:val="14"/>
                <w:color w:val="auto"/>
              </w:rPr>
              <w:t>72,412</w:t>
            </w:r>
          </w:p>
        </w:tc>
        <w:tc>
          <w:tcPr>
            <w:tcW w:w="1480" w:type="dxa"/>
            <w:vAlign w:val="bottom"/>
            <w:tcBorders>
              <w:bottom w:val="single" w:sz="8" w:color="BCBEC0"/>
            </w:tcBorders>
          </w:tcPr>
          <w:p>
            <w:pPr>
              <w:jc w:val="right"/>
              <w:ind w:right="294"/>
              <w:spacing w:after="0"/>
              <w:rPr>
                <w:sz w:val="20"/>
                <w:szCs w:val="20"/>
                <w:color w:val="auto"/>
              </w:rPr>
            </w:pPr>
            <w:r>
              <w:rPr>
                <w:rFonts w:ascii="Arial" w:cs="Arial" w:eastAsia="Arial" w:hAnsi="Arial"/>
                <w:sz w:val="14"/>
                <w:szCs w:val="14"/>
                <w:color w:val="auto"/>
              </w:rPr>
              <w:t>62,454</w:t>
            </w:r>
          </w:p>
        </w:tc>
        <w:tc>
          <w:tcPr>
            <w:tcW w:w="1300" w:type="dxa"/>
            <w:vAlign w:val="bottom"/>
            <w:tcBorders>
              <w:bottom w:val="single" w:sz="8" w:color="BCBEC0"/>
            </w:tcBorders>
          </w:tcPr>
          <w:p>
            <w:pPr>
              <w:jc w:val="right"/>
              <w:ind w:right="232"/>
              <w:spacing w:after="0"/>
              <w:rPr>
                <w:sz w:val="20"/>
                <w:szCs w:val="20"/>
                <w:color w:val="auto"/>
              </w:rPr>
            </w:pPr>
            <w:r>
              <w:rPr>
                <w:rFonts w:ascii="Arial" w:cs="Arial" w:eastAsia="Arial" w:hAnsi="Arial"/>
                <w:sz w:val="14"/>
                <w:szCs w:val="14"/>
                <w:color w:val="auto"/>
              </w:rPr>
              <w:t>(1,633)</w:t>
            </w:r>
          </w:p>
        </w:tc>
        <w:tc>
          <w:tcPr>
            <w:tcW w:w="114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541,557</w:t>
            </w:r>
          </w:p>
        </w:tc>
      </w:tr>
      <w:tr>
        <w:trPr>
          <w:trHeight w:val="213"/>
        </w:trPr>
        <w:tc>
          <w:tcPr>
            <w:tcW w:w="256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4"/>
                <w:szCs w:val="14"/>
                <w:b w:val="1"/>
                <w:bCs w:val="1"/>
                <w:color w:val="00249C"/>
              </w:rPr>
              <w:t>Roshan S. Roeder</w:t>
            </w:r>
          </w:p>
        </w:tc>
        <w:tc>
          <w:tcPr>
            <w:tcW w:w="152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Savings Excess</w:t>
            </w:r>
          </w:p>
        </w:tc>
        <w:tc>
          <w:tcPr>
            <w:tcW w:w="1780" w:type="dxa"/>
            <w:vAlign w:val="bottom"/>
            <w:tcBorders>
              <w:bottom w:val="single" w:sz="8" w:color="BCBEC0"/>
            </w:tcBorders>
            <w:shd w:val="clear" w:color="auto" w:fill="DFDEEE"/>
          </w:tcPr>
          <w:p>
            <w:pPr>
              <w:jc w:val="right"/>
              <w:ind w:right="252"/>
              <w:spacing w:after="0"/>
              <w:rPr>
                <w:sz w:val="20"/>
                <w:szCs w:val="20"/>
                <w:color w:val="auto"/>
              </w:rPr>
            </w:pPr>
            <w:r>
              <w:rPr>
                <w:rFonts w:ascii="Arial" w:cs="Arial" w:eastAsia="Arial" w:hAnsi="Arial"/>
                <w:sz w:val="14"/>
                <w:szCs w:val="14"/>
                <w:color w:val="auto"/>
              </w:rPr>
              <w:t>128,532</w:t>
            </w:r>
          </w:p>
        </w:tc>
        <w:tc>
          <w:tcPr>
            <w:tcW w:w="1460" w:type="dxa"/>
            <w:vAlign w:val="bottom"/>
            <w:tcBorders>
              <w:bottom w:val="single" w:sz="8" w:color="BCBEC0"/>
            </w:tcBorders>
            <w:shd w:val="clear" w:color="auto" w:fill="DFDEEE"/>
          </w:tcPr>
          <w:p>
            <w:pPr>
              <w:jc w:val="right"/>
              <w:ind w:right="272"/>
              <w:spacing w:after="0"/>
              <w:rPr>
                <w:sz w:val="20"/>
                <w:szCs w:val="20"/>
                <w:color w:val="auto"/>
              </w:rPr>
            </w:pPr>
            <w:r>
              <w:rPr>
                <w:rFonts w:ascii="Arial" w:cs="Arial" w:eastAsia="Arial" w:hAnsi="Arial"/>
                <w:sz w:val="14"/>
                <w:szCs w:val="14"/>
                <w:color w:val="auto"/>
              </w:rPr>
              <w:t>25,706</w:t>
            </w:r>
          </w:p>
        </w:tc>
        <w:tc>
          <w:tcPr>
            <w:tcW w:w="1480" w:type="dxa"/>
            <w:vAlign w:val="bottom"/>
            <w:tcBorders>
              <w:bottom w:val="single" w:sz="8" w:color="BCBEC0"/>
            </w:tcBorders>
            <w:shd w:val="clear" w:color="auto" w:fill="DFDEEE"/>
          </w:tcPr>
          <w:p>
            <w:pPr>
              <w:jc w:val="right"/>
              <w:ind w:right="294"/>
              <w:spacing w:after="0"/>
              <w:rPr>
                <w:sz w:val="20"/>
                <w:szCs w:val="20"/>
                <w:color w:val="auto"/>
              </w:rPr>
            </w:pPr>
            <w:r>
              <w:rPr>
                <w:rFonts w:ascii="Arial" w:cs="Arial" w:eastAsia="Arial" w:hAnsi="Arial"/>
                <w:sz w:val="14"/>
                <w:szCs w:val="14"/>
                <w:color w:val="auto"/>
              </w:rPr>
              <w:t>46,502</w:t>
            </w:r>
          </w:p>
        </w:tc>
        <w:tc>
          <w:tcPr>
            <w:tcW w:w="1300" w:type="dxa"/>
            <w:vAlign w:val="bottom"/>
            <w:tcBorders>
              <w:bottom w:val="single" w:sz="8" w:color="BCBEC0"/>
            </w:tcBorders>
            <w:shd w:val="clear" w:color="auto" w:fill="DFDEEE"/>
          </w:tcPr>
          <w:p>
            <w:pPr>
              <w:jc w:val="right"/>
              <w:ind w:right="232"/>
              <w:spacing w:after="0"/>
              <w:rPr>
                <w:sz w:val="20"/>
                <w:szCs w:val="20"/>
                <w:color w:val="auto"/>
              </w:rPr>
            </w:pPr>
            <w:r>
              <w:rPr>
                <w:rFonts w:ascii="Arial" w:cs="Arial" w:eastAsia="Arial" w:hAnsi="Arial"/>
                <w:sz w:val="14"/>
                <w:szCs w:val="14"/>
                <w:color w:val="auto"/>
              </w:rPr>
              <w:t>(604)</w:t>
            </w:r>
          </w:p>
        </w:tc>
        <w:tc>
          <w:tcPr>
            <w:tcW w:w="114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382,349</w:t>
            </w:r>
          </w:p>
        </w:tc>
      </w:tr>
      <w:tr>
        <w:trPr>
          <w:trHeight w:val="206"/>
        </w:trPr>
        <w:tc>
          <w:tcPr>
            <w:tcW w:w="2560" w:type="dxa"/>
            <w:vAlign w:val="bottom"/>
            <w:tcBorders>
              <w:bottom w:val="single" w:sz="8" w:color="BCBEC0"/>
            </w:tcBorders>
            <w:shd w:val="clear" w:color="auto" w:fill="DFDEEE"/>
          </w:tcPr>
          <w:p>
            <w:pPr>
              <w:spacing w:after="0"/>
              <w:rPr>
                <w:sz w:val="17"/>
                <w:szCs w:val="17"/>
                <w:color w:val="auto"/>
              </w:rPr>
            </w:pPr>
          </w:p>
        </w:tc>
        <w:tc>
          <w:tcPr>
            <w:tcW w:w="152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ORAC</w:t>
            </w:r>
          </w:p>
        </w:tc>
        <w:tc>
          <w:tcPr>
            <w:tcW w:w="1780" w:type="dxa"/>
            <w:vAlign w:val="bottom"/>
            <w:tcBorders>
              <w:bottom w:val="single" w:sz="8" w:color="BCBEC0"/>
            </w:tcBorders>
            <w:shd w:val="clear" w:color="auto" w:fill="DFDEEE"/>
          </w:tcPr>
          <w:p>
            <w:pPr>
              <w:jc w:val="right"/>
              <w:ind w:right="252"/>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BCBEC0"/>
            </w:tcBorders>
            <w:shd w:val="clear" w:color="auto" w:fill="DFDEEE"/>
          </w:tcPr>
          <w:p>
            <w:pPr>
              <w:jc w:val="right"/>
              <w:ind w:right="272"/>
              <w:spacing w:after="0"/>
              <w:rPr>
                <w:sz w:val="20"/>
                <w:szCs w:val="20"/>
                <w:color w:val="auto"/>
              </w:rPr>
            </w:pPr>
            <w:r>
              <w:rPr>
                <w:rFonts w:ascii="Arial" w:cs="Arial" w:eastAsia="Arial" w:hAnsi="Arial"/>
                <w:sz w:val="14"/>
                <w:szCs w:val="14"/>
                <w:color w:val="auto"/>
              </w:rPr>
              <w:t>47,475</w:t>
            </w:r>
          </w:p>
        </w:tc>
        <w:tc>
          <w:tcPr>
            <w:tcW w:w="1480" w:type="dxa"/>
            <w:vAlign w:val="bottom"/>
            <w:tcBorders>
              <w:bottom w:val="single" w:sz="8" w:color="BCBEC0"/>
            </w:tcBorders>
            <w:shd w:val="clear" w:color="auto" w:fill="DFDEEE"/>
          </w:tcPr>
          <w:p>
            <w:pPr>
              <w:jc w:val="right"/>
              <w:ind w:right="294"/>
              <w:spacing w:after="0"/>
              <w:rPr>
                <w:sz w:val="20"/>
                <w:szCs w:val="20"/>
                <w:color w:val="auto"/>
              </w:rPr>
            </w:pPr>
            <w:r>
              <w:rPr>
                <w:rFonts w:ascii="Arial" w:cs="Arial" w:eastAsia="Arial" w:hAnsi="Arial"/>
                <w:sz w:val="14"/>
                <w:szCs w:val="14"/>
                <w:color w:val="auto"/>
              </w:rPr>
              <w:t>22,989</w:t>
            </w:r>
          </w:p>
        </w:tc>
        <w:tc>
          <w:tcPr>
            <w:tcW w:w="1300" w:type="dxa"/>
            <w:vAlign w:val="bottom"/>
            <w:tcBorders>
              <w:bottom w:val="single" w:sz="8" w:color="BCBEC0"/>
            </w:tcBorders>
            <w:shd w:val="clear" w:color="auto" w:fill="DFDEEE"/>
          </w:tcPr>
          <w:p>
            <w:pPr>
              <w:jc w:val="right"/>
              <w:ind w:right="232"/>
              <w:spacing w:after="0"/>
              <w:rPr>
                <w:sz w:val="20"/>
                <w:szCs w:val="20"/>
                <w:color w:val="auto"/>
              </w:rPr>
            </w:pPr>
            <w:r>
              <w:rPr>
                <w:rFonts w:ascii="Arial" w:cs="Arial" w:eastAsia="Arial" w:hAnsi="Arial"/>
                <w:sz w:val="14"/>
                <w:szCs w:val="14"/>
                <w:color w:val="auto"/>
              </w:rPr>
              <w:t>(602)</w:t>
            </w:r>
          </w:p>
        </w:tc>
        <w:tc>
          <w:tcPr>
            <w:tcW w:w="114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203,131</w:t>
            </w:r>
          </w:p>
        </w:tc>
      </w:tr>
    </w:tbl>
    <w:p>
      <w:pPr>
        <w:spacing w:after="0" w:line="180" w:lineRule="exact"/>
        <w:rPr>
          <w:sz w:val="20"/>
          <w:szCs w:val="20"/>
          <w:color w:val="auto"/>
        </w:rPr>
      </w:pPr>
    </w:p>
    <w:p>
      <w:pPr>
        <w:ind w:left="260" w:right="240" w:hanging="252"/>
        <w:spacing w:after="0" w:line="305" w:lineRule="auto"/>
        <w:tabs>
          <w:tab w:leader="none" w:pos="258" w:val="left"/>
        </w:tabs>
        <w:numPr>
          <w:ilvl w:val="0"/>
          <w:numId w:val="151"/>
        </w:numPr>
        <w:rPr>
          <w:rFonts w:ascii="Arial" w:cs="Arial" w:eastAsia="Arial" w:hAnsi="Arial"/>
          <w:sz w:val="14"/>
          <w:szCs w:val="14"/>
          <w:color w:val="auto"/>
        </w:rPr>
      </w:pPr>
      <w:r>
        <w:rPr>
          <w:rFonts w:ascii="Arial" w:cs="Arial" w:eastAsia="Arial" w:hAnsi="Arial"/>
          <w:sz w:val="14"/>
          <w:szCs w:val="14"/>
          <w:color w:val="auto"/>
        </w:rPr>
        <w:t>NEO contributions in this column are also included in the 2023 Summary Compensation Table on page 71, under the columns entitled “Salary” and “Non-Equity Incentive Plan Compensation.”</w:t>
      </w:r>
    </w:p>
    <w:p>
      <w:pPr>
        <w:spacing w:after="0" w:line="9" w:lineRule="exact"/>
        <w:rPr>
          <w:rFonts w:ascii="Arial" w:cs="Arial" w:eastAsia="Arial" w:hAnsi="Arial"/>
          <w:sz w:val="14"/>
          <w:szCs w:val="14"/>
          <w:color w:val="auto"/>
        </w:rPr>
      </w:pPr>
    </w:p>
    <w:p>
      <w:pPr>
        <w:ind w:left="260" w:hanging="252"/>
        <w:spacing w:after="0"/>
        <w:tabs>
          <w:tab w:leader="none" w:pos="26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Company contributions in this column are included in the 2023 Summary Compensation Table, under the column entitled “All Other Compensation.”</w:t>
      </w:r>
    </w:p>
    <w:p>
      <w:pPr>
        <w:spacing w:after="0" w:line="95" w:lineRule="exact"/>
        <w:rPr>
          <w:rFonts w:ascii="Arial" w:cs="Arial" w:eastAsia="Arial" w:hAnsi="Arial"/>
          <w:sz w:val="14"/>
          <w:szCs w:val="14"/>
          <w:color w:val="auto"/>
        </w:rPr>
      </w:pPr>
    </w:p>
    <w:p>
      <w:pPr>
        <w:ind w:left="260" w:hanging="252"/>
        <w:spacing w:after="0"/>
        <w:tabs>
          <w:tab w:leader="none" w:pos="26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Aggregate earnings in the last fiscal year are not included in the 2023 Summary Compensation Table because they are not above market or preferential.</w:t>
      </w:r>
    </w:p>
    <w:p>
      <w:pPr>
        <w:spacing w:after="0" w:line="82" w:lineRule="exact"/>
        <w:rPr>
          <w:rFonts w:ascii="Arial" w:cs="Arial" w:eastAsia="Arial" w:hAnsi="Arial"/>
          <w:sz w:val="14"/>
          <w:szCs w:val="14"/>
          <w:color w:val="auto"/>
        </w:rPr>
      </w:pPr>
    </w:p>
    <w:p>
      <w:pPr>
        <w:ind w:left="260" w:hanging="252"/>
        <w:spacing w:after="0"/>
        <w:tabs>
          <w:tab w:leader="none" w:pos="26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NEO and Company contributions in this column may include balances for merged plans.</w:t>
      </w:r>
    </w:p>
    <w:p>
      <w:pPr>
        <w:spacing w:after="0" w:line="109" w:lineRule="exact"/>
        <w:rPr>
          <w:rFonts w:ascii="Arial" w:cs="Arial" w:eastAsia="Arial" w:hAnsi="Arial"/>
          <w:sz w:val="14"/>
          <w:szCs w:val="14"/>
          <w:color w:val="auto"/>
        </w:rPr>
      </w:pPr>
    </w:p>
    <w:p>
      <w:pPr>
        <w:ind w:left="260" w:right="320"/>
        <w:spacing w:after="0" w:line="305" w:lineRule="auto"/>
        <w:rPr>
          <w:rFonts w:ascii="Arial" w:cs="Arial" w:eastAsia="Arial" w:hAnsi="Arial"/>
          <w:sz w:val="14"/>
          <w:szCs w:val="14"/>
          <w:color w:val="auto"/>
        </w:rPr>
      </w:pPr>
      <w:r>
        <w:rPr>
          <w:rFonts w:ascii="Arial" w:cs="Arial" w:eastAsia="Arial" w:hAnsi="Arial"/>
          <w:sz w:val="14"/>
          <w:szCs w:val="14"/>
          <w:color w:val="auto"/>
        </w:rPr>
        <w:t>Employee contributions by Ms. Warden and Mr. Keffer for the years ended December 31, 2023, 2022 and 2021, collectively, previously reported as compensation in the Summary Compensation tables, were as follows:</w:t>
      </w:r>
    </w:p>
    <w:p>
      <w:pPr>
        <w:spacing w:after="0" w:line="109" w:lineRule="exact"/>
        <w:rPr>
          <w:sz w:val="20"/>
          <w:szCs w:val="20"/>
          <w:color w:val="auto"/>
        </w:rPr>
      </w:pPr>
    </w:p>
    <w:tbl>
      <w:tblPr>
        <w:tblLayout w:type="fixed"/>
        <w:tblInd w:w="280" w:type="dxa"/>
        <w:tblCellMar>
          <w:top w:w="0" w:type="dxa"/>
          <w:left w:w="0" w:type="dxa"/>
          <w:bottom w:w="0" w:type="dxa"/>
          <w:right w:w="0" w:type="dxa"/>
        </w:tblCellMar>
      </w:tblPr>
      <w:tr>
        <w:trPr>
          <w:trHeight w:val="199"/>
        </w:trPr>
        <w:tc>
          <w:tcPr>
            <w:tcW w:w="782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2740" w:type="dxa"/>
            <w:vAlign w:val="bottom"/>
          </w:tcPr>
          <w:p>
            <w:pPr>
              <w:jc w:val="right"/>
              <w:spacing w:after="0"/>
              <w:rPr>
                <w:sz w:val="20"/>
                <w:szCs w:val="20"/>
                <w:color w:val="auto"/>
              </w:rPr>
            </w:pPr>
            <w:r>
              <w:rPr>
                <w:rFonts w:ascii="Arial" w:cs="Arial" w:eastAsia="Arial" w:hAnsi="Arial"/>
                <w:sz w:val="13"/>
                <w:szCs w:val="13"/>
                <w:b w:val="1"/>
                <w:bCs w:val="1"/>
                <w:color w:val="auto"/>
              </w:rPr>
              <w:t>Employee Contributions ($)</w:t>
            </w:r>
          </w:p>
        </w:tc>
      </w:tr>
      <w:tr>
        <w:trPr>
          <w:trHeight w:val="22"/>
        </w:trPr>
        <w:tc>
          <w:tcPr>
            <w:tcW w:w="7820" w:type="dxa"/>
            <w:vAlign w:val="bottom"/>
            <w:tcBorders>
              <w:bottom w:val="single" w:sz="8" w:color="29378D"/>
            </w:tcBorders>
          </w:tcPr>
          <w:p>
            <w:pPr>
              <w:spacing w:after="0" w:line="20" w:lineRule="exact"/>
              <w:rPr>
                <w:sz w:val="1"/>
                <w:szCs w:val="1"/>
                <w:color w:val="auto"/>
              </w:rPr>
            </w:pPr>
          </w:p>
        </w:tc>
        <w:tc>
          <w:tcPr>
            <w:tcW w:w="2740" w:type="dxa"/>
            <w:vAlign w:val="bottom"/>
            <w:tcBorders>
              <w:bottom w:val="single" w:sz="8" w:color="29378D"/>
            </w:tcBorders>
          </w:tcPr>
          <w:p>
            <w:pPr>
              <w:spacing w:after="0" w:line="20" w:lineRule="exact"/>
              <w:rPr>
                <w:sz w:val="1"/>
                <w:szCs w:val="1"/>
                <w:color w:val="auto"/>
              </w:rPr>
            </w:pPr>
          </w:p>
        </w:tc>
      </w:tr>
      <w:tr>
        <w:trPr>
          <w:trHeight w:val="209"/>
        </w:trPr>
        <w:tc>
          <w:tcPr>
            <w:tcW w:w="782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Ms. Warden</w:t>
            </w:r>
          </w:p>
        </w:tc>
        <w:tc>
          <w:tcPr>
            <w:tcW w:w="2740" w:type="dxa"/>
            <w:vAlign w:val="bottom"/>
            <w:tcBorders>
              <w:bottom w:val="single" w:sz="8" w:color="BCBEC0"/>
            </w:tcBorders>
            <w:shd w:val="clear" w:color="auto" w:fill="DFDEEE"/>
          </w:tcPr>
          <w:p>
            <w:pPr>
              <w:jc w:val="right"/>
              <w:ind w:right="10"/>
              <w:spacing w:after="0"/>
              <w:rPr>
                <w:sz w:val="20"/>
                <w:szCs w:val="20"/>
                <w:color w:val="auto"/>
              </w:rPr>
            </w:pPr>
            <w:r>
              <w:rPr>
                <w:rFonts w:ascii="Arial" w:cs="Arial" w:eastAsia="Arial" w:hAnsi="Arial"/>
                <w:sz w:val="14"/>
                <w:szCs w:val="14"/>
                <w:color w:val="auto"/>
              </w:rPr>
              <w:t>1,363,502</w:t>
            </w:r>
          </w:p>
        </w:tc>
      </w:tr>
      <w:tr>
        <w:trPr>
          <w:trHeight w:val="209"/>
        </w:trPr>
        <w:tc>
          <w:tcPr>
            <w:tcW w:w="78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29378D"/>
              </w:rPr>
              <w:t>Mr. Keffer</w:t>
            </w:r>
          </w:p>
        </w:tc>
        <w:tc>
          <w:tcPr>
            <w:tcW w:w="2740" w:type="dxa"/>
            <w:vAlign w:val="bottom"/>
            <w:tcBorders>
              <w:bottom w:val="single" w:sz="8" w:color="D1D3D4"/>
            </w:tcBorders>
          </w:tcPr>
          <w:p>
            <w:pPr>
              <w:jc w:val="right"/>
              <w:ind w:right="10"/>
              <w:spacing w:after="0"/>
              <w:rPr>
                <w:sz w:val="20"/>
                <w:szCs w:val="20"/>
                <w:color w:val="auto"/>
              </w:rPr>
            </w:pPr>
            <w:r>
              <w:rPr>
                <w:rFonts w:ascii="Arial" w:cs="Arial" w:eastAsia="Arial" w:hAnsi="Arial"/>
                <w:sz w:val="14"/>
                <w:szCs w:val="14"/>
                <w:color w:val="auto"/>
              </w:rPr>
              <w:t>368,489</w:t>
            </w:r>
          </w:p>
        </w:tc>
      </w:tr>
      <w:tr>
        <w:trPr>
          <w:trHeight w:val="210"/>
        </w:trPr>
        <w:tc>
          <w:tcPr>
            <w:tcW w:w="782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Mr. Jones</w:t>
            </w:r>
          </w:p>
        </w:tc>
        <w:tc>
          <w:tcPr>
            <w:tcW w:w="2740" w:type="dxa"/>
            <w:vAlign w:val="bottom"/>
            <w:tcBorders>
              <w:bottom w:val="single" w:sz="8" w:color="BCBEC0"/>
            </w:tcBorders>
            <w:shd w:val="clear" w:color="auto" w:fill="DFDEEE"/>
          </w:tcPr>
          <w:p>
            <w:pPr>
              <w:jc w:val="right"/>
              <w:ind w:right="10"/>
              <w:spacing w:after="0"/>
              <w:rPr>
                <w:sz w:val="20"/>
                <w:szCs w:val="20"/>
                <w:color w:val="auto"/>
              </w:rPr>
            </w:pPr>
            <w:r>
              <w:rPr>
                <w:rFonts w:ascii="Arial" w:cs="Arial" w:eastAsia="Arial" w:hAnsi="Arial"/>
                <w:sz w:val="14"/>
                <w:szCs w:val="14"/>
                <w:color w:val="auto"/>
              </w:rPr>
              <w:t>232,993</w:t>
            </w:r>
          </w:p>
        </w:tc>
      </w:tr>
      <w:tr>
        <w:trPr>
          <w:trHeight w:val="210"/>
        </w:trPr>
        <w:tc>
          <w:tcPr>
            <w:tcW w:w="78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29378D"/>
              </w:rPr>
              <w:t>Ms. Roeder</w:t>
            </w:r>
          </w:p>
        </w:tc>
        <w:tc>
          <w:tcPr>
            <w:tcW w:w="2740" w:type="dxa"/>
            <w:vAlign w:val="bottom"/>
            <w:tcBorders>
              <w:bottom w:val="single" w:sz="8" w:color="BCBEC0"/>
            </w:tcBorders>
          </w:tcPr>
          <w:p>
            <w:pPr>
              <w:jc w:val="right"/>
              <w:ind w:right="10"/>
              <w:spacing w:after="0"/>
              <w:rPr>
                <w:sz w:val="20"/>
                <w:szCs w:val="20"/>
                <w:color w:val="auto"/>
              </w:rPr>
            </w:pPr>
            <w:r>
              <w:rPr>
                <w:rFonts w:ascii="Arial" w:cs="Arial" w:eastAsia="Arial" w:hAnsi="Arial"/>
                <w:sz w:val="14"/>
                <w:szCs w:val="14"/>
                <w:color w:val="auto"/>
              </w:rPr>
              <w:t>128,532</w:t>
            </w:r>
          </w:p>
        </w:tc>
      </w:tr>
    </w:tbl>
    <w:p>
      <w:pPr>
        <w:spacing w:after="0" w:line="193" w:lineRule="exact"/>
        <w:rPr>
          <w:sz w:val="20"/>
          <w:szCs w:val="20"/>
          <w:color w:val="auto"/>
        </w:rPr>
      </w:pPr>
    </w:p>
    <w:p>
      <w:pPr>
        <w:ind w:left="260" w:right="80"/>
        <w:spacing w:after="0" w:line="273" w:lineRule="auto"/>
        <w:rPr>
          <w:sz w:val="20"/>
          <w:szCs w:val="20"/>
          <w:color w:val="auto"/>
        </w:rPr>
      </w:pPr>
      <w:r>
        <w:rPr>
          <w:rFonts w:ascii="Arial" w:cs="Arial" w:eastAsia="Arial" w:hAnsi="Arial"/>
          <w:sz w:val="14"/>
          <w:szCs w:val="14"/>
          <w:color w:val="auto"/>
        </w:rPr>
        <w:t>There were no employee contributions made by Mr. Caylor for the years ended December 31, 2023, 2022 and 2021. Because Mr. Jones was not an NEO on December 31, 2021, employee contribution data for that year is not presented. In addition, Ms. Roeder was not an NEO for the years ended December 31, 2022 and 2021, employee contribution data for these years is not presented.</w:t>
      </w:r>
    </w:p>
    <w:p>
      <w:pPr>
        <w:spacing w:after="0" w:line="227"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Deferred Compensation Plans and Descriptions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deferred compensation plans in which the NEOs participate are listed below in alphabetical order:</w:t>
      </w:r>
    </w:p>
    <w:p>
      <w:pPr>
        <w:spacing w:after="0" w:line="113" w:lineRule="exact"/>
        <w:rPr>
          <w:sz w:val="20"/>
          <w:szCs w:val="20"/>
          <w:color w:val="auto"/>
        </w:rPr>
      </w:pPr>
    </w:p>
    <w:p>
      <w:pPr>
        <w:ind w:left="200" w:right="660" w:hanging="192"/>
        <w:spacing w:after="0" w:line="304" w:lineRule="auto"/>
        <w:tabs>
          <w:tab w:leader="none" w:pos="143" w:val="left"/>
        </w:tabs>
        <w:numPr>
          <w:ilvl w:val="0"/>
          <w:numId w:val="152"/>
        </w:numPr>
        <w:rPr>
          <w:rFonts w:ascii="Arial" w:cs="Arial" w:eastAsia="Arial" w:hAnsi="Arial"/>
          <w:sz w:val="16"/>
          <w:szCs w:val="16"/>
          <w:b w:val="1"/>
          <w:bCs w:val="1"/>
          <w:color w:val="29378D"/>
        </w:rPr>
      </w:pPr>
      <w:r>
        <w:rPr>
          <w:rFonts w:ascii="Arial" w:cs="Arial" w:eastAsia="Arial" w:hAnsi="Arial"/>
          <w:sz w:val="16"/>
          <w:szCs w:val="16"/>
          <w:color w:val="auto"/>
        </w:rPr>
        <w:t>ORAC is the Northrop Grumman Officers Retirement Account Contribution Plan. This plan allows eligible executives, including NEOs, to receive a Company contribution of 4% of base salary and bonus.</w:t>
      </w:r>
    </w:p>
    <w:p>
      <w:pPr>
        <w:spacing w:after="0" w:line="6" w:lineRule="exact"/>
        <w:rPr>
          <w:rFonts w:ascii="Arial" w:cs="Arial" w:eastAsia="Arial" w:hAnsi="Arial"/>
          <w:sz w:val="16"/>
          <w:szCs w:val="16"/>
          <w:b w:val="1"/>
          <w:bCs w:val="1"/>
          <w:color w:val="29378D"/>
        </w:rPr>
      </w:pPr>
    </w:p>
    <w:p>
      <w:pPr>
        <w:ind w:left="200" w:right="100" w:hanging="192"/>
        <w:spacing w:after="0" w:line="266" w:lineRule="auto"/>
        <w:tabs>
          <w:tab w:leader="none" w:pos="143" w:val="left"/>
        </w:tabs>
        <w:numPr>
          <w:ilvl w:val="0"/>
          <w:numId w:val="152"/>
        </w:numPr>
        <w:rPr>
          <w:rFonts w:ascii="Arial" w:cs="Arial" w:eastAsia="Arial" w:hAnsi="Arial"/>
          <w:sz w:val="16"/>
          <w:szCs w:val="16"/>
          <w:b w:val="1"/>
          <w:bCs w:val="1"/>
          <w:color w:val="29378D"/>
        </w:rPr>
      </w:pPr>
      <w:r>
        <w:rPr>
          <w:rFonts w:ascii="Arial" w:cs="Arial" w:eastAsia="Arial" w:hAnsi="Arial"/>
          <w:sz w:val="16"/>
          <w:szCs w:val="16"/>
          <w:color w:val="auto"/>
        </w:rPr>
        <w:t>Savings Excess Plan is the Northrop Grumman Savings Excess Plan. This plan allows eligible employees, including the NEOs, to (i) defer up to 50% of their salary and bonus beyond the compensation limits of the tax qualified plans and receive a Company matching contribution of up to 7% of pay and (ii) receive Retirement Account Contributions (RAC) and Non-elective Contributions (NEC) beyond the compensation limits in the qualified plan.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79</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Termination Payments and Benefits</w:t>
      </w:r>
    </w:p>
    <w:p>
      <w:pPr>
        <w:spacing w:after="0" w:line="148"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The following table summarizes certain payments and benefits the NEOs may receive upon termination, subject to the referenced plans and terms and conditions of the awards.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60" w:type="dxa"/>
            <w:vAlign w:val="bottom"/>
          </w:tcPr>
          <w:p>
            <w:pPr>
              <w:jc w:val="center"/>
              <w:spacing w:after="0"/>
              <w:rPr>
                <w:sz w:val="20"/>
                <w:szCs w:val="20"/>
                <w:color w:val="auto"/>
              </w:rPr>
            </w:pPr>
            <w:r>
              <w:rPr>
                <w:rFonts w:ascii="Arial" w:cs="Arial" w:eastAsia="Arial" w:hAnsi="Arial"/>
                <w:sz w:val="12"/>
                <w:szCs w:val="12"/>
                <w:b w:val="1"/>
                <w:bCs w:val="1"/>
                <w:color w:val="auto"/>
                <w:w w:val="94"/>
              </w:rPr>
              <w:t>Post-CIC</w:t>
            </w: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8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Involuntary</w:t>
            </w: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640" w:type="dxa"/>
            <w:vAlign w:val="bottom"/>
          </w:tcPr>
          <w:p>
            <w:pPr>
              <w:ind w:left="700"/>
              <w:spacing w:after="0"/>
              <w:rPr>
                <w:sz w:val="20"/>
                <w:szCs w:val="20"/>
                <w:color w:val="auto"/>
              </w:rPr>
            </w:pPr>
            <w:r>
              <w:rPr>
                <w:rFonts w:ascii="Arial" w:cs="Arial" w:eastAsia="Arial" w:hAnsi="Arial"/>
                <w:sz w:val="12"/>
                <w:szCs w:val="12"/>
                <w:b w:val="1"/>
                <w:bCs w:val="1"/>
                <w:color w:val="auto"/>
              </w:rPr>
              <w:t>Involuntary Termination</w:t>
            </w:r>
          </w:p>
        </w:tc>
        <w:tc>
          <w:tcPr>
            <w:tcW w:w="2860" w:type="dxa"/>
            <w:vAlign w:val="bottom"/>
          </w:tcPr>
          <w:p>
            <w:pPr>
              <w:jc w:val="center"/>
              <w:spacing w:after="0"/>
              <w:rPr>
                <w:sz w:val="20"/>
                <w:szCs w:val="20"/>
                <w:color w:val="auto"/>
              </w:rPr>
            </w:pPr>
            <w:r>
              <w:rPr>
                <w:rFonts w:ascii="Arial" w:cs="Arial" w:eastAsia="Arial" w:hAnsi="Arial"/>
                <w:sz w:val="12"/>
                <w:szCs w:val="12"/>
                <w:b w:val="1"/>
                <w:bCs w:val="1"/>
                <w:color w:val="auto"/>
                <w:w w:val="98"/>
              </w:rPr>
              <w:t>or Good Reason</w:t>
            </w:r>
          </w:p>
        </w:tc>
        <w:tc>
          <w:tcPr>
            <w:tcW w:w="1580" w:type="dxa"/>
            <w:vAlign w:val="bottom"/>
          </w:tcPr>
          <w:p>
            <w:pPr>
              <w:ind w:left="560"/>
              <w:spacing w:after="0"/>
              <w:rPr>
                <w:sz w:val="20"/>
                <w:szCs w:val="20"/>
                <w:color w:val="auto"/>
              </w:rPr>
            </w:pPr>
            <w:r>
              <w:rPr>
                <w:rFonts w:ascii="Arial" w:cs="Arial" w:eastAsia="Arial" w:hAnsi="Arial"/>
                <w:sz w:val="12"/>
                <w:szCs w:val="12"/>
                <w:b w:val="1"/>
                <w:bCs w:val="1"/>
                <w:color w:val="auto"/>
              </w:rPr>
              <w:t>Death or</w:t>
            </w:r>
          </w:p>
        </w:tc>
        <w:tc>
          <w:tcPr>
            <w:tcW w:w="0" w:type="dxa"/>
            <w:vAlign w:val="bottom"/>
          </w:tcPr>
          <w:p>
            <w:pPr>
              <w:spacing w:after="0"/>
              <w:rPr>
                <w:sz w:val="1"/>
                <w:szCs w:val="1"/>
                <w:color w:val="auto"/>
              </w:rPr>
            </w:pPr>
          </w:p>
        </w:tc>
      </w:tr>
      <w:tr>
        <w:trPr>
          <w:trHeight w:val="185"/>
        </w:trPr>
        <w:tc>
          <w:tcPr>
            <w:tcW w:w="1620" w:type="dxa"/>
            <w:vAlign w:val="bottom"/>
            <w:tcBorders>
              <w:bottom w:val="single" w:sz="8" w:color="29378D"/>
            </w:tcBorders>
          </w:tcPr>
          <w:p>
            <w:pPr>
              <w:spacing w:after="0"/>
              <w:rPr>
                <w:sz w:val="16"/>
                <w:szCs w:val="16"/>
                <w:color w:val="auto"/>
              </w:rPr>
            </w:pPr>
          </w:p>
        </w:tc>
        <w:tc>
          <w:tcPr>
            <w:tcW w:w="2540" w:type="dxa"/>
            <w:vAlign w:val="bottom"/>
            <w:tcBorders>
              <w:bottom w:val="single" w:sz="8" w:color="29378D"/>
            </w:tcBorders>
          </w:tcPr>
          <w:p>
            <w:pPr>
              <w:ind w:left="680"/>
              <w:spacing w:after="0"/>
              <w:rPr>
                <w:sz w:val="20"/>
                <w:szCs w:val="20"/>
                <w:color w:val="auto"/>
              </w:rPr>
            </w:pPr>
            <w:r>
              <w:rPr>
                <w:rFonts w:ascii="Arial" w:cs="Arial" w:eastAsia="Arial" w:hAnsi="Arial"/>
                <w:sz w:val="12"/>
                <w:szCs w:val="12"/>
                <w:b w:val="1"/>
                <w:bCs w:val="1"/>
                <w:color w:val="auto"/>
              </w:rPr>
              <w:t>Voluntary Termination</w:t>
            </w:r>
            <w:r>
              <w:rPr>
                <w:rFonts w:ascii="Arial" w:cs="Arial" w:eastAsia="Arial" w:hAnsi="Arial"/>
                <w:sz w:val="15"/>
                <w:szCs w:val="15"/>
                <w:b w:val="1"/>
                <w:bCs w:val="1"/>
                <w:color w:val="auto"/>
                <w:vertAlign w:val="superscript"/>
              </w:rPr>
              <w:t>(3)</w:t>
            </w:r>
          </w:p>
        </w:tc>
        <w:tc>
          <w:tcPr>
            <w:tcW w:w="2640" w:type="dxa"/>
            <w:vAlign w:val="bottom"/>
            <w:tcBorders>
              <w:bottom w:val="single" w:sz="8" w:color="29378D"/>
            </w:tcBorders>
          </w:tcPr>
          <w:p>
            <w:pPr>
              <w:ind w:left="920"/>
              <w:spacing w:after="0"/>
              <w:rPr>
                <w:sz w:val="20"/>
                <w:szCs w:val="20"/>
                <w:color w:val="auto"/>
              </w:rPr>
            </w:pPr>
            <w:r>
              <w:rPr>
                <w:rFonts w:ascii="Arial" w:cs="Arial" w:eastAsia="Arial" w:hAnsi="Arial"/>
                <w:sz w:val="12"/>
                <w:szCs w:val="12"/>
                <w:b w:val="1"/>
                <w:bCs w:val="1"/>
                <w:color w:val="auto"/>
              </w:rPr>
              <w:t>Not For Cause</w:t>
            </w:r>
            <w:r>
              <w:rPr>
                <w:rFonts w:ascii="Arial" w:cs="Arial" w:eastAsia="Arial" w:hAnsi="Arial"/>
                <w:sz w:val="15"/>
                <w:szCs w:val="15"/>
                <w:b w:val="1"/>
                <w:bCs w:val="1"/>
                <w:color w:val="auto"/>
                <w:vertAlign w:val="superscript"/>
              </w:rPr>
              <w:t>(3)</w:t>
            </w:r>
          </w:p>
        </w:tc>
        <w:tc>
          <w:tcPr>
            <w:tcW w:w="2860" w:type="dxa"/>
            <w:vAlign w:val="bottom"/>
            <w:tcBorders>
              <w:bottom w:val="single" w:sz="8" w:color="29378D"/>
            </w:tcBorders>
          </w:tcPr>
          <w:p>
            <w:pPr>
              <w:jc w:val="center"/>
              <w:ind w:left="10"/>
              <w:spacing w:after="0"/>
              <w:rPr>
                <w:sz w:val="20"/>
                <w:szCs w:val="20"/>
                <w:color w:val="auto"/>
              </w:rPr>
            </w:pPr>
            <w:r>
              <w:rPr>
                <w:rFonts w:ascii="Arial" w:cs="Arial" w:eastAsia="Arial" w:hAnsi="Arial"/>
                <w:sz w:val="12"/>
                <w:szCs w:val="12"/>
                <w:b w:val="1"/>
                <w:bCs w:val="1"/>
                <w:color w:val="auto"/>
                <w:w w:val="96"/>
              </w:rPr>
              <w:t>Termination</w:t>
            </w:r>
          </w:p>
        </w:tc>
        <w:tc>
          <w:tcPr>
            <w:tcW w:w="1580" w:type="dxa"/>
            <w:vAlign w:val="bottom"/>
            <w:tcBorders>
              <w:bottom w:val="single" w:sz="8" w:color="29378D"/>
            </w:tcBorders>
          </w:tcPr>
          <w:p>
            <w:pPr>
              <w:ind w:left="500"/>
              <w:spacing w:after="0"/>
              <w:rPr>
                <w:sz w:val="20"/>
                <w:szCs w:val="20"/>
                <w:color w:val="auto"/>
              </w:rPr>
            </w:pPr>
            <w:r>
              <w:rPr>
                <w:rFonts w:ascii="Arial" w:cs="Arial" w:eastAsia="Arial" w:hAnsi="Arial"/>
                <w:sz w:val="12"/>
                <w:szCs w:val="12"/>
                <w:b w:val="1"/>
                <w:bCs w:val="1"/>
                <w:color w:val="auto"/>
              </w:rPr>
              <w:t>Disability</w:t>
            </w:r>
            <w:r>
              <w:rPr>
                <w:rFonts w:ascii="Arial" w:cs="Arial" w:eastAsia="Arial" w:hAnsi="Arial"/>
                <w:sz w:val="15"/>
                <w:szCs w:val="15"/>
                <w:b w:val="1"/>
                <w:bCs w:val="1"/>
                <w:color w:val="auto"/>
                <w:vertAlign w:val="superscript"/>
              </w:rPr>
              <w:t>(3)</w:t>
            </w:r>
          </w:p>
        </w:tc>
        <w:tc>
          <w:tcPr>
            <w:tcW w:w="0" w:type="dxa"/>
            <w:vAlign w:val="bottom"/>
          </w:tcPr>
          <w:p>
            <w:pPr>
              <w:spacing w:after="0"/>
              <w:rPr>
                <w:sz w:val="1"/>
                <w:szCs w:val="1"/>
                <w:color w:val="auto"/>
              </w:rPr>
            </w:pPr>
          </w:p>
        </w:tc>
      </w:tr>
      <w:tr>
        <w:trPr>
          <w:trHeight w:val="173"/>
        </w:trPr>
        <w:tc>
          <w:tcPr>
            <w:tcW w:w="1620" w:type="dxa"/>
            <w:vAlign w:val="bottom"/>
            <w:vMerge w:val="restart"/>
          </w:tcPr>
          <w:p>
            <w:pPr>
              <w:ind w:left="20"/>
              <w:spacing w:after="0"/>
              <w:rPr>
                <w:sz w:val="20"/>
                <w:szCs w:val="20"/>
                <w:color w:val="auto"/>
              </w:rPr>
            </w:pPr>
            <w:r>
              <w:rPr>
                <w:rFonts w:ascii="Arial" w:cs="Arial" w:eastAsia="Arial" w:hAnsi="Arial"/>
                <w:sz w:val="14"/>
                <w:szCs w:val="14"/>
                <w:color w:val="auto"/>
              </w:rPr>
              <w:t>RSRs</w:t>
            </w:r>
            <w:r>
              <w:rPr>
                <w:rFonts w:ascii="Arial" w:cs="Arial" w:eastAsia="Arial" w:hAnsi="Arial"/>
                <w:sz w:val="18"/>
                <w:szCs w:val="18"/>
                <w:color w:val="auto"/>
                <w:vertAlign w:val="superscript"/>
              </w:rPr>
              <w:t>(1)</w:t>
            </w:r>
          </w:p>
        </w:tc>
        <w:tc>
          <w:tcPr>
            <w:tcW w:w="2540" w:type="dxa"/>
            <w:vAlign w:val="bottom"/>
          </w:tcPr>
          <w:p>
            <w:pPr>
              <w:ind w:left="100"/>
              <w:spacing w:after="0"/>
              <w:rPr>
                <w:sz w:val="20"/>
                <w:szCs w:val="20"/>
                <w:color w:val="auto"/>
              </w:rPr>
            </w:pPr>
            <w:r>
              <w:rPr>
                <w:rFonts w:ascii="Arial" w:cs="Arial" w:eastAsia="Arial" w:hAnsi="Arial"/>
                <w:sz w:val="14"/>
                <w:szCs w:val="14"/>
                <w:color w:val="auto"/>
              </w:rPr>
              <w:t>Unvested RSRs are forfeited, except</w:t>
            </w:r>
          </w:p>
        </w:tc>
        <w:tc>
          <w:tcPr>
            <w:tcW w:w="2640" w:type="dxa"/>
            <w:vAlign w:val="bottom"/>
          </w:tcPr>
          <w:p>
            <w:pPr>
              <w:ind w:left="60"/>
              <w:spacing w:after="0"/>
              <w:rPr>
                <w:sz w:val="20"/>
                <w:szCs w:val="20"/>
                <w:color w:val="auto"/>
              </w:rPr>
            </w:pPr>
            <w:r>
              <w:rPr>
                <w:rFonts w:ascii="Arial" w:cs="Arial" w:eastAsia="Arial" w:hAnsi="Arial"/>
                <w:sz w:val="14"/>
                <w:szCs w:val="14"/>
                <w:color w:val="auto"/>
              </w:rPr>
              <w:t>Unvested RSRs are forfeited, except in</w:t>
            </w:r>
          </w:p>
        </w:tc>
        <w:tc>
          <w:tcPr>
            <w:tcW w:w="2860" w:type="dxa"/>
            <w:vAlign w:val="bottom"/>
          </w:tcPr>
          <w:p>
            <w:pPr>
              <w:ind w:left="60"/>
              <w:spacing w:after="0"/>
              <w:rPr>
                <w:sz w:val="20"/>
                <w:szCs w:val="20"/>
                <w:color w:val="auto"/>
              </w:rPr>
            </w:pPr>
            <w:r>
              <w:rPr>
                <w:rFonts w:ascii="Arial" w:cs="Arial" w:eastAsia="Arial" w:hAnsi="Arial"/>
                <w:sz w:val="14"/>
                <w:szCs w:val="14"/>
                <w:color w:val="auto"/>
              </w:rPr>
              <w:t>For certain change in control events as set</w:t>
            </w:r>
          </w:p>
        </w:tc>
        <w:tc>
          <w:tcPr>
            <w:tcW w:w="1580" w:type="dxa"/>
            <w:vAlign w:val="bottom"/>
          </w:tcPr>
          <w:p>
            <w:pPr>
              <w:ind w:left="40"/>
              <w:spacing w:after="0"/>
              <w:rPr>
                <w:sz w:val="20"/>
                <w:szCs w:val="20"/>
                <w:color w:val="auto"/>
              </w:rPr>
            </w:pPr>
            <w:r>
              <w:rPr>
                <w:rFonts w:ascii="Arial" w:cs="Arial" w:eastAsia="Arial" w:hAnsi="Arial"/>
                <w:sz w:val="14"/>
                <w:szCs w:val="14"/>
                <w:color w:val="auto"/>
              </w:rPr>
              <w:t>Unvested RSRs will</w:t>
            </w:r>
          </w:p>
        </w:tc>
        <w:tc>
          <w:tcPr>
            <w:tcW w:w="0" w:type="dxa"/>
            <w:vAlign w:val="bottom"/>
          </w:tcPr>
          <w:p>
            <w:pPr>
              <w:spacing w:after="0"/>
              <w:rPr>
                <w:sz w:val="1"/>
                <w:szCs w:val="1"/>
                <w:color w:val="auto"/>
              </w:rPr>
            </w:pPr>
          </w:p>
        </w:tc>
      </w:tr>
      <w:tr>
        <w:trPr>
          <w:trHeight w:val="144"/>
        </w:trPr>
        <w:tc>
          <w:tcPr>
            <w:tcW w:w="1620" w:type="dxa"/>
            <w:vAlign w:val="bottom"/>
            <w:vMerge w:val="continue"/>
          </w:tcPr>
          <w:p>
            <w:pPr>
              <w:spacing w:after="0"/>
              <w:rPr>
                <w:sz w:val="12"/>
                <w:szCs w:val="12"/>
                <w:color w:val="auto"/>
              </w:rPr>
            </w:pPr>
          </w:p>
        </w:tc>
        <w:tc>
          <w:tcPr>
            <w:tcW w:w="2540" w:type="dxa"/>
            <w:vAlign w:val="bottom"/>
            <w:vMerge w:val="restart"/>
          </w:tcPr>
          <w:p>
            <w:pPr>
              <w:ind w:left="100"/>
              <w:spacing w:after="0"/>
              <w:rPr>
                <w:sz w:val="20"/>
                <w:szCs w:val="20"/>
                <w:color w:val="auto"/>
              </w:rPr>
            </w:pPr>
            <w:r>
              <w:rPr>
                <w:rFonts w:ascii="Arial" w:cs="Arial" w:eastAsia="Arial" w:hAnsi="Arial"/>
                <w:sz w:val="14"/>
                <w:szCs w:val="14"/>
                <w:color w:val="auto"/>
              </w:rPr>
              <w:t>in the case of early retirement where</w:t>
            </w:r>
          </w:p>
        </w:tc>
        <w:tc>
          <w:tcPr>
            <w:tcW w:w="2640" w:type="dxa"/>
            <w:vAlign w:val="bottom"/>
            <w:vMerge w:val="restart"/>
          </w:tcPr>
          <w:p>
            <w:pPr>
              <w:ind w:left="60"/>
              <w:spacing w:after="0"/>
              <w:rPr>
                <w:sz w:val="20"/>
                <w:szCs w:val="20"/>
                <w:color w:val="auto"/>
              </w:rPr>
            </w:pPr>
            <w:r>
              <w:rPr>
                <w:rFonts w:ascii="Arial" w:cs="Arial" w:eastAsia="Arial" w:hAnsi="Arial"/>
                <w:sz w:val="14"/>
                <w:szCs w:val="14"/>
                <w:color w:val="auto"/>
              </w:rPr>
              <w:t>the case of early retirement where the</w:t>
            </w:r>
          </w:p>
        </w:tc>
        <w:tc>
          <w:tcPr>
            <w:tcW w:w="2860" w:type="dxa"/>
            <w:vAlign w:val="bottom"/>
            <w:vMerge w:val="restart"/>
          </w:tcPr>
          <w:p>
            <w:pPr>
              <w:ind w:left="60"/>
              <w:spacing w:after="0"/>
              <w:rPr>
                <w:sz w:val="20"/>
                <w:szCs w:val="20"/>
                <w:color w:val="auto"/>
              </w:rPr>
            </w:pPr>
            <w:r>
              <w:rPr>
                <w:rFonts w:ascii="Arial" w:cs="Arial" w:eastAsia="Arial" w:hAnsi="Arial"/>
                <w:sz w:val="14"/>
                <w:szCs w:val="14"/>
                <w:color w:val="auto"/>
              </w:rPr>
              <w:t>forth in the 2011 Plan (CIC), unvested</w:t>
            </w:r>
          </w:p>
        </w:tc>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fully vest and payment</w:t>
            </w:r>
          </w:p>
        </w:tc>
        <w:tc>
          <w:tcPr>
            <w:tcW w:w="0" w:type="dxa"/>
            <w:vAlign w:val="bottom"/>
          </w:tcPr>
          <w:p>
            <w:pPr>
              <w:spacing w:after="0"/>
              <w:rPr>
                <w:sz w:val="1"/>
                <w:szCs w:val="1"/>
                <w:color w:val="auto"/>
              </w:rPr>
            </w:pPr>
          </w:p>
        </w:tc>
      </w:tr>
      <w:tr>
        <w:trPr>
          <w:trHeight w:val="31"/>
        </w:trPr>
        <w:tc>
          <w:tcPr>
            <w:tcW w:w="1620" w:type="dxa"/>
            <w:vAlign w:val="bottom"/>
          </w:tcPr>
          <w:p>
            <w:pPr>
              <w:spacing w:after="0"/>
              <w:rPr>
                <w:sz w:val="2"/>
                <w:szCs w:val="2"/>
                <w:color w:val="auto"/>
              </w:rPr>
            </w:pPr>
          </w:p>
        </w:tc>
        <w:tc>
          <w:tcPr>
            <w:tcW w:w="2540" w:type="dxa"/>
            <w:vAlign w:val="bottom"/>
            <w:vMerge w:val="continue"/>
          </w:tcPr>
          <w:p>
            <w:pPr>
              <w:spacing w:after="0"/>
              <w:rPr>
                <w:sz w:val="2"/>
                <w:szCs w:val="2"/>
                <w:color w:val="auto"/>
              </w:rPr>
            </w:pPr>
          </w:p>
        </w:tc>
        <w:tc>
          <w:tcPr>
            <w:tcW w:w="2640" w:type="dxa"/>
            <w:vAlign w:val="bottom"/>
            <w:vMerge w:val="continue"/>
          </w:tcPr>
          <w:p>
            <w:pPr>
              <w:spacing w:after="0"/>
              <w:rPr>
                <w:sz w:val="2"/>
                <w:szCs w:val="2"/>
                <w:color w:val="auto"/>
              </w:rPr>
            </w:pPr>
          </w:p>
        </w:tc>
        <w:tc>
          <w:tcPr>
            <w:tcW w:w="2860" w:type="dxa"/>
            <w:vAlign w:val="bottom"/>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620" w:type="dxa"/>
            <w:vAlign w:val="bottom"/>
          </w:tcPr>
          <w:p>
            <w:pPr>
              <w:spacing w:after="0"/>
              <w:rPr>
                <w:sz w:val="15"/>
                <w:szCs w:val="15"/>
                <w:color w:val="auto"/>
              </w:rPr>
            </w:pPr>
          </w:p>
        </w:tc>
        <w:tc>
          <w:tcPr>
            <w:tcW w:w="5180" w:type="dxa"/>
            <w:vAlign w:val="bottom"/>
            <w:gridSpan w:val="2"/>
          </w:tcPr>
          <w:p>
            <w:pPr>
              <w:ind w:left="100"/>
              <w:spacing w:after="0"/>
              <w:rPr>
                <w:sz w:val="20"/>
                <w:szCs w:val="20"/>
                <w:color w:val="auto"/>
              </w:rPr>
            </w:pPr>
            <w:r>
              <w:rPr>
                <w:rFonts w:ascii="Arial" w:cs="Arial" w:eastAsia="Arial" w:hAnsi="Arial"/>
                <w:sz w:val="14"/>
                <w:szCs w:val="14"/>
                <w:color w:val="auto"/>
              </w:rPr>
              <w:t>the RSRs are prorated and mandatory RSRs are prorated and mandatory</w:t>
            </w:r>
          </w:p>
        </w:tc>
        <w:tc>
          <w:tcPr>
            <w:tcW w:w="2860" w:type="dxa"/>
            <w:vAlign w:val="bottom"/>
          </w:tcPr>
          <w:p>
            <w:pPr>
              <w:ind w:left="60"/>
              <w:spacing w:after="0"/>
              <w:rPr>
                <w:sz w:val="20"/>
                <w:szCs w:val="20"/>
                <w:color w:val="auto"/>
              </w:rPr>
            </w:pPr>
            <w:r>
              <w:rPr>
                <w:rFonts w:ascii="Arial" w:cs="Arial" w:eastAsia="Arial" w:hAnsi="Arial"/>
                <w:sz w:val="14"/>
                <w:szCs w:val="14"/>
                <w:color w:val="auto"/>
              </w:rPr>
              <w:t>RSRs will vest and payment is accelerated,</w:t>
            </w:r>
          </w:p>
        </w:tc>
        <w:tc>
          <w:tcPr>
            <w:tcW w:w="1580" w:type="dxa"/>
            <w:vAlign w:val="bottom"/>
          </w:tcPr>
          <w:p>
            <w:pPr>
              <w:ind w:left="40"/>
              <w:spacing w:after="0"/>
              <w:rPr>
                <w:sz w:val="20"/>
                <w:szCs w:val="20"/>
                <w:color w:val="auto"/>
              </w:rPr>
            </w:pPr>
            <w:r>
              <w:rPr>
                <w:rFonts w:ascii="Arial" w:cs="Arial" w:eastAsia="Arial" w:hAnsi="Arial"/>
                <w:sz w:val="14"/>
                <w:szCs w:val="14"/>
                <w:color w:val="auto"/>
              </w:rPr>
              <w:t>is accelerated.</w:t>
            </w: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2540" w:type="dxa"/>
            <w:vAlign w:val="bottom"/>
          </w:tcPr>
          <w:p>
            <w:pPr>
              <w:ind w:left="100"/>
              <w:spacing w:after="0"/>
              <w:rPr>
                <w:sz w:val="20"/>
                <w:szCs w:val="20"/>
                <w:color w:val="auto"/>
              </w:rPr>
            </w:pPr>
            <w:r>
              <w:rPr>
                <w:rFonts w:ascii="Arial" w:cs="Arial" w:eastAsia="Arial" w:hAnsi="Arial"/>
                <w:sz w:val="14"/>
                <w:szCs w:val="14"/>
                <w:color w:val="auto"/>
              </w:rPr>
              <w:t>retirement (age 65) where they will</w:t>
            </w:r>
          </w:p>
        </w:tc>
        <w:tc>
          <w:tcPr>
            <w:tcW w:w="2640" w:type="dxa"/>
            <w:vAlign w:val="bottom"/>
          </w:tcPr>
          <w:p>
            <w:pPr>
              <w:ind w:left="60"/>
              <w:spacing w:after="0"/>
              <w:rPr>
                <w:sz w:val="20"/>
                <w:szCs w:val="20"/>
                <w:color w:val="auto"/>
              </w:rPr>
            </w:pPr>
            <w:r>
              <w:rPr>
                <w:rFonts w:ascii="Arial" w:cs="Arial" w:eastAsia="Arial" w:hAnsi="Arial"/>
                <w:sz w:val="14"/>
                <w:szCs w:val="14"/>
                <w:color w:val="auto"/>
              </w:rPr>
              <w:t>retirement (age 65) where they will fully</w:t>
            </w:r>
          </w:p>
        </w:tc>
        <w:tc>
          <w:tcPr>
            <w:tcW w:w="2860" w:type="dxa"/>
            <w:vAlign w:val="bottom"/>
          </w:tcPr>
          <w:p>
            <w:pPr>
              <w:ind w:left="60"/>
              <w:spacing w:after="0"/>
              <w:rPr>
                <w:sz w:val="20"/>
                <w:szCs w:val="20"/>
                <w:color w:val="auto"/>
              </w:rPr>
            </w:pPr>
            <w:r>
              <w:rPr>
                <w:rFonts w:ascii="Arial" w:cs="Arial" w:eastAsia="Arial" w:hAnsi="Arial"/>
                <w:sz w:val="14"/>
                <w:szCs w:val="14"/>
                <w:color w:val="auto"/>
              </w:rPr>
              <w:t>only in the event of a double trigger (CIC</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2540" w:type="dxa"/>
            <w:vAlign w:val="bottom"/>
          </w:tcPr>
          <w:p>
            <w:pPr>
              <w:ind w:left="100"/>
              <w:spacing w:after="0"/>
              <w:rPr>
                <w:sz w:val="20"/>
                <w:szCs w:val="20"/>
                <w:color w:val="auto"/>
              </w:rPr>
            </w:pPr>
            <w:r>
              <w:rPr>
                <w:rFonts w:ascii="Arial" w:cs="Arial" w:eastAsia="Arial" w:hAnsi="Arial"/>
                <w:sz w:val="14"/>
                <w:szCs w:val="14"/>
                <w:color w:val="auto"/>
              </w:rPr>
              <w:t>fully vest. Retention awards do not</w:t>
            </w:r>
          </w:p>
        </w:tc>
        <w:tc>
          <w:tcPr>
            <w:tcW w:w="2640" w:type="dxa"/>
            <w:vAlign w:val="bottom"/>
          </w:tcPr>
          <w:p>
            <w:pPr>
              <w:ind w:left="60"/>
              <w:spacing w:after="0"/>
              <w:rPr>
                <w:sz w:val="20"/>
                <w:szCs w:val="20"/>
                <w:color w:val="auto"/>
              </w:rPr>
            </w:pPr>
            <w:r>
              <w:rPr>
                <w:rFonts w:ascii="Arial" w:cs="Arial" w:eastAsia="Arial" w:hAnsi="Arial"/>
                <w:sz w:val="14"/>
                <w:szCs w:val="14"/>
                <w:color w:val="auto"/>
              </w:rPr>
              <w:t>vest. Retention awards do not include</w:t>
            </w:r>
          </w:p>
        </w:tc>
        <w:tc>
          <w:tcPr>
            <w:tcW w:w="2860" w:type="dxa"/>
            <w:vAlign w:val="bottom"/>
          </w:tcPr>
          <w:p>
            <w:pPr>
              <w:ind w:left="60"/>
              <w:spacing w:after="0"/>
              <w:rPr>
                <w:sz w:val="20"/>
                <w:szCs w:val="20"/>
                <w:color w:val="auto"/>
              </w:rPr>
            </w:pPr>
            <w:r>
              <w:rPr>
                <w:rFonts w:ascii="Arial" w:cs="Arial" w:eastAsia="Arial" w:hAnsi="Arial"/>
                <w:sz w:val="14"/>
                <w:szCs w:val="14"/>
                <w:color w:val="auto"/>
              </w:rPr>
              <w:t>and termination other than for cause within</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540" w:type="dxa"/>
            <w:vAlign w:val="bottom"/>
          </w:tcPr>
          <w:p>
            <w:pPr>
              <w:ind w:left="100"/>
              <w:spacing w:after="0"/>
              <w:rPr>
                <w:sz w:val="20"/>
                <w:szCs w:val="20"/>
                <w:color w:val="auto"/>
              </w:rPr>
            </w:pPr>
            <w:r>
              <w:rPr>
                <w:rFonts w:ascii="Arial" w:cs="Arial" w:eastAsia="Arial" w:hAnsi="Arial"/>
                <w:sz w:val="14"/>
                <w:szCs w:val="14"/>
                <w:color w:val="auto"/>
              </w:rPr>
              <w:t>include retirement provisions.</w:t>
            </w:r>
          </w:p>
        </w:tc>
        <w:tc>
          <w:tcPr>
            <w:tcW w:w="2640" w:type="dxa"/>
            <w:vAlign w:val="bottom"/>
          </w:tcPr>
          <w:p>
            <w:pPr>
              <w:ind w:left="60"/>
              <w:spacing w:after="0"/>
              <w:rPr>
                <w:sz w:val="20"/>
                <w:szCs w:val="20"/>
                <w:color w:val="auto"/>
              </w:rPr>
            </w:pPr>
            <w:r>
              <w:rPr>
                <w:rFonts w:ascii="Arial" w:cs="Arial" w:eastAsia="Arial" w:hAnsi="Arial"/>
                <w:sz w:val="14"/>
                <w:szCs w:val="14"/>
                <w:color w:val="auto"/>
              </w:rPr>
              <w:t>retirement provisions.</w:t>
            </w:r>
          </w:p>
        </w:tc>
        <w:tc>
          <w:tcPr>
            <w:tcW w:w="2860" w:type="dxa"/>
            <w:vAlign w:val="bottom"/>
          </w:tcPr>
          <w:p>
            <w:pPr>
              <w:ind w:left="60"/>
              <w:spacing w:after="0"/>
              <w:rPr>
                <w:sz w:val="20"/>
                <w:szCs w:val="20"/>
                <w:color w:val="auto"/>
              </w:rPr>
            </w:pPr>
            <w:r>
              <w:rPr>
                <w:rFonts w:ascii="Arial" w:cs="Arial" w:eastAsia="Arial" w:hAnsi="Arial"/>
                <w:sz w:val="14"/>
                <w:szCs w:val="14"/>
                <w:color w:val="auto"/>
              </w:rPr>
              <w:t>the specified period), or if the acquiring</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company fails to assume the awards;</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subject to certain limitations to the extent</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such accelerated payments would</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otherwise trigger an excise tax.</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620" w:type="dxa"/>
            <w:vAlign w:val="bottom"/>
            <w:tcBorders>
              <w:bottom w:val="single" w:sz="8" w:color="BCBEC0"/>
            </w:tcBorders>
          </w:tcPr>
          <w:p>
            <w:pPr>
              <w:spacing w:after="0" w:line="20" w:lineRule="exact"/>
              <w:rPr>
                <w:sz w:val="1"/>
                <w:szCs w:val="1"/>
                <w:color w:val="auto"/>
              </w:rPr>
            </w:pPr>
          </w:p>
        </w:tc>
        <w:tc>
          <w:tcPr>
            <w:tcW w:w="2540" w:type="dxa"/>
            <w:vAlign w:val="bottom"/>
            <w:tcBorders>
              <w:bottom w:val="single" w:sz="8" w:color="BCBEC0"/>
            </w:tcBorders>
          </w:tcPr>
          <w:p>
            <w:pPr>
              <w:spacing w:after="0" w:line="20" w:lineRule="exact"/>
              <w:rPr>
                <w:sz w:val="1"/>
                <w:szCs w:val="1"/>
                <w:color w:val="auto"/>
              </w:rPr>
            </w:pPr>
          </w:p>
        </w:tc>
        <w:tc>
          <w:tcPr>
            <w:tcW w:w="2640" w:type="dxa"/>
            <w:vAlign w:val="bottom"/>
            <w:tcBorders>
              <w:bottom w:val="single" w:sz="8" w:color="BCBEC0"/>
            </w:tcBorders>
          </w:tcPr>
          <w:p>
            <w:pPr>
              <w:spacing w:after="0" w:line="20" w:lineRule="exact"/>
              <w:rPr>
                <w:sz w:val="1"/>
                <w:szCs w:val="1"/>
                <w:color w:val="auto"/>
              </w:rPr>
            </w:pPr>
          </w:p>
        </w:tc>
        <w:tc>
          <w:tcPr>
            <w:tcW w:w="2860" w:type="dxa"/>
            <w:vAlign w:val="bottom"/>
            <w:tcBorders>
              <w:bottom w:val="single" w:sz="8" w:color="BCBEC0"/>
            </w:tcBorders>
          </w:tcPr>
          <w:p>
            <w:pPr>
              <w:spacing w:after="0" w:line="20" w:lineRule="exact"/>
              <w:rPr>
                <w:sz w:val="1"/>
                <w:szCs w:val="1"/>
                <w:color w:val="auto"/>
              </w:rPr>
            </w:pPr>
          </w:p>
        </w:tc>
        <w:tc>
          <w:tcPr>
            <w:tcW w:w="15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620" w:type="dxa"/>
            <w:vAlign w:val="bottom"/>
            <w:vMerge w:val="restart"/>
          </w:tcPr>
          <w:p>
            <w:pPr>
              <w:ind w:left="20"/>
              <w:spacing w:after="0" w:line="317" w:lineRule="exact"/>
              <w:rPr>
                <w:sz w:val="20"/>
                <w:szCs w:val="20"/>
                <w:color w:val="auto"/>
              </w:rPr>
            </w:pPr>
            <w:r>
              <w:rPr>
                <w:rFonts w:ascii="Arial" w:cs="Arial" w:eastAsia="Arial" w:hAnsi="Arial"/>
                <w:sz w:val="28"/>
                <w:szCs w:val="28"/>
                <w:color w:val="auto"/>
                <w:vertAlign w:val="subscript"/>
              </w:rPr>
              <w:t>RPSRs</w:t>
            </w:r>
            <w:r>
              <w:rPr>
                <w:rFonts w:ascii="Arial" w:cs="Arial" w:eastAsia="Arial" w:hAnsi="Arial"/>
                <w:sz w:val="9"/>
                <w:szCs w:val="9"/>
                <w:color w:val="auto"/>
              </w:rPr>
              <w:t>(1)(2)</w:t>
            </w:r>
          </w:p>
        </w:tc>
        <w:tc>
          <w:tcPr>
            <w:tcW w:w="2540" w:type="dxa"/>
            <w:vAlign w:val="bottom"/>
          </w:tcPr>
          <w:p>
            <w:pPr>
              <w:ind w:left="100"/>
              <w:spacing w:after="0"/>
              <w:rPr>
                <w:sz w:val="20"/>
                <w:szCs w:val="20"/>
                <w:color w:val="auto"/>
              </w:rPr>
            </w:pPr>
            <w:r>
              <w:rPr>
                <w:rFonts w:ascii="Arial" w:cs="Arial" w:eastAsia="Arial" w:hAnsi="Arial"/>
                <w:sz w:val="14"/>
                <w:szCs w:val="14"/>
                <w:color w:val="auto"/>
              </w:rPr>
              <w:t>Unvested RPSRs are forfeited except</w:t>
            </w:r>
          </w:p>
        </w:tc>
        <w:tc>
          <w:tcPr>
            <w:tcW w:w="2640" w:type="dxa"/>
            <w:vAlign w:val="bottom"/>
          </w:tcPr>
          <w:p>
            <w:pPr>
              <w:ind w:left="60"/>
              <w:spacing w:after="0"/>
              <w:rPr>
                <w:sz w:val="20"/>
                <w:szCs w:val="20"/>
                <w:color w:val="auto"/>
              </w:rPr>
            </w:pPr>
            <w:r>
              <w:rPr>
                <w:rFonts w:ascii="Arial" w:cs="Arial" w:eastAsia="Arial" w:hAnsi="Arial"/>
                <w:sz w:val="14"/>
                <w:szCs w:val="14"/>
                <w:color w:val="auto"/>
              </w:rPr>
              <w:t>Unvested RPSRs are forfeited except in</w:t>
            </w:r>
          </w:p>
        </w:tc>
        <w:tc>
          <w:tcPr>
            <w:tcW w:w="2860" w:type="dxa"/>
            <w:vAlign w:val="bottom"/>
          </w:tcPr>
          <w:p>
            <w:pPr>
              <w:ind w:left="60"/>
              <w:spacing w:after="0"/>
              <w:rPr>
                <w:sz w:val="20"/>
                <w:szCs w:val="20"/>
                <w:color w:val="auto"/>
              </w:rPr>
            </w:pPr>
            <w:r>
              <w:rPr>
                <w:rFonts w:ascii="Arial" w:cs="Arial" w:eastAsia="Arial" w:hAnsi="Arial"/>
                <w:sz w:val="14"/>
                <w:szCs w:val="14"/>
                <w:color w:val="auto"/>
              </w:rPr>
              <w:t>For a CIC, unvested RPSRs will fully vest</w:t>
            </w:r>
          </w:p>
        </w:tc>
        <w:tc>
          <w:tcPr>
            <w:tcW w:w="1580" w:type="dxa"/>
            <w:vAlign w:val="bottom"/>
          </w:tcPr>
          <w:p>
            <w:pPr>
              <w:ind w:left="40"/>
              <w:spacing w:after="0"/>
              <w:rPr>
                <w:sz w:val="20"/>
                <w:szCs w:val="20"/>
                <w:color w:val="auto"/>
              </w:rPr>
            </w:pPr>
            <w:r>
              <w:rPr>
                <w:rFonts w:ascii="Arial" w:cs="Arial" w:eastAsia="Arial" w:hAnsi="Arial"/>
                <w:sz w:val="14"/>
                <w:szCs w:val="14"/>
                <w:color w:val="auto"/>
              </w:rPr>
              <w:t>Unvested RPSRs are</w:t>
            </w:r>
          </w:p>
        </w:tc>
        <w:tc>
          <w:tcPr>
            <w:tcW w:w="0" w:type="dxa"/>
            <w:vAlign w:val="bottom"/>
          </w:tcPr>
          <w:p>
            <w:pPr>
              <w:spacing w:after="0"/>
              <w:rPr>
                <w:sz w:val="1"/>
                <w:szCs w:val="1"/>
                <w:color w:val="auto"/>
              </w:rPr>
            </w:pPr>
          </w:p>
        </w:tc>
      </w:tr>
      <w:tr>
        <w:trPr>
          <w:trHeight w:val="144"/>
        </w:trPr>
        <w:tc>
          <w:tcPr>
            <w:tcW w:w="1620" w:type="dxa"/>
            <w:vAlign w:val="bottom"/>
            <w:vMerge w:val="continue"/>
          </w:tcPr>
          <w:p>
            <w:pPr>
              <w:spacing w:after="0"/>
              <w:rPr>
                <w:sz w:val="12"/>
                <w:szCs w:val="12"/>
                <w:color w:val="auto"/>
              </w:rPr>
            </w:pPr>
          </w:p>
        </w:tc>
        <w:tc>
          <w:tcPr>
            <w:tcW w:w="2540" w:type="dxa"/>
            <w:vAlign w:val="bottom"/>
            <w:vMerge w:val="restart"/>
          </w:tcPr>
          <w:p>
            <w:pPr>
              <w:ind w:left="100"/>
              <w:spacing w:after="0"/>
              <w:rPr>
                <w:sz w:val="20"/>
                <w:szCs w:val="20"/>
                <w:color w:val="auto"/>
              </w:rPr>
            </w:pPr>
            <w:r>
              <w:rPr>
                <w:rFonts w:ascii="Arial" w:cs="Arial" w:eastAsia="Arial" w:hAnsi="Arial"/>
                <w:sz w:val="14"/>
                <w:szCs w:val="14"/>
                <w:color w:val="auto"/>
              </w:rPr>
              <w:t>in the case of early retirement where</w:t>
            </w:r>
          </w:p>
        </w:tc>
        <w:tc>
          <w:tcPr>
            <w:tcW w:w="2640" w:type="dxa"/>
            <w:vAlign w:val="bottom"/>
            <w:vMerge w:val="restart"/>
          </w:tcPr>
          <w:p>
            <w:pPr>
              <w:ind w:left="60"/>
              <w:spacing w:after="0"/>
              <w:rPr>
                <w:sz w:val="20"/>
                <w:szCs w:val="20"/>
                <w:color w:val="auto"/>
              </w:rPr>
            </w:pPr>
            <w:r>
              <w:rPr>
                <w:rFonts w:ascii="Arial" w:cs="Arial" w:eastAsia="Arial" w:hAnsi="Arial"/>
                <w:sz w:val="14"/>
                <w:szCs w:val="14"/>
                <w:color w:val="auto"/>
              </w:rPr>
              <w:t>the case of early retirement where the</w:t>
            </w:r>
          </w:p>
        </w:tc>
        <w:tc>
          <w:tcPr>
            <w:tcW w:w="2860" w:type="dxa"/>
            <w:vAlign w:val="bottom"/>
            <w:vMerge w:val="restart"/>
          </w:tcPr>
          <w:p>
            <w:pPr>
              <w:ind w:left="60"/>
              <w:spacing w:after="0"/>
              <w:rPr>
                <w:sz w:val="20"/>
                <w:szCs w:val="20"/>
                <w:color w:val="auto"/>
              </w:rPr>
            </w:pPr>
            <w:r>
              <w:rPr>
                <w:rFonts w:ascii="Arial" w:cs="Arial" w:eastAsia="Arial" w:hAnsi="Arial"/>
                <w:sz w:val="14"/>
                <w:szCs w:val="14"/>
                <w:color w:val="auto"/>
              </w:rPr>
              <w:t>and payment is accelerated based on a</w:t>
            </w:r>
          </w:p>
        </w:tc>
        <w:tc>
          <w:tcPr>
            <w:tcW w:w="1580" w:type="dxa"/>
            <w:vAlign w:val="bottom"/>
            <w:vMerge w:val="restart"/>
          </w:tcPr>
          <w:p>
            <w:pPr>
              <w:ind w:left="40"/>
              <w:spacing w:after="0"/>
              <w:rPr>
                <w:sz w:val="20"/>
                <w:szCs w:val="20"/>
                <w:color w:val="auto"/>
              </w:rPr>
            </w:pPr>
            <w:r>
              <w:rPr>
                <w:rFonts w:ascii="Arial" w:cs="Arial" w:eastAsia="Arial" w:hAnsi="Arial"/>
                <w:sz w:val="14"/>
                <w:szCs w:val="14"/>
                <w:color w:val="auto"/>
              </w:rPr>
              <w:t>prorated and payment,</w:t>
            </w:r>
          </w:p>
        </w:tc>
        <w:tc>
          <w:tcPr>
            <w:tcW w:w="0" w:type="dxa"/>
            <w:vAlign w:val="bottom"/>
          </w:tcPr>
          <w:p>
            <w:pPr>
              <w:spacing w:after="0"/>
              <w:rPr>
                <w:sz w:val="1"/>
                <w:szCs w:val="1"/>
                <w:color w:val="auto"/>
              </w:rPr>
            </w:pPr>
          </w:p>
        </w:tc>
      </w:tr>
      <w:tr>
        <w:trPr>
          <w:trHeight w:val="31"/>
        </w:trPr>
        <w:tc>
          <w:tcPr>
            <w:tcW w:w="1620" w:type="dxa"/>
            <w:vAlign w:val="bottom"/>
          </w:tcPr>
          <w:p>
            <w:pPr>
              <w:spacing w:after="0"/>
              <w:rPr>
                <w:sz w:val="2"/>
                <w:szCs w:val="2"/>
                <w:color w:val="auto"/>
              </w:rPr>
            </w:pPr>
          </w:p>
        </w:tc>
        <w:tc>
          <w:tcPr>
            <w:tcW w:w="2540" w:type="dxa"/>
            <w:vAlign w:val="bottom"/>
            <w:vMerge w:val="continue"/>
          </w:tcPr>
          <w:p>
            <w:pPr>
              <w:spacing w:after="0"/>
              <w:rPr>
                <w:sz w:val="2"/>
                <w:szCs w:val="2"/>
                <w:color w:val="auto"/>
              </w:rPr>
            </w:pPr>
          </w:p>
        </w:tc>
        <w:tc>
          <w:tcPr>
            <w:tcW w:w="2640" w:type="dxa"/>
            <w:vAlign w:val="bottom"/>
            <w:vMerge w:val="continue"/>
          </w:tcPr>
          <w:p>
            <w:pPr>
              <w:spacing w:after="0"/>
              <w:rPr>
                <w:sz w:val="2"/>
                <w:szCs w:val="2"/>
                <w:color w:val="auto"/>
              </w:rPr>
            </w:pPr>
          </w:p>
        </w:tc>
        <w:tc>
          <w:tcPr>
            <w:tcW w:w="2860" w:type="dxa"/>
            <w:vAlign w:val="bottom"/>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620" w:type="dxa"/>
            <w:vAlign w:val="bottom"/>
          </w:tcPr>
          <w:p>
            <w:pPr>
              <w:spacing w:after="0"/>
              <w:rPr>
                <w:sz w:val="15"/>
                <w:szCs w:val="15"/>
                <w:color w:val="auto"/>
              </w:rPr>
            </w:pPr>
          </w:p>
        </w:tc>
        <w:tc>
          <w:tcPr>
            <w:tcW w:w="2540" w:type="dxa"/>
            <w:vAlign w:val="bottom"/>
          </w:tcPr>
          <w:p>
            <w:pPr>
              <w:ind w:left="100"/>
              <w:spacing w:after="0"/>
              <w:rPr>
                <w:sz w:val="20"/>
                <w:szCs w:val="20"/>
                <w:color w:val="auto"/>
              </w:rPr>
            </w:pPr>
            <w:r>
              <w:rPr>
                <w:rFonts w:ascii="Arial" w:cs="Arial" w:eastAsia="Arial" w:hAnsi="Arial"/>
                <w:sz w:val="14"/>
                <w:szCs w:val="14"/>
                <w:color w:val="auto"/>
              </w:rPr>
              <w:t>the RPSRs are prorated and</w:t>
            </w:r>
          </w:p>
        </w:tc>
        <w:tc>
          <w:tcPr>
            <w:tcW w:w="2640" w:type="dxa"/>
            <w:vAlign w:val="bottom"/>
          </w:tcPr>
          <w:p>
            <w:pPr>
              <w:ind w:left="60"/>
              <w:spacing w:after="0"/>
              <w:rPr>
                <w:sz w:val="20"/>
                <w:szCs w:val="20"/>
                <w:color w:val="auto"/>
              </w:rPr>
            </w:pPr>
            <w:r>
              <w:rPr>
                <w:rFonts w:ascii="Arial" w:cs="Arial" w:eastAsia="Arial" w:hAnsi="Arial"/>
                <w:sz w:val="14"/>
                <w:szCs w:val="14"/>
                <w:color w:val="auto"/>
              </w:rPr>
              <w:t>RPSRs are prorated and mandatory</w:t>
            </w:r>
          </w:p>
        </w:tc>
        <w:tc>
          <w:tcPr>
            <w:tcW w:w="2860" w:type="dxa"/>
            <w:vAlign w:val="bottom"/>
          </w:tcPr>
          <w:p>
            <w:pPr>
              <w:ind w:left="60"/>
              <w:spacing w:after="0"/>
              <w:rPr>
                <w:sz w:val="20"/>
                <w:szCs w:val="20"/>
                <w:color w:val="auto"/>
              </w:rPr>
            </w:pPr>
            <w:r>
              <w:rPr>
                <w:rFonts w:ascii="Arial" w:cs="Arial" w:eastAsia="Arial" w:hAnsi="Arial"/>
                <w:sz w:val="14"/>
                <w:szCs w:val="14"/>
                <w:color w:val="auto"/>
              </w:rPr>
              <w:t>truncated performance period, only in the</w:t>
            </w:r>
          </w:p>
        </w:tc>
        <w:tc>
          <w:tcPr>
            <w:tcW w:w="1580" w:type="dxa"/>
            <w:vAlign w:val="bottom"/>
          </w:tcPr>
          <w:p>
            <w:pPr>
              <w:ind w:left="40"/>
              <w:spacing w:after="0"/>
              <w:rPr>
                <w:sz w:val="20"/>
                <w:szCs w:val="20"/>
                <w:color w:val="auto"/>
              </w:rPr>
            </w:pPr>
            <w:r>
              <w:rPr>
                <w:rFonts w:ascii="Arial" w:cs="Arial" w:eastAsia="Arial" w:hAnsi="Arial"/>
                <w:sz w:val="14"/>
                <w:szCs w:val="14"/>
                <w:color w:val="auto"/>
              </w:rPr>
              <w:t>at target, is</w:t>
            </w: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2540" w:type="dxa"/>
            <w:vAlign w:val="bottom"/>
          </w:tcPr>
          <w:p>
            <w:pPr>
              <w:ind w:left="100"/>
              <w:spacing w:after="0"/>
              <w:rPr>
                <w:sz w:val="20"/>
                <w:szCs w:val="20"/>
                <w:color w:val="auto"/>
              </w:rPr>
            </w:pPr>
            <w:r>
              <w:rPr>
                <w:rFonts w:ascii="Arial" w:cs="Arial" w:eastAsia="Arial" w:hAnsi="Arial"/>
                <w:sz w:val="14"/>
                <w:szCs w:val="14"/>
                <w:color w:val="auto"/>
              </w:rPr>
              <w:t>mandatory retirement (age 65) where</w:t>
            </w:r>
          </w:p>
        </w:tc>
        <w:tc>
          <w:tcPr>
            <w:tcW w:w="5500" w:type="dxa"/>
            <w:vAlign w:val="bottom"/>
            <w:gridSpan w:val="2"/>
          </w:tcPr>
          <w:p>
            <w:pPr>
              <w:ind w:left="60"/>
              <w:spacing w:after="0"/>
              <w:rPr>
                <w:sz w:val="20"/>
                <w:szCs w:val="20"/>
                <w:color w:val="auto"/>
              </w:rPr>
            </w:pPr>
            <w:r>
              <w:rPr>
                <w:rFonts w:ascii="Arial" w:cs="Arial" w:eastAsia="Arial" w:hAnsi="Arial"/>
                <w:sz w:val="14"/>
                <w:szCs w:val="14"/>
                <w:color w:val="auto"/>
              </w:rPr>
              <w:t>retirement (age 65) where they fully vest. event of a double trigger (CIC and</w:t>
            </w:r>
          </w:p>
        </w:tc>
        <w:tc>
          <w:tcPr>
            <w:tcW w:w="1580" w:type="dxa"/>
            <w:vAlign w:val="bottom"/>
          </w:tcPr>
          <w:p>
            <w:pPr>
              <w:ind w:left="40"/>
              <w:spacing w:after="0"/>
              <w:rPr>
                <w:sz w:val="20"/>
                <w:szCs w:val="20"/>
                <w:color w:val="auto"/>
              </w:rPr>
            </w:pPr>
            <w:r>
              <w:rPr>
                <w:rFonts w:ascii="Arial" w:cs="Arial" w:eastAsia="Arial" w:hAnsi="Arial"/>
                <w:sz w:val="14"/>
                <w:szCs w:val="14"/>
                <w:color w:val="auto"/>
              </w:rPr>
              <w:t>accelerated.</w:t>
            </w: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2540" w:type="dxa"/>
            <w:vAlign w:val="bottom"/>
          </w:tcPr>
          <w:p>
            <w:pPr>
              <w:ind w:left="100"/>
              <w:spacing w:after="0"/>
              <w:rPr>
                <w:sz w:val="20"/>
                <w:szCs w:val="20"/>
                <w:color w:val="auto"/>
              </w:rPr>
            </w:pPr>
            <w:r>
              <w:rPr>
                <w:rFonts w:ascii="Arial" w:cs="Arial" w:eastAsia="Arial" w:hAnsi="Arial"/>
                <w:sz w:val="14"/>
                <w:szCs w:val="14"/>
                <w:color w:val="auto"/>
              </w:rPr>
              <w:t>they fully vest.</w:t>
            </w:r>
          </w:p>
        </w:tc>
        <w:tc>
          <w:tcPr>
            <w:tcW w:w="2640" w:type="dxa"/>
            <w:vAlign w:val="bottom"/>
          </w:tcPr>
          <w:p>
            <w:pPr>
              <w:spacing w:after="0"/>
              <w:rPr>
                <w:sz w:val="15"/>
                <w:szCs w:val="15"/>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termination other than for cause within the</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specified period), or if the acquiring</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company fails to assume the awards;</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subject to certain limitations to the extent</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such accelerated payments would</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860" w:type="dxa"/>
            <w:vAlign w:val="bottom"/>
          </w:tcPr>
          <w:p>
            <w:pPr>
              <w:ind w:left="60"/>
              <w:spacing w:after="0"/>
              <w:rPr>
                <w:sz w:val="20"/>
                <w:szCs w:val="20"/>
                <w:color w:val="auto"/>
              </w:rPr>
            </w:pPr>
            <w:r>
              <w:rPr>
                <w:rFonts w:ascii="Arial" w:cs="Arial" w:eastAsia="Arial" w:hAnsi="Arial"/>
                <w:sz w:val="14"/>
                <w:szCs w:val="14"/>
                <w:color w:val="auto"/>
              </w:rPr>
              <w:t>otherwise trigger an excise tax.</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620" w:type="dxa"/>
            <w:vAlign w:val="bottom"/>
            <w:tcBorders>
              <w:bottom w:val="single" w:sz="8" w:color="BCBEC0"/>
            </w:tcBorders>
          </w:tcPr>
          <w:p>
            <w:pPr>
              <w:spacing w:after="0" w:line="20" w:lineRule="exact"/>
              <w:rPr>
                <w:sz w:val="1"/>
                <w:szCs w:val="1"/>
                <w:color w:val="auto"/>
              </w:rPr>
            </w:pPr>
          </w:p>
        </w:tc>
        <w:tc>
          <w:tcPr>
            <w:tcW w:w="2540" w:type="dxa"/>
            <w:vAlign w:val="bottom"/>
            <w:tcBorders>
              <w:bottom w:val="single" w:sz="8" w:color="BCBEC0"/>
            </w:tcBorders>
          </w:tcPr>
          <w:p>
            <w:pPr>
              <w:spacing w:after="0" w:line="20" w:lineRule="exact"/>
              <w:rPr>
                <w:sz w:val="1"/>
                <w:szCs w:val="1"/>
                <w:color w:val="auto"/>
              </w:rPr>
            </w:pPr>
          </w:p>
        </w:tc>
        <w:tc>
          <w:tcPr>
            <w:tcW w:w="5500" w:type="dxa"/>
            <w:vAlign w:val="bottom"/>
            <w:tcBorders>
              <w:bottom w:val="single" w:sz="8" w:color="BCBEC0"/>
            </w:tcBorders>
            <w:gridSpan w:val="2"/>
          </w:tcPr>
          <w:p>
            <w:pPr>
              <w:spacing w:after="0" w:line="20" w:lineRule="exact"/>
              <w:rPr>
                <w:sz w:val="1"/>
                <w:szCs w:val="1"/>
                <w:color w:val="auto"/>
              </w:rPr>
            </w:pPr>
          </w:p>
        </w:tc>
        <w:tc>
          <w:tcPr>
            <w:tcW w:w="15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620" w:type="dxa"/>
            <w:vAlign w:val="bottom"/>
          </w:tcPr>
          <w:p>
            <w:pPr>
              <w:ind w:left="20"/>
              <w:spacing w:after="0"/>
              <w:rPr>
                <w:sz w:val="20"/>
                <w:szCs w:val="20"/>
                <w:color w:val="auto"/>
              </w:rPr>
            </w:pPr>
            <w:r>
              <w:rPr>
                <w:rFonts w:ascii="Arial" w:cs="Arial" w:eastAsia="Arial" w:hAnsi="Arial"/>
                <w:sz w:val="14"/>
                <w:szCs w:val="14"/>
                <w:color w:val="auto"/>
              </w:rPr>
              <w:t>Cash Severance</w:t>
            </w:r>
          </w:p>
        </w:tc>
        <w:tc>
          <w:tcPr>
            <w:tcW w:w="2540" w:type="dxa"/>
            <w:vAlign w:val="bottom"/>
          </w:tcPr>
          <w:p>
            <w:pPr>
              <w:ind w:left="100"/>
              <w:spacing w:after="0"/>
              <w:rPr>
                <w:sz w:val="20"/>
                <w:szCs w:val="20"/>
                <w:color w:val="auto"/>
              </w:rPr>
            </w:pPr>
            <w:r>
              <w:rPr>
                <w:rFonts w:ascii="Arial" w:cs="Arial" w:eastAsia="Arial" w:hAnsi="Arial"/>
                <w:sz w:val="14"/>
                <w:szCs w:val="14"/>
                <w:color w:val="auto"/>
              </w:rPr>
              <w:t>No payment.</w:t>
            </w:r>
          </w:p>
        </w:tc>
        <w:tc>
          <w:tcPr>
            <w:tcW w:w="5500" w:type="dxa"/>
            <w:vAlign w:val="bottom"/>
            <w:gridSpan w:val="2"/>
          </w:tcPr>
          <w:p>
            <w:pPr>
              <w:ind w:left="60"/>
              <w:spacing w:after="0"/>
              <w:rPr>
                <w:sz w:val="20"/>
                <w:szCs w:val="20"/>
                <w:color w:val="auto"/>
              </w:rPr>
            </w:pPr>
            <w:r>
              <w:rPr>
                <w:rFonts w:ascii="Arial" w:cs="Arial" w:eastAsia="Arial" w:hAnsi="Arial"/>
                <w:sz w:val="14"/>
                <w:szCs w:val="14"/>
                <w:color w:val="auto"/>
              </w:rPr>
              <w:t>Lump sum equal to 1.5x base salary and No payment.</w:t>
            </w:r>
          </w:p>
        </w:tc>
        <w:tc>
          <w:tcPr>
            <w:tcW w:w="1580" w:type="dxa"/>
            <w:vAlign w:val="bottom"/>
          </w:tcPr>
          <w:p>
            <w:pPr>
              <w:ind w:left="40"/>
              <w:spacing w:after="0"/>
              <w:rPr>
                <w:sz w:val="20"/>
                <w:szCs w:val="20"/>
                <w:color w:val="auto"/>
              </w:rPr>
            </w:pPr>
            <w:r>
              <w:rPr>
                <w:rFonts w:ascii="Arial" w:cs="Arial" w:eastAsia="Arial" w:hAnsi="Arial"/>
                <w:sz w:val="14"/>
                <w:szCs w:val="14"/>
                <w:color w:val="auto"/>
              </w:rPr>
              <w:t>No payment.</w:t>
            </w: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40" w:type="dxa"/>
            <w:vAlign w:val="bottom"/>
          </w:tcPr>
          <w:p>
            <w:pPr>
              <w:ind w:left="60"/>
              <w:spacing w:after="0"/>
              <w:rPr>
                <w:sz w:val="20"/>
                <w:szCs w:val="20"/>
                <w:color w:val="auto"/>
              </w:rPr>
            </w:pPr>
            <w:r>
              <w:rPr>
                <w:rFonts w:ascii="Arial" w:cs="Arial" w:eastAsia="Arial" w:hAnsi="Arial"/>
                <w:sz w:val="14"/>
                <w:szCs w:val="14"/>
                <w:color w:val="auto"/>
              </w:rPr>
              <w:t>bonus target and a prorated</w:t>
            </w:r>
          </w:p>
        </w:tc>
        <w:tc>
          <w:tcPr>
            <w:tcW w:w="2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640" w:type="dxa"/>
            <w:vAlign w:val="bottom"/>
          </w:tcPr>
          <w:p>
            <w:pPr>
              <w:ind w:left="60"/>
              <w:spacing w:after="0"/>
              <w:rPr>
                <w:sz w:val="20"/>
                <w:szCs w:val="20"/>
                <w:color w:val="auto"/>
              </w:rPr>
            </w:pPr>
            <w:r>
              <w:rPr>
                <w:rFonts w:ascii="Arial" w:cs="Arial" w:eastAsia="Arial" w:hAnsi="Arial"/>
                <w:sz w:val="14"/>
                <w:szCs w:val="14"/>
                <w:color w:val="auto"/>
              </w:rPr>
              <w:t>performance bonus for the year of</w:t>
            </w:r>
          </w:p>
        </w:tc>
        <w:tc>
          <w:tcPr>
            <w:tcW w:w="28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640" w:type="dxa"/>
            <w:vAlign w:val="bottom"/>
          </w:tcPr>
          <w:p>
            <w:pPr>
              <w:ind w:left="60"/>
              <w:spacing w:after="0"/>
              <w:rPr>
                <w:sz w:val="20"/>
                <w:szCs w:val="20"/>
                <w:color w:val="auto"/>
              </w:rPr>
            </w:pPr>
            <w:r>
              <w:rPr>
                <w:rFonts w:ascii="Arial" w:cs="Arial" w:eastAsia="Arial" w:hAnsi="Arial"/>
                <w:sz w:val="14"/>
                <w:szCs w:val="14"/>
                <w:color w:val="auto"/>
              </w:rPr>
              <w:t>termination.</w:t>
            </w:r>
          </w:p>
        </w:tc>
        <w:tc>
          <w:tcPr>
            <w:tcW w:w="28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620" w:type="dxa"/>
            <w:vAlign w:val="bottom"/>
            <w:tcBorders>
              <w:bottom w:val="single" w:sz="8" w:color="BCBEC0"/>
            </w:tcBorders>
          </w:tcPr>
          <w:p>
            <w:pPr>
              <w:spacing w:after="0" w:line="20" w:lineRule="exact"/>
              <w:rPr>
                <w:sz w:val="1"/>
                <w:szCs w:val="1"/>
                <w:color w:val="auto"/>
              </w:rPr>
            </w:pPr>
          </w:p>
        </w:tc>
        <w:tc>
          <w:tcPr>
            <w:tcW w:w="2540" w:type="dxa"/>
            <w:vAlign w:val="bottom"/>
            <w:tcBorders>
              <w:bottom w:val="single" w:sz="8" w:color="BCBEC0"/>
            </w:tcBorders>
          </w:tcPr>
          <w:p>
            <w:pPr>
              <w:spacing w:after="0" w:line="20" w:lineRule="exact"/>
              <w:rPr>
                <w:sz w:val="1"/>
                <w:szCs w:val="1"/>
                <w:color w:val="auto"/>
              </w:rPr>
            </w:pPr>
          </w:p>
        </w:tc>
        <w:tc>
          <w:tcPr>
            <w:tcW w:w="2640" w:type="dxa"/>
            <w:vAlign w:val="bottom"/>
            <w:tcBorders>
              <w:bottom w:val="single" w:sz="8" w:color="BCBEC0"/>
            </w:tcBorders>
          </w:tcPr>
          <w:p>
            <w:pPr>
              <w:spacing w:after="0" w:line="20" w:lineRule="exact"/>
              <w:rPr>
                <w:sz w:val="1"/>
                <w:szCs w:val="1"/>
                <w:color w:val="auto"/>
              </w:rPr>
            </w:pPr>
          </w:p>
        </w:tc>
        <w:tc>
          <w:tcPr>
            <w:tcW w:w="2860" w:type="dxa"/>
            <w:vAlign w:val="bottom"/>
            <w:tcBorders>
              <w:bottom w:val="single" w:sz="8" w:color="BCBEC0"/>
            </w:tcBorders>
          </w:tcPr>
          <w:p>
            <w:pPr>
              <w:spacing w:after="0" w:line="20" w:lineRule="exact"/>
              <w:rPr>
                <w:sz w:val="1"/>
                <w:szCs w:val="1"/>
                <w:color w:val="auto"/>
              </w:rPr>
            </w:pPr>
          </w:p>
        </w:tc>
        <w:tc>
          <w:tcPr>
            <w:tcW w:w="15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620" w:type="dxa"/>
            <w:vAlign w:val="bottom"/>
          </w:tcPr>
          <w:p>
            <w:pPr>
              <w:ind w:left="20"/>
              <w:spacing w:after="0"/>
              <w:rPr>
                <w:sz w:val="20"/>
                <w:szCs w:val="20"/>
                <w:color w:val="auto"/>
              </w:rPr>
            </w:pPr>
            <w:r>
              <w:rPr>
                <w:rFonts w:ascii="Arial" w:cs="Arial" w:eastAsia="Arial" w:hAnsi="Arial"/>
                <w:sz w:val="14"/>
                <w:szCs w:val="14"/>
                <w:color w:val="auto"/>
              </w:rPr>
              <w:t>Medical/Dental</w:t>
            </w:r>
          </w:p>
        </w:tc>
        <w:tc>
          <w:tcPr>
            <w:tcW w:w="2540" w:type="dxa"/>
            <w:vAlign w:val="bottom"/>
          </w:tcPr>
          <w:p>
            <w:pPr>
              <w:ind w:left="100"/>
              <w:spacing w:after="0"/>
              <w:rPr>
                <w:sz w:val="20"/>
                <w:szCs w:val="20"/>
                <w:color w:val="auto"/>
              </w:rPr>
            </w:pPr>
            <w:r>
              <w:rPr>
                <w:rFonts w:ascii="Arial" w:cs="Arial" w:eastAsia="Arial" w:hAnsi="Arial"/>
                <w:sz w:val="14"/>
                <w:szCs w:val="14"/>
                <w:color w:val="auto"/>
              </w:rPr>
              <w:t>No payment.</w:t>
            </w:r>
          </w:p>
        </w:tc>
        <w:tc>
          <w:tcPr>
            <w:tcW w:w="2640" w:type="dxa"/>
            <w:vAlign w:val="bottom"/>
          </w:tcPr>
          <w:p>
            <w:pPr>
              <w:ind w:left="60"/>
              <w:spacing w:after="0"/>
              <w:rPr>
                <w:sz w:val="20"/>
                <w:szCs w:val="20"/>
                <w:color w:val="auto"/>
              </w:rPr>
            </w:pPr>
            <w:r>
              <w:rPr>
                <w:rFonts w:ascii="Arial" w:cs="Arial" w:eastAsia="Arial" w:hAnsi="Arial"/>
                <w:sz w:val="14"/>
                <w:szCs w:val="14"/>
                <w:color w:val="auto"/>
              </w:rPr>
              <w:t>Continued medical and dental coverage</w:t>
            </w:r>
          </w:p>
        </w:tc>
        <w:tc>
          <w:tcPr>
            <w:tcW w:w="2860" w:type="dxa"/>
            <w:vAlign w:val="bottom"/>
          </w:tcPr>
          <w:p>
            <w:pPr>
              <w:ind w:left="60"/>
              <w:spacing w:after="0"/>
              <w:rPr>
                <w:sz w:val="20"/>
                <w:szCs w:val="20"/>
                <w:color w:val="auto"/>
              </w:rPr>
            </w:pPr>
            <w:r>
              <w:rPr>
                <w:rFonts w:ascii="Arial" w:cs="Arial" w:eastAsia="Arial" w:hAnsi="Arial"/>
                <w:sz w:val="14"/>
                <w:szCs w:val="14"/>
                <w:color w:val="auto"/>
              </w:rPr>
              <w:t>No payment.</w:t>
            </w:r>
          </w:p>
        </w:tc>
        <w:tc>
          <w:tcPr>
            <w:tcW w:w="1580" w:type="dxa"/>
            <w:vAlign w:val="bottom"/>
          </w:tcPr>
          <w:p>
            <w:pPr>
              <w:ind w:left="40"/>
              <w:spacing w:after="0"/>
              <w:rPr>
                <w:sz w:val="20"/>
                <w:szCs w:val="20"/>
                <w:color w:val="auto"/>
              </w:rPr>
            </w:pPr>
            <w:r>
              <w:rPr>
                <w:rFonts w:ascii="Arial" w:cs="Arial" w:eastAsia="Arial" w:hAnsi="Arial"/>
                <w:sz w:val="14"/>
                <w:szCs w:val="14"/>
                <w:color w:val="auto"/>
              </w:rPr>
              <w:t>No payment.</w:t>
            </w:r>
          </w:p>
        </w:tc>
        <w:tc>
          <w:tcPr>
            <w:tcW w:w="0" w:type="dxa"/>
            <w:vAlign w:val="bottom"/>
          </w:tcPr>
          <w:p>
            <w:pPr>
              <w:spacing w:after="0"/>
              <w:rPr>
                <w:sz w:val="1"/>
                <w:szCs w:val="1"/>
                <w:color w:val="auto"/>
              </w:rPr>
            </w:pPr>
          </w:p>
        </w:tc>
      </w:tr>
      <w:tr>
        <w:trPr>
          <w:trHeight w:val="190"/>
        </w:trPr>
        <w:tc>
          <w:tcPr>
            <w:tcW w:w="1620" w:type="dxa"/>
            <w:vAlign w:val="bottom"/>
          </w:tcPr>
          <w:p>
            <w:pPr>
              <w:ind w:left="20"/>
              <w:spacing w:after="0"/>
              <w:rPr>
                <w:sz w:val="20"/>
                <w:szCs w:val="20"/>
                <w:color w:val="auto"/>
              </w:rPr>
            </w:pPr>
            <w:r>
              <w:rPr>
                <w:rFonts w:ascii="Arial" w:cs="Arial" w:eastAsia="Arial" w:hAnsi="Arial"/>
                <w:sz w:val="14"/>
                <w:szCs w:val="14"/>
                <w:color w:val="auto"/>
              </w:rPr>
              <w:t>Continuation</w:t>
            </w:r>
          </w:p>
        </w:tc>
        <w:tc>
          <w:tcPr>
            <w:tcW w:w="2540" w:type="dxa"/>
            <w:vAlign w:val="bottom"/>
          </w:tcPr>
          <w:p>
            <w:pPr>
              <w:spacing w:after="0"/>
              <w:rPr>
                <w:sz w:val="16"/>
                <w:szCs w:val="16"/>
                <w:color w:val="auto"/>
              </w:rPr>
            </w:pPr>
          </w:p>
        </w:tc>
        <w:tc>
          <w:tcPr>
            <w:tcW w:w="2640" w:type="dxa"/>
            <w:vAlign w:val="bottom"/>
          </w:tcPr>
          <w:p>
            <w:pPr>
              <w:ind w:left="60"/>
              <w:spacing w:after="0"/>
              <w:rPr>
                <w:sz w:val="20"/>
                <w:szCs w:val="20"/>
                <w:color w:val="auto"/>
              </w:rPr>
            </w:pPr>
            <w:r>
              <w:rPr>
                <w:rFonts w:ascii="Arial" w:cs="Arial" w:eastAsia="Arial" w:hAnsi="Arial"/>
                <w:sz w:val="14"/>
                <w:szCs w:val="14"/>
                <w:color w:val="auto"/>
              </w:rPr>
              <w:t>for the 18-month severance period.</w:t>
            </w:r>
          </w:p>
        </w:tc>
        <w:tc>
          <w:tcPr>
            <w:tcW w:w="28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620" w:type="dxa"/>
            <w:vAlign w:val="bottom"/>
            <w:tcBorders>
              <w:bottom w:val="single" w:sz="8" w:color="BCBEC0"/>
            </w:tcBorders>
          </w:tcPr>
          <w:p>
            <w:pPr>
              <w:spacing w:after="0"/>
              <w:rPr>
                <w:sz w:val="3"/>
                <w:szCs w:val="3"/>
                <w:color w:val="auto"/>
              </w:rPr>
            </w:pPr>
          </w:p>
        </w:tc>
        <w:tc>
          <w:tcPr>
            <w:tcW w:w="2540" w:type="dxa"/>
            <w:vAlign w:val="bottom"/>
            <w:tcBorders>
              <w:bottom w:val="single" w:sz="8" w:color="BCBEC0"/>
            </w:tcBorders>
          </w:tcPr>
          <w:p>
            <w:pPr>
              <w:spacing w:after="0"/>
              <w:rPr>
                <w:sz w:val="3"/>
                <w:szCs w:val="3"/>
                <w:color w:val="auto"/>
              </w:rPr>
            </w:pPr>
          </w:p>
        </w:tc>
        <w:tc>
          <w:tcPr>
            <w:tcW w:w="2640" w:type="dxa"/>
            <w:vAlign w:val="bottom"/>
            <w:tcBorders>
              <w:bottom w:val="single" w:sz="8" w:color="BCBEC0"/>
            </w:tcBorders>
          </w:tcPr>
          <w:p>
            <w:pPr>
              <w:spacing w:after="0"/>
              <w:rPr>
                <w:sz w:val="3"/>
                <w:szCs w:val="3"/>
                <w:color w:val="auto"/>
              </w:rPr>
            </w:pPr>
          </w:p>
        </w:tc>
        <w:tc>
          <w:tcPr>
            <w:tcW w:w="2860" w:type="dxa"/>
            <w:vAlign w:val="bottom"/>
            <w:tcBorders>
              <w:bottom w:val="single" w:sz="8" w:color="BCBEC0"/>
            </w:tcBorders>
          </w:tcPr>
          <w:p>
            <w:pPr>
              <w:spacing w:after="0"/>
              <w:rPr>
                <w:sz w:val="3"/>
                <w:szCs w:val="3"/>
                <w:color w:val="auto"/>
              </w:rPr>
            </w:pPr>
          </w:p>
        </w:tc>
        <w:tc>
          <w:tcPr>
            <w:tcW w:w="158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620" w:type="dxa"/>
            <w:vAlign w:val="bottom"/>
          </w:tcPr>
          <w:p>
            <w:pPr>
              <w:ind w:left="20"/>
              <w:spacing w:after="0"/>
              <w:rPr>
                <w:sz w:val="20"/>
                <w:szCs w:val="20"/>
                <w:color w:val="auto"/>
              </w:rPr>
            </w:pPr>
            <w:r>
              <w:rPr>
                <w:rFonts w:ascii="Arial" w:cs="Arial" w:eastAsia="Arial" w:hAnsi="Arial"/>
                <w:sz w:val="14"/>
                <w:szCs w:val="14"/>
                <w:color w:val="auto"/>
              </w:rPr>
              <w:t>Financial</w:t>
            </w:r>
          </w:p>
        </w:tc>
        <w:tc>
          <w:tcPr>
            <w:tcW w:w="2540" w:type="dxa"/>
            <w:vAlign w:val="bottom"/>
          </w:tcPr>
          <w:p>
            <w:pPr>
              <w:ind w:left="100"/>
              <w:spacing w:after="0"/>
              <w:rPr>
                <w:sz w:val="20"/>
                <w:szCs w:val="20"/>
                <w:color w:val="auto"/>
              </w:rPr>
            </w:pPr>
            <w:r>
              <w:rPr>
                <w:rFonts w:ascii="Arial" w:cs="Arial" w:eastAsia="Arial" w:hAnsi="Arial"/>
                <w:sz w:val="14"/>
                <w:szCs w:val="14"/>
                <w:color w:val="auto"/>
              </w:rPr>
              <w:t>No payment.</w:t>
            </w:r>
          </w:p>
        </w:tc>
        <w:tc>
          <w:tcPr>
            <w:tcW w:w="2640" w:type="dxa"/>
            <w:vAlign w:val="bottom"/>
          </w:tcPr>
          <w:p>
            <w:pPr>
              <w:ind w:left="60"/>
              <w:spacing w:after="0"/>
              <w:rPr>
                <w:sz w:val="20"/>
                <w:szCs w:val="20"/>
                <w:color w:val="auto"/>
              </w:rPr>
            </w:pPr>
            <w:r>
              <w:rPr>
                <w:rFonts w:ascii="Arial" w:cs="Arial" w:eastAsia="Arial" w:hAnsi="Arial"/>
                <w:sz w:val="14"/>
                <w:szCs w:val="14"/>
                <w:color w:val="auto"/>
              </w:rPr>
              <w:t>Reimbursement of fees for the year of</w:t>
            </w:r>
          </w:p>
        </w:tc>
        <w:tc>
          <w:tcPr>
            <w:tcW w:w="2860" w:type="dxa"/>
            <w:vAlign w:val="bottom"/>
          </w:tcPr>
          <w:p>
            <w:pPr>
              <w:ind w:left="60"/>
              <w:spacing w:after="0"/>
              <w:rPr>
                <w:sz w:val="20"/>
                <w:szCs w:val="20"/>
                <w:color w:val="auto"/>
              </w:rPr>
            </w:pPr>
            <w:r>
              <w:rPr>
                <w:rFonts w:ascii="Arial" w:cs="Arial" w:eastAsia="Arial" w:hAnsi="Arial"/>
                <w:sz w:val="14"/>
                <w:szCs w:val="14"/>
                <w:color w:val="auto"/>
              </w:rPr>
              <w:t>No payment.</w:t>
            </w:r>
          </w:p>
        </w:tc>
        <w:tc>
          <w:tcPr>
            <w:tcW w:w="1580" w:type="dxa"/>
            <w:vAlign w:val="bottom"/>
          </w:tcPr>
          <w:p>
            <w:pPr>
              <w:ind w:left="40"/>
              <w:spacing w:after="0"/>
              <w:rPr>
                <w:sz w:val="20"/>
                <w:szCs w:val="20"/>
                <w:color w:val="auto"/>
              </w:rPr>
            </w:pPr>
            <w:r>
              <w:rPr>
                <w:rFonts w:ascii="Arial" w:cs="Arial" w:eastAsia="Arial" w:hAnsi="Arial"/>
                <w:sz w:val="14"/>
                <w:szCs w:val="14"/>
                <w:color w:val="auto"/>
              </w:rPr>
              <w:t>No payment.</w:t>
            </w:r>
          </w:p>
        </w:tc>
        <w:tc>
          <w:tcPr>
            <w:tcW w:w="0" w:type="dxa"/>
            <w:vAlign w:val="bottom"/>
          </w:tcPr>
          <w:p>
            <w:pPr>
              <w:spacing w:after="0"/>
              <w:rPr>
                <w:sz w:val="1"/>
                <w:szCs w:val="1"/>
                <w:color w:val="auto"/>
              </w:rPr>
            </w:pPr>
          </w:p>
        </w:tc>
      </w:tr>
      <w:tr>
        <w:trPr>
          <w:trHeight w:val="190"/>
        </w:trPr>
        <w:tc>
          <w:tcPr>
            <w:tcW w:w="1620" w:type="dxa"/>
            <w:vAlign w:val="bottom"/>
          </w:tcPr>
          <w:p>
            <w:pPr>
              <w:ind w:left="20"/>
              <w:spacing w:after="0"/>
              <w:rPr>
                <w:sz w:val="20"/>
                <w:szCs w:val="20"/>
                <w:color w:val="auto"/>
              </w:rPr>
            </w:pPr>
            <w:r>
              <w:rPr>
                <w:rFonts w:ascii="Arial" w:cs="Arial" w:eastAsia="Arial" w:hAnsi="Arial"/>
                <w:sz w:val="14"/>
                <w:szCs w:val="14"/>
                <w:color w:val="auto"/>
              </w:rPr>
              <w:t>Planning/Income Tax</w:t>
            </w:r>
          </w:p>
        </w:tc>
        <w:tc>
          <w:tcPr>
            <w:tcW w:w="2540" w:type="dxa"/>
            <w:vAlign w:val="bottom"/>
          </w:tcPr>
          <w:p>
            <w:pPr>
              <w:spacing w:after="0"/>
              <w:rPr>
                <w:sz w:val="16"/>
                <w:szCs w:val="16"/>
                <w:color w:val="auto"/>
              </w:rPr>
            </w:pPr>
          </w:p>
        </w:tc>
        <w:tc>
          <w:tcPr>
            <w:tcW w:w="2640" w:type="dxa"/>
            <w:vAlign w:val="bottom"/>
          </w:tcPr>
          <w:p>
            <w:pPr>
              <w:ind w:left="60"/>
              <w:spacing w:after="0"/>
              <w:rPr>
                <w:sz w:val="20"/>
                <w:szCs w:val="20"/>
                <w:color w:val="auto"/>
              </w:rPr>
            </w:pPr>
            <w:r>
              <w:rPr>
                <w:rFonts w:ascii="Arial" w:cs="Arial" w:eastAsia="Arial" w:hAnsi="Arial"/>
                <w:sz w:val="14"/>
                <w:szCs w:val="14"/>
                <w:color w:val="auto"/>
              </w:rPr>
              <w:t>termination and the following year.</w:t>
            </w:r>
          </w:p>
        </w:tc>
        <w:tc>
          <w:tcPr>
            <w:tcW w:w="28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620" w:type="dxa"/>
            <w:vAlign w:val="bottom"/>
            <w:tcBorders>
              <w:bottom w:val="single" w:sz="8" w:color="BCBEC0"/>
            </w:tcBorders>
          </w:tcPr>
          <w:p>
            <w:pPr>
              <w:spacing w:after="0"/>
              <w:rPr>
                <w:sz w:val="3"/>
                <w:szCs w:val="3"/>
                <w:color w:val="auto"/>
              </w:rPr>
            </w:pPr>
          </w:p>
        </w:tc>
        <w:tc>
          <w:tcPr>
            <w:tcW w:w="2540" w:type="dxa"/>
            <w:vAlign w:val="bottom"/>
            <w:tcBorders>
              <w:bottom w:val="single" w:sz="8" w:color="BCBEC0"/>
            </w:tcBorders>
          </w:tcPr>
          <w:p>
            <w:pPr>
              <w:spacing w:after="0"/>
              <w:rPr>
                <w:sz w:val="3"/>
                <w:szCs w:val="3"/>
                <w:color w:val="auto"/>
              </w:rPr>
            </w:pPr>
          </w:p>
        </w:tc>
        <w:tc>
          <w:tcPr>
            <w:tcW w:w="2640" w:type="dxa"/>
            <w:vAlign w:val="bottom"/>
            <w:tcBorders>
              <w:bottom w:val="single" w:sz="8" w:color="BCBEC0"/>
            </w:tcBorders>
          </w:tcPr>
          <w:p>
            <w:pPr>
              <w:spacing w:after="0"/>
              <w:rPr>
                <w:sz w:val="3"/>
                <w:szCs w:val="3"/>
                <w:color w:val="auto"/>
              </w:rPr>
            </w:pPr>
          </w:p>
        </w:tc>
        <w:tc>
          <w:tcPr>
            <w:tcW w:w="2860" w:type="dxa"/>
            <w:vAlign w:val="bottom"/>
            <w:tcBorders>
              <w:bottom w:val="single" w:sz="8" w:color="BCBEC0"/>
            </w:tcBorders>
          </w:tcPr>
          <w:p>
            <w:pPr>
              <w:spacing w:after="0"/>
              <w:rPr>
                <w:sz w:val="3"/>
                <w:szCs w:val="3"/>
                <w:color w:val="auto"/>
              </w:rPr>
            </w:pPr>
          </w:p>
        </w:tc>
        <w:tc>
          <w:tcPr>
            <w:tcW w:w="158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620" w:type="dxa"/>
            <w:vAlign w:val="bottom"/>
          </w:tcPr>
          <w:p>
            <w:pPr>
              <w:ind w:left="20"/>
              <w:spacing w:after="0"/>
              <w:rPr>
                <w:sz w:val="20"/>
                <w:szCs w:val="20"/>
                <w:color w:val="auto"/>
              </w:rPr>
            </w:pPr>
            <w:r>
              <w:rPr>
                <w:rFonts w:ascii="Arial" w:cs="Arial" w:eastAsia="Arial" w:hAnsi="Arial"/>
                <w:sz w:val="14"/>
                <w:szCs w:val="14"/>
                <w:color w:val="auto"/>
              </w:rPr>
              <w:t>Outplacement Services</w:t>
            </w:r>
          </w:p>
        </w:tc>
        <w:tc>
          <w:tcPr>
            <w:tcW w:w="2540" w:type="dxa"/>
            <w:vAlign w:val="bottom"/>
          </w:tcPr>
          <w:p>
            <w:pPr>
              <w:ind w:left="100"/>
              <w:spacing w:after="0"/>
              <w:rPr>
                <w:sz w:val="20"/>
                <w:szCs w:val="20"/>
                <w:color w:val="auto"/>
              </w:rPr>
            </w:pPr>
            <w:r>
              <w:rPr>
                <w:rFonts w:ascii="Arial" w:cs="Arial" w:eastAsia="Arial" w:hAnsi="Arial"/>
                <w:sz w:val="14"/>
                <w:szCs w:val="14"/>
                <w:color w:val="auto"/>
              </w:rPr>
              <w:t>No payment.</w:t>
            </w:r>
          </w:p>
        </w:tc>
        <w:tc>
          <w:tcPr>
            <w:tcW w:w="2640" w:type="dxa"/>
            <w:vAlign w:val="bottom"/>
          </w:tcPr>
          <w:p>
            <w:pPr>
              <w:ind w:left="60"/>
              <w:spacing w:after="0"/>
              <w:rPr>
                <w:sz w:val="20"/>
                <w:szCs w:val="20"/>
                <w:color w:val="auto"/>
              </w:rPr>
            </w:pPr>
            <w:r>
              <w:rPr>
                <w:rFonts w:ascii="Arial" w:cs="Arial" w:eastAsia="Arial" w:hAnsi="Arial"/>
                <w:sz w:val="14"/>
                <w:szCs w:val="14"/>
                <w:color w:val="auto"/>
              </w:rPr>
              <w:t>Expenses up to 15% of base salary.</w:t>
            </w:r>
          </w:p>
        </w:tc>
        <w:tc>
          <w:tcPr>
            <w:tcW w:w="2860" w:type="dxa"/>
            <w:vAlign w:val="bottom"/>
          </w:tcPr>
          <w:p>
            <w:pPr>
              <w:ind w:left="60"/>
              <w:spacing w:after="0"/>
              <w:rPr>
                <w:sz w:val="20"/>
                <w:szCs w:val="20"/>
                <w:color w:val="auto"/>
              </w:rPr>
            </w:pPr>
            <w:r>
              <w:rPr>
                <w:rFonts w:ascii="Arial" w:cs="Arial" w:eastAsia="Arial" w:hAnsi="Arial"/>
                <w:sz w:val="14"/>
                <w:szCs w:val="14"/>
                <w:color w:val="auto"/>
              </w:rPr>
              <w:t>No payment.</w:t>
            </w:r>
          </w:p>
        </w:tc>
        <w:tc>
          <w:tcPr>
            <w:tcW w:w="1580" w:type="dxa"/>
            <w:vAlign w:val="bottom"/>
          </w:tcPr>
          <w:p>
            <w:pPr>
              <w:ind w:left="40"/>
              <w:spacing w:after="0"/>
              <w:rPr>
                <w:sz w:val="20"/>
                <w:szCs w:val="20"/>
                <w:color w:val="auto"/>
              </w:rPr>
            </w:pPr>
            <w:r>
              <w:rPr>
                <w:rFonts w:ascii="Arial" w:cs="Arial" w:eastAsia="Arial" w:hAnsi="Arial"/>
                <w:sz w:val="14"/>
                <w:szCs w:val="14"/>
                <w:color w:val="auto"/>
              </w:rPr>
              <w:t>No payment.</w:t>
            </w:r>
          </w:p>
        </w:tc>
        <w:tc>
          <w:tcPr>
            <w:tcW w:w="0" w:type="dxa"/>
            <w:vAlign w:val="bottom"/>
          </w:tcPr>
          <w:p>
            <w:pPr>
              <w:spacing w:after="0"/>
              <w:rPr>
                <w:sz w:val="1"/>
                <w:szCs w:val="1"/>
                <w:color w:val="auto"/>
              </w:rPr>
            </w:pPr>
          </w:p>
        </w:tc>
      </w:tr>
      <w:tr>
        <w:trPr>
          <w:trHeight w:val="22"/>
        </w:trPr>
        <w:tc>
          <w:tcPr>
            <w:tcW w:w="1620" w:type="dxa"/>
            <w:vAlign w:val="bottom"/>
            <w:tcBorders>
              <w:bottom w:val="single" w:sz="8" w:color="BCBEC0"/>
            </w:tcBorders>
          </w:tcPr>
          <w:p>
            <w:pPr>
              <w:spacing w:after="0" w:line="20" w:lineRule="exact"/>
              <w:rPr>
                <w:sz w:val="1"/>
                <w:szCs w:val="1"/>
                <w:color w:val="auto"/>
              </w:rPr>
            </w:pPr>
          </w:p>
        </w:tc>
        <w:tc>
          <w:tcPr>
            <w:tcW w:w="2540" w:type="dxa"/>
            <w:vAlign w:val="bottom"/>
            <w:tcBorders>
              <w:bottom w:val="single" w:sz="8" w:color="BCBEC0"/>
            </w:tcBorders>
          </w:tcPr>
          <w:p>
            <w:pPr>
              <w:spacing w:after="0" w:line="20" w:lineRule="exact"/>
              <w:rPr>
                <w:sz w:val="1"/>
                <w:szCs w:val="1"/>
                <w:color w:val="auto"/>
              </w:rPr>
            </w:pPr>
          </w:p>
        </w:tc>
        <w:tc>
          <w:tcPr>
            <w:tcW w:w="2640" w:type="dxa"/>
            <w:vAlign w:val="bottom"/>
            <w:tcBorders>
              <w:bottom w:val="single" w:sz="8" w:color="BCBEC0"/>
            </w:tcBorders>
          </w:tcPr>
          <w:p>
            <w:pPr>
              <w:spacing w:after="0" w:line="20" w:lineRule="exact"/>
              <w:rPr>
                <w:sz w:val="1"/>
                <w:szCs w:val="1"/>
                <w:color w:val="auto"/>
              </w:rPr>
            </w:pPr>
          </w:p>
        </w:tc>
        <w:tc>
          <w:tcPr>
            <w:tcW w:w="2860" w:type="dxa"/>
            <w:vAlign w:val="bottom"/>
            <w:tcBorders>
              <w:bottom w:val="single" w:sz="8" w:color="BCBEC0"/>
            </w:tcBorders>
          </w:tcPr>
          <w:p>
            <w:pPr>
              <w:spacing w:after="0" w:line="20" w:lineRule="exact"/>
              <w:rPr>
                <w:sz w:val="1"/>
                <w:szCs w:val="1"/>
                <w:color w:val="auto"/>
              </w:rPr>
            </w:pPr>
          </w:p>
        </w:tc>
        <w:tc>
          <w:tcPr>
            <w:tcW w:w="15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hanging="252"/>
        <w:spacing w:after="0"/>
        <w:tabs>
          <w:tab w:leader="none" w:pos="26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Terms of equity awards granted to the NEOs under the 2011 Plan.</w:t>
      </w:r>
    </w:p>
    <w:p>
      <w:pPr>
        <w:spacing w:after="0" w:line="41" w:lineRule="exact"/>
        <w:rPr>
          <w:rFonts w:ascii="Arial" w:cs="Arial" w:eastAsia="Arial" w:hAnsi="Arial"/>
          <w:sz w:val="14"/>
          <w:szCs w:val="14"/>
          <w:color w:val="auto"/>
        </w:rPr>
      </w:pPr>
    </w:p>
    <w:p>
      <w:pPr>
        <w:ind w:left="260" w:hanging="252"/>
        <w:spacing w:after="0"/>
        <w:tabs>
          <w:tab w:leader="none" w:pos="26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Subject to the Compensation and Human Capital Committee’s approval of the earn-out percentage based on the RPSR performance metrics.</w:t>
      </w:r>
    </w:p>
    <w:p>
      <w:pPr>
        <w:spacing w:after="0" w:line="41" w:lineRule="exact"/>
        <w:rPr>
          <w:rFonts w:ascii="Arial" w:cs="Arial" w:eastAsia="Arial" w:hAnsi="Arial"/>
          <w:sz w:val="14"/>
          <w:szCs w:val="14"/>
          <w:color w:val="auto"/>
        </w:rPr>
      </w:pPr>
    </w:p>
    <w:p>
      <w:pPr>
        <w:ind w:left="260" w:right="160" w:hanging="252"/>
        <w:spacing w:after="0" w:line="305" w:lineRule="auto"/>
        <w:tabs>
          <w:tab w:leader="none" w:pos="258" w:val="left"/>
        </w:tabs>
        <w:numPr>
          <w:ilvl w:val="0"/>
          <w:numId w:val="153"/>
        </w:numPr>
        <w:rPr>
          <w:rFonts w:ascii="Arial" w:cs="Arial" w:eastAsia="Arial" w:hAnsi="Arial"/>
          <w:sz w:val="14"/>
          <w:szCs w:val="14"/>
          <w:color w:val="auto"/>
        </w:rPr>
      </w:pPr>
      <w:r>
        <w:rPr>
          <w:rFonts w:ascii="Arial" w:cs="Arial" w:eastAsia="Arial" w:hAnsi="Arial"/>
          <w:sz w:val="14"/>
          <w:szCs w:val="14"/>
          <w:color w:val="auto"/>
        </w:rPr>
        <w:t>Any retirement treatment requires employment for at least six months following the grant date with respect to RSRs and at least six months of the performance period with respect to RPSRs.</w:t>
      </w:r>
    </w:p>
    <w:p>
      <w:pPr>
        <w:spacing w:after="0" w:line="200" w:lineRule="exact"/>
        <w:rPr>
          <w:sz w:val="20"/>
          <w:szCs w:val="20"/>
          <w:color w:val="auto"/>
        </w:rPr>
      </w:pPr>
    </w:p>
    <w:p>
      <w:pPr>
        <w:spacing w:after="0" w:line="363" w:lineRule="exact"/>
        <w:rPr>
          <w:sz w:val="20"/>
          <w:szCs w:val="20"/>
          <w:color w:val="auto"/>
        </w:rPr>
      </w:pPr>
    </w:p>
    <w:p>
      <w:pPr>
        <w:ind w:left="520" w:hanging="494"/>
        <w:spacing w:after="0"/>
        <w:tabs>
          <w:tab w:leader="none" w:pos="520" w:val="left"/>
        </w:tabs>
        <w:numPr>
          <w:ilvl w:val="0"/>
          <w:numId w:val="154"/>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The Potential Termination Payments Table provides estimated payments and benefits that the Company would have provided to each NEO if his or her employment had terminated on December 31, 2023 for the reasons set forth in the table below. The Company stock price is assumed to be $468.14, the closing market price on December 29, 2023, the last trading day of the year. These payments and benefits are payable based on:</w:t>
      </w:r>
    </w:p>
    <w:p>
      <w:pPr>
        <w:spacing w:after="0" w:line="56" w:lineRule="exact"/>
        <w:rPr>
          <w:sz w:val="20"/>
          <w:szCs w:val="20"/>
          <w:color w:val="auto"/>
        </w:rPr>
      </w:pPr>
    </w:p>
    <w:p>
      <w:pPr>
        <w:ind w:left="140" w:hanging="132"/>
        <w:spacing w:after="0"/>
        <w:tabs>
          <w:tab w:leader="none" w:pos="140" w:val="left"/>
        </w:tabs>
        <w:numPr>
          <w:ilvl w:val="0"/>
          <w:numId w:val="155"/>
        </w:numPr>
        <w:rPr>
          <w:rFonts w:ascii="Arial" w:cs="Arial" w:eastAsia="Arial" w:hAnsi="Arial"/>
          <w:sz w:val="16"/>
          <w:szCs w:val="16"/>
          <w:b w:val="1"/>
          <w:bCs w:val="1"/>
          <w:color w:val="29378D"/>
        </w:rPr>
      </w:pPr>
      <w:r>
        <w:rPr>
          <w:rFonts w:ascii="Arial" w:cs="Arial" w:eastAsia="Arial" w:hAnsi="Arial"/>
          <w:sz w:val="16"/>
          <w:szCs w:val="16"/>
          <w:color w:val="auto"/>
        </w:rPr>
        <w:t>the Severance Plan; and</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155"/>
        </w:numPr>
        <w:rPr>
          <w:rFonts w:ascii="Arial" w:cs="Arial" w:eastAsia="Arial" w:hAnsi="Arial"/>
          <w:sz w:val="16"/>
          <w:szCs w:val="16"/>
          <w:b w:val="1"/>
          <w:bCs w:val="1"/>
          <w:color w:val="29378D"/>
        </w:rPr>
      </w:pPr>
      <w:r>
        <w:rPr>
          <w:rFonts w:ascii="Arial" w:cs="Arial" w:eastAsia="Arial" w:hAnsi="Arial"/>
          <w:sz w:val="16"/>
          <w:szCs w:val="16"/>
          <w:color w:val="auto"/>
        </w:rPr>
        <w:t>the 2011 Plan and the terms and conditions of equity awards made pursuant to the plan.</w:t>
      </w:r>
    </w:p>
    <w:p>
      <w:pPr>
        <w:spacing w:after="0" w:line="11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Due to the many factors that affect the nature and amount of any benefits provided upon termination events, actual amounts paid or distributed to NEOs may be different from the values shown in the table. Factors that may affect these amounts include timing during the year of the occurrence of the event, our stock price, the NEO’s age and the terms and circumstances of the event. The amounts described below are in addition to an NEO’s benefits described in the Pension Benefits and Nonqualified Deferred Compensation Tables on pages 76 and 79, respectively, as well as benefits generally available to our employees such as distributions under our savings plan, disability or life insurance benefits and accrued vacation.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81</w:t>
            </w:r>
          </w:p>
        </w:tc>
      </w:tr>
      <w:tr>
        <w:trPr>
          <w:trHeight w:val="30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29378D"/>
        </w:rPr>
        <w:t>Termination Payment Table</w:t>
      </w:r>
    </w:p>
    <w:p>
      <w:pPr>
        <w:spacing w:after="0" w:line="120" w:lineRule="exact"/>
        <w:rPr>
          <w:sz w:val="20"/>
          <w:szCs w:val="20"/>
          <w:color w:val="auto"/>
        </w:rPr>
      </w:pPr>
    </w:p>
    <w:p>
      <w:pPr>
        <w:spacing w:after="0"/>
        <w:rPr>
          <w:sz w:val="20"/>
          <w:szCs w:val="20"/>
          <w:color w:val="auto"/>
        </w:rPr>
      </w:pPr>
      <w:r>
        <w:rPr>
          <w:rFonts w:ascii="Arial" w:cs="Arial" w:eastAsia="Arial" w:hAnsi="Arial"/>
          <w:sz w:val="23"/>
          <w:szCs w:val="23"/>
          <w:color w:val="auto"/>
        </w:rPr>
        <w:t>Potential Termination Payments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520" w:type="dxa"/>
            <w:vAlign w:val="bottom"/>
          </w:tcPr>
          <w:p>
            <w:pPr>
              <w:jc w:val="right"/>
              <w:ind w:right="190"/>
              <w:spacing w:after="0"/>
              <w:rPr>
                <w:sz w:val="20"/>
                <w:szCs w:val="20"/>
                <w:color w:val="auto"/>
              </w:rPr>
            </w:pPr>
            <w:r>
              <w:rPr>
                <w:rFonts w:ascii="Arial" w:cs="Arial" w:eastAsia="Arial" w:hAnsi="Arial"/>
                <w:sz w:val="12"/>
                <w:szCs w:val="12"/>
                <w:b w:val="1"/>
                <w:bCs w:val="1"/>
                <w:color w:val="auto"/>
              </w:rPr>
              <w:t>Post-CIC</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80" w:type="dxa"/>
            <w:vAlign w:val="bottom"/>
          </w:tcPr>
          <w:p>
            <w:pPr>
              <w:jc w:val="right"/>
              <w:ind w:right="250"/>
              <w:spacing w:after="0" w:line="135" w:lineRule="exact"/>
              <w:rPr>
                <w:sz w:val="20"/>
                <w:szCs w:val="20"/>
                <w:color w:val="auto"/>
              </w:rPr>
            </w:pPr>
            <w:r>
              <w:rPr>
                <w:rFonts w:ascii="Arial" w:cs="Arial" w:eastAsia="Arial" w:hAnsi="Arial"/>
                <w:sz w:val="12"/>
                <w:szCs w:val="12"/>
                <w:b w:val="1"/>
                <w:bCs w:val="1"/>
                <w:color w:val="auto"/>
              </w:rPr>
              <w:t>Involuntary</w:t>
            </w:r>
          </w:p>
        </w:tc>
        <w:tc>
          <w:tcPr>
            <w:tcW w:w="1520" w:type="dxa"/>
            <w:vAlign w:val="bottom"/>
          </w:tcPr>
          <w:p>
            <w:pPr>
              <w:jc w:val="right"/>
              <w:ind w:right="190"/>
              <w:spacing w:after="0" w:line="135" w:lineRule="exact"/>
              <w:rPr>
                <w:sz w:val="20"/>
                <w:szCs w:val="20"/>
                <w:color w:val="auto"/>
              </w:rPr>
            </w:pPr>
            <w:r>
              <w:rPr>
                <w:rFonts w:ascii="Arial" w:cs="Arial" w:eastAsia="Arial" w:hAnsi="Arial"/>
                <w:sz w:val="12"/>
                <w:szCs w:val="12"/>
                <w:b w:val="1"/>
                <w:bCs w:val="1"/>
                <w:color w:val="auto"/>
              </w:rPr>
              <w:t>Involuntary</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Voluntary</w:t>
            </w:r>
          </w:p>
        </w:tc>
        <w:tc>
          <w:tcPr>
            <w:tcW w:w="1880" w:type="dxa"/>
            <w:vAlign w:val="bottom"/>
          </w:tcPr>
          <w:p>
            <w:pPr>
              <w:jc w:val="right"/>
              <w:ind w:right="250"/>
              <w:spacing w:after="0"/>
              <w:rPr>
                <w:sz w:val="20"/>
                <w:szCs w:val="20"/>
                <w:color w:val="auto"/>
              </w:rPr>
            </w:pPr>
            <w:r>
              <w:rPr>
                <w:rFonts w:ascii="Arial" w:cs="Arial" w:eastAsia="Arial" w:hAnsi="Arial"/>
                <w:sz w:val="12"/>
                <w:szCs w:val="12"/>
                <w:b w:val="1"/>
                <w:bCs w:val="1"/>
                <w:color w:val="auto"/>
              </w:rPr>
              <w:t>Termination</w:t>
            </w:r>
          </w:p>
        </w:tc>
        <w:tc>
          <w:tcPr>
            <w:tcW w:w="1520" w:type="dxa"/>
            <w:vAlign w:val="bottom"/>
          </w:tcPr>
          <w:p>
            <w:pPr>
              <w:jc w:val="right"/>
              <w:ind w:right="190"/>
              <w:spacing w:after="0"/>
              <w:rPr>
                <w:sz w:val="20"/>
                <w:szCs w:val="20"/>
                <w:color w:val="auto"/>
              </w:rPr>
            </w:pPr>
            <w:r>
              <w:rPr>
                <w:rFonts w:ascii="Arial" w:cs="Arial" w:eastAsia="Arial" w:hAnsi="Arial"/>
                <w:sz w:val="12"/>
                <w:szCs w:val="12"/>
                <w:b w:val="1"/>
                <w:bCs w:val="1"/>
                <w:color w:val="auto"/>
              </w:rPr>
              <w:t>or Good Reason</w:t>
            </w: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Death or</w:t>
            </w:r>
          </w:p>
        </w:tc>
        <w:tc>
          <w:tcPr>
            <w:tcW w:w="0" w:type="dxa"/>
            <w:vAlign w:val="bottom"/>
          </w:tcPr>
          <w:p>
            <w:pPr>
              <w:spacing w:after="0"/>
              <w:rPr>
                <w:sz w:val="1"/>
                <w:szCs w:val="1"/>
                <w:color w:val="auto"/>
              </w:rPr>
            </w:pPr>
          </w:p>
        </w:tc>
      </w:tr>
      <w:tr>
        <w:trPr>
          <w:trHeight w:val="135"/>
        </w:trPr>
        <w:tc>
          <w:tcPr>
            <w:tcW w:w="2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Name</w:t>
            </w:r>
          </w:p>
        </w:tc>
        <w:tc>
          <w:tcPr>
            <w:tcW w:w="324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Termination</w:t>
            </w:r>
          </w:p>
        </w:tc>
        <w:tc>
          <w:tcPr>
            <w:tcW w:w="1880" w:type="dxa"/>
            <w:vAlign w:val="bottom"/>
          </w:tcPr>
          <w:p>
            <w:pPr>
              <w:jc w:val="right"/>
              <w:ind w:right="250"/>
              <w:spacing w:after="0" w:line="135" w:lineRule="exact"/>
              <w:rPr>
                <w:sz w:val="20"/>
                <w:szCs w:val="20"/>
                <w:color w:val="auto"/>
              </w:rPr>
            </w:pPr>
            <w:r>
              <w:rPr>
                <w:rFonts w:ascii="Arial" w:cs="Arial" w:eastAsia="Arial" w:hAnsi="Arial"/>
                <w:sz w:val="12"/>
                <w:szCs w:val="12"/>
                <w:b w:val="1"/>
                <w:bCs w:val="1"/>
                <w:color w:val="auto"/>
              </w:rPr>
              <w:t>Not For Cause</w:t>
            </w:r>
            <w:r>
              <w:rPr>
                <w:rFonts w:ascii="Arial" w:cs="Arial" w:eastAsia="Arial" w:hAnsi="Arial"/>
                <w:sz w:val="15"/>
                <w:szCs w:val="15"/>
                <w:b w:val="1"/>
                <w:bCs w:val="1"/>
                <w:color w:val="auto"/>
                <w:vertAlign w:val="superscript"/>
              </w:rPr>
              <w:t>(1)</w:t>
            </w:r>
          </w:p>
        </w:tc>
        <w:tc>
          <w:tcPr>
            <w:tcW w:w="1520" w:type="dxa"/>
            <w:vAlign w:val="bottom"/>
          </w:tcPr>
          <w:p>
            <w:pPr>
              <w:jc w:val="right"/>
              <w:ind w:right="190"/>
              <w:spacing w:after="0" w:line="135" w:lineRule="exact"/>
              <w:rPr>
                <w:sz w:val="20"/>
                <w:szCs w:val="20"/>
                <w:color w:val="auto"/>
              </w:rPr>
            </w:pPr>
            <w:r>
              <w:rPr>
                <w:rFonts w:ascii="Arial" w:cs="Arial" w:eastAsia="Arial" w:hAnsi="Arial"/>
                <w:sz w:val="12"/>
                <w:szCs w:val="12"/>
                <w:b w:val="1"/>
                <w:bCs w:val="1"/>
                <w:color w:val="auto"/>
              </w:rPr>
              <w:t>Termination</w:t>
            </w:r>
            <w:r>
              <w:rPr>
                <w:rFonts w:ascii="Arial" w:cs="Arial" w:eastAsia="Arial" w:hAnsi="Arial"/>
                <w:sz w:val="15"/>
                <w:szCs w:val="15"/>
                <w:b w:val="1"/>
                <w:bCs w:val="1"/>
                <w:color w:val="auto"/>
                <w:vertAlign w:val="superscript"/>
              </w:rPr>
              <w:t>(2)</w:t>
            </w:r>
          </w:p>
        </w:tc>
        <w:tc>
          <w:tcPr>
            <w:tcW w:w="106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Disability</w:t>
            </w:r>
          </w:p>
        </w:tc>
        <w:tc>
          <w:tcPr>
            <w:tcW w:w="0" w:type="dxa"/>
            <w:vAlign w:val="bottom"/>
          </w:tcPr>
          <w:p>
            <w:pPr>
              <w:spacing w:after="0"/>
              <w:rPr>
                <w:sz w:val="1"/>
                <w:szCs w:val="1"/>
                <w:color w:val="auto"/>
              </w:rPr>
            </w:pPr>
          </w:p>
        </w:tc>
      </w:tr>
      <w:tr>
        <w:trPr>
          <w:trHeight w:val="65"/>
        </w:trPr>
        <w:tc>
          <w:tcPr>
            <w:tcW w:w="2380" w:type="dxa"/>
            <w:vAlign w:val="bottom"/>
            <w:vMerge w:val="continue"/>
          </w:tcPr>
          <w:p>
            <w:pPr>
              <w:spacing w:after="0"/>
              <w:rPr>
                <w:sz w:val="5"/>
                <w:szCs w:val="5"/>
                <w:color w:val="auto"/>
              </w:rPr>
            </w:pPr>
          </w:p>
        </w:tc>
        <w:tc>
          <w:tcPr>
            <w:tcW w:w="3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Executive Benefits</w:t>
            </w:r>
          </w:p>
        </w:tc>
        <w:tc>
          <w:tcPr>
            <w:tcW w:w="11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1880" w:type="dxa"/>
            <w:vAlign w:val="bottom"/>
            <w:vMerge w:val="restart"/>
          </w:tcPr>
          <w:p>
            <w:pPr>
              <w:jc w:val="right"/>
              <w:ind w:right="250"/>
              <w:spacing w:after="0"/>
              <w:rPr>
                <w:sz w:val="20"/>
                <w:szCs w:val="20"/>
                <w:color w:val="auto"/>
              </w:rPr>
            </w:pPr>
            <w:r>
              <w:rPr>
                <w:rFonts w:ascii="Arial" w:cs="Arial" w:eastAsia="Arial" w:hAnsi="Arial"/>
                <w:sz w:val="12"/>
                <w:szCs w:val="12"/>
                <w:b w:val="1"/>
                <w:bCs w:val="1"/>
                <w:color w:val="auto"/>
              </w:rPr>
              <w:t>($)</w:t>
            </w:r>
          </w:p>
        </w:tc>
        <w:tc>
          <w:tcPr>
            <w:tcW w:w="152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14"/>
        </w:trPr>
        <w:tc>
          <w:tcPr>
            <w:tcW w:w="2380" w:type="dxa"/>
            <w:vAlign w:val="bottom"/>
            <w:tcBorders>
              <w:bottom w:val="single" w:sz="8" w:color="29378D"/>
            </w:tcBorders>
          </w:tcPr>
          <w:p>
            <w:pPr>
              <w:spacing w:after="0"/>
              <w:rPr>
                <w:sz w:val="9"/>
                <w:szCs w:val="9"/>
                <w:color w:val="auto"/>
              </w:rPr>
            </w:pPr>
          </w:p>
        </w:tc>
        <w:tc>
          <w:tcPr>
            <w:tcW w:w="3240" w:type="dxa"/>
            <w:vAlign w:val="bottom"/>
            <w:tcBorders>
              <w:bottom w:val="single" w:sz="8" w:color="29378D"/>
            </w:tcBorders>
            <w:vMerge w:val="continue"/>
          </w:tcPr>
          <w:p>
            <w:pPr>
              <w:spacing w:after="0"/>
              <w:rPr>
                <w:sz w:val="9"/>
                <w:szCs w:val="9"/>
                <w:color w:val="auto"/>
              </w:rPr>
            </w:pPr>
          </w:p>
        </w:tc>
        <w:tc>
          <w:tcPr>
            <w:tcW w:w="1160" w:type="dxa"/>
            <w:vAlign w:val="bottom"/>
            <w:tcBorders>
              <w:bottom w:val="single" w:sz="8" w:color="29378D"/>
            </w:tcBorders>
            <w:vMerge w:val="continue"/>
          </w:tcPr>
          <w:p>
            <w:pPr>
              <w:spacing w:after="0"/>
              <w:rPr>
                <w:sz w:val="9"/>
                <w:szCs w:val="9"/>
                <w:color w:val="auto"/>
              </w:rPr>
            </w:pPr>
          </w:p>
        </w:tc>
        <w:tc>
          <w:tcPr>
            <w:tcW w:w="1880" w:type="dxa"/>
            <w:vAlign w:val="bottom"/>
            <w:tcBorders>
              <w:bottom w:val="single" w:sz="8" w:color="29378D"/>
            </w:tcBorders>
            <w:vMerge w:val="continue"/>
          </w:tcPr>
          <w:p>
            <w:pPr>
              <w:spacing w:after="0"/>
              <w:rPr>
                <w:sz w:val="9"/>
                <w:szCs w:val="9"/>
                <w:color w:val="auto"/>
              </w:rPr>
            </w:pPr>
          </w:p>
        </w:tc>
        <w:tc>
          <w:tcPr>
            <w:tcW w:w="1520" w:type="dxa"/>
            <w:vAlign w:val="bottom"/>
            <w:tcBorders>
              <w:bottom w:val="single" w:sz="8" w:color="29378D"/>
            </w:tcBorders>
            <w:vMerge w:val="continue"/>
          </w:tcPr>
          <w:p>
            <w:pPr>
              <w:spacing w:after="0"/>
              <w:rPr>
                <w:sz w:val="9"/>
                <w:szCs w:val="9"/>
                <w:color w:val="auto"/>
              </w:rPr>
            </w:pPr>
          </w:p>
        </w:tc>
        <w:tc>
          <w:tcPr>
            <w:tcW w:w="1060" w:type="dxa"/>
            <w:vAlign w:val="bottom"/>
            <w:tcBorders>
              <w:bottom w:val="single" w:sz="8" w:color="29378D"/>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380" w:type="dxa"/>
            <w:vAlign w:val="bottom"/>
            <w:tcBorders>
              <w:bottom w:val="single" w:sz="8" w:color="DFDEEE"/>
            </w:tcBorders>
            <w:shd w:val="clear" w:color="auto" w:fill="DFDEEE"/>
          </w:tcPr>
          <w:p>
            <w:pPr>
              <w:spacing w:after="0"/>
              <w:rPr>
                <w:sz w:val="20"/>
                <w:szCs w:val="20"/>
                <w:color w:val="auto"/>
              </w:rPr>
            </w:pPr>
          </w:p>
        </w:tc>
        <w:tc>
          <w:tcPr>
            <w:tcW w:w="324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RSRs (3)</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17,418,553</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17,418,553</w:t>
            </w:r>
          </w:p>
        </w:tc>
        <w:tc>
          <w:tcPr>
            <w:tcW w:w="0" w:type="dxa"/>
            <w:vAlign w:val="bottom"/>
          </w:tcPr>
          <w:p>
            <w:pPr>
              <w:spacing w:after="0"/>
              <w:rPr>
                <w:sz w:val="1"/>
                <w:szCs w:val="1"/>
                <w:color w:val="auto"/>
              </w:rPr>
            </w:pPr>
          </w:p>
        </w:tc>
      </w:tr>
      <w:tr>
        <w:trPr>
          <w:trHeight w:val="236"/>
        </w:trPr>
        <w:tc>
          <w:tcPr>
            <w:tcW w:w="2380" w:type="dxa"/>
            <w:vAlign w:val="bottom"/>
            <w:tcBorders>
              <w:bottom w:val="single" w:sz="8" w:color="DFDEEE"/>
            </w:tcBorders>
            <w:shd w:val="clear" w:color="auto" w:fill="DFDEEE"/>
          </w:tcPr>
          <w:p>
            <w:pPr>
              <w:spacing w:after="0"/>
              <w:rPr>
                <w:sz w:val="20"/>
                <w:szCs w:val="20"/>
                <w:color w:val="auto"/>
              </w:rPr>
            </w:pPr>
          </w:p>
        </w:tc>
        <w:tc>
          <w:tcPr>
            <w:tcW w:w="324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RPSRs (3)</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22,893,451</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11,608,936</w:t>
            </w:r>
          </w:p>
        </w:tc>
        <w:tc>
          <w:tcPr>
            <w:tcW w:w="0" w:type="dxa"/>
            <w:vAlign w:val="bottom"/>
          </w:tcPr>
          <w:p>
            <w:pPr>
              <w:spacing w:after="0"/>
              <w:rPr>
                <w:sz w:val="1"/>
                <w:szCs w:val="1"/>
                <w:color w:val="auto"/>
              </w:rPr>
            </w:pPr>
          </w:p>
        </w:tc>
      </w:tr>
      <w:tr>
        <w:trPr>
          <w:trHeight w:val="246"/>
        </w:trPr>
        <w:tc>
          <w:tcPr>
            <w:tcW w:w="2380" w:type="dxa"/>
            <w:vAlign w:val="bottom"/>
            <w:tcBorders>
              <w:bottom w:val="single" w:sz="8" w:color="DFDEEE"/>
            </w:tcBorders>
            <w:shd w:val="clear" w:color="auto" w:fill="DFDEEE"/>
          </w:tcPr>
          <w:p>
            <w:pPr>
              <w:spacing w:after="0"/>
              <w:rPr>
                <w:sz w:val="20"/>
                <w:szCs w:val="20"/>
                <w:color w:val="auto"/>
              </w:rPr>
            </w:pPr>
          </w:p>
        </w:tc>
        <w:tc>
          <w:tcPr>
            <w:tcW w:w="324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4"/>
                <w:szCs w:val="14"/>
                <w:color w:val="auto"/>
              </w:rPr>
              <w:t>Severance Benefits (4)</w:t>
            </w:r>
          </w:p>
        </w:tc>
        <w:tc>
          <w:tcPr>
            <w:tcW w:w="1160" w:type="dxa"/>
            <w:vAlign w:val="bottom"/>
            <w:tcBorders>
              <w:bottom w:val="single" w:sz="8" w:color="DFDEEE"/>
            </w:tcBorders>
            <w:shd w:val="clear" w:color="auto" w:fill="DFDEEE"/>
          </w:tcPr>
          <w:p>
            <w:pPr>
              <w:spacing w:after="0"/>
              <w:rPr>
                <w:sz w:val="20"/>
                <w:szCs w:val="20"/>
                <w:color w:val="auto"/>
              </w:rPr>
            </w:pPr>
          </w:p>
        </w:tc>
        <w:tc>
          <w:tcPr>
            <w:tcW w:w="1880" w:type="dxa"/>
            <w:vAlign w:val="bottom"/>
            <w:tcBorders>
              <w:bottom w:val="single" w:sz="8" w:color="DFDEEE"/>
            </w:tcBorders>
            <w:shd w:val="clear" w:color="auto" w:fill="DFDEEE"/>
          </w:tcPr>
          <w:p>
            <w:pPr>
              <w:spacing w:after="0"/>
              <w:rPr>
                <w:sz w:val="20"/>
                <w:szCs w:val="20"/>
                <w:color w:val="auto"/>
              </w:rPr>
            </w:pPr>
          </w:p>
        </w:tc>
        <w:tc>
          <w:tcPr>
            <w:tcW w:w="1520" w:type="dxa"/>
            <w:vAlign w:val="bottom"/>
            <w:tcBorders>
              <w:bottom w:val="single" w:sz="8" w:color="DFDEEE"/>
            </w:tcBorders>
            <w:shd w:val="clear" w:color="auto" w:fill="DFDEEE"/>
          </w:tcPr>
          <w:p>
            <w:pPr>
              <w:spacing w:after="0"/>
              <w:rPr>
                <w:sz w:val="20"/>
                <w:szCs w:val="20"/>
                <w:color w:val="auto"/>
              </w:rPr>
            </w:pPr>
          </w:p>
        </w:tc>
        <w:tc>
          <w:tcPr>
            <w:tcW w:w="1060" w:type="dxa"/>
            <w:vAlign w:val="bottom"/>
            <w:tcBorders>
              <w:bottom w:val="single" w:sz="8" w:color="DFDEEE"/>
            </w:tcBorders>
            <w:shd w:val="clear" w:color="auto" w:fill="DFDEE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380" w:type="dxa"/>
            <w:vAlign w:val="bottom"/>
            <w:tcBorders>
              <w:top w:val="single" w:sz="8" w:color="DFDEEE"/>
              <w:bottom w:val="single" w:sz="8" w:color="DFDEEE"/>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Kathy J. Warden</w:t>
            </w:r>
          </w:p>
        </w:tc>
        <w:tc>
          <w:tcPr>
            <w:tcW w:w="3240" w:type="dxa"/>
            <w:vAlign w:val="bottom"/>
            <w:tcBorders>
              <w:top w:val="single" w:sz="8" w:color="BCBEC0"/>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Cash Severance</w:t>
            </w:r>
          </w:p>
        </w:tc>
        <w:tc>
          <w:tcPr>
            <w:tcW w:w="1160" w:type="dxa"/>
            <w:vAlign w:val="bottom"/>
            <w:tcBorders>
              <w:top w:val="single" w:sz="8" w:color="BCBEC0"/>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BCBEC0"/>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7,481,250</w:t>
            </w:r>
          </w:p>
        </w:tc>
        <w:tc>
          <w:tcPr>
            <w:tcW w:w="1520" w:type="dxa"/>
            <w:vAlign w:val="bottom"/>
            <w:tcBorders>
              <w:top w:val="single" w:sz="8" w:color="BCBEC0"/>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BCBEC0"/>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DFDEEE"/>
            </w:tcBorders>
            <w:shd w:val="clear" w:color="auto" w:fill="DFDEEE"/>
          </w:tcPr>
          <w:p>
            <w:pPr>
              <w:spacing w:after="0"/>
              <w:rPr>
                <w:sz w:val="20"/>
                <w:szCs w:val="20"/>
                <w:color w:val="auto"/>
              </w:rPr>
            </w:pP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Medical/Dental Continuation</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19,149</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DFDEEE"/>
            </w:tcBorders>
            <w:shd w:val="clear" w:color="auto" w:fill="DFDEEE"/>
          </w:tcPr>
          <w:p>
            <w:pPr>
              <w:spacing w:after="0"/>
              <w:rPr>
                <w:sz w:val="20"/>
                <w:szCs w:val="20"/>
                <w:color w:val="auto"/>
              </w:rPr>
            </w:pP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Financial Planning/Income Tax</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30,000</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2380" w:type="dxa"/>
            <w:vAlign w:val="bottom"/>
            <w:tcBorders>
              <w:bottom w:val="single" w:sz="8" w:color="BCBEC0"/>
            </w:tcBorders>
            <w:shd w:val="clear" w:color="auto" w:fill="DFDEEE"/>
          </w:tcPr>
          <w:p>
            <w:pPr>
              <w:spacing w:after="0"/>
              <w:rPr>
                <w:sz w:val="20"/>
                <w:szCs w:val="20"/>
                <w:color w:val="auto"/>
              </w:rPr>
            </w:pP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Outplacement Services</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262,500</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324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RSRs (3)</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3,834,535</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3,834,535</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324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RPSRs (3)</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5,009,566</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2,562,598</w:t>
            </w:r>
          </w:p>
        </w:tc>
        <w:tc>
          <w:tcPr>
            <w:tcW w:w="0" w:type="dxa"/>
            <w:vAlign w:val="bottom"/>
          </w:tcPr>
          <w:p>
            <w:pPr>
              <w:spacing w:after="0"/>
              <w:rPr>
                <w:sz w:val="1"/>
                <w:szCs w:val="1"/>
                <w:color w:val="auto"/>
              </w:rPr>
            </w:pPr>
          </w:p>
        </w:tc>
      </w:tr>
      <w:tr>
        <w:trPr>
          <w:trHeight w:val="205"/>
        </w:trPr>
        <w:tc>
          <w:tcPr>
            <w:tcW w:w="238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Severance Benefits (4)</w:t>
            </w:r>
          </w:p>
        </w:tc>
        <w:tc>
          <w:tcPr>
            <w:tcW w:w="1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29378D"/>
              </w:rPr>
              <w:t>David F. Keffer</w:t>
            </w:r>
          </w:p>
        </w:tc>
        <w:tc>
          <w:tcPr>
            <w:tcW w:w="3240" w:type="dxa"/>
            <w:vAlign w:val="bottom"/>
            <w:tcBorders>
              <w:bottom w:val="single" w:sz="8" w:color="BCBEC0"/>
            </w:tcBorders>
          </w:tcPr>
          <w:p>
            <w:pPr>
              <w:spacing w:after="0" w:line="20" w:lineRule="exact"/>
              <w:rPr>
                <w:sz w:val="1"/>
                <w:szCs w:val="1"/>
                <w:color w:val="auto"/>
              </w:rPr>
            </w:pPr>
          </w:p>
        </w:tc>
        <w:tc>
          <w:tcPr>
            <w:tcW w:w="1160" w:type="dxa"/>
            <w:vAlign w:val="bottom"/>
            <w:tcBorders>
              <w:bottom w:val="single" w:sz="8" w:color="BCBEC0"/>
            </w:tcBorders>
          </w:tcPr>
          <w:p>
            <w:pPr>
              <w:spacing w:after="0" w:line="20" w:lineRule="exact"/>
              <w:rPr>
                <w:sz w:val="1"/>
                <w:szCs w:val="1"/>
                <w:color w:val="auto"/>
              </w:rPr>
            </w:pPr>
          </w:p>
        </w:tc>
        <w:tc>
          <w:tcPr>
            <w:tcW w:w="1880" w:type="dxa"/>
            <w:vAlign w:val="bottom"/>
            <w:tcBorders>
              <w:bottom w:val="single" w:sz="8" w:color="BCBEC0"/>
            </w:tcBorders>
          </w:tcPr>
          <w:p>
            <w:pPr>
              <w:spacing w:after="0" w:line="20" w:lineRule="exact"/>
              <w:rPr>
                <w:sz w:val="1"/>
                <w:szCs w:val="1"/>
                <w:color w:val="auto"/>
              </w:rPr>
            </w:pPr>
          </w:p>
        </w:tc>
        <w:tc>
          <w:tcPr>
            <w:tcW w:w="1520" w:type="dxa"/>
            <w:vAlign w:val="bottom"/>
            <w:tcBorders>
              <w:bottom w:val="single" w:sz="8" w:color="BCBEC0"/>
            </w:tcBorders>
          </w:tcPr>
          <w:p>
            <w:pPr>
              <w:spacing w:after="0" w:line="20" w:lineRule="exact"/>
              <w:rPr>
                <w:sz w:val="1"/>
                <w:szCs w:val="1"/>
                <w:color w:val="auto"/>
              </w:rPr>
            </w:pPr>
          </w:p>
        </w:tc>
        <w:tc>
          <w:tcPr>
            <w:tcW w:w="106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2380" w:type="dxa"/>
            <w:vAlign w:val="bottom"/>
            <w:vMerge w:val="continue"/>
          </w:tcPr>
          <w:p>
            <w:pPr>
              <w:spacing w:after="0"/>
              <w:rPr>
                <w:sz w:val="17"/>
                <w:szCs w:val="17"/>
                <w:color w:val="auto"/>
              </w:rPr>
            </w:pPr>
          </w:p>
        </w:tc>
        <w:tc>
          <w:tcPr>
            <w:tcW w:w="3240" w:type="dxa"/>
            <w:vAlign w:val="bottom"/>
            <w:tcBorders>
              <w:bottom w:val="single" w:sz="8" w:color="BCBEC0"/>
            </w:tcBorders>
          </w:tcPr>
          <w:p>
            <w:pPr>
              <w:ind w:left="280"/>
              <w:spacing w:after="0"/>
              <w:rPr>
                <w:sz w:val="20"/>
                <w:szCs w:val="20"/>
                <w:color w:val="auto"/>
              </w:rPr>
            </w:pPr>
            <w:r>
              <w:rPr>
                <w:rFonts w:ascii="Arial" w:cs="Arial" w:eastAsia="Arial" w:hAnsi="Arial"/>
                <w:sz w:val="14"/>
                <w:szCs w:val="14"/>
                <w:color w:val="auto"/>
              </w:rPr>
              <w:t>Cash Severance</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2,629,125</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3240" w:type="dxa"/>
            <w:vAlign w:val="bottom"/>
            <w:tcBorders>
              <w:bottom w:val="single" w:sz="8" w:color="BCBEC0"/>
            </w:tcBorders>
          </w:tcPr>
          <w:p>
            <w:pPr>
              <w:ind w:left="280"/>
              <w:spacing w:after="0"/>
              <w:rPr>
                <w:sz w:val="20"/>
                <w:szCs w:val="20"/>
                <w:color w:val="auto"/>
              </w:rPr>
            </w:pPr>
            <w:r>
              <w:rPr>
                <w:rFonts w:ascii="Arial" w:cs="Arial" w:eastAsia="Arial" w:hAnsi="Arial"/>
                <w:sz w:val="14"/>
                <w:szCs w:val="14"/>
                <w:color w:val="auto"/>
              </w:rPr>
              <w:t>Medical/Dental Continuation</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19,149</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3240" w:type="dxa"/>
            <w:vAlign w:val="bottom"/>
            <w:tcBorders>
              <w:bottom w:val="single" w:sz="8" w:color="BCBEC0"/>
            </w:tcBorders>
          </w:tcPr>
          <w:p>
            <w:pPr>
              <w:ind w:left="280"/>
              <w:spacing w:after="0"/>
              <w:rPr>
                <w:sz w:val="20"/>
                <w:szCs w:val="20"/>
                <w:color w:val="auto"/>
              </w:rPr>
            </w:pPr>
            <w:r>
              <w:rPr>
                <w:rFonts w:ascii="Arial" w:cs="Arial" w:eastAsia="Arial" w:hAnsi="Arial"/>
                <w:sz w:val="14"/>
                <w:szCs w:val="14"/>
                <w:color w:val="auto"/>
              </w:rPr>
              <w:t>Financial Planning/Income Tax</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18,500</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BCBEC0"/>
            </w:tcBorders>
          </w:tcPr>
          <w:p>
            <w:pPr>
              <w:spacing w:after="0"/>
              <w:rPr>
                <w:sz w:val="18"/>
                <w:szCs w:val="18"/>
                <w:color w:val="auto"/>
              </w:rPr>
            </w:pPr>
          </w:p>
        </w:tc>
        <w:tc>
          <w:tcPr>
            <w:tcW w:w="3240" w:type="dxa"/>
            <w:vAlign w:val="bottom"/>
            <w:tcBorders>
              <w:bottom w:val="single" w:sz="8" w:color="BCBEC0"/>
            </w:tcBorders>
          </w:tcPr>
          <w:p>
            <w:pPr>
              <w:ind w:left="280"/>
              <w:spacing w:after="0"/>
              <w:rPr>
                <w:sz w:val="20"/>
                <w:szCs w:val="20"/>
                <w:color w:val="auto"/>
              </w:rPr>
            </w:pPr>
            <w:r>
              <w:rPr>
                <w:rFonts w:ascii="Arial" w:cs="Arial" w:eastAsia="Arial" w:hAnsi="Arial"/>
                <w:sz w:val="14"/>
                <w:szCs w:val="14"/>
                <w:color w:val="auto"/>
              </w:rPr>
              <w:t>Outplacement Services</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128,250</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DFDEEE"/>
            </w:tcBorders>
            <w:shd w:val="clear" w:color="auto" w:fill="DFDEEE"/>
          </w:tcPr>
          <w:p>
            <w:pPr>
              <w:spacing w:after="0"/>
              <w:rPr>
                <w:sz w:val="19"/>
                <w:szCs w:val="19"/>
                <w:color w:val="auto"/>
              </w:rPr>
            </w:pPr>
          </w:p>
        </w:tc>
        <w:tc>
          <w:tcPr>
            <w:tcW w:w="324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RSRs (3)</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2,482,078</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2,482,078</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3,695,029</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3,695,029</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DFDEEE"/>
            </w:tcBorders>
            <w:shd w:val="clear" w:color="auto" w:fill="DFDEEE"/>
          </w:tcPr>
          <w:p>
            <w:pPr>
              <w:spacing w:after="0"/>
              <w:rPr>
                <w:sz w:val="19"/>
                <w:szCs w:val="19"/>
                <w:color w:val="auto"/>
              </w:rPr>
            </w:pPr>
          </w:p>
        </w:tc>
        <w:tc>
          <w:tcPr>
            <w:tcW w:w="324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RPSRs (3)</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2,405,303</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2,405,303</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4,704,807</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2,405,303</w:t>
            </w:r>
          </w:p>
        </w:tc>
        <w:tc>
          <w:tcPr>
            <w:tcW w:w="0" w:type="dxa"/>
            <w:vAlign w:val="bottom"/>
          </w:tcPr>
          <w:p>
            <w:pPr>
              <w:spacing w:after="0"/>
              <w:rPr>
                <w:sz w:val="1"/>
                <w:szCs w:val="1"/>
                <w:color w:val="auto"/>
              </w:rPr>
            </w:pPr>
          </w:p>
        </w:tc>
      </w:tr>
      <w:tr>
        <w:trPr>
          <w:trHeight w:val="232"/>
        </w:trPr>
        <w:tc>
          <w:tcPr>
            <w:tcW w:w="2380" w:type="dxa"/>
            <w:vAlign w:val="bottom"/>
            <w:tcBorders>
              <w:bottom w:val="single" w:sz="8" w:color="DFDEEE"/>
            </w:tcBorders>
            <w:shd w:val="clear" w:color="auto" w:fill="DFDEEE"/>
          </w:tcPr>
          <w:p>
            <w:pPr>
              <w:spacing w:after="0"/>
              <w:rPr>
                <w:sz w:val="19"/>
                <w:szCs w:val="19"/>
                <w:color w:val="auto"/>
              </w:rPr>
            </w:pPr>
          </w:p>
        </w:tc>
        <w:tc>
          <w:tcPr>
            <w:tcW w:w="324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4"/>
                <w:szCs w:val="14"/>
                <w:color w:val="auto"/>
              </w:rPr>
              <w:t>Severance Benefits (4)</w:t>
            </w:r>
          </w:p>
        </w:tc>
        <w:tc>
          <w:tcPr>
            <w:tcW w:w="1160" w:type="dxa"/>
            <w:vAlign w:val="bottom"/>
            <w:tcBorders>
              <w:bottom w:val="single" w:sz="8" w:color="DFDEEE"/>
            </w:tcBorders>
            <w:shd w:val="clear" w:color="auto" w:fill="DFDEEE"/>
          </w:tcPr>
          <w:p>
            <w:pPr>
              <w:spacing w:after="0"/>
              <w:rPr>
                <w:sz w:val="19"/>
                <w:szCs w:val="19"/>
                <w:color w:val="auto"/>
              </w:rPr>
            </w:pPr>
          </w:p>
        </w:tc>
        <w:tc>
          <w:tcPr>
            <w:tcW w:w="1880" w:type="dxa"/>
            <w:vAlign w:val="bottom"/>
            <w:tcBorders>
              <w:bottom w:val="single" w:sz="8" w:color="DFDEEE"/>
            </w:tcBorders>
            <w:shd w:val="clear" w:color="auto" w:fill="DFDEEE"/>
          </w:tcPr>
          <w:p>
            <w:pPr>
              <w:spacing w:after="0"/>
              <w:rPr>
                <w:sz w:val="19"/>
                <w:szCs w:val="19"/>
                <w:color w:val="auto"/>
              </w:rPr>
            </w:pPr>
          </w:p>
        </w:tc>
        <w:tc>
          <w:tcPr>
            <w:tcW w:w="1520" w:type="dxa"/>
            <w:vAlign w:val="bottom"/>
            <w:tcBorders>
              <w:bottom w:val="single" w:sz="8" w:color="DFDEEE"/>
            </w:tcBorders>
            <w:shd w:val="clear" w:color="auto" w:fill="DFDEEE"/>
          </w:tcPr>
          <w:p>
            <w:pPr>
              <w:spacing w:after="0"/>
              <w:rPr>
                <w:sz w:val="19"/>
                <w:szCs w:val="19"/>
                <w:color w:val="auto"/>
              </w:rPr>
            </w:pPr>
          </w:p>
        </w:tc>
        <w:tc>
          <w:tcPr>
            <w:tcW w:w="1060" w:type="dxa"/>
            <w:vAlign w:val="bottom"/>
            <w:tcBorders>
              <w:bottom w:val="single" w:sz="8" w:color="DFDEEE"/>
            </w:tcBorders>
            <w:shd w:val="clear" w:color="auto" w:fill="DFDEEE"/>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80" w:type="dxa"/>
            <w:vAlign w:val="bottom"/>
            <w:tcBorders>
              <w:top w:val="single" w:sz="8" w:color="DFDEEE"/>
              <w:bottom w:val="single" w:sz="8" w:color="DFDEEE"/>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Mark A. Caylor</w:t>
            </w:r>
          </w:p>
        </w:tc>
        <w:tc>
          <w:tcPr>
            <w:tcW w:w="3240" w:type="dxa"/>
            <w:vAlign w:val="bottom"/>
            <w:tcBorders>
              <w:top w:val="single" w:sz="8" w:color="BCBEC0"/>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Cash Severance</w:t>
            </w:r>
          </w:p>
        </w:tc>
        <w:tc>
          <w:tcPr>
            <w:tcW w:w="1160" w:type="dxa"/>
            <w:vAlign w:val="bottom"/>
            <w:tcBorders>
              <w:top w:val="single" w:sz="8" w:color="BCBEC0"/>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BCBEC0"/>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2,565,000</w:t>
            </w:r>
          </w:p>
        </w:tc>
        <w:tc>
          <w:tcPr>
            <w:tcW w:w="1520" w:type="dxa"/>
            <w:vAlign w:val="bottom"/>
            <w:tcBorders>
              <w:top w:val="single" w:sz="8" w:color="BCBEC0"/>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BCBEC0"/>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DFDEEE"/>
            </w:tcBorders>
            <w:shd w:val="clear" w:color="auto" w:fill="DFDEEE"/>
          </w:tcPr>
          <w:p>
            <w:pPr>
              <w:spacing w:after="0"/>
              <w:rPr>
                <w:sz w:val="18"/>
                <w:szCs w:val="18"/>
                <w:color w:val="auto"/>
              </w:rPr>
            </w:pP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Medical/Dental Continuation</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6,198</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380" w:type="dxa"/>
            <w:vAlign w:val="bottom"/>
            <w:tcBorders>
              <w:bottom w:val="single" w:sz="8" w:color="DFDEEE"/>
            </w:tcBorders>
            <w:shd w:val="clear" w:color="auto" w:fill="DFDEEE"/>
          </w:tcPr>
          <w:p>
            <w:pPr>
              <w:spacing w:after="0"/>
              <w:rPr>
                <w:sz w:val="18"/>
                <w:szCs w:val="18"/>
                <w:color w:val="auto"/>
              </w:rPr>
            </w:pP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Financial Planning/Income Tax</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18,500</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380" w:type="dxa"/>
            <w:vAlign w:val="bottom"/>
            <w:tcBorders>
              <w:bottom w:val="single" w:sz="8" w:color="BCBEC0"/>
            </w:tcBorders>
            <w:shd w:val="clear" w:color="auto" w:fill="DFDEEE"/>
          </w:tcPr>
          <w:p>
            <w:pPr>
              <w:spacing w:after="0"/>
              <w:rPr>
                <w:sz w:val="18"/>
                <w:szCs w:val="18"/>
                <w:color w:val="auto"/>
              </w:rPr>
            </w:pP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Outplacement Services</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128,250</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324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RSRs (3)</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2,482,078</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2,482,078</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3,695,029</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3,695,029</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324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auto"/>
              </w:rPr>
              <w:t>RPSRs (3)</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2,405,303</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2,405,303</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4,704,807</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2,405,303</w:t>
            </w:r>
          </w:p>
        </w:tc>
        <w:tc>
          <w:tcPr>
            <w:tcW w:w="0" w:type="dxa"/>
            <w:vAlign w:val="bottom"/>
          </w:tcPr>
          <w:p>
            <w:pPr>
              <w:spacing w:after="0"/>
              <w:rPr>
                <w:sz w:val="1"/>
                <w:szCs w:val="1"/>
                <w:color w:val="auto"/>
              </w:rPr>
            </w:pPr>
          </w:p>
        </w:tc>
      </w:tr>
      <w:tr>
        <w:trPr>
          <w:trHeight w:val="205"/>
        </w:trPr>
        <w:tc>
          <w:tcPr>
            <w:tcW w:w="2380" w:type="dxa"/>
            <w:vAlign w:val="bottom"/>
          </w:tcPr>
          <w:p>
            <w:pPr>
              <w:spacing w:after="0"/>
              <w:rPr>
                <w:sz w:val="17"/>
                <w:szCs w:val="17"/>
                <w:color w:val="auto"/>
              </w:rPr>
            </w:pPr>
          </w:p>
        </w:tc>
        <w:tc>
          <w:tcPr>
            <w:tcW w:w="3240" w:type="dxa"/>
            <w:vAlign w:val="bottom"/>
          </w:tcPr>
          <w:p>
            <w:pPr>
              <w:ind w:left="20"/>
              <w:spacing w:after="0"/>
              <w:rPr>
                <w:sz w:val="20"/>
                <w:szCs w:val="20"/>
                <w:color w:val="auto"/>
              </w:rPr>
            </w:pPr>
            <w:r>
              <w:rPr>
                <w:rFonts w:ascii="Arial" w:cs="Arial" w:eastAsia="Arial" w:hAnsi="Arial"/>
                <w:sz w:val="14"/>
                <w:szCs w:val="14"/>
                <w:color w:val="auto"/>
              </w:rPr>
              <w:t>Severance Benefits (4)</w:t>
            </w:r>
          </w:p>
        </w:tc>
        <w:tc>
          <w:tcPr>
            <w:tcW w:w="1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380" w:type="dxa"/>
            <w:vAlign w:val="bottom"/>
            <w:vMerge w:val="restart"/>
          </w:tcPr>
          <w:p>
            <w:pPr>
              <w:ind w:left="20"/>
              <w:spacing w:after="0"/>
              <w:rPr>
                <w:sz w:val="20"/>
                <w:szCs w:val="20"/>
                <w:color w:val="auto"/>
              </w:rPr>
            </w:pPr>
            <w:r>
              <w:rPr>
                <w:rFonts w:ascii="Arial" w:cs="Arial" w:eastAsia="Arial" w:hAnsi="Arial"/>
                <w:sz w:val="14"/>
                <w:szCs w:val="14"/>
                <w:b w:val="1"/>
                <w:bCs w:val="1"/>
                <w:color w:val="29378D"/>
              </w:rPr>
              <w:t>Thomas H. Jones</w:t>
            </w:r>
          </w:p>
        </w:tc>
        <w:tc>
          <w:tcPr>
            <w:tcW w:w="3240" w:type="dxa"/>
            <w:vAlign w:val="bottom"/>
            <w:tcBorders>
              <w:bottom w:val="single" w:sz="8" w:color="BCBEC0"/>
            </w:tcBorders>
          </w:tcPr>
          <w:p>
            <w:pPr>
              <w:spacing w:after="0" w:line="20" w:lineRule="exact"/>
              <w:rPr>
                <w:sz w:val="1"/>
                <w:szCs w:val="1"/>
                <w:color w:val="auto"/>
              </w:rPr>
            </w:pPr>
          </w:p>
        </w:tc>
        <w:tc>
          <w:tcPr>
            <w:tcW w:w="1160" w:type="dxa"/>
            <w:vAlign w:val="bottom"/>
            <w:tcBorders>
              <w:bottom w:val="single" w:sz="8" w:color="BCBEC0"/>
            </w:tcBorders>
          </w:tcPr>
          <w:p>
            <w:pPr>
              <w:spacing w:after="0" w:line="20" w:lineRule="exact"/>
              <w:rPr>
                <w:sz w:val="1"/>
                <w:szCs w:val="1"/>
                <w:color w:val="auto"/>
              </w:rPr>
            </w:pPr>
          </w:p>
        </w:tc>
        <w:tc>
          <w:tcPr>
            <w:tcW w:w="1880" w:type="dxa"/>
            <w:vAlign w:val="bottom"/>
            <w:tcBorders>
              <w:bottom w:val="single" w:sz="8" w:color="BCBEC0"/>
            </w:tcBorders>
          </w:tcPr>
          <w:p>
            <w:pPr>
              <w:spacing w:after="0" w:line="20" w:lineRule="exact"/>
              <w:rPr>
                <w:sz w:val="1"/>
                <w:szCs w:val="1"/>
                <w:color w:val="auto"/>
              </w:rPr>
            </w:pPr>
          </w:p>
        </w:tc>
        <w:tc>
          <w:tcPr>
            <w:tcW w:w="1520" w:type="dxa"/>
            <w:vAlign w:val="bottom"/>
            <w:tcBorders>
              <w:bottom w:val="single" w:sz="8" w:color="BCBEC0"/>
            </w:tcBorders>
          </w:tcPr>
          <w:p>
            <w:pPr>
              <w:spacing w:after="0" w:line="20" w:lineRule="exact"/>
              <w:rPr>
                <w:sz w:val="1"/>
                <w:szCs w:val="1"/>
                <w:color w:val="auto"/>
              </w:rPr>
            </w:pPr>
          </w:p>
        </w:tc>
        <w:tc>
          <w:tcPr>
            <w:tcW w:w="106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2380" w:type="dxa"/>
            <w:vAlign w:val="bottom"/>
            <w:vMerge w:val="continue"/>
          </w:tcPr>
          <w:p>
            <w:pPr>
              <w:spacing w:after="0"/>
              <w:rPr>
                <w:sz w:val="17"/>
                <w:szCs w:val="17"/>
                <w:color w:val="auto"/>
              </w:rPr>
            </w:pPr>
          </w:p>
        </w:tc>
        <w:tc>
          <w:tcPr>
            <w:tcW w:w="3240" w:type="dxa"/>
            <w:vAlign w:val="bottom"/>
            <w:tcBorders>
              <w:bottom w:val="single" w:sz="8" w:color="BCBEC0"/>
            </w:tcBorders>
          </w:tcPr>
          <w:p>
            <w:pPr>
              <w:ind w:left="280"/>
              <w:spacing w:after="0"/>
              <w:rPr>
                <w:sz w:val="20"/>
                <w:szCs w:val="20"/>
                <w:color w:val="auto"/>
              </w:rPr>
            </w:pPr>
            <w:r>
              <w:rPr>
                <w:rFonts w:ascii="Arial" w:cs="Arial" w:eastAsia="Arial" w:hAnsi="Arial"/>
                <w:sz w:val="14"/>
                <w:szCs w:val="14"/>
                <w:color w:val="auto"/>
              </w:rPr>
              <w:t>Cash Severance</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2,370,000</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3240" w:type="dxa"/>
            <w:vAlign w:val="bottom"/>
            <w:tcBorders>
              <w:bottom w:val="single" w:sz="8" w:color="BCBEC0"/>
            </w:tcBorders>
          </w:tcPr>
          <w:p>
            <w:pPr>
              <w:ind w:left="280"/>
              <w:spacing w:after="0"/>
              <w:rPr>
                <w:sz w:val="20"/>
                <w:szCs w:val="20"/>
                <w:color w:val="auto"/>
              </w:rPr>
            </w:pPr>
            <w:r>
              <w:rPr>
                <w:rFonts w:ascii="Arial" w:cs="Arial" w:eastAsia="Arial" w:hAnsi="Arial"/>
                <w:sz w:val="14"/>
                <w:szCs w:val="14"/>
                <w:color w:val="auto"/>
              </w:rPr>
              <w:t>Medical/Dental Continuation</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7,765</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3240" w:type="dxa"/>
            <w:vAlign w:val="bottom"/>
            <w:tcBorders>
              <w:bottom w:val="single" w:sz="8" w:color="BCBEC0"/>
            </w:tcBorders>
          </w:tcPr>
          <w:p>
            <w:pPr>
              <w:ind w:left="280"/>
              <w:spacing w:after="0"/>
              <w:rPr>
                <w:sz w:val="20"/>
                <w:szCs w:val="20"/>
                <w:color w:val="auto"/>
              </w:rPr>
            </w:pPr>
            <w:r>
              <w:rPr>
                <w:rFonts w:ascii="Arial" w:cs="Arial" w:eastAsia="Arial" w:hAnsi="Arial"/>
                <w:sz w:val="14"/>
                <w:szCs w:val="14"/>
                <w:color w:val="auto"/>
              </w:rPr>
              <w:t>Financial Planning/Income Tax</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18,500</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BCBEC0"/>
            </w:tcBorders>
          </w:tcPr>
          <w:p>
            <w:pPr>
              <w:spacing w:after="0"/>
              <w:rPr>
                <w:sz w:val="18"/>
                <w:szCs w:val="18"/>
                <w:color w:val="auto"/>
              </w:rPr>
            </w:pPr>
          </w:p>
        </w:tc>
        <w:tc>
          <w:tcPr>
            <w:tcW w:w="3240" w:type="dxa"/>
            <w:vAlign w:val="bottom"/>
            <w:tcBorders>
              <w:bottom w:val="single" w:sz="8" w:color="BCBEC0"/>
            </w:tcBorders>
          </w:tcPr>
          <w:p>
            <w:pPr>
              <w:ind w:left="280"/>
              <w:spacing w:after="0"/>
              <w:rPr>
                <w:sz w:val="20"/>
                <w:szCs w:val="20"/>
                <w:color w:val="auto"/>
              </w:rPr>
            </w:pPr>
            <w:r>
              <w:rPr>
                <w:rFonts w:ascii="Arial" w:cs="Arial" w:eastAsia="Arial" w:hAnsi="Arial"/>
                <w:sz w:val="14"/>
                <w:szCs w:val="14"/>
                <w:color w:val="auto"/>
              </w:rPr>
              <w:t>Outplacement Services</w:t>
            </w:r>
          </w:p>
        </w:tc>
        <w:tc>
          <w:tcPr>
            <w:tcW w:w="116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tcPr>
          <w:p>
            <w:pPr>
              <w:jc w:val="right"/>
              <w:ind w:right="310"/>
              <w:spacing w:after="0"/>
              <w:rPr>
                <w:sz w:val="20"/>
                <w:szCs w:val="20"/>
                <w:color w:val="auto"/>
              </w:rPr>
            </w:pPr>
            <w:r>
              <w:rPr>
                <w:rFonts w:ascii="Arial" w:cs="Arial" w:eastAsia="Arial" w:hAnsi="Arial"/>
                <w:sz w:val="14"/>
                <w:szCs w:val="14"/>
                <w:color w:val="auto"/>
              </w:rPr>
              <w:t>118,500</w:t>
            </w:r>
          </w:p>
        </w:tc>
        <w:tc>
          <w:tcPr>
            <w:tcW w:w="152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DFDEEE"/>
            </w:tcBorders>
            <w:shd w:val="clear" w:color="auto" w:fill="DFDEEE"/>
          </w:tcPr>
          <w:p>
            <w:pPr>
              <w:spacing w:after="0"/>
              <w:rPr>
                <w:sz w:val="19"/>
                <w:szCs w:val="19"/>
                <w:color w:val="auto"/>
              </w:rPr>
            </w:pPr>
          </w:p>
        </w:tc>
        <w:tc>
          <w:tcPr>
            <w:tcW w:w="324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RSRs (3)</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1,391,312</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1,391,312</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DFDEEE"/>
            </w:tcBorders>
            <w:shd w:val="clear" w:color="auto" w:fill="DFDEEE"/>
          </w:tcPr>
          <w:p>
            <w:pPr>
              <w:spacing w:after="0"/>
              <w:rPr>
                <w:sz w:val="19"/>
                <w:szCs w:val="19"/>
                <w:color w:val="auto"/>
              </w:rPr>
            </w:pPr>
          </w:p>
        </w:tc>
        <w:tc>
          <w:tcPr>
            <w:tcW w:w="324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color w:val="auto"/>
              </w:rPr>
              <w:t>RPSRs (3)</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2,348,191</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881,508</w:t>
            </w:r>
          </w:p>
        </w:tc>
        <w:tc>
          <w:tcPr>
            <w:tcW w:w="0" w:type="dxa"/>
            <w:vAlign w:val="bottom"/>
          </w:tcPr>
          <w:p>
            <w:pPr>
              <w:spacing w:after="0"/>
              <w:rPr>
                <w:sz w:val="1"/>
                <w:szCs w:val="1"/>
                <w:color w:val="auto"/>
              </w:rPr>
            </w:pPr>
          </w:p>
        </w:tc>
      </w:tr>
      <w:tr>
        <w:trPr>
          <w:trHeight w:val="207"/>
        </w:trPr>
        <w:tc>
          <w:tcPr>
            <w:tcW w:w="2380" w:type="dxa"/>
            <w:vAlign w:val="bottom"/>
            <w:tcBorders>
              <w:bottom w:val="single" w:sz="8" w:color="DFDEEE"/>
            </w:tcBorders>
            <w:shd w:val="clear" w:color="auto" w:fill="DFDEEE"/>
          </w:tcPr>
          <w:p>
            <w:pPr>
              <w:spacing w:after="0"/>
              <w:rPr>
                <w:sz w:val="18"/>
                <w:szCs w:val="18"/>
                <w:color w:val="auto"/>
              </w:rPr>
            </w:pP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Severance Benefits (4)</w:t>
            </w:r>
          </w:p>
        </w:tc>
        <w:tc>
          <w:tcPr>
            <w:tcW w:w="1160" w:type="dxa"/>
            <w:vAlign w:val="bottom"/>
            <w:tcBorders>
              <w:bottom w:val="single" w:sz="8" w:color="BCBEC0"/>
            </w:tcBorders>
            <w:shd w:val="clear" w:color="auto" w:fill="DFDEEE"/>
          </w:tcPr>
          <w:p>
            <w:pPr>
              <w:spacing w:after="0"/>
              <w:rPr>
                <w:sz w:val="18"/>
                <w:szCs w:val="18"/>
                <w:color w:val="auto"/>
              </w:rPr>
            </w:pPr>
          </w:p>
        </w:tc>
        <w:tc>
          <w:tcPr>
            <w:tcW w:w="1880" w:type="dxa"/>
            <w:vAlign w:val="bottom"/>
            <w:tcBorders>
              <w:bottom w:val="single" w:sz="8" w:color="BCBEC0"/>
            </w:tcBorders>
            <w:shd w:val="clear" w:color="auto" w:fill="DFDEEE"/>
          </w:tcPr>
          <w:p>
            <w:pPr>
              <w:spacing w:after="0"/>
              <w:rPr>
                <w:sz w:val="18"/>
                <w:szCs w:val="18"/>
                <w:color w:val="auto"/>
              </w:rPr>
            </w:pPr>
          </w:p>
        </w:tc>
        <w:tc>
          <w:tcPr>
            <w:tcW w:w="1520" w:type="dxa"/>
            <w:vAlign w:val="bottom"/>
            <w:tcBorders>
              <w:bottom w:val="single" w:sz="8" w:color="BCBEC0"/>
            </w:tcBorders>
            <w:shd w:val="clear" w:color="auto" w:fill="DFDEEE"/>
          </w:tcPr>
          <w:p>
            <w:pPr>
              <w:spacing w:after="0"/>
              <w:rPr>
                <w:sz w:val="18"/>
                <w:szCs w:val="18"/>
                <w:color w:val="auto"/>
              </w:rPr>
            </w:pPr>
          </w:p>
        </w:tc>
        <w:tc>
          <w:tcPr>
            <w:tcW w:w="1060" w:type="dxa"/>
            <w:vAlign w:val="bottom"/>
            <w:tcBorders>
              <w:bottom w:val="single" w:sz="8" w:color="BCBEC0"/>
            </w:tcBorders>
            <w:shd w:val="clear" w:color="auto" w:fill="DFD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80" w:type="dxa"/>
            <w:vAlign w:val="bottom"/>
            <w:tcBorders>
              <w:bottom w:val="single" w:sz="8" w:color="DFDEEE"/>
            </w:tcBorders>
            <w:shd w:val="clear" w:color="auto" w:fill="DFDEEE"/>
          </w:tcPr>
          <w:p>
            <w:pPr>
              <w:ind w:left="20"/>
              <w:spacing w:after="0"/>
              <w:rPr>
                <w:sz w:val="20"/>
                <w:szCs w:val="20"/>
                <w:color w:val="auto"/>
              </w:rPr>
            </w:pPr>
            <w:r>
              <w:rPr>
                <w:rFonts w:ascii="Arial" w:cs="Arial" w:eastAsia="Arial" w:hAnsi="Arial"/>
                <w:sz w:val="14"/>
                <w:szCs w:val="14"/>
                <w:b w:val="1"/>
                <w:bCs w:val="1"/>
                <w:color w:val="29378D"/>
              </w:rPr>
              <w:t>Roshan S. Roeder</w:t>
            </w: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Cash Severance</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2,250,000</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380" w:type="dxa"/>
            <w:vAlign w:val="bottom"/>
            <w:tcBorders>
              <w:bottom w:val="single" w:sz="8" w:color="DFDEEE"/>
            </w:tcBorders>
            <w:shd w:val="clear" w:color="auto" w:fill="DFDEEE"/>
          </w:tcPr>
          <w:p>
            <w:pPr>
              <w:spacing w:after="0"/>
              <w:rPr>
                <w:sz w:val="18"/>
                <w:szCs w:val="18"/>
                <w:color w:val="auto"/>
              </w:rPr>
            </w:pP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Medical/Dental Continuation</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20,262</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380" w:type="dxa"/>
            <w:vAlign w:val="bottom"/>
            <w:tcBorders>
              <w:bottom w:val="single" w:sz="8" w:color="DFDEEE"/>
            </w:tcBorders>
            <w:shd w:val="clear" w:color="auto" w:fill="DFDEEE"/>
          </w:tcPr>
          <w:p>
            <w:pPr>
              <w:spacing w:after="0"/>
              <w:rPr>
                <w:sz w:val="18"/>
                <w:szCs w:val="18"/>
                <w:color w:val="auto"/>
              </w:rPr>
            </w:pP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Financial Planning/Income Tax</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18,500</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BCBEC0"/>
            </w:tcBorders>
            <w:shd w:val="clear" w:color="auto" w:fill="DFDEEE"/>
          </w:tcPr>
          <w:p>
            <w:pPr>
              <w:spacing w:after="0"/>
              <w:rPr>
                <w:sz w:val="18"/>
                <w:szCs w:val="18"/>
                <w:color w:val="auto"/>
              </w:rPr>
            </w:pPr>
          </w:p>
        </w:tc>
        <w:tc>
          <w:tcPr>
            <w:tcW w:w="3240" w:type="dxa"/>
            <w:vAlign w:val="bottom"/>
            <w:tcBorders>
              <w:bottom w:val="single" w:sz="8" w:color="BCBEC0"/>
            </w:tcBorders>
            <w:shd w:val="clear" w:color="auto" w:fill="DFDEEE"/>
          </w:tcPr>
          <w:p>
            <w:pPr>
              <w:ind w:left="280"/>
              <w:spacing w:after="0"/>
              <w:rPr>
                <w:sz w:val="20"/>
                <w:szCs w:val="20"/>
                <w:color w:val="auto"/>
              </w:rPr>
            </w:pPr>
            <w:r>
              <w:rPr>
                <w:rFonts w:ascii="Arial" w:cs="Arial" w:eastAsia="Arial" w:hAnsi="Arial"/>
                <w:sz w:val="14"/>
                <w:szCs w:val="14"/>
                <w:color w:val="auto"/>
              </w:rPr>
              <w:t>Outplacement Services</w:t>
            </w:r>
          </w:p>
        </w:tc>
        <w:tc>
          <w:tcPr>
            <w:tcW w:w="1160" w:type="dxa"/>
            <w:vAlign w:val="bottom"/>
            <w:tcBorders>
              <w:bottom w:val="single" w:sz="8" w:color="BCBEC0"/>
            </w:tcBorders>
            <w:shd w:val="clear" w:color="auto" w:fill="DFDEEE"/>
          </w:tcPr>
          <w:p>
            <w:pPr>
              <w:jc w:val="right"/>
              <w:ind w:right="9"/>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BCBEC0"/>
            </w:tcBorders>
            <w:shd w:val="clear" w:color="auto" w:fill="DFDEEE"/>
          </w:tcPr>
          <w:p>
            <w:pPr>
              <w:jc w:val="right"/>
              <w:ind w:right="310"/>
              <w:spacing w:after="0"/>
              <w:rPr>
                <w:sz w:val="20"/>
                <w:szCs w:val="20"/>
                <w:color w:val="auto"/>
              </w:rPr>
            </w:pPr>
            <w:r>
              <w:rPr>
                <w:rFonts w:ascii="Arial" w:cs="Arial" w:eastAsia="Arial" w:hAnsi="Arial"/>
                <w:sz w:val="14"/>
                <w:szCs w:val="14"/>
                <w:color w:val="auto"/>
              </w:rPr>
              <w:t>112,500</w:t>
            </w:r>
          </w:p>
        </w:tc>
        <w:tc>
          <w:tcPr>
            <w:tcW w:w="1520" w:type="dxa"/>
            <w:vAlign w:val="bottom"/>
            <w:tcBorders>
              <w:bottom w:val="single" w:sz="8" w:color="BCBEC0"/>
            </w:tcBorders>
            <w:shd w:val="clear" w:color="auto" w:fill="DFDEEE"/>
          </w:tcPr>
          <w:p>
            <w:pPr>
              <w:jc w:val="right"/>
              <w:ind w:right="25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0" w:hanging="494"/>
        <w:spacing w:after="0"/>
        <w:tabs>
          <w:tab w:leader="none" w:pos="520" w:val="left"/>
        </w:tabs>
        <w:numPr>
          <w:ilvl w:val="0"/>
          <w:numId w:val="156"/>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4"/>
          <w:szCs w:val="14"/>
          <w:b w:val="1"/>
          <w:bCs w:val="1"/>
          <w:color w:val="auto"/>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60" w:right="60" w:hanging="252"/>
        <w:spacing w:after="0" w:line="305" w:lineRule="auto"/>
        <w:tabs>
          <w:tab w:leader="none" w:pos="258" w:val="left"/>
        </w:tabs>
        <w:numPr>
          <w:ilvl w:val="0"/>
          <w:numId w:val="157"/>
        </w:numPr>
        <w:rPr>
          <w:rFonts w:ascii="Arial" w:cs="Arial" w:eastAsia="Arial" w:hAnsi="Arial"/>
          <w:sz w:val="14"/>
          <w:szCs w:val="14"/>
          <w:color w:val="auto"/>
        </w:rPr>
      </w:pPr>
      <w:r>
        <w:rPr>
          <w:rFonts w:ascii="Arial" w:cs="Arial" w:eastAsia="Arial" w:hAnsi="Arial"/>
          <w:sz w:val="14"/>
          <w:szCs w:val="14"/>
          <w:color w:val="auto"/>
        </w:rPr>
        <w:t>Similar treatment provided for certain “good reason” terminations, as described in “Key Components of Our Executive Compensation Programs - Severance Benefits” found on page 66; however, there would be no termination payment in the event of an involuntary termination for cause.</w:t>
      </w:r>
    </w:p>
    <w:p>
      <w:pPr>
        <w:spacing w:after="0" w:line="9" w:lineRule="exact"/>
        <w:rPr>
          <w:rFonts w:ascii="Arial" w:cs="Arial" w:eastAsia="Arial" w:hAnsi="Arial"/>
          <w:sz w:val="14"/>
          <w:szCs w:val="14"/>
          <w:color w:val="auto"/>
        </w:rPr>
      </w:pPr>
    </w:p>
    <w:p>
      <w:pPr>
        <w:ind w:left="260" w:right="140" w:hanging="252"/>
        <w:spacing w:after="0" w:line="305" w:lineRule="auto"/>
        <w:tabs>
          <w:tab w:leader="none" w:pos="258" w:val="left"/>
        </w:tabs>
        <w:numPr>
          <w:ilvl w:val="0"/>
          <w:numId w:val="157"/>
        </w:numPr>
        <w:rPr>
          <w:rFonts w:ascii="Arial" w:cs="Arial" w:eastAsia="Arial" w:hAnsi="Arial"/>
          <w:sz w:val="14"/>
          <w:szCs w:val="14"/>
          <w:color w:val="auto"/>
        </w:rPr>
      </w:pPr>
      <w:r>
        <w:rPr>
          <w:rFonts w:ascii="Arial" w:cs="Arial" w:eastAsia="Arial" w:hAnsi="Arial"/>
          <w:sz w:val="14"/>
          <w:szCs w:val="14"/>
          <w:color w:val="auto"/>
        </w:rPr>
        <w:t>The amounts assume full acceleration, which, as discussed above, may not occur to the extent that it would result in an excise tax that decreases the after-tax value of the awards to an NEO.</w:t>
      </w:r>
    </w:p>
    <w:p>
      <w:pPr>
        <w:spacing w:after="0" w:line="9" w:lineRule="exact"/>
        <w:rPr>
          <w:rFonts w:ascii="Arial" w:cs="Arial" w:eastAsia="Arial" w:hAnsi="Arial"/>
          <w:sz w:val="14"/>
          <w:szCs w:val="14"/>
          <w:color w:val="auto"/>
        </w:rPr>
      </w:pPr>
    </w:p>
    <w:p>
      <w:pPr>
        <w:ind w:left="260" w:right="400" w:hanging="252"/>
        <w:spacing w:after="0" w:line="305" w:lineRule="auto"/>
        <w:tabs>
          <w:tab w:leader="none" w:pos="258" w:val="left"/>
        </w:tabs>
        <w:numPr>
          <w:ilvl w:val="0"/>
          <w:numId w:val="157"/>
        </w:numPr>
        <w:rPr>
          <w:rFonts w:ascii="Arial" w:cs="Arial" w:eastAsia="Arial" w:hAnsi="Arial"/>
          <w:sz w:val="14"/>
          <w:szCs w:val="14"/>
          <w:color w:val="auto"/>
        </w:rPr>
      </w:pPr>
      <w:r>
        <w:rPr>
          <w:rFonts w:ascii="Arial" w:cs="Arial" w:eastAsia="Arial" w:hAnsi="Arial"/>
          <w:sz w:val="14"/>
          <w:szCs w:val="14"/>
          <w:color w:val="auto"/>
        </w:rPr>
        <w:t>Long-term Incentive awards result in a benefit under Voluntary Termination and Involuntary Termination Not for Cause only if eligible for retirement treatment under the terms and conditions of the grants.</w:t>
      </w:r>
    </w:p>
    <w:p>
      <w:pPr>
        <w:spacing w:after="0" w:line="9" w:lineRule="exact"/>
        <w:rPr>
          <w:rFonts w:ascii="Arial" w:cs="Arial" w:eastAsia="Arial" w:hAnsi="Arial"/>
          <w:sz w:val="14"/>
          <w:szCs w:val="14"/>
          <w:color w:val="auto"/>
        </w:rPr>
      </w:pPr>
    </w:p>
    <w:p>
      <w:pPr>
        <w:jc w:val="both"/>
        <w:ind w:left="260" w:right="120" w:hanging="252"/>
        <w:spacing w:after="0" w:line="273" w:lineRule="auto"/>
        <w:tabs>
          <w:tab w:leader="none" w:pos="258" w:val="left"/>
        </w:tabs>
        <w:numPr>
          <w:ilvl w:val="0"/>
          <w:numId w:val="157"/>
        </w:numPr>
        <w:rPr>
          <w:rFonts w:ascii="Arial" w:cs="Arial" w:eastAsia="Arial" w:hAnsi="Arial"/>
          <w:sz w:val="14"/>
          <w:szCs w:val="14"/>
          <w:color w:val="auto"/>
        </w:rPr>
      </w:pPr>
      <w:r>
        <w:rPr>
          <w:rFonts w:ascii="Arial" w:cs="Arial" w:eastAsia="Arial" w:hAnsi="Arial"/>
          <w:sz w:val="14"/>
          <w:szCs w:val="14"/>
          <w:color w:val="auto"/>
        </w:rPr>
        <w:t>Represents the following benefits under the Severance Plan, assuming a termination date of December 31, 2023: (i) cash severance equivalent to one and a half times the sum of the annual base salary and target annual bonus, (ii) continued medical/dental coverage for the severance period, (iii) financial planning/income tax preparation fees for the year following termination and (iv) outplacement services up to 15% of salary.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83</w:t>
            </w:r>
          </w:p>
        </w:tc>
      </w:tr>
      <w:tr>
        <w:trPr>
          <w:trHeight w:val="30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6" w:name="page87"/>
    <w:bookmarkEnd w:id="86"/>
    <w:p>
      <w:pPr>
        <w:spacing w:after="0"/>
        <w:rPr>
          <w:sz w:val="20"/>
          <w:szCs w:val="20"/>
          <w:color w:val="auto"/>
        </w:rPr>
      </w:pPr>
      <w:r>
        <w:rPr>
          <w:rFonts w:ascii="Arial" w:cs="Arial" w:eastAsia="Arial" w:hAnsi="Arial"/>
          <w:sz w:val="43"/>
          <w:szCs w:val="43"/>
          <w:b w:val="1"/>
          <w:bCs w:val="1"/>
          <w:color w:val="29378D"/>
        </w:rPr>
        <w:t>2023 CEO Pay Ratio</w:t>
      </w:r>
    </w:p>
    <w:p>
      <w:pPr>
        <w:spacing w:after="0" w:line="200" w:lineRule="exact"/>
        <w:rPr>
          <w:sz w:val="20"/>
          <w:szCs w:val="20"/>
          <w:color w:val="auto"/>
        </w:rPr>
      </w:pPr>
    </w:p>
    <w:p>
      <w:pPr>
        <w:spacing w:after="0" w:line="266"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We are providing the following information about the relationship of the annual total compensation of our median employee and the annual total compensation of our CEO, Ms. Warden, as of our fiscal year end December 31, 2023. The pay ratio included in this information is a reasonable estimate calculated in a manner consistent with Item 402(u) of Regulation S-K.</w:t>
      </w:r>
    </w:p>
    <w:p>
      <w:pPr>
        <w:spacing w:after="0" w:line="7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 accordance with SEC rules, we re-identified the median employee in 2023. We determined that as of October 31, 2023 the company's global employee population consisted of approximately 100,600 individuals. We selected October 31, 2023 to allow sufficient time to identify the median employee given the global scope of our operations. As a company, we decided to scope in all employees in our domestic and international locations.</w:t>
      </w:r>
    </w:p>
    <w:p>
      <w:pPr>
        <w:spacing w:after="0" w:line="77"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To identify the median employee, we used wages comprised of base salary, overtime pay and shift premiums for the ten-month period ending October 31, 2023. We believe this measure provides a reasonably obtainable and reflective component of compensation from which to identify the median employee.</w:t>
      </w:r>
    </w:p>
    <w:p>
      <w:pPr>
        <w:spacing w:after="0" w:line="6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calculated the median employee’s annual total compensation in the same manner as the CEO’s annual total compensation as calculated in the Summary Compensation Table on page 71. The median employee’s annual total compensation was $114,197, which includes other forms of compensation such as financial and wellness benefits. The CEO’s annual total compensation was $24,737,493. Based on this information, for 2023 the ratio of the annual total compensation of the CEO to the annual total compensation of the median employee was 217:1.</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0" w:hanging="494"/>
        <w:spacing w:after="0"/>
        <w:tabs>
          <w:tab w:leader="none" w:pos="520" w:val="left"/>
        </w:tabs>
        <w:numPr>
          <w:ilvl w:val="0"/>
          <w:numId w:val="158"/>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98" w:right="479" w:bottom="1440" w:gutter="0" w:footer="0" w:header="0"/>
        </w:sectPr>
      </w:pPr>
    </w:p>
    <w:bookmarkStart w:id="87" w:name="page88"/>
    <w:bookmarkEnd w:id="87"/>
    <w:p>
      <w:pPr>
        <w:spacing w:after="0"/>
        <w:rPr>
          <w:sz w:val="20"/>
          <w:szCs w:val="20"/>
          <w:color w:val="auto"/>
        </w:rPr>
      </w:pPr>
      <w:r>
        <w:rPr>
          <w:rFonts w:ascii="Arial" w:cs="Arial" w:eastAsia="Arial" w:hAnsi="Arial"/>
          <w:sz w:val="43"/>
          <w:szCs w:val="43"/>
          <w:b w:val="1"/>
          <w:bCs w:val="1"/>
          <w:color w:val="29378D"/>
        </w:rPr>
        <w:t>Pay Versus Performance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3"/>
          <w:szCs w:val="23"/>
          <w:color w:val="auto"/>
        </w:rPr>
        <w:t>Pay Versus Performance Table</w:t>
      </w:r>
    </w:p>
    <w:p>
      <w:pPr>
        <w:spacing w:after="0" w:line="117"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The following table provides four years of the Company’s compensation and performance history prepared in accordance with Item 402(v) of Regulation S-K under the Exchange Act/Securities Exchange Act of 1934, as amended (the “Exchange Act”) and does not necessarily reflect value actually realized by the executives or how our Compensation and Human Capital Committee evaluates compensation decisions in light of company or individual performance. For information on how our Compensation and Human Capital Committee aligns pay with performance when making compensation decisions, please review the Compensation Discussion and Analysis beginning on page 50.</w:t>
      </w:r>
    </w:p>
    <w:p>
      <w:pPr>
        <w:spacing w:after="0" w:line="6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Based on the data shown in the table there is general alignment between the "compensation actually paid" (CAP), as defined by the SEC, and the included metrics. While the CAP calculation includes important compensation elements, it does not reflect the executives' "earned" compensation.</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40" w:type="dxa"/>
            <w:vAlign w:val="bottom"/>
            <w:gridSpan w:val="2"/>
          </w:tcPr>
          <w:p>
            <w:pPr>
              <w:jc w:val="right"/>
              <w:ind w:right="295"/>
              <w:spacing w:after="0"/>
              <w:rPr>
                <w:sz w:val="20"/>
                <w:szCs w:val="20"/>
                <w:color w:val="auto"/>
              </w:rPr>
            </w:pPr>
            <w:r>
              <w:rPr>
                <w:rFonts w:ascii="Arial" w:cs="Arial" w:eastAsia="Arial" w:hAnsi="Arial"/>
                <w:sz w:val="13"/>
                <w:szCs w:val="13"/>
                <w:b w:val="1"/>
                <w:bCs w:val="1"/>
                <w:color w:val="auto"/>
              </w:rPr>
              <w:t>Value of Initial Fixed $100</w:t>
            </w:r>
          </w:p>
        </w:tc>
        <w:tc>
          <w:tcPr>
            <w:tcW w:w="14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4"/>
              </w:rPr>
              <w:t>Summary</w:t>
            </w: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40" w:type="dxa"/>
            <w:vAlign w:val="bottom"/>
            <w:tcBorders>
              <w:bottom w:val="single" w:sz="8" w:color="29378D"/>
            </w:tcBorders>
            <w:gridSpan w:val="2"/>
          </w:tcPr>
          <w:p>
            <w:pPr>
              <w:jc w:val="right"/>
              <w:ind w:right="395"/>
              <w:spacing w:after="0"/>
              <w:rPr>
                <w:sz w:val="20"/>
                <w:szCs w:val="20"/>
                <w:color w:val="auto"/>
              </w:rPr>
            </w:pPr>
            <w:r>
              <w:rPr>
                <w:rFonts w:ascii="Arial" w:cs="Arial" w:eastAsia="Arial" w:hAnsi="Arial"/>
                <w:sz w:val="13"/>
                <w:szCs w:val="13"/>
                <w:b w:val="1"/>
                <w:bCs w:val="1"/>
                <w:color w:val="auto"/>
              </w:rPr>
              <w:t>Investment Based on:</w:t>
            </w:r>
          </w:p>
        </w:tc>
        <w:tc>
          <w:tcPr>
            <w:tcW w:w="1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700" w:type="dxa"/>
            <w:vAlign w:val="bottom"/>
          </w:tcPr>
          <w:p>
            <w:pPr>
              <w:spacing w:after="0"/>
              <w:rPr>
                <w:sz w:val="9"/>
                <w:szCs w:val="9"/>
                <w:color w:val="auto"/>
              </w:rPr>
            </w:pPr>
          </w:p>
        </w:tc>
        <w:tc>
          <w:tcPr>
            <w:tcW w:w="1640" w:type="dxa"/>
            <w:vAlign w:val="bottom"/>
          </w:tcPr>
          <w:p>
            <w:pPr>
              <w:jc w:val="center"/>
              <w:spacing w:after="0" w:line="104" w:lineRule="exact"/>
              <w:rPr>
                <w:sz w:val="20"/>
                <w:szCs w:val="20"/>
                <w:color w:val="auto"/>
              </w:rPr>
            </w:pPr>
            <w:r>
              <w:rPr>
                <w:rFonts w:ascii="Arial" w:cs="Arial" w:eastAsia="Arial" w:hAnsi="Arial"/>
                <w:sz w:val="12"/>
                <w:szCs w:val="12"/>
                <w:b w:val="1"/>
                <w:bCs w:val="1"/>
                <w:color w:val="auto"/>
              </w:rPr>
              <w:t>Compensation Table</w:t>
            </w:r>
          </w:p>
        </w:tc>
        <w:tc>
          <w:tcPr>
            <w:tcW w:w="1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7"/>
              </w:rPr>
              <w:t>(SCT) Total for</w:t>
            </w:r>
          </w:p>
        </w:tc>
        <w:tc>
          <w:tcPr>
            <w:tcW w:w="1260" w:type="dxa"/>
            <w:vAlign w:val="bottom"/>
            <w:vMerge w:val="restart"/>
          </w:tcPr>
          <w:p>
            <w:pPr>
              <w:jc w:val="right"/>
              <w:ind w:right="131"/>
              <w:spacing w:after="0"/>
              <w:rPr>
                <w:sz w:val="20"/>
                <w:szCs w:val="20"/>
                <w:color w:val="auto"/>
              </w:rPr>
            </w:pPr>
            <w:r>
              <w:rPr>
                <w:rFonts w:ascii="Arial" w:cs="Arial" w:eastAsia="Arial" w:hAnsi="Arial"/>
                <w:sz w:val="13"/>
                <w:szCs w:val="13"/>
                <w:b w:val="1"/>
                <w:bCs w:val="1"/>
                <w:color w:val="auto"/>
              </w:rPr>
              <w:t>CAP to PEO</w:t>
            </w:r>
            <w:r>
              <w:rPr>
                <w:rFonts w:ascii="Arial" w:cs="Arial" w:eastAsia="Arial" w:hAnsi="Arial"/>
                <w:sz w:val="16"/>
                <w:szCs w:val="16"/>
                <w:b w:val="1"/>
                <w:bCs w:val="1"/>
                <w:color w:val="auto"/>
                <w:vertAlign w:val="superscript"/>
              </w:rPr>
              <w:t>(2)(3)</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4"/>
              </w:rPr>
              <w:t>Avg SCT Total for</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6"/>
              </w:rPr>
              <w:t>Avg CAP to non-</w:t>
            </w:r>
          </w:p>
        </w:tc>
        <w:tc>
          <w:tcPr>
            <w:tcW w:w="1100" w:type="dxa"/>
            <w:vAlign w:val="bottom"/>
            <w:vMerge w:val="restart"/>
          </w:tcPr>
          <w:p>
            <w:pPr>
              <w:jc w:val="right"/>
              <w:ind w:right="295"/>
              <w:spacing w:after="0" w:line="275" w:lineRule="exact"/>
              <w:rPr>
                <w:sz w:val="20"/>
                <w:szCs w:val="20"/>
                <w:color w:val="auto"/>
              </w:rPr>
            </w:pPr>
            <w:r>
              <w:rPr>
                <w:rFonts w:ascii="Arial" w:cs="Arial" w:eastAsia="Arial" w:hAnsi="Arial"/>
                <w:sz w:val="25"/>
                <w:szCs w:val="25"/>
                <w:b w:val="1"/>
                <w:bCs w:val="1"/>
                <w:color w:val="auto"/>
                <w:vertAlign w:val="subscript"/>
              </w:rPr>
              <w:t>TSR</w:t>
            </w:r>
            <w:r>
              <w:rPr>
                <w:rFonts w:ascii="Arial" w:cs="Arial" w:eastAsia="Arial" w:hAnsi="Arial"/>
                <w:sz w:val="8"/>
                <w:szCs w:val="8"/>
                <w:b w:val="1"/>
                <w:bCs w:val="1"/>
                <w:color w:val="auto"/>
              </w:rPr>
              <w:t>(4)</w:t>
            </w:r>
          </w:p>
        </w:tc>
        <w:tc>
          <w:tcPr>
            <w:tcW w:w="1140" w:type="dxa"/>
            <w:vAlign w:val="bottom"/>
          </w:tcPr>
          <w:p>
            <w:pPr>
              <w:jc w:val="right"/>
              <w:spacing w:after="0" w:line="167" w:lineRule="exact"/>
              <w:rPr>
                <w:sz w:val="20"/>
                <w:szCs w:val="20"/>
                <w:color w:val="auto"/>
              </w:rPr>
            </w:pPr>
            <w:r>
              <w:rPr>
                <w:rFonts w:ascii="Arial" w:cs="Arial" w:eastAsia="Arial" w:hAnsi="Arial"/>
                <w:sz w:val="13"/>
                <w:szCs w:val="13"/>
                <w:b w:val="1"/>
                <w:bCs w:val="1"/>
                <w:color w:val="auto"/>
                <w:w w:val="96"/>
              </w:rPr>
              <w:t>Peer Group TSR</w:t>
            </w:r>
            <w:r>
              <w:rPr>
                <w:rFonts w:ascii="Arial" w:cs="Arial" w:eastAsia="Arial" w:hAnsi="Arial"/>
                <w:sz w:val="16"/>
                <w:szCs w:val="16"/>
                <w:b w:val="1"/>
                <w:bCs w:val="1"/>
                <w:color w:val="auto"/>
                <w:w w:val="96"/>
                <w:vertAlign w:val="superscript"/>
              </w:rPr>
              <w:t>(4)</w:t>
            </w:r>
          </w:p>
        </w:tc>
        <w:tc>
          <w:tcPr>
            <w:tcW w:w="1440" w:type="dxa"/>
            <w:vAlign w:val="bottom"/>
            <w:vMerge w:val="restart"/>
          </w:tcPr>
          <w:p>
            <w:pPr>
              <w:jc w:val="right"/>
              <w:ind w:right="311"/>
              <w:spacing w:after="0"/>
              <w:rPr>
                <w:sz w:val="20"/>
                <w:szCs w:val="20"/>
                <w:color w:val="auto"/>
              </w:rPr>
            </w:pPr>
            <w:r>
              <w:rPr>
                <w:rFonts w:ascii="Arial" w:cs="Arial" w:eastAsia="Arial" w:hAnsi="Arial"/>
                <w:sz w:val="13"/>
                <w:szCs w:val="13"/>
                <w:b w:val="1"/>
                <w:bCs w:val="1"/>
                <w:color w:val="auto"/>
              </w:rPr>
              <w:t>Net Income</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6"/>
              </w:rPr>
              <w:t>CSM: Adjusted Cash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7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Year</w:t>
            </w:r>
            <w:r>
              <w:rPr>
                <w:rFonts w:ascii="Arial" w:cs="Arial" w:eastAsia="Arial" w:hAnsi="Arial"/>
                <w:sz w:val="16"/>
                <w:szCs w:val="16"/>
                <w:b w:val="1"/>
                <w:bCs w:val="1"/>
                <w:color w:val="auto"/>
                <w:vertAlign w:val="superscript"/>
              </w:rPr>
              <w:t>(1)</w:t>
            </w:r>
          </w:p>
        </w:tc>
        <w:tc>
          <w:tcPr>
            <w:tcW w:w="164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Principal Executive</w:t>
            </w:r>
          </w:p>
        </w:tc>
        <w:tc>
          <w:tcPr>
            <w:tcW w:w="1260" w:type="dxa"/>
            <w:vAlign w:val="bottom"/>
            <w:vMerge w:val="continue"/>
          </w:tcPr>
          <w:p>
            <w:pPr>
              <w:spacing w:after="0"/>
              <w:rPr>
                <w:sz w:val="9"/>
                <w:szCs w:val="9"/>
                <w:color w:val="auto"/>
              </w:rPr>
            </w:pPr>
          </w:p>
        </w:tc>
        <w:tc>
          <w:tcPr>
            <w:tcW w:w="122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non-PEO NEOs</w:t>
            </w: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PEO NEOs</w:t>
            </w:r>
            <w:r>
              <w:rPr>
                <w:rFonts w:ascii="Arial" w:cs="Arial" w:eastAsia="Arial" w:hAnsi="Arial"/>
                <w:sz w:val="12"/>
                <w:szCs w:val="12"/>
                <w:b w:val="1"/>
                <w:bCs w:val="1"/>
                <w:color w:val="auto"/>
                <w:vertAlign w:val="superscript"/>
              </w:rPr>
              <w:t>(2)(3)</w:t>
            </w:r>
          </w:p>
        </w:tc>
        <w:tc>
          <w:tcPr>
            <w:tcW w:w="1100" w:type="dxa"/>
            <w:vAlign w:val="bottom"/>
            <w:vMerge w:val="continue"/>
          </w:tcPr>
          <w:p>
            <w:pPr>
              <w:spacing w:after="0"/>
              <w:rPr>
                <w:sz w:val="9"/>
                <w:szCs w:val="9"/>
                <w:color w:val="auto"/>
              </w:rPr>
            </w:pPr>
          </w:p>
        </w:tc>
        <w:tc>
          <w:tcPr>
            <w:tcW w:w="1140" w:type="dxa"/>
            <w:vAlign w:val="bottom"/>
          </w:tcPr>
          <w:p>
            <w:pPr>
              <w:jc w:val="right"/>
              <w:ind w:right="435"/>
              <w:spacing w:after="0"/>
              <w:rPr>
                <w:sz w:val="20"/>
                <w:szCs w:val="20"/>
                <w:color w:val="auto"/>
              </w:rPr>
            </w:pPr>
            <w:r>
              <w:rPr>
                <w:rFonts w:ascii="Arial" w:cs="Arial" w:eastAsia="Arial" w:hAnsi="Arial"/>
                <w:sz w:val="8"/>
                <w:szCs w:val="8"/>
                <w:b w:val="1"/>
                <w:bCs w:val="1"/>
                <w:color w:val="auto"/>
              </w:rPr>
              <w:t>(5)</w:t>
            </w:r>
          </w:p>
        </w:tc>
        <w:tc>
          <w:tcPr>
            <w:tcW w:w="1440" w:type="dxa"/>
            <w:vAlign w:val="bottom"/>
            <w:vMerge w:val="continue"/>
          </w:tcPr>
          <w:p>
            <w:pPr>
              <w:spacing w:after="0"/>
              <w:rPr>
                <w:sz w:val="9"/>
                <w:szCs w:val="9"/>
                <w:color w:val="auto"/>
              </w:rPr>
            </w:pPr>
          </w:p>
        </w:tc>
        <w:tc>
          <w:tcPr>
            <w:tcW w:w="15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Flow from Operations*</w:t>
            </w:r>
            <w:r>
              <w:rPr>
                <w:rFonts w:ascii="Arial" w:cs="Arial" w:eastAsia="Arial" w:hAnsi="Arial"/>
                <w:sz w:val="12"/>
                <w:szCs w:val="12"/>
                <w:b w:val="1"/>
                <w:bCs w:val="1"/>
                <w:color w:val="auto"/>
                <w:vertAlign w:val="superscript"/>
              </w:rPr>
              <w:t>(6)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700" w:type="dxa"/>
            <w:vAlign w:val="bottom"/>
            <w:tcBorders>
              <w:bottom w:val="single" w:sz="8" w:color="29378D"/>
            </w:tcBorders>
            <w:vMerge w:val="continue"/>
          </w:tcPr>
          <w:p>
            <w:pPr>
              <w:spacing w:after="0"/>
              <w:rPr>
                <w:sz w:val="16"/>
                <w:szCs w:val="16"/>
                <w:color w:val="auto"/>
              </w:rPr>
            </w:pPr>
          </w:p>
        </w:tc>
        <w:tc>
          <w:tcPr>
            <w:tcW w:w="1640" w:type="dxa"/>
            <w:vAlign w:val="bottom"/>
            <w:tcBorders>
              <w:bottom w:val="single" w:sz="8" w:color="29378D"/>
            </w:tcBorders>
          </w:tcPr>
          <w:p>
            <w:pPr>
              <w:jc w:val="center"/>
              <w:spacing w:after="0"/>
              <w:rPr>
                <w:sz w:val="20"/>
                <w:szCs w:val="20"/>
                <w:color w:val="auto"/>
              </w:rPr>
            </w:pPr>
            <w:r>
              <w:rPr>
                <w:rFonts w:ascii="Arial" w:cs="Arial" w:eastAsia="Arial" w:hAnsi="Arial"/>
                <w:sz w:val="13"/>
                <w:szCs w:val="13"/>
                <w:b w:val="1"/>
                <w:bCs w:val="1"/>
                <w:color w:val="auto"/>
                <w:w w:val="96"/>
              </w:rPr>
              <w:t>Officer (PEO) ($)</w:t>
            </w:r>
          </w:p>
        </w:tc>
        <w:tc>
          <w:tcPr>
            <w:tcW w:w="1260" w:type="dxa"/>
            <w:vAlign w:val="bottom"/>
            <w:tcBorders>
              <w:bottom w:val="single" w:sz="8" w:color="29378D"/>
            </w:tcBorders>
          </w:tcPr>
          <w:p>
            <w:pPr>
              <w:jc w:val="right"/>
              <w:ind w:right="531"/>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29378D"/>
            </w:tcBorders>
          </w:tcPr>
          <w:p>
            <w:pPr>
              <w:jc w:val="center"/>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29378D"/>
            </w:tcBorders>
          </w:tcPr>
          <w:p>
            <w:pPr>
              <w:jc w:val="center"/>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29378D"/>
            </w:tcBorders>
          </w:tcPr>
          <w:p>
            <w:pPr>
              <w:jc w:val="right"/>
              <w:ind w:right="395"/>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29378D"/>
            </w:tcBorders>
          </w:tcPr>
          <w:p>
            <w:pPr>
              <w:jc w:val="right"/>
              <w:ind w:right="415"/>
              <w:spacing w:after="0"/>
              <w:rPr>
                <w:sz w:val="20"/>
                <w:szCs w:val="20"/>
                <w:color w:val="auto"/>
              </w:rPr>
            </w:pPr>
            <w:r>
              <w:rPr>
                <w:rFonts w:ascii="Arial" w:cs="Arial" w:eastAsia="Arial" w:hAnsi="Arial"/>
                <w:sz w:val="13"/>
                <w:szCs w:val="13"/>
                <w:b w:val="1"/>
                <w:bCs w:val="1"/>
                <w:color w:val="auto"/>
              </w:rPr>
              <w:t>($)</w:t>
            </w:r>
          </w:p>
        </w:tc>
        <w:tc>
          <w:tcPr>
            <w:tcW w:w="1440" w:type="dxa"/>
            <w:vAlign w:val="bottom"/>
            <w:tcBorders>
              <w:bottom w:val="single" w:sz="8" w:color="29378D"/>
            </w:tcBorders>
          </w:tcPr>
          <w:p>
            <w:pPr>
              <w:jc w:val="right"/>
              <w:ind w:right="571"/>
              <w:spacing w:after="0"/>
              <w:rPr>
                <w:sz w:val="20"/>
                <w:szCs w:val="20"/>
                <w:color w:val="auto"/>
              </w:rPr>
            </w:pPr>
            <w:r>
              <w:rPr>
                <w:rFonts w:ascii="Arial" w:cs="Arial" w:eastAsia="Arial" w:hAnsi="Arial"/>
                <w:sz w:val="13"/>
                <w:szCs w:val="13"/>
                <w:b w:val="1"/>
                <w:bCs w:val="1"/>
                <w:color w:val="auto"/>
              </w:rPr>
              <w:t>($)</w:t>
            </w:r>
          </w:p>
        </w:tc>
        <w:tc>
          <w:tcPr>
            <w:tcW w:w="1560" w:type="dxa"/>
            <w:vAlign w:val="bottom"/>
            <w:tcBorders>
              <w:bottom w:val="single" w:sz="8" w:color="29378D"/>
            </w:tcBorders>
          </w:tcPr>
          <w:p>
            <w:pPr>
              <w:jc w:val="center"/>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29378D"/>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00" w:type="dxa"/>
            <w:vAlign w:val="bottom"/>
            <w:shd w:val="clear" w:color="auto" w:fill="DFDEEE"/>
          </w:tcPr>
          <w:p>
            <w:pPr>
              <w:ind w:left="20"/>
              <w:spacing w:after="0"/>
              <w:rPr>
                <w:sz w:val="20"/>
                <w:szCs w:val="20"/>
                <w:color w:val="auto"/>
              </w:rPr>
            </w:pPr>
            <w:r>
              <w:rPr>
                <w:rFonts w:ascii="Arial" w:cs="Arial" w:eastAsia="Arial" w:hAnsi="Arial"/>
                <w:sz w:val="14"/>
                <w:szCs w:val="14"/>
                <w:b w:val="1"/>
                <w:bCs w:val="1"/>
                <w:color w:val="0A2299"/>
              </w:rPr>
              <w:t>2023</w:t>
            </w:r>
          </w:p>
        </w:tc>
        <w:tc>
          <w:tcPr>
            <w:tcW w:w="1640" w:type="dxa"/>
            <w:vAlign w:val="bottom"/>
            <w:shd w:val="clear" w:color="auto" w:fill="DFDEEE"/>
          </w:tcPr>
          <w:p>
            <w:pPr>
              <w:jc w:val="right"/>
              <w:ind w:right="74"/>
              <w:spacing w:after="0"/>
              <w:rPr>
                <w:sz w:val="20"/>
                <w:szCs w:val="20"/>
                <w:color w:val="auto"/>
              </w:rPr>
            </w:pPr>
            <w:r>
              <w:rPr>
                <w:rFonts w:ascii="Arial" w:cs="Arial" w:eastAsia="Arial" w:hAnsi="Arial"/>
                <w:sz w:val="14"/>
                <w:szCs w:val="14"/>
                <w:color w:val="auto"/>
              </w:rPr>
              <w:t>24,737,493</w:t>
            </w:r>
          </w:p>
        </w:tc>
        <w:tc>
          <w:tcPr>
            <w:tcW w:w="1260" w:type="dxa"/>
            <w:vAlign w:val="bottom"/>
            <w:shd w:val="clear" w:color="auto" w:fill="DFDEEE"/>
          </w:tcPr>
          <w:p>
            <w:pPr>
              <w:jc w:val="right"/>
              <w:spacing w:after="0"/>
              <w:rPr>
                <w:sz w:val="20"/>
                <w:szCs w:val="20"/>
                <w:color w:val="auto"/>
              </w:rPr>
            </w:pPr>
            <w:r>
              <w:rPr>
                <w:rFonts w:ascii="Arial" w:cs="Arial" w:eastAsia="Arial" w:hAnsi="Arial"/>
                <w:sz w:val="14"/>
                <w:szCs w:val="14"/>
                <w:color w:val="auto"/>
              </w:rPr>
              <w:t>13,440,872</w:t>
            </w:r>
          </w:p>
        </w:tc>
        <w:tc>
          <w:tcPr>
            <w:tcW w:w="1220" w:type="dxa"/>
            <w:vAlign w:val="bottom"/>
            <w:shd w:val="clear" w:color="auto" w:fill="DFDEEE"/>
          </w:tcPr>
          <w:p>
            <w:pPr>
              <w:jc w:val="right"/>
              <w:ind w:right="13"/>
              <w:spacing w:after="0"/>
              <w:rPr>
                <w:sz w:val="20"/>
                <w:szCs w:val="20"/>
                <w:color w:val="auto"/>
              </w:rPr>
            </w:pPr>
            <w:r>
              <w:rPr>
                <w:rFonts w:ascii="Arial" w:cs="Arial" w:eastAsia="Arial" w:hAnsi="Arial"/>
                <w:sz w:val="14"/>
                <w:szCs w:val="14"/>
                <w:color w:val="auto"/>
              </w:rPr>
              <w:t>5,751,083</w:t>
            </w:r>
          </w:p>
        </w:tc>
        <w:tc>
          <w:tcPr>
            <w:tcW w:w="1180" w:type="dxa"/>
            <w:vAlign w:val="bottom"/>
            <w:shd w:val="clear" w:color="auto" w:fill="DFDEEE"/>
          </w:tcPr>
          <w:p>
            <w:pPr>
              <w:jc w:val="right"/>
              <w:spacing w:after="0"/>
              <w:rPr>
                <w:sz w:val="20"/>
                <w:szCs w:val="20"/>
                <w:color w:val="auto"/>
              </w:rPr>
            </w:pPr>
            <w:r>
              <w:rPr>
                <w:rFonts w:ascii="Arial" w:cs="Arial" w:eastAsia="Arial" w:hAnsi="Arial"/>
                <w:sz w:val="14"/>
                <w:szCs w:val="14"/>
                <w:color w:val="auto"/>
              </w:rPr>
              <w:t>3,930,874</w:t>
            </w:r>
          </w:p>
        </w:tc>
        <w:tc>
          <w:tcPr>
            <w:tcW w:w="1100" w:type="dxa"/>
            <w:vAlign w:val="bottom"/>
            <w:shd w:val="clear" w:color="auto" w:fill="DFDEEE"/>
          </w:tcPr>
          <w:p>
            <w:pPr>
              <w:jc w:val="right"/>
              <w:spacing w:after="0"/>
              <w:rPr>
                <w:sz w:val="20"/>
                <w:szCs w:val="20"/>
                <w:color w:val="auto"/>
              </w:rPr>
            </w:pPr>
            <w:r>
              <w:rPr>
                <w:rFonts w:ascii="Arial" w:cs="Arial" w:eastAsia="Arial" w:hAnsi="Arial"/>
                <w:sz w:val="14"/>
                <w:szCs w:val="14"/>
                <w:color w:val="auto"/>
              </w:rPr>
              <w:t>145.27</w:t>
            </w:r>
          </w:p>
        </w:tc>
        <w:tc>
          <w:tcPr>
            <w:tcW w:w="1140" w:type="dxa"/>
            <w:vAlign w:val="bottom"/>
            <w:shd w:val="clear" w:color="auto" w:fill="DFDEEE"/>
          </w:tcPr>
          <w:p>
            <w:pPr>
              <w:jc w:val="right"/>
              <w:spacing w:after="0"/>
              <w:rPr>
                <w:sz w:val="20"/>
                <w:szCs w:val="20"/>
                <w:color w:val="auto"/>
              </w:rPr>
            </w:pPr>
            <w:r>
              <w:rPr>
                <w:rFonts w:ascii="Arial" w:cs="Arial" w:eastAsia="Arial" w:hAnsi="Arial"/>
                <w:sz w:val="14"/>
                <w:szCs w:val="14"/>
                <w:color w:val="auto"/>
              </w:rPr>
              <w:t>111.48</w:t>
            </w:r>
          </w:p>
        </w:tc>
        <w:tc>
          <w:tcPr>
            <w:tcW w:w="1440" w:type="dxa"/>
            <w:vAlign w:val="bottom"/>
            <w:shd w:val="clear" w:color="auto" w:fill="DFDEEE"/>
          </w:tcPr>
          <w:p>
            <w:pPr>
              <w:jc w:val="right"/>
              <w:spacing w:after="0"/>
              <w:rPr>
                <w:sz w:val="20"/>
                <w:szCs w:val="20"/>
                <w:color w:val="auto"/>
              </w:rPr>
            </w:pPr>
            <w:r>
              <w:rPr>
                <w:rFonts w:ascii="Arial" w:cs="Arial" w:eastAsia="Arial" w:hAnsi="Arial"/>
                <w:sz w:val="14"/>
                <w:szCs w:val="14"/>
                <w:color w:val="auto"/>
              </w:rPr>
              <w:t>2,056,000,000</w:t>
            </w:r>
          </w:p>
        </w:tc>
        <w:tc>
          <w:tcPr>
            <w:tcW w:w="1560" w:type="dxa"/>
            <w:vAlign w:val="bottom"/>
            <w:shd w:val="clear" w:color="auto" w:fill="DFDEEE"/>
          </w:tcPr>
          <w:p>
            <w:pPr>
              <w:jc w:val="right"/>
              <w:spacing w:after="0"/>
              <w:rPr>
                <w:sz w:val="20"/>
                <w:szCs w:val="20"/>
                <w:color w:val="auto"/>
              </w:rPr>
            </w:pPr>
            <w:r>
              <w:rPr>
                <w:rFonts w:ascii="Arial" w:cs="Arial" w:eastAsia="Arial" w:hAnsi="Arial"/>
                <w:sz w:val="14"/>
                <w:szCs w:val="14"/>
                <w:color w:val="auto"/>
              </w:rPr>
              <w:t>3,637,000,000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BCBEC0"/>
            </w:tcBorders>
          </w:tcPr>
          <w:p>
            <w:pPr>
              <w:ind w:left="40"/>
              <w:spacing w:after="0"/>
              <w:rPr>
                <w:sz w:val="20"/>
                <w:szCs w:val="20"/>
                <w:color w:val="auto"/>
              </w:rPr>
            </w:pPr>
            <w:r>
              <w:rPr>
                <w:rFonts w:ascii="Arial" w:cs="Arial" w:eastAsia="Arial" w:hAnsi="Arial"/>
                <w:sz w:val="14"/>
                <w:szCs w:val="14"/>
                <w:b w:val="1"/>
                <w:bCs w:val="1"/>
                <w:color w:val="0A2299"/>
              </w:rPr>
              <w:t>2022</w:t>
            </w:r>
          </w:p>
        </w:tc>
        <w:tc>
          <w:tcPr>
            <w:tcW w:w="1640" w:type="dxa"/>
            <w:vAlign w:val="bottom"/>
            <w:tcBorders>
              <w:bottom w:val="single" w:sz="8" w:color="BCBEC0"/>
            </w:tcBorders>
          </w:tcPr>
          <w:p>
            <w:pPr>
              <w:jc w:val="right"/>
              <w:ind w:right="74"/>
              <w:spacing w:after="0"/>
              <w:rPr>
                <w:sz w:val="20"/>
                <w:szCs w:val="20"/>
                <w:color w:val="auto"/>
              </w:rPr>
            </w:pPr>
            <w:r>
              <w:rPr>
                <w:rFonts w:ascii="Arial" w:cs="Arial" w:eastAsia="Arial" w:hAnsi="Arial"/>
                <w:sz w:val="14"/>
                <w:szCs w:val="14"/>
                <w:color w:val="auto"/>
              </w:rPr>
              <w:t>20,672,072</w:t>
            </w:r>
          </w:p>
        </w:tc>
        <w:tc>
          <w:tcPr>
            <w:tcW w:w="12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54,746,734</w:t>
            </w:r>
          </w:p>
        </w:tc>
        <w:tc>
          <w:tcPr>
            <w:tcW w:w="1220" w:type="dxa"/>
            <w:vAlign w:val="bottom"/>
            <w:tcBorders>
              <w:bottom w:val="single" w:sz="8" w:color="BCBEC0"/>
            </w:tcBorders>
          </w:tcPr>
          <w:p>
            <w:pPr>
              <w:jc w:val="right"/>
              <w:ind w:right="13"/>
              <w:spacing w:after="0"/>
              <w:rPr>
                <w:sz w:val="20"/>
                <w:szCs w:val="20"/>
                <w:color w:val="auto"/>
              </w:rPr>
            </w:pPr>
            <w:r>
              <w:rPr>
                <w:rFonts w:ascii="Arial" w:cs="Arial" w:eastAsia="Arial" w:hAnsi="Arial"/>
                <w:sz w:val="14"/>
                <w:szCs w:val="14"/>
                <w:color w:val="auto"/>
              </w:rPr>
              <w:t>5,388,919</w:t>
            </w:r>
          </w:p>
        </w:tc>
        <w:tc>
          <w:tcPr>
            <w:tcW w:w="11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11,074,607</w:t>
            </w:r>
          </w:p>
        </w:tc>
        <w:tc>
          <w:tcPr>
            <w:tcW w:w="11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166.57</w:t>
            </w:r>
          </w:p>
        </w:tc>
        <w:tc>
          <w:tcPr>
            <w:tcW w:w="114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106.08</w:t>
            </w:r>
          </w:p>
        </w:tc>
        <w:tc>
          <w:tcPr>
            <w:tcW w:w="144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4,896,000,000</w:t>
            </w:r>
          </w:p>
        </w:tc>
        <w:tc>
          <w:tcPr>
            <w:tcW w:w="15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3,913,000,000</w:t>
            </w:r>
          </w:p>
        </w:tc>
        <w:tc>
          <w:tcPr>
            <w:tcW w:w="2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Borders>
              <w:bottom w:val="single" w:sz="8" w:color="BCBEC0"/>
            </w:tcBorders>
            <w:shd w:val="clear" w:color="auto" w:fill="DFDEEE"/>
          </w:tcPr>
          <w:p>
            <w:pPr>
              <w:ind w:left="20"/>
              <w:spacing w:after="0"/>
              <w:rPr>
                <w:sz w:val="20"/>
                <w:szCs w:val="20"/>
                <w:color w:val="auto"/>
              </w:rPr>
            </w:pPr>
            <w:r>
              <w:rPr>
                <w:rFonts w:ascii="Arial" w:cs="Arial" w:eastAsia="Arial" w:hAnsi="Arial"/>
                <w:sz w:val="14"/>
                <w:szCs w:val="14"/>
                <w:b w:val="1"/>
                <w:bCs w:val="1"/>
                <w:color w:val="0A2299"/>
              </w:rPr>
              <w:t>2021</w:t>
            </w:r>
          </w:p>
        </w:tc>
        <w:tc>
          <w:tcPr>
            <w:tcW w:w="1640" w:type="dxa"/>
            <w:vAlign w:val="bottom"/>
            <w:tcBorders>
              <w:bottom w:val="single" w:sz="8" w:color="BCBEC0"/>
            </w:tcBorders>
            <w:shd w:val="clear" w:color="auto" w:fill="DFDEEE"/>
          </w:tcPr>
          <w:p>
            <w:pPr>
              <w:jc w:val="right"/>
              <w:ind w:right="74"/>
              <w:spacing w:after="0"/>
              <w:rPr>
                <w:sz w:val="20"/>
                <w:szCs w:val="20"/>
                <w:color w:val="auto"/>
              </w:rPr>
            </w:pPr>
            <w:r>
              <w:rPr>
                <w:rFonts w:ascii="Arial" w:cs="Arial" w:eastAsia="Arial" w:hAnsi="Arial"/>
                <w:sz w:val="14"/>
                <w:szCs w:val="14"/>
                <w:color w:val="auto"/>
              </w:rPr>
              <w:t>19,876,767</w:t>
            </w:r>
          </w:p>
        </w:tc>
        <w:tc>
          <w:tcPr>
            <w:tcW w:w="12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38,893,119</w:t>
            </w:r>
          </w:p>
        </w:tc>
        <w:tc>
          <w:tcPr>
            <w:tcW w:w="1220" w:type="dxa"/>
            <w:vAlign w:val="bottom"/>
            <w:tcBorders>
              <w:bottom w:val="single" w:sz="8" w:color="BCBEC0"/>
            </w:tcBorders>
            <w:shd w:val="clear" w:color="auto" w:fill="DFDEEE"/>
          </w:tcPr>
          <w:p>
            <w:pPr>
              <w:jc w:val="right"/>
              <w:ind w:right="13"/>
              <w:spacing w:after="0"/>
              <w:rPr>
                <w:sz w:val="20"/>
                <w:szCs w:val="20"/>
                <w:color w:val="auto"/>
              </w:rPr>
            </w:pPr>
            <w:r>
              <w:rPr>
                <w:rFonts w:ascii="Arial" w:cs="Arial" w:eastAsia="Arial" w:hAnsi="Arial"/>
                <w:sz w:val="14"/>
                <w:szCs w:val="14"/>
                <w:color w:val="auto"/>
              </w:rPr>
              <w:t>5,274,973</w:t>
            </w:r>
          </w:p>
        </w:tc>
        <w:tc>
          <w:tcPr>
            <w:tcW w:w="11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9,100,357</w:t>
            </w:r>
          </w:p>
        </w:tc>
        <w:tc>
          <w:tcPr>
            <w:tcW w:w="110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116.47</w:t>
            </w:r>
          </w:p>
        </w:tc>
        <w:tc>
          <w:tcPr>
            <w:tcW w:w="114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91.84</w:t>
            </w:r>
          </w:p>
        </w:tc>
        <w:tc>
          <w:tcPr>
            <w:tcW w:w="144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7,005,000,000</w:t>
            </w:r>
          </w:p>
        </w:tc>
        <w:tc>
          <w:tcPr>
            <w:tcW w:w="156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4,475,000,000</w:t>
            </w:r>
          </w:p>
        </w:tc>
        <w:tc>
          <w:tcPr>
            <w:tcW w:w="2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00" w:type="dxa"/>
            <w:vAlign w:val="bottom"/>
            <w:tcBorders>
              <w:bottom w:val="single" w:sz="8" w:color="BCBEC0"/>
            </w:tcBorders>
          </w:tcPr>
          <w:p>
            <w:pPr>
              <w:ind w:left="40"/>
              <w:spacing w:after="0"/>
              <w:rPr>
                <w:sz w:val="20"/>
                <w:szCs w:val="20"/>
                <w:color w:val="auto"/>
              </w:rPr>
            </w:pPr>
            <w:r>
              <w:rPr>
                <w:rFonts w:ascii="Arial" w:cs="Arial" w:eastAsia="Arial" w:hAnsi="Arial"/>
                <w:sz w:val="14"/>
                <w:szCs w:val="14"/>
                <w:b w:val="1"/>
                <w:bCs w:val="1"/>
                <w:color w:val="0A2299"/>
              </w:rPr>
              <w:t>2020</w:t>
            </w:r>
            <w:r>
              <w:rPr>
                <w:rFonts w:ascii="Arial" w:cs="Arial" w:eastAsia="Arial" w:hAnsi="Arial"/>
                <w:sz w:val="9"/>
                <w:szCs w:val="9"/>
                <w:b w:val="1"/>
                <w:bCs w:val="1"/>
                <w:color w:val="0A2299"/>
              </w:rPr>
              <w:t>(7)</w:t>
            </w:r>
          </w:p>
        </w:tc>
        <w:tc>
          <w:tcPr>
            <w:tcW w:w="1640" w:type="dxa"/>
            <w:vAlign w:val="bottom"/>
            <w:tcBorders>
              <w:bottom w:val="single" w:sz="8" w:color="BCBEC0"/>
            </w:tcBorders>
          </w:tcPr>
          <w:p>
            <w:pPr>
              <w:jc w:val="right"/>
              <w:ind w:right="74"/>
              <w:spacing w:after="0"/>
              <w:rPr>
                <w:sz w:val="20"/>
                <w:szCs w:val="20"/>
                <w:color w:val="auto"/>
              </w:rPr>
            </w:pPr>
            <w:r>
              <w:rPr>
                <w:rFonts w:ascii="Arial" w:cs="Arial" w:eastAsia="Arial" w:hAnsi="Arial"/>
                <w:sz w:val="14"/>
                <w:szCs w:val="14"/>
                <w:color w:val="auto"/>
              </w:rPr>
              <w:t>20,807,144</w:t>
            </w:r>
          </w:p>
        </w:tc>
        <w:tc>
          <w:tcPr>
            <w:tcW w:w="12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14,601,902</w:t>
            </w:r>
          </w:p>
        </w:tc>
        <w:tc>
          <w:tcPr>
            <w:tcW w:w="1220" w:type="dxa"/>
            <w:vAlign w:val="bottom"/>
            <w:tcBorders>
              <w:bottom w:val="single" w:sz="8" w:color="BCBEC0"/>
            </w:tcBorders>
          </w:tcPr>
          <w:p>
            <w:pPr>
              <w:jc w:val="right"/>
              <w:ind w:right="13"/>
              <w:spacing w:after="0"/>
              <w:rPr>
                <w:sz w:val="20"/>
                <w:szCs w:val="20"/>
                <w:color w:val="auto"/>
              </w:rPr>
            </w:pPr>
            <w:r>
              <w:rPr>
                <w:rFonts w:ascii="Arial" w:cs="Arial" w:eastAsia="Arial" w:hAnsi="Arial"/>
                <w:sz w:val="14"/>
                <w:szCs w:val="14"/>
                <w:color w:val="auto"/>
              </w:rPr>
              <w:t>5,526,430</w:t>
            </w:r>
          </w:p>
        </w:tc>
        <w:tc>
          <w:tcPr>
            <w:tcW w:w="11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2,671,853</w:t>
            </w:r>
          </w:p>
        </w:tc>
        <w:tc>
          <w:tcPr>
            <w:tcW w:w="11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90.08</w:t>
            </w:r>
          </w:p>
        </w:tc>
        <w:tc>
          <w:tcPr>
            <w:tcW w:w="114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82.41</w:t>
            </w:r>
          </w:p>
        </w:tc>
        <w:tc>
          <w:tcPr>
            <w:tcW w:w="144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3,189,000,000</w:t>
            </w:r>
          </w:p>
        </w:tc>
        <w:tc>
          <w:tcPr>
            <w:tcW w:w="15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5,135,000,000</w:t>
            </w:r>
          </w:p>
        </w:tc>
        <w:tc>
          <w:tcPr>
            <w:tcW w:w="20" w:type="dxa"/>
            <w:vAlign w:val="bottom"/>
            <w:tcBorders>
              <w:bottom w:val="single" w:sz="8" w:color="BCBEC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8890" cy="1543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15430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-153670</wp:posOffset>
            </wp:positionV>
            <wp:extent cx="8255" cy="1543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1543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-436245</wp:posOffset>
            </wp:positionV>
            <wp:extent cx="8890" cy="43688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43688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-436245</wp:posOffset>
            </wp:positionV>
            <wp:extent cx="8255" cy="43688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43688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-436245</wp:posOffset>
            </wp:positionV>
            <wp:extent cx="8255" cy="43688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43688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-436245</wp:posOffset>
            </wp:positionV>
            <wp:extent cx="8255" cy="43688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43688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-436245</wp:posOffset>
            </wp:positionV>
            <wp:extent cx="8890" cy="43688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43688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-436245</wp:posOffset>
            </wp:positionV>
            <wp:extent cx="8255" cy="43688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436880"/>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-436245</wp:posOffset>
            </wp:positionV>
            <wp:extent cx="8255" cy="43688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436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8890" cy="1454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14541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-436245</wp:posOffset>
            </wp:positionV>
            <wp:extent cx="8255" cy="1454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14541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-582295</wp:posOffset>
            </wp:positionV>
            <wp:extent cx="8890" cy="58293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58293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 This metric is a non-GAAP financial measure. For more information, see “Appendix A - Use of Non-GAAP Financial Measures.”</w:t>
      </w:r>
    </w:p>
    <w:p>
      <w:pPr>
        <w:spacing w:after="0" w:line="109" w:lineRule="exact"/>
        <w:rPr>
          <w:sz w:val="20"/>
          <w:szCs w:val="20"/>
          <w:color w:val="auto"/>
        </w:rPr>
      </w:pPr>
    </w:p>
    <w:p>
      <w:pPr>
        <w:ind w:left="260" w:right="40" w:hanging="252"/>
        <w:spacing w:after="0" w:line="276" w:lineRule="auto"/>
        <w:tabs>
          <w:tab w:leader="none" w:pos="217" w:val="left"/>
        </w:tabs>
        <w:numPr>
          <w:ilvl w:val="0"/>
          <w:numId w:val="159"/>
        </w:numPr>
        <w:rPr>
          <w:rFonts w:ascii="Arial" w:cs="Arial" w:eastAsia="Arial" w:hAnsi="Arial"/>
          <w:sz w:val="14"/>
          <w:szCs w:val="14"/>
          <w:color w:val="auto"/>
        </w:rPr>
      </w:pPr>
      <w:r>
        <w:rPr>
          <w:rFonts w:ascii="Arial" w:cs="Arial" w:eastAsia="Arial" w:hAnsi="Arial"/>
          <w:sz w:val="14"/>
          <w:szCs w:val="14"/>
          <w:color w:val="auto"/>
        </w:rPr>
        <w:t>Ms. Warden is included as the Principal Executive Officer (PEO), CEO, for years 2023, 2022, 2021 and 2020. Messrs. Keffer, Caylor and Jones and Ms. Roeder are included in the non-PEO NEO averages for 2023. Messrs. Keffer, Bromberg, Caylor and Jones are included in the non-PEO NEO averages for 2022. Messrs. Keffer, Caylor, Larson and Ms. Petryszyn are included in the non-PEO NEO averages for 2021. Messrs. Keffer, Caylor, Larson, Pamiljans and Bedingfield are included in the non-PEO NEO averages for 2020.</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The CAP calculations for the PEO and non-PEO NEOs are included in the table below, as defined by the SEC. The non-PEO NEOs reflect an average for each year.</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00249C"/>
        </w:rPr>
        <w:t>CAP Calculation =</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Summary Compensation Table</w:t>
      </w:r>
    </w:p>
    <w:p>
      <w:pPr>
        <w:spacing w:after="0" w:line="82" w:lineRule="exact"/>
        <w:rPr>
          <w:sz w:val="20"/>
          <w:szCs w:val="20"/>
          <w:color w:val="auto"/>
        </w:rPr>
      </w:pPr>
    </w:p>
    <w:p>
      <w:pPr>
        <w:ind w:left="340" w:hanging="89"/>
        <w:spacing w:after="0"/>
        <w:tabs>
          <w:tab w:leader="none" w:pos="3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Annual stock award</w:t>
      </w:r>
    </w:p>
    <w:p>
      <w:pPr>
        <w:spacing w:after="0" w:line="82" w:lineRule="exact"/>
        <w:rPr>
          <w:rFonts w:ascii="Arial" w:cs="Arial" w:eastAsia="Arial" w:hAnsi="Arial"/>
          <w:sz w:val="14"/>
          <w:szCs w:val="14"/>
          <w:color w:val="auto"/>
        </w:rPr>
      </w:pPr>
    </w:p>
    <w:p>
      <w:pPr>
        <w:ind w:left="260" w:right="9180" w:hanging="9"/>
        <w:spacing w:after="0" w:line="372" w:lineRule="auto"/>
        <w:tabs>
          <w:tab w:leader="none" w:pos="348" w:val="left"/>
        </w:tabs>
        <w:numPr>
          <w:ilvl w:val="0"/>
          <w:numId w:val="160"/>
        </w:numPr>
        <w:rPr>
          <w:rFonts w:ascii="Arial" w:cs="Arial" w:eastAsia="Arial" w:hAnsi="Arial"/>
          <w:sz w:val="14"/>
          <w:szCs w:val="14"/>
          <w:color w:val="auto"/>
        </w:rPr>
      </w:pPr>
      <w:r>
        <w:rPr>
          <w:rFonts w:ascii="Arial" w:cs="Arial" w:eastAsia="Arial" w:hAnsi="Arial"/>
          <w:sz w:val="14"/>
          <w:szCs w:val="14"/>
          <w:color w:val="auto"/>
        </w:rPr>
        <w:t xml:space="preserve">Change in pension value </w:t>
      </w:r>
      <w:r>
        <w:rPr>
          <w:rFonts w:ascii="Arial" w:cs="Arial" w:eastAsia="Arial" w:hAnsi="Arial"/>
          <w:sz w:val="9"/>
          <w:szCs w:val="9"/>
          <w:color w:val="auto"/>
        </w:rPr>
        <w:t>(a)</w:t>
      </w:r>
      <w:r>
        <w:rPr>
          <w:rFonts w:ascii="Arial" w:cs="Arial" w:eastAsia="Arial" w:hAnsi="Arial"/>
          <w:sz w:val="14"/>
          <w:szCs w:val="14"/>
          <w:color w:val="auto"/>
        </w:rPr>
        <w:t xml:space="preserve"> + Pension service cost</w:t>
      </w:r>
    </w:p>
    <w:p>
      <w:pPr>
        <w:ind w:left="260"/>
        <w:spacing w:after="0"/>
        <w:rPr>
          <w:rFonts w:ascii="Arial" w:cs="Arial" w:eastAsia="Arial" w:hAnsi="Arial"/>
          <w:sz w:val="14"/>
          <w:szCs w:val="14"/>
          <w:color w:val="auto"/>
        </w:rPr>
      </w:pPr>
      <w:r>
        <w:rPr>
          <w:rFonts w:ascii="Arial" w:cs="Arial" w:eastAsia="Arial" w:hAnsi="Arial"/>
          <w:sz w:val="14"/>
          <w:szCs w:val="14"/>
          <w:color w:val="auto"/>
        </w:rPr>
        <w:t>+ Prior pension service cost</w:t>
      </w:r>
    </w:p>
    <w:p>
      <w:pPr>
        <w:spacing w:after="0" w:line="82" w:lineRule="exact"/>
        <w:rPr>
          <w:sz w:val="20"/>
          <w:szCs w:val="20"/>
          <w:color w:val="auto"/>
        </w:rPr>
      </w:pPr>
    </w:p>
    <w:p>
      <w:pPr>
        <w:ind w:left="520" w:right="320" w:hanging="269"/>
        <w:spacing w:after="0" w:line="273" w:lineRule="auto"/>
        <w:tabs>
          <w:tab w:leader="none" w:pos="38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Fair value of current year equity awards, annual change in fair value as of year-end for unvested awards, fair value as of vesting of awards granted and vested in year, annual change in value as of vesting of prior year's awards, annual change in value of prior year's awards forfeited and value of dividends or other earnings paid on stock</w:t>
      </w:r>
    </w:p>
    <w:p>
      <w:pPr>
        <w:spacing w:after="0" w:line="76" w:lineRule="exact"/>
        <w:rPr>
          <w:sz w:val="20"/>
          <w:szCs w:val="20"/>
          <w:color w:val="auto"/>
        </w:rPr>
      </w:pPr>
    </w:p>
    <w:p>
      <w:pPr>
        <w:jc w:val="center"/>
        <w:ind w:left="960"/>
        <w:spacing w:after="0"/>
        <w:rPr>
          <w:sz w:val="20"/>
          <w:szCs w:val="20"/>
          <w:color w:val="auto"/>
        </w:rPr>
      </w:pPr>
      <w:r>
        <w:rPr>
          <w:rFonts w:ascii="Arial" w:cs="Arial" w:eastAsia="Arial" w:hAnsi="Arial"/>
          <w:sz w:val="13"/>
          <w:szCs w:val="13"/>
          <w:b w:val="1"/>
          <w:bCs w:val="1"/>
          <w:color w:val="auto"/>
        </w:rPr>
        <w:t>CAP Calculation (per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27940</wp:posOffset>
            </wp:positionV>
            <wp:extent cx="581215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47" w:lineRule="exact"/>
        <w:rPr>
          <w:sz w:val="20"/>
          <w:szCs w:val="20"/>
          <w:color w:val="auto"/>
        </w:rPr>
      </w:pPr>
    </w:p>
    <w:p>
      <w:pPr>
        <w:jc w:val="center"/>
        <w:ind w:left="960"/>
        <w:spacing w:after="0"/>
        <w:rPr>
          <w:sz w:val="20"/>
          <w:szCs w:val="20"/>
          <w:color w:val="auto"/>
        </w:rPr>
      </w:pPr>
      <w:r>
        <w:rPr>
          <w:rFonts w:ascii="Arial" w:cs="Arial" w:eastAsia="Arial" w:hAnsi="Arial"/>
          <w:sz w:val="13"/>
          <w:szCs w:val="13"/>
          <w:b w:val="1"/>
          <w:bCs w:val="1"/>
          <w:color w:val="auto"/>
        </w:rPr>
        <w:t>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27940</wp:posOffset>
            </wp:positionV>
            <wp:extent cx="581215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812155"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1280" w:type="dxa"/>
            <w:vAlign w:val="bottom"/>
            <w:vMerge w:val="restart"/>
          </w:tcPr>
          <w:p>
            <w:pPr>
              <w:spacing w:after="0"/>
              <w:rPr>
                <w:sz w:val="20"/>
                <w:szCs w:val="20"/>
                <w:color w:val="auto"/>
              </w:rPr>
            </w:pPr>
            <w:r>
              <w:rPr>
                <w:rFonts w:ascii="Arial" w:cs="Arial" w:eastAsia="Arial" w:hAnsi="Arial"/>
                <w:sz w:val="13"/>
                <w:szCs w:val="13"/>
                <w:b w:val="1"/>
                <w:bCs w:val="1"/>
                <w:color w:val="auto"/>
              </w:rPr>
              <w:t>Year ($M)</w:t>
            </w:r>
          </w:p>
        </w:tc>
        <w:tc>
          <w:tcPr>
            <w:tcW w:w="13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SCT Total</w:t>
            </w:r>
          </w:p>
        </w:tc>
        <w:tc>
          <w:tcPr>
            <w:tcW w:w="1340" w:type="dxa"/>
            <w:vAlign w:val="bottom"/>
            <w:vMerge w:val="restart"/>
          </w:tcPr>
          <w:p>
            <w:pPr>
              <w:jc w:val="right"/>
              <w:ind w:right="10"/>
              <w:spacing w:after="0"/>
              <w:rPr>
                <w:sz w:val="20"/>
                <w:szCs w:val="20"/>
                <w:color w:val="auto"/>
              </w:rPr>
            </w:pPr>
            <w:r>
              <w:rPr>
                <w:rFonts w:ascii="Arial" w:cs="Arial" w:eastAsia="Arial" w:hAnsi="Arial"/>
                <w:sz w:val="13"/>
                <w:szCs w:val="13"/>
                <w:b w:val="1"/>
                <w:bCs w:val="1"/>
                <w:color w:val="auto"/>
                <w:w w:val="98"/>
              </w:rPr>
              <w:t>Annual Stock Award</w:t>
            </w:r>
          </w:p>
        </w:tc>
        <w:tc>
          <w:tcPr>
            <w:tcW w:w="1400" w:type="dxa"/>
            <w:vAlign w:val="bottom"/>
          </w:tcPr>
          <w:p>
            <w:pPr>
              <w:ind w:left="100"/>
              <w:spacing w:after="0"/>
              <w:rPr>
                <w:sz w:val="20"/>
                <w:szCs w:val="20"/>
                <w:color w:val="auto"/>
              </w:rPr>
            </w:pPr>
            <w:r>
              <w:rPr>
                <w:rFonts w:ascii="Arial" w:cs="Arial" w:eastAsia="Arial" w:hAnsi="Arial"/>
                <w:sz w:val="13"/>
                <w:szCs w:val="13"/>
                <w:b w:val="1"/>
                <w:bCs w:val="1"/>
                <w:color w:val="auto"/>
              </w:rPr>
              <w:t>Change in Pension</w:t>
            </w:r>
          </w:p>
        </w:tc>
        <w:tc>
          <w:tcPr>
            <w:tcW w:w="1380" w:type="dxa"/>
            <w:vAlign w:val="bottom"/>
          </w:tcPr>
          <w:p>
            <w:pPr>
              <w:jc w:val="right"/>
              <w:ind w:right="171"/>
              <w:spacing w:after="0"/>
              <w:rPr>
                <w:sz w:val="20"/>
                <w:szCs w:val="20"/>
                <w:color w:val="auto"/>
              </w:rPr>
            </w:pPr>
            <w:r>
              <w:rPr>
                <w:rFonts w:ascii="Arial" w:cs="Arial" w:eastAsia="Arial" w:hAnsi="Arial"/>
                <w:sz w:val="13"/>
                <w:szCs w:val="13"/>
                <w:b w:val="1"/>
                <w:bCs w:val="1"/>
                <w:color w:val="auto"/>
              </w:rPr>
              <w:t>Pension Service</w:t>
            </w:r>
          </w:p>
        </w:tc>
        <w:tc>
          <w:tcPr>
            <w:tcW w:w="1360" w:type="dxa"/>
            <w:vAlign w:val="bottom"/>
          </w:tcPr>
          <w:p>
            <w:pPr>
              <w:jc w:val="right"/>
              <w:ind w:right="231"/>
              <w:spacing w:after="0"/>
              <w:rPr>
                <w:sz w:val="20"/>
                <w:szCs w:val="20"/>
                <w:color w:val="auto"/>
              </w:rPr>
            </w:pPr>
            <w:r>
              <w:rPr>
                <w:rFonts w:ascii="Arial" w:cs="Arial" w:eastAsia="Arial" w:hAnsi="Arial"/>
                <w:sz w:val="13"/>
                <w:szCs w:val="13"/>
                <w:b w:val="1"/>
                <w:bCs w:val="1"/>
                <w:color w:val="auto"/>
              </w:rPr>
              <w:t>Prior Pension</w:t>
            </w:r>
          </w:p>
        </w:tc>
        <w:tc>
          <w:tcPr>
            <w:tcW w:w="1500" w:type="dxa"/>
            <w:vAlign w:val="bottom"/>
            <w:vMerge w:val="restart"/>
          </w:tcPr>
          <w:p>
            <w:pPr>
              <w:jc w:val="right"/>
              <w:ind w:right="410"/>
              <w:spacing w:after="0"/>
              <w:rPr>
                <w:sz w:val="20"/>
                <w:szCs w:val="20"/>
                <w:color w:val="auto"/>
              </w:rPr>
            </w:pPr>
            <w:r>
              <w:rPr>
                <w:rFonts w:ascii="Arial" w:cs="Arial" w:eastAsia="Arial" w:hAnsi="Arial"/>
                <w:sz w:val="13"/>
                <w:szCs w:val="13"/>
                <w:b w:val="1"/>
                <w:bCs w:val="1"/>
                <w:color w:val="auto"/>
              </w:rPr>
              <w:t>Equity Value</w:t>
            </w:r>
          </w:p>
        </w:tc>
        <w:tc>
          <w:tcPr>
            <w:tcW w:w="1040" w:type="dxa"/>
            <w:vAlign w:val="bottom"/>
            <w:gridSpan w:val="2"/>
            <w:vMerge w:val="restart"/>
          </w:tcPr>
          <w:p>
            <w:pPr>
              <w:ind w:left="540"/>
              <w:spacing w:after="0"/>
              <w:rPr>
                <w:sz w:val="20"/>
                <w:szCs w:val="20"/>
                <w:color w:val="auto"/>
              </w:rPr>
            </w:pPr>
            <w:r>
              <w:rPr>
                <w:rFonts w:ascii="Arial" w:cs="Arial" w:eastAsia="Arial" w:hAnsi="Arial"/>
                <w:sz w:val="13"/>
                <w:szCs w:val="13"/>
                <w:b w:val="1"/>
                <w:bCs w:val="1"/>
                <w:color w:val="auto"/>
              </w:rPr>
              <w:t>Total</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400" w:type="dxa"/>
            <w:vAlign w:val="bottom"/>
          </w:tcPr>
          <w:p>
            <w:pPr>
              <w:jc w:val="center"/>
              <w:ind w:left="671"/>
              <w:spacing w:after="0"/>
              <w:rPr>
                <w:sz w:val="20"/>
                <w:szCs w:val="20"/>
                <w:color w:val="auto"/>
              </w:rPr>
            </w:pPr>
            <w:r>
              <w:rPr>
                <w:rFonts w:ascii="Arial" w:cs="Arial" w:eastAsia="Arial" w:hAnsi="Arial"/>
                <w:sz w:val="13"/>
                <w:szCs w:val="13"/>
                <w:b w:val="1"/>
                <w:bCs w:val="1"/>
                <w:color w:val="auto"/>
                <w:w w:val="97"/>
              </w:rPr>
              <w:t>Value</w:t>
            </w:r>
          </w:p>
        </w:tc>
        <w:tc>
          <w:tcPr>
            <w:tcW w:w="1380" w:type="dxa"/>
            <w:vAlign w:val="bottom"/>
          </w:tcPr>
          <w:p>
            <w:pPr>
              <w:jc w:val="right"/>
              <w:ind w:right="171"/>
              <w:spacing w:after="0"/>
              <w:rPr>
                <w:sz w:val="20"/>
                <w:szCs w:val="20"/>
                <w:color w:val="auto"/>
              </w:rPr>
            </w:pPr>
            <w:r>
              <w:rPr>
                <w:rFonts w:ascii="Arial" w:cs="Arial" w:eastAsia="Arial" w:hAnsi="Arial"/>
                <w:sz w:val="13"/>
                <w:szCs w:val="13"/>
                <w:b w:val="1"/>
                <w:bCs w:val="1"/>
                <w:color w:val="auto"/>
              </w:rPr>
              <w:t>Cost</w:t>
            </w:r>
          </w:p>
        </w:tc>
        <w:tc>
          <w:tcPr>
            <w:tcW w:w="1360" w:type="dxa"/>
            <w:vAlign w:val="bottom"/>
          </w:tcPr>
          <w:p>
            <w:pPr>
              <w:jc w:val="right"/>
              <w:ind w:right="231"/>
              <w:spacing w:after="0"/>
              <w:rPr>
                <w:sz w:val="20"/>
                <w:szCs w:val="20"/>
                <w:color w:val="auto"/>
              </w:rPr>
            </w:pPr>
            <w:r>
              <w:rPr>
                <w:rFonts w:ascii="Arial" w:cs="Arial" w:eastAsia="Arial" w:hAnsi="Arial"/>
                <w:sz w:val="13"/>
                <w:szCs w:val="13"/>
                <w:b w:val="1"/>
                <w:bCs w:val="1"/>
                <w:color w:val="auto"/>
              </w:rPr>
              <w:t>Service Cost</w:t>
            </w:r>
          </w:p>
        </w:tc>
        <w:tc>
          <w:tcPr>
            <w:tcW w:w="150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1280" w:type="dxa"/>
            <w:vAlign w:val="bottom"/>
            <w:tcBorders>
              <w:top w:val="single" w:sz="8" w:color="00249C"/>
            </w:tcBorders>
            <w:shd w:val="clear" w:color="auto" w:fill="E1E0EF"/>
          </w:tcPr>
          <w:p>
            <w:pPr>
              <w:spacing w:after="0"/>
              <w:rPr>
                <w:sz w:val="20"/>
                <w:szCs w:val="20"/>
                <w:color w:val="auto"/>
              </w:rPr>
            </w:pPr>
            <w:r>
              <w:rPr>
                <w:rFonts w:ascii="Arial" w:cs="Arial" w:eastAsia="Arial" w:hAnsi="Arial"/>
                <w:sz w:val="14"/>
                <w:szCs w:val="14"/>
                <w:b w:val="1"/>
                <w:bCs w:val="1"/>
                <w:color w:val="29378D"/>
              </w:rPr>
              <w:t>2023</w:t>
            </w:r>
          </w:p>
        </w:tc>
        <w:tc>
          <w:tcPr>
            <w:tcW w:w="1320" w:type="dxa"/>
            <w:vAlign w:val="bottom"/>
            <w:tcBorders>
              <w:top w:val="single" w:sz="8" w:color="00249C"/>
            </w:tcBorders>
            <w:shd w:val="clear" w:color="auto" w:fill="DFDEEE"/>
          </w:tcPr>
          <w:p>
            <w:pPr>
              <w:jc w:val="right"/>
              <w:ind w:right="30"/>
              <w:spacing w:after="0"/>
              <w:rPr>
                <w:sz w:val="20"/>
                <w:szCs w:val="20"/>
                <w:color w:val="auto"/>
              </w:rPr>
            </w:pPr>
            <w:r>
              <w:rPr>
                <w:rFonts w:ascii="Arial" w:cs="Arial" w:eastAsia="Arial" w:hAnsi="Arial"/>
                <w:sz w:val="14"/>
                <w:szCs w:val="14"/>
                <w:color w:val="auto"/>
              </w:rPr>
              <w:t>24.7</w:t>
            </w:r>
          </w:p>
        </w:tc>
        <w:tc>
          <w:tcPr>
            <w:tcW w:w="1340" w:type="dxa"/>
            <w:vAlign w:val="bottom"/>
            <w:tcBorders>
              <w:top w:val="single" w:sz="8" w:color="00249C"/>
            </w:tcBorders>
            <w:shd w:val="clear" w:color="auto" w:fill="DFDEEE"/>
          </w:tcPr>
          <w:p>
            <w:pPr>
              <w:jc w:val="right"/>
              <w:ind w:right="10"/>
              <w:spacing w:after="0"/>
              <w:rPr>
                <w:sz w:val="20"/>
                <w:szCs w:val="20"/>
                <w:color w:val="auto"/>
              </w:rPr>
            </w:pPr>
            <w:r>
              <w:rPr>
                <w:rFonts w:ascii="Arial" w:cs="Arial" w:eastAsia="Arial" w:hAnsi="Arial"/>
                <w:sz w:val="14"/>
                <w:szCs w:val="14"/>
                <w:color w:val="auto"/>
              </w:rPr>
              <w:t>(16.0)</w:t>
            </w:r>
          </w:p>
        </w:tc>
        <w:tc>
          <w:tcPr>
            <w:tcW w:w="1400" w:type="dxa"/>
            <w:vAlign w:val="bottom"/>
            <w:tcBorders>
              <w:top w:val="single" w:sz="8" w:color="00249C"/>
            </w:tcBorders>
            <w:shd w:val="clear" w:color="auto" w:fill="DFDEEE"/>
          </w:tcPr>
          <w:p>
            <w:pPr>
              <w:jc w:val="center"/>
              <w:ind w:left="671"/>
              <w:spacing w:after="0"/>
              <w:rPr>
                <w:sz w:val="20"/>
                <w:szCs w:val="20"/>
                <w:color w:val="auto"/>
              </w:rPr>
            </w:pPr>
            <w:r>
              <w:rPr>
                <w:rFonts w:ascii="Arial" w:cs="Arial" w:eastAsia="Arial" w:hAnsi="Arial"/>
                <w:sz w:val="14"/>
                <w:szCs w:val="14"/>
                <w:color w:val="auto"/>
              </w:rPr>
              <w:t>(1.2)</w:t>
            </w:r>
          </w:p>
        </w:tc>
        <w:tc>
          <w:tcPr>
            <w:tcW w:w="1380" w:type="dxa"/>
            <w:vAlign w:val="bottom"/>
            <w:tcBorders>
              <w:top w:val="single" w:sz="8" w:color="00249C"/>
            </w:tcBorders>
            <w:shd w:val="clear" w:color="auto" w:fill="DFDEEE"/>
          </w:tcPr>
          <w:p>
            <w:pPr>
              <w:jc w:val="right"/>
              <w:ind w:right="211"/>
              <w:spacing w:after="0"/>
              <w:rPr>
                <w:sz w:val="20"/>
                <w:szCs w:val="20"/>
                <w:color w:val="auto"/>
              </w:rPr>
            </w:pPr>
            <w:r>
              <w:rPr>
                <w:rFonts w:ascii="Arial" w:cs="Arial" w:eastAsia="Arial" w:hAnsi="Arial"/>
                <w:sz w:val="14"/>
                <w:szCs w:val="14"/>
                <w:color w:val="auto"/>
              </w:rPr>
              <w:t>0.35</w:t>
            </w:r>
          </w:p>
        </w:tc>
        <w:tc>
          <w:tcPr>
            <w:tcW w:w="1360" w:type="dxa"/>
            <w:vAlign w:val="bottom"/>
            <w:tcBorders>
              <w:top w:val="single" w:sz="8" w:color="00249C"/>
            </w:tcBorders>
            <w:shd w:val="clear" w:color="auto" w:fill="DFDEEE"/>
          </w:tcPr>
          <w:p>
            <w:pPr>
              <w:ind w:left="880"/>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00249C"/>
            </w:tcBorders>
            <w:shd w:val="clear" w:color="auto" w:fill="DFDEEE"/>
          </w:tcPr>
          <w:p>
            <w:pPr>
              <w:jc w:val="right"/>
              <w:ind w:right="450"/>
              <w:spacing w:after="0"/>
              <w:rPr>
                <w:sz w:val="20"/>
                <w:szCs w:val="20"/>
                <w:color w:val="auto"/>
              </w:rPr>
            </w:pPr>
            <w:r>
              <w:rPr>
                <w:rFonts w:ascii="Arial" w:cs="Arial" w:eastAsia="Arial" w:hAnsi="Arial"/>
                <w:sz w:val="14"/>
                <w:szCs w:val="14"/>
                <w:color w:val="auto"/>
              </w:rPr>
              <w:t>5.5</w:t>
            </w:r>
          </w:p>
        </w:tc>
        <w:tc>
          <w:tcPr>
            <w:tcW w:w="840" w:type="dxa"/>
            <w:vAlign w:val="bottom"/>
            <w:tcBorders>
              <w:top w:val="single" w:sz="8" w:color="00249C"/>
            </w:tcBorders>
            <w:shd w:val="clear" w:color="auto" w:fill="DFDEEE"/>
          </w:tcPr>
          <w:p>
            <w:pPr>
              <w:jc w:val="right"/>
              <w:spacing w:after="0"/>
              <w:rPr>
                <w:sz w:val="20"/>
                <w:szCs w:val="20"/>
                <w:color w:val="auto"/>
              </w:rPr>
            </w:pPr>
            <w:r>
              <w:rPr>
                <w:rFonts w:ascii="Arial" w:cs="Arial" w:eastAsia="Arial" w:hAnsi="Arial"/>
                <w:sz w:val="14"/>
                <w:szCs w:val="14"/>
                <w:color w:val="auto"/>
              </w:rPr>
              <w:t>13.4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29378D"/>
              </w:rPr>
              <w:t>2022</w:t>
            </w: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20.7</w:t>
            </w:r>
          </w:p>
        </w:tc>
        <w:tc>
          <w:tcPr>
            <w:tcW w:w="1340" w:type="dxa"/>
            <w:vAlign w:val="bottom"/>
          </w:tcPr>
          <w:p>
            <w:pPr>
              <w:jc w:val="right"/>
              <w:ind w:right="10"/>
              <w:spacing w:after="0"/>
              <w:rPr>
                <w:sz w:val="20"/>
                <w:szCs w:val="20"/>
                <w:color w:val="auto"/>
              </w:rPr>
            </w:pPr>
            <w:r>
              <w:rPr>
                <w:rFonts w:ascii="Arial" w:cs="Arial" w:eastAsia="Arial" w:hAnsi="Arial"/>
                <w:sz w:val="14"/>
                <w:szCs w:val="14"/>
                <w:color w:val="auto"/>
              </w:rPr>
              <w:t>(14.3)</w:t>
            </w:r>
          </w:p>
        </w:tc>
        <w:tc>
          <w:tcPr>
            <w:tcW w:w="1400" w:type="dxa"/>
            <w:vAlign w:val="bottom"/>
          </w:tcPr>
          <w:p>
            <w:pPr>
              <w:ind w:left="104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11"/>
              <w:spacing w:after="0"/>
              <w:rPr>
                <w:sz w:val="20"/>
                <w:szCs w:val="20"/>
                <w:color w:val="auto"/>
              </w:rPr>
            </w:pPr>
            <w:r>
              <w:rPr>
                <w:rFonts w:ascii="Arial" w:cs="Arial" w:eastAsia="Arial" w:hAnsi="Arial"/>
                <w:sz w:val="14"/>
                <w:szCs w:val="14"/>
                <w:color w:val="auto"/>
              </w:rPr>
              <w:t>0.52</w:t>
            </w:r>
          </w:p>
        </w:tc>
        <w:tc>
          <w:tcPr>
            <w:tcW w:w="1360" w:type="dxa"/>
            <w:vAlign w:val="bottom"/>
          </w:tcPr>
          <w:p>
            <w:pPr>
              <w:ind w:left="88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50"/>
              <w:spacing w:after="0"/>
              <w:rPr>
                <w:sz w:val="20"/>
                <w:szCs w:val="20"/>
                <w:color w:val="auto"/>
              </w:rPr>
            </w:pPr>
            <w:r>
              <w:rPr>
                <w:rFonts w:ascii="Arial" w:cs="Arial" w:eastAsia="Arial" w:hAnsi="Arial"/>
                <w:sz w:val="14"/>
                <w:szCs w:val="14"/>
                <w:color w:val="auto"/>
              </w:rPr>
              <w:t>47.8</w:t>
            </w:r>
          </w:p>
        </w:tc>
        <w:tc>
          <w:tcPr>
            <w:tcW w:w="840" w:type="dxa"/>
            <w:vAlign w:val="bottom"/>
          </w:tcPr>
          <w:p>
            <w:pPr>
              <w:jc w:val="right"/>
              <w:spacing w:after="0"/>
              <w:rPr>
                <w:sz w:val="20"/>
                <w:szCs w:val="20"/>
                <w:color w:val="auto"/>
              </w:rPr>
            </w:pPr>
            <w:r>
              <w:rPr>
                <w:rFonts w:ascii="Arial" w:cs="Arial" w:eastAsia="Arial" w:hAnsi="Arial"/>
                <w:sz w:val="14"/>
                <w:szCs w:val="14"/>
                <w:color w:val="auto"/>
              </w:rPr>
              <w:t>54.7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280" w:type="dxa"/>
            <w:vAlign w:val="bottom"/>
            <w:tcBorders>
              <w:top w:val="single" w:sz="8" w:color="BCBEC0"/>
              <w:bottom w:val="single" w:sz="8" w:color="BCBEC0"/>
            </w:tcBorders>
            <w:shd w:val="clear" w:color="auto" w:fill="DFDEEE"/>
          </w:tcPr>
          <w:p>
            <w:pPr>
              <w:spacing w:after="0"/>
              <w:rPr>
                <w:sz w:val="20"/>
                <w:szCs w:val="20"/>
                <w:color w:val="auto"/>
              </w:rPr>
            </w:pPr>
            <w:r>
              <w:rPr>
                <w:rFonts w:ascii="Arial" w:cs="Arial" w:eastAsia="Arial" w:hAnsi="Arial"/>
                <w:sz w:val="14"/>
                <w:szCs w:val="14"/>
                <w:b w:val="1"/>
                <w:bCs w:val="1"/>
                <w:color w:val="29378D"/>
              </w:rPr>
              <w:t>2021</w:t>
            </w:r>
          </w:p>
        </w:tc>
        <w:tc>
          <w:tcPr>
            <w:tcW w:w="1320" w:type="dxa"/>
            <w:vAlign w:val="bottom"/>
            <w:tcBorders>
              <w:top w:val="single" w:sz="8" w:color="BCBEC0"/>
              <w:bottom w:val="single" w:sz="8" w:color="BCBEC0"/>
            </w:tcBorders>
            <w:shd w:val="clear" w:color="auto" w:fill="DFDEEE"/>
          </w:tcPr>
          <w:p>
            <w:pPr>
              <w:jc w:val="right"/>
              <w:ind w:right="30"/>
              <w:spacing w:after="0"/>
              <w:rPr>
                <w:sz w:val="20"/>
                <w:szCs w:val="20"/>
                <w:color w:val="auto"/>
              </w:rPr>
            </w:pPr>
            <w:r>
              <w:rPr>
                <w:rFonts w:ascii="Arial" w:cs="Arial" w:eastAsia="Arial" w:hAnsi="Arial"/>
                <w:sz w:val="14"/>
                <w:szCs w:val="14"/>
                <w:color w:val="auto"/>
              </w:rPr>
              <w:t>19.9</w:t>
            </w:r>
          </w:p>
        </w:tc>
        <w:tc>
          <w:tcPr>
            <w:tcW w:w="1340" w:type="dxa"/>
            <w:vAlign w:val="bottom"/>
            <w:tcBorders>
              <w:top w:val="single" w:sz="8" w:color="BCBEC0"/>
              <w:bottom w:val="single" w:sz="8" w:color="BCBEC0"/>
            </w:tcBorders>
            <w:shd w:val="clear" w:color="auto" w:fill="DFDEEE"/>
          </w:tcPr>
          <w:p>
            <w:pPr>
              <w:jc w:val="right"/>
              <w:ind w:right="10"/>
              <w:spacing w:after="0"/>
              <w:rPr>
                <w:sz w:val="20"/>
                <w:szCs w:val="20"/>
                <w:color w:val="auto"/>
              </w:rPr>
            </w:pPr>
            <w:r>
              <w:rPr>
                <w:rFonts w:ascii="Arial" w:cs="Arial" w:eastAsia="Arial" w:hAnsi="Arial"/>
                <w:sz w:val="14"/>
                <w:szCs w:val="14"/>
                <w:color w:val="auto"/>
              </w:rPr>
              <w:t>(13.5)</w:t>
            </w:r>
          </w:p>
        </w:tc>
        <w:tc>
          <w:tcPr>
            <w:tcW w:w="1400" w:type="dxa"/>
            <w:vAlign w:val="bottom"/>
            <w:tcBorders>
              <w:top w:val="single" w:sz="8" w:color="BCBEC0"/>
              <w:bottom w:val="single" w:sz="8" w:color="BCBEC0"/>
            </w:tcBorders>
            <w:shd w:val="clear" w:color="auto" w:fill="DFDEEE"/>
          </w:tcPr>
          <w:p>
            <w:pPr>
              <w:jc w:val="center"/>
              <w:ind w:left="671"/>
              <w:spacing w:after="0"/>
              <w:rPr>
                <w:sz w:val="20"/>
                <w:szCs w:val="20"/>
                <w:color w:val="auto"/>
              </w:rPr>
            </w:pPr>
            <w:r>
              <w:rPr>
                <w:rFonts w:ascii="Arial" w:cs="Arial" w:eastAsia="Arial" w:hAnsi="Arial"/>
                <w:sz w:val="14"/>
                <w:szCs w:val="14"/>
                <w:color w:val="auto"/>
              </w:rPr>
              <w:t>(0.4)</w:t>
            </w:r>
          </w:p>
        </w:tc>
        <w:tc>
          <w:tcPr>
            <w:tcW w:w="1380" w:type="dxa"/>
            <w:vAlign w:val="bottom"/>
            <w:tcBorders>
              <w:top w:val="single" w:sz="8" w:color="BCBEC0"/>
              <w:bottom w:val="single" w:sz="8" w:color="BCBEC0"/>
            </w:tcBorders>
            <w:shd w:val="clear" w:color="auto" w:fill="DFDEEE"/>
          </w:tcPr>
          <w:p>
            <w:pPr>
              <w:jc w:val="right"/>
              <w:ind w:right="211"/>
              <w:spacing w:after="0"/>
              <w:rPr>
                <w:sz w:val="20"/>
                <w:szCs w:val="20"/>
                <w:color w:val="auto"/>
              </w:rPr>
            </w:pPr>
            <w:r>
              <w:rPr>
                <w:rFonts w:ascii="Arial" w:cs="Arial" w:eastAsia="Arial" w:hAnsi="Arial"/>
                <w:sz w:val="14"/>
                <w:szCs w:val="14"/>
                <w:color w:val="auto"/>
              </w:rPr>
              <w:t>0.51</w:t>
            </w:r>
          </w:p>
        </w:tc>
        <w:tc>
          <w:tcPr>
            <w:tcW w:w="1360" w:type="dxa"/>
            <w:vAlign w:val="bottom"/>
            <w:tcBorders>
              <w:top w:val="single" w:sz="8" w:color="BCBEC0"/>
              <w:bottom w:val="single" w:sz="8" w:color="BCBEC0"/>
            </w:tcBorders>
            <w:shd w:val="clear" w:color="auto" w:fill="DFDEEE"/>
          </w:tcPr>
          <w:p>
            <w:pPr>
              <w:ind w:left="880"/>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BCBEC0"/>
              <w:bottom w:val="single" w:sz="8" w:color="BCBEC0"/>
            </w:tcBorders>
            <w:shd w:val="clear" w:color="auto" w:fill="DFDEEE"/>
          </w:tcPr>
          <w:p>
            <w:pPr>
              <w:jc w:val="right"/>
              <w:ind w:right="450"/>
              <w:spacing w:after="0"/>
              <w:rPr>
                <w:sz w:val="20"/>
                <w:szCs w:val="20"/>
                <w:color w:val="auto"/>
              </w:rPr>
            </w:pPr>
            <w:r>
              <w:rPr>
                <w:rFonts w:ascii="Arial" w:cs="Arial" w:eastAsia="Arial" w:hAnsi="Arial"/>
                <w:sz w:val="14"/>
                <w:szCs w:val="14"/>
                <w:color w:val="auto"/>
              </w:rPr>
              <w:t>32.4</w:t>
            </w:r>
          </w:p>
        </w:tc>
        <w:tc>
          <w:tcPr>
            <w:tcW w:w="840" w:type="dxa"/>
            <w:vAlign w:val="bottom"/>
            <w:tcBorders>
              <w:top w:val="single" w:sz="8" w:color="BCBEC0"/>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38.9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280" w:type="dxa"/>
            <w:vAlign w:val="bottom"/>
            <w:tcBorders>
              <w:bottom w:val="single" w:sz="8" w:color="BCBEC0"/>
            </w:tcBorders>
          </w:tcPr>
          <w:p>
            <w:pPr>
              <w:spacing w:after="0"/>
              <w:rPr>
                <w:sz w:val="20"/>
                <w:szCs w:val="20"/>
                <w:color w:val="auto"/>
              </w:rPr>
            </w:pPr>
            <w:r>
              <w:rPr>
                <w:rFonts w:ascii="Arial" w:cs="Arial" w:eastAsia="Arial" w:hAnsi="Arial"/>
                <w:sz w:val="14"/>
                <w:szCs w:val="14"/>
                <w:b w:val="1"/>
                <w:bCs w:val="1"/>
                <w:color w:val="29378D"/>
              </w:rPr>
              <w:t>2020</w:t>
            </w:r>
          </w:p>
        </w:tc>
        <w:tc>
          <w:tcPr>
            <w:tcW w:w="1320" w:type="dxa"/>
            <w:vAlign w:val="bottom"/>
            <w:tcBorders>
              <w:bottom w:val="single" w:sz="8" w:color="BCBEC0"/>
            </w:tcBorders>
          </w:tcPr>
          <w:p>
            <w:pPr>
              <w:jc w:val="right"/>
              <w:ind w:right="30"/>
              <w:spacing w:after="0"/>
              <w:rPr>
                <w:sz w:val="20"/>
                <w:szCs w:val="20"/>
                <w:color w:val="auto"/>
              </w:rPr>
            </w:pPr>
            <w:r>
              <w:rPr>
                <w:rFonts w:ascii="Arial" w:cs="Arial" w:eastAsia="Arial" w:hAnsi="Arial"/>
                <w:sz w:val="14"/>
                <w:szCs w:val="14"/>
                <w:color w:val="auto"/>
              </w:rPr>
              <w:t>20.8</w:t>
            </w:r>
          </w:p>
        </w:tc>
        <w:tc>
          <w:tcPr>
            <w:tcW w:w="1340" w:type="dxa"/>
            <w:vAlign w:val="bottom"/>
            <w:tcBorders>
              <w:bottom w:val="single" w:sz="8" w:color="BCBEC0"/>
            </w:tcBorders>
          </w:tcPr>
          <w:p>
            <w:pPr>
              <w:jc w:val="right"/>
              <w:ind w:right="10"/>
              <w:spacing w:after="0"/>
              <w:rPr>
                <w:sz w:val="20"/>
                <w:szCs w:val="20"/>
                <w:color w:val="auto"/>
              </w:rPr>
            </w:pPr>
            <w:r>
              <w:rPr>
                <w:rFonts w:ascii="Arial" w:cs="Arial" w:eastAsia="Arial" w:hAnsi="Arial"/>
                <w:sz w:val="14"/>
                <w:szCs w:val="14"/>
                <w:color w:val="auto"/>
              </w:rPr>
              <w:t>(13.5)</w:t>
            </w:r>
          </w:p>
        </w:tc>
        <w:tc>
          <w:tcPr>
            <w:tcW w:w="1400" w:type="dxa"/>
            <w:vAlign w:val="bottom"/>
            <w:tcBorders>
              <w:bottom w:val="single" w:sz="8" w:color="BCBEC0"/>
            </w:tcBorders>
          </w:tcPr>
          <w:p>
            <w:pPr>
              <w:jc w:val="center"/>
              <w:ind w:left="671"/>
              <w:spacing w:after="0"/>
              <w:rPr>
                <w:sz w:val="20"/>
                <w:szCs w:val="20"/>
                <w:color w:val="auto"/>
              </w:rPr>
            </w:pPr>
            <w:r>
              <w:rPr>
                <w:rFonts w:ascii="Arial" w:cs="Arial" w:eastAsia="Arial" w:hAnsi="Arial"/>
                <w:sz w:val="14"/>
                <w:szCs w:val="14"/>
                <w:color w:val="auto"/>
              </w:rPr>
              <w:t>(1.1)</w:t>
            </w:r>
          </w:p>
        </w:tc>
        <w:tc>
          <w:tcPr>
            <w:tcW w:w="1380" w:type="dxa"/>
            <w:vAlign w:val="bottom"/>
            <w:tcBorders>
              <w:bottom w:val="single" w:sz="8" w:color="BCBEC0"/>
            </w:tcBorders>
          </w:tcPr>
          <w:p>
            <w:pPr>
              <w:jc w:val="right"/>
              <w:ind w:right="211"/>
              <w:spacing w:after="0"/>
              <w:rPr>
                <w:sz w:val="20"/>
                <w:szCs w:val="20"/>
                <w:color w:val="auto"/>
              </w:rPr>
            </w:pPr>
            <w:r>
              <w:rPr>
                <w:rFonts w:ascii="Arial" w:cs="Arial" w:eastAsia="Arial" w:hAnsi="Arial"/>
                <w:sz w:val="14"/>
                <w:szCs w:val="14"/>
                <w:color w:val="auto"/>
              </w:rPr>
              <w:t>0.42</w:t>
            </w:r>
          </w:p>
        </w:tc>
        <w:tc>
          <w:tcPr>
            <w:tcW w:w="1360" w:type="dxa"/>
            <w:vAlign w:val="bottom"/>
            <w:tcBorders>
              <w:bottom w:val="single" w:sz="8" w:color="BCBEC0"/>
            </w:tcBorders>
          </w:tcPr>
          <w:p>
            <w:pPr>
              <w:ind w:left="88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BCBEC0"/>
            </w:tcBorders>
          </w:tcPr>
          <w:p>
            <w:pPr>
              <w:jc w:val="right"/>
              <w:ind w:right="450"/>
              <w:spacing w:after="0"/>
              <w:rPr>
                <w:sz w:val="20"/>
                <w:szCs w:val="20"/>
                <w:color w:val="auto"/>
              </w:rPr>
            </w:pPr>
            <w:r>
              <w:rPr>
                <w:rFonts w:ascii="Arial" w:cs="Arial" w:eastAsia="Arial" w:hAnsi="Arial"/>
                <w:sz w:val="14"/>
                <w:szCs w:val="14"/>
                <w:color w:val="auto"/>
              </w:rPr>
              <w:t>8.0</w:t>
            </w:r>
          </w:p>
        </w:tc>
        <w:tc>
          <w:tcPr>
            <w:tcW w:w="84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14.6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7"/>
        </w:trPr>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40" w:type="dxa"/>
            <w:vAlign w:val="bottom"/>
            <w:gridSpan w:val="3"/>
          </w:tcPr>
          <w:p>
            <w:pPr>
              <w:ind w:left="94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85</w:t>
            </w:r>
          </w:p>
        </w:tc>
        <w:tc>
          <w:tcPr>
            <w:tcW w:w="0" w:type="dxa"/>
            <w:vAlign w:val="bottom"/>
          </w:tcPr>
          <w:p>
            <w:pPr>
              <w:spacing w:after="0"/>
              <w:rPr>
                <w:sz w:val="1"/>
                <w:szCs w:val="1"/>
                <w:color w:val="auto"/>
              </w:rPr>
            </w:pPr>
          </w:p>
        </w:tc>
      </w:tr>
      <w:tr>
        <w:trPr>
          <w:trHeight w:val="306"/>
        </w:trPr>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98"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color w:val="auto"/>
        </w:rPr>
        <w:t>Pay Versus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60" w:type="dxa"/>
        <w:tblCellMar>
          <w:top w:w="0" w:type="dxa"/>
          <w:left w:w="0" w:type="dxa"/>
          <w:bottom w:w="0" w:type="dxa"/>
          <w:right w:w="0" w:type="dxa"/>
        </w:tblCellMar>
      </w:tblPr>
      <w:tr>
        <w:trPr>
          <w:trHeight w:val="172"/>
        </w:trPr>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60" w:type="dxa"/>
            <w:vAlign w:val="bottom"/>
            <w:gridSpan w:val="2"/>
          </w:tcPr>
          <w:p>
            <w:pPr>
              <w:jc w:val="right"/>
              <w:ind w:right="92"/>
              <w:spacing w:after="0"/>
              <w:rPr>
                <w:sz w:val="20"/>
                <w:szCs w:val="20"/>
                <w:color w:val="auto"/>
              </w:rPr>
            </w:pPr>
            <w:r>
              <w:rPr>
                <w:rFonts w:ascii="Arial" w:cs="Arial" w:eastAsia="Arial" w:hAnsi="Arial"/>
                <w:sz w:val="13"/>
                <w:szCs w:val="13"/>
                <w:b w:val="1"/>
                <w:bCs w:val="1"/>
                <w:color w:val="auto"/>
              </w:rPr>
              <w:t>CAP Calculation (per SEC)</w:t>
            </w: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1280" w:type="dxa"/>
            <w:vAlign w:val="bottom"/>
            <w:tcBorders>
              <w:bottom w:val="single" w:sz="8" w:color="29378D"/>
            </w:tcBorders>
          </w:tcPr>
          <w:p>
            <w:pPr>
              <w:spacing w:after="0" w:line="20" w:lineRule="exact"/>
              <w:rPr>
                <w:sz w:val="1"/>
                <w:szCs w:val="1"/>
                <w:color w:val="auto"/>
              </w:rPr>
            </w:pPr>
          </w:p>
        </w:tc>
        <w:tc>
          <w:tcPr>
            <w:tcW w:w="1380" w:type="dxa"/>
            <w:vAlign w:val="bottom"/>
            <w:tcBorders>
              <w:bottom w:val="single" w:sz="8" w:color="29378D"/>
            </w:tcBorders>
          </w:tcPr>
          <w:p>
            <w:pPr>
              <w:spacing w:after="0" w:line="20" w:lineRule="exact"/>
              <w:rPr>
                <w:sz w:val="1"/>
                <w:szCs w:val="1"/>
                <w:color w:val="auto"/>
              </w:rPr>
            </w:pPr>
          </w:p>
        </w:tc>
        <w:tc>
          <w:tcPr>
            <w:tcW w:w="1240" w:type="dxa"/>
            <w:vAlign w:val="bottom"/>
            <w:tcBorders>
              <w:bottom w:val="single" w:sz="8" w:color="29378D"/>
            </w:tcBorders>
          </w:tcPr>
          <w:p>
            <w:pPr>
              <w:spacing w:after="0" w:line="20" w:lineRule="exact"/>
              <w:rPr>
                <w:sz w:val="1"/>
                <w:szCs w:val="1"/>
                <w:color w:val="auto"/>
              </w:rPr>
            </w:pPr>
          </w:p>
        </w:tc>
        <w:tc>
          <w:tcPr>
            <w:tcW w:w="1620" w:type="dxa"/>
            <w:vAlign w:val="bottom"/>
            <w:tcBorders>
              <w:bottom w:val="single" w:sz="8" w:color="29378D"/>
            </w:tcBorders>
          </w:tcPr>
          <w:p>
            <w:pPr>
              <w:spacing w:after="0" w:line="20" w:lineRule="exact"/>
              <w:rPr>
                <w:sz w:val="1"/>
                <w:szCs w:val="1"/>
                <w:color w:val="auto"/>
              </w:rPr>
            </w:pPr>
          </w:p>
        </w:tc>
        <w:tc>
          <w:tcPr>
            <w:tcW w:w="1280" w:type="dxa"/>
            <w:vAlign w:val="bottom"/>
            <w:tcBorders>
              <w:bottom w:val="single" w:sz="8" w:color="29378D"/>
            </w:tcBorders>
          </w:tcPr>
          <w:p>
            <w:pPr>
              <w:spacing w:after="0" w:line="20" w:lineRule="exact"/>
              <w:rPr>
                <w:sz w:val="1"/>
                <w:szCs w:val="1"/>
                <w:color w:val="auto"/>
              </w:rPr>
            </w:pPr>
          </w:p>
        </w:tc>
        <w:tc>
          <w:tcPr>
            <w:tcW w:w="1520" w:type="dxa"/>
            <w:vAlign w:val="bottom"/>
            <w:tcBorders>
              <w:bottom w:val="single" w:sz="8" w:color="29378D"/>
            </w:tcBorders>
          </w:tcPr>
          <w:p>
            <w:pPr>
              <w:spacing w:after="0" w:line="20" w:lineRule="exact"/>
              <w:rPr>
                <w:sz w:val="1"/>
                <w:szCs w:val="1"/>
                <w:color w:val="auto"/>
              </w:rPr>
            </w:pPr>
          </w:p>
        </w:tc>
        <w:tc>
          <w:tcPr>
            <w:tcW w:w="82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1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20" w:type="dxa"/>
            <w:vAlign w:val="bottom"/>
          </w:tcPr>
          <w:p>
            <w:pPr>
              <w:jc w:val="right"/>
              <w:ind w:right="232"/>
              <w:spacing w:after="0"/>
              <w:rPr>
                <w:sz w:val="20"/>
                <w:szCs w:val="20"/>
                <w:color w:val="auto"/>
              </w:rPr>
            </w:pPr>
            <w:r>
              <w:rPr>
                <w:rFonts w:ascii="Arial" w:cs="Arial" w:eastAsia="Arial" w:hAnsi="Arial"/>
                <w:sz w:val="13"/>
                <w:szCs w:val="13"/>
                <w:b w:val="1"/>
                <w:bCs w:val="1"/>
                <w:color w:val="auto"/>
                <w:w w:val="97"/>
              </w:rPr>
              <w:t>Non-PEO NEOs (Avg)</w:t>
            </w:r>
          </w:p>
        </w:tc>
        <w:tc>
          <w:tcPr>
            <w:tcW w:w="1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280" w:type="dxa"/>
            <w:vAlign w:val="bottom"/>
          </w:tcPr>
          <w:p>
            <w:pPr>
              <w:spacing w:after="0" w:line="20" w:lineRule="exact"/>
              <w:rPr>
                <w:sz w:val="1"/>
                <w:szCs w:val="1"/>
                <w:color w:val="auto"/>
              </w:rPr>
            </w:pPr>
          </w:p>
        </w:tc>
        <w:tc>
          <w:tcPr>
            <w:tcW w:w="1280" w:type="dxa"/>
            <w:vAlign w:val="bottom"/>
            <w:tcBorders>
              <w:bottom w:val="single" w:sz="8" w:color="29378D"/>
            </w:tcBorders>
          </w:tcPr>
          <w:p>
            <w:pPr>
              <w:spacing w:after="0" w:line="20" w:lineRule="exact"/>
              <w:rPr>
                <w:sz w:val="1"/>
                <w:szCs w:val="1"/>
                <w:color w:val="auto"/>
              </w:rPr>
            </w:pPr>
          </w:p>
        </w:tc>
        <w:tc>
          <w:tcPr>
            <w:tcW w:w="1380" w:type="dxa"/>
            <w:vAlign w:val="bottom"/>
            <w:tcBorders>
              <w:bottom w:val="single" w:sz="8" w:color="29378D"/>
            </w:tcBorders>
          </w:tcPr>
          <w:p>
            <w:pPr>
              <w:spacing w:after="0" w:line="20" w:lineRule="exact"/>
              <w:rPr>
                <w:sz w:val="1"/>
                <w:szCs w:val="1"/>
                <w:color w:val="auto"/>
              </w:rPr>
            </w:pPr>
          </w:p>
        </w:tc>
        <w:tc>
          <w:tcPr>
            <w:tcW w:w="1240" w:type="dxa"/>
            <w:vAlign w:val="bottom"/>
            <w:tcBorders>
              <w:bottom w:val="single" w:sz="8" w:color="29378D"/>
            </w:tcBorders>
          </w:tcPr>
          <w:p>
            <w:pPr>
              <w:spacing w:after="0" w:line="20" w:lineRule="exact"/>
              <w:rPr>
                <w:sz w:val="1"/>
                <w:szCs w:val="1"/>
                <w:color w:val="auto"/>
              </w:rPr>
            </w:pPr>
          </w:p>
        </w:tc>
        <w:tc>
          <w:tcPr>
            <w:tcW w:w="1620" w:type="dxa"/>
            <w:vAlign w:val="bottom"/>
            <w:tcBorders>
              <w:bottom w:val="single" w:sz="8" w:color="29378D"/>
            </w:tcBorders>
          </w:tcPr>
          <w:p>
            <w:pPr>
              <w:spacing w:after="0" w:line="20" w:lineRule="exact"/>
              <w:rPr>
                <w:sz w:val="1"/>
                <w:szCs w:val="1"/>
                <w:color w:val="auto"/>
              </w:rPr>
            </w:pPr>
          </w:p>
        </w:tc>
        <w:tc>
          <w:tcPr>
            <w:tcW w:w="1280" w:type="dxa"/>
            <w:vAlign w:val="bottom"/>
            <w:tcBorders>
              <w:bottom w:val="single" w:sz="8" w:color="29378D"/>
            </w:tcBorders>
          </w:tcPr>
          <w:p>
            <w:pPr>
              <w:spacing w:after="0" w:line="20" w:lineRule="exact"/>
              <w:rPr>
                <w:sz w:val="1"/>
                <w:szCs w:val="1"/>
                <w:color w:val="auto"/>
              </w:rPr>
            </w:pPr>
          </w:p>
        </w:tc>
        <w:tc>
          <w:tcPr>
            <w:tcW w:w="1520" w:type="dxa"/>
            <w:vAlign w:val="bottom"/>
            <w:tcBorders>
              <w:bottom w:val="single" w:sz="8" w:color="29378D"/>
            </w:tcBorders>
          </w:tcPr>
          <w:p>
            <w:pPr>
              <w:spacing w:after="0" w:line="20" w:lineRule="exact"/>
              <w:rPr>
                <w:sz w:val="1"/>
                <w:szCs w:val="1"/>
                <w:color w:val="auto"/>
              </w:rPr>
            </w:pPr>
          </w:p>
        </w:tc>
        <w:tc>
          <w:tcPr>
            <w:tcW w:w="82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1280" w:type="dxa"/>
            <w:vAlign w:val="bottom"/>
            <w:vMerge w:val="restart"/>
          </w:tcPr>
          <w:p>
            <w:pPr>
              <w:spacing w:after="0"/>
              <w:rPr>
                <w:sz w:val="20"/>
                <w:szCs w:val="20"/>
                <w:color w:val="auto"/>
              </w:rPr>
            </w:pPr>
            <w:r>
              <w:rPr>
                <w:rFonts w:ascii="Arial" w:cs="Arial" w:eastAsia="Arial" w:hAnsi="Arial"/>
                <w:sz w:val="13"/>
                <w:szCs w:val="13"/>
                <w:b w:val="1"/>
                <w:bCs w:val="1"/>
                <w:color w:val="auto"/>
              </w:rPr>
              <w:t>Year ($M)</w:t>
            </w:r>
          </w:p>
        </w:tc>
        <w:tc>
          <w:tcPr>
            <w:tcW w:w="1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SCT Total</w:t>
            </w:r>
          </w:p>
        </w:tc>
        <w:tc>
          <w:tcPr>
            <w:tcW w:w="1380" w:type="dxa"/>
            <w:vAlign w:val="bottom"/>
            <w:vMerge w:val="restart"/>
          </w:tcPr>
          <w:p>
            <w:pPr>
              <w:jc w:val="right"/>
              <w:ind w:right="10"/>
              <w:spacing w:after="0"/>
              <w:rPr>
                <w:sz w:val="20"/>
                <w:szCs w:val="20"/>
                <w:color w:val="auto"/>
              </w:rPr>
            </w:pPr>
            <w:r>
              <w:rPr>
                <w:rFonts w:ascii="Arial" w:cs="Arial" w:eastAsia="Arial" w:hAnsi="Arial"/>
                <w:sz w:val="13"/>
                <w:szCs w:val="13"/>
                <w:b w:val="1"/>
                <w:bCs w:val="1"/>
                <w:color w:val="auto"/>
              </w:rPr>
              <w:t>Annual Stock Award</w:t>
            </w:r>
          </w:p>
        </w:tc>
        <w:tc>
          <w:tcPr>
            <w:tcW w:w="1240" w:type="dxa"/>
            <w:vAlign w:val="bottom"/>
          </w:tcPr>
          <w:p>
            <w:pPr>
              <w:ind w:left="100"/>
              <w:spacing w:after="0"/>
              <w:rPr>
                <w:sz w:val="20"/>
                <w:szCs w:val="20"/>
                <w:color w:val="auto"/>
              </w:rPr>
            </w:pPr>
            <w:r>
              <w:rPr>
                <w:rFonts w:ascii="Arial" w:cs="Arial" w:eastAsia="Arial" w:hAnsi="Arial"/>
                <w:sz w:val="13"/>
                <w:szCs w:val="13"/>
                <w:b w:val="1"/>
                <w:bCs w:val="1"/>
                <w:color w:val="auto"/>
                <w:w w:val="95"/>
              </w:rPr>
              <w:t>Change in Pension</w:t>
            </w:r>
          </w:p>
        </w:tc>
        <w:tc>
          <w:tcPr>
            <w:tcW w:w="1620" w:type="dxa"/>
            <w:vAlign w:val="bottom"/>
          </w:tcPr>
          <w:p>
            <w:pPr>
              <w:jc w:val="right"/>
              <w:ind w:right="252"/>
              <w:spacing w:after="0"/>
              <w:rPr>
                <w:sz w:val="20"/>
                <w:szCs w:val="20"/>
                <w:color w:val="auto"/>
              </w:rPr>
            </w:pPr>
            <w:r>
              <w:rPr>
                <w:rFonts w:ascii="Arial" w:cs="Arial" w:eastAsia="Arial" w:hAnsi="Arial"/>
                <w:sz w:val="13"/>
                <w:szCs w:val="13"/>
                <w:b w:val="1"/>
                <w:bCs w:val="1"/>
                <w:color w:val="auto"/>
              </w:rPr>
              <w:t>Pension Service</w:t>
            </w:r>
          </w:p>
        </w:tc>
        <w:tc>
          <w:tcPr>
            <w:tcW w:w="1280" w:type="dxa"/>
            <w:vAlign w:val="bottom"/>
          </w:tcPr>
          <w:p>
            <w:pPr>
              <w:jc w:val="right"/>
              <w:ind w:right="231"/>
              <w:spacing w:after="0"/>
              <w:rPr>
                <w:sz w:val="20"/>
                <w:szCs w:val="20"/>
                <w:color w:val="auto"/>
              </w:rPr>
            </w:pPr>
            <w:r>
              <w:rPr>
                <w:rFonts w:ascii="Arial" w:cs="Arial" w:eastAsia="Arial" w:hAnsi="Arial"/>
                <w:sz w:val="13"/>
                <w:szCs w:val="13"/>
                <w:b w:val="1"/>
                <w:bCs w:val="1"/>
                <w:color w:val="auto"/>
              </w:rPr>
              <w:t>Prior Pension</w:t>
            </w:r>
          </w:p>
        </w:tc>
        <w:tc>
          <w:tcPr>
            <w:tcW w:w="1520" w:type="dxa"/>
            <w:vAlign w:val="bottom"/>
            <w:vMerge w:val="restart"/>
          </w:tcPr>
          <w:p>
            <w:pPr>
              <w:jc w:val="right"/>
              <w:ind w:right="430"/>
              <w:spacing w:after="0"/>
              <w:rPr>
                <w:sz w:val="20"/>
                <w:szCs w:val="20"/>
                <w:color w:val="auto"/>
              </w:rPr>
            </w:pPr>
            <w:r>
              <w:rPr>
                <w:rFonts w:ascii="Arial" w:cs="Arial" w:eastAsia="Arial" w:hAnsi="Arial"/>
                <w:sz w:val="13"/>
                <w:szCs w:val="13"/>
                <w:b w:val="1"/>
                <w:bCs w:val="1"/>
                <w:color w:val="auto"/>
              </w:rPr>
              <w:t>Equity Value</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1280" w:type="dxa"/>
            <w:vAlign w:val="bottom"/>
            <w:tcBorders>
              <w:bottom w:val="single" w:sz="8" w:color="29378D"/>
            </w:tcBorders>
            <w:vMerge w:val="continue"/>
          </w:tcPr>
          <w:p>
            <w:pPr>
              <w:spacing w:after="0"/>
              <w:rPr>
                <w:sz w:val="15"/>
                <w:szCs w:val="15"/>
                <w:color w:val="auto"/>
              </w:rPr>
            </w:pPr>
          </w:p>
        </w:tc>
        <w:tc>
          <w:tcPr>
            <w:tcW w:w="1280" w:type="dxa"/>
            <w:vAlign w:val="bottom"/>
            <w:tcBorders>
              <w:bottom w:val="single" w:sz="8" w:color="29378D"/>
            </w:tcBorders>
            <w:vMerge w:val="continue"/>
          </w:tcPr>
          <w:p>
            <w:pPr>
              <w:spacing w:after="0"/>
              <w:rPr>
                <w:sz w:val="15"/>
                <w:szCs w:val="15"/>
                <w:color w:val="auto"/>
              </w:rPr>
            </w:pPr>
          </w:p>
        </w:tc>
        <w:tc>
          <w:tcPr>
            <w:tcW w:w="1380" w:type="dxa"/>
            <w:vAlign w:val="bottom"/>
            <w:tcBorders>
              <w:bottom w:val="single" w:sz="8" w:color="29378D"/>
            </w:tcBorders>
            <w:vMerge w:val="continue"/>
          </w:tcPr>
          <w:p>
            <w:pPr>
              <w:spacing w:after="0"/>
              <w:rPr>
                <w:sz w:val="15"/>
                <w:szCs w:val="15"/>
                <w:color w:val="auto"/>
              </w:rPr>
            </w:pPr>
          </w:p>
        </w:tc>
        <w:tc>
          <w:tcPr>
            <w:tcW w:w="1240" w:type="dxa"/>
            <w:vAlign w:val="bottom"/>
            <w:tcBorders>
              <w:bottom w:val="single" w:sz="8" w:color="29378D"/>
            </w:tcBorders>
          </w:tcPr>
          <w:p>
            <w:pPr>
              <w:jc w:val="center"/>
              <w:ind w:left="832"/>
              <w:spacing w:after="0"/>
              <w:rPr>
                <w:sz w:val="20"/>
                <w:szCs w:val="20"/>
                <w:color w:val="auto"/>
              </w:rPr>
            </w:pPr>
            <w:r>
              <w:rPr>
                <w:rFonts w:ascii="Arial" w:cs="Arial" w:eastAsia="Arial" w:hAnsi="Arial"/>
                <w:sz w:val="13"/>
                <w:szCs w:val="13"/>
                <w:b w:val="1"/>
                <w:bCs w:val="1"/>
                <w:color w:val="auto"/>
                <w:w w:val="97"/>
              </w:rPr>
              <w:t>Value</w:t>
            </w:r>
          </w:p>
        </w:tc>
        <w:tc>
          <w:tcPr>
            <w:tcW w:w="1620" w:type="dxa"/>
            <w:vAlign w:val="bottom"/>
            <w:tcBorders>
              <w:bottom w:val="single" w:sz="8" w:color="29378D"/>
            </w:tcBorders>
          </w:tcPr>
          <w:p>
            <w:pPr>
              <w:jc w:val="right"/>
              <w:ind w:right="252"/>
              <w:spacing w:after="0"/>
              <w:rPr>
                <w:sz w:val="20"/>
                <w:szCs w:val="20"/>
                <w:color w:val="auto"/>
              </w:rPr>
            </w:pPr>
            <w:r>
              <w:rPr>
                <w:rFonts w:ascii="Arial" w:cs="Arial" w:eastAsia="Arial" w:hAnsi="Arial"/>
                <w:sz w:val="13"/>
                <w:szCs w:val="13"/>
                <w:b w:val="1"/>
                <w:bCs w:val="1"/>
                <w:color w:val="auto"/>
              </w:rPr>
              <w:t>Cost</w:t>
            </w:r>
          </w:p>
        </w:tc>
        <w:tc>
          <w:tcPr>
            <w:tcW w:w="1280" w:type="dxa"/>
            <w:vAlign w:val="bottom"/>
            <w:tcBorders>
              <w:bottom w:val="single" w:sz="8" w:color="29378D"/>
            </w:tcBorders>
          </w:tcPr>
          <w:p>
            <w:pPr>
              <w:jc w:val="right"/>
              <w:ind w:right="231"/>
              <w:spacing w:after="0"/>
              <w:rPr>
                <w:sz w:val="20"/>
                <w:szCs w:val="20"/>
                <w:color w:val="auto"/>
              </w:rPr>
            </w:pPr>
            <w:r>
              <w:rPr>
                <w:rFonts w:ascii="Arial" w:cs="Arial" w:eastAsia="Arial" w:hAnsi="Arial"/>
                <w:sz w:val="13"/>
                <w:szCs w:val="13"/>
                <w:b w:val="1"/>
                <w:bCs w:val="1"/>
                <w:color w:val="auto"/>
              </w:rPr>
              <w:t>Service Cost</w:t>
            </w:r>
          </w:p>
        </w:tc>
        <w:tc>
          <w:tcPr>
            <w:tcW w:w="1520" w:type="dxa"/>
            <w:vAlign w:val="bottom"/>
            <w:tcBorders>
              <w:bottom w:val="single" w:sz="8" w:color="29378D"/>
            </w:tcBorders>
            <w:vMerge w:val="continue"/>
          </w:tcPr>
          <w:p>
            <w:pPr>
              <w:spacing w:after="0"/>
              <w:rPr>
                <w:sz w:val="15"/>
                <w:szCs w:val="15"/>
                <w:color w:val="auto"/>
              </w:rPr>
            </w:pPr>
          </w:p>
        </w:tc>
        <w:tc>
          <w:tcPr>
            <w:tcW w:w="820" w:type="dxa"/>
            <w:vAlign w:val="bottom"/>
            <w:tcBorders>
              <w:bottom w:val="single" w:sz="8" w:color="29378D"/>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280" w:type="dxa"/>
            <w:vAlign w:val="bottom"/>
            <w:shd w:val="clear" w:color="auto" w:fill="E1E0EF"/>
          </w:tcPr>
          <w:p>
            <w:pPr>
              <w:spacing w:after="0"/>
              <w:rPr>
                <w:sz w:val="20"/>
                <w:szCs w:val="20"/>
                <w:color w:val="auto"/>
              </w:rPr>
            </w:pPr>
            <w:r>
              <w:rPr>
                <w:rFonts w:ascii="Arial" w:cs="Arial" w:eastAsia="Arial" w:hAnsi="Arial"/>
                <w:sz w:val="14"/>
                <w:szCs w:val="14"/>
                <w:b w:val="1"/>
                <w:bCs w:val="1"/>
                <w:color w:val="29378D"/>
              </w:rPr>
              <w:t>2023</w:t>
            </w:r>
          </w:p>
        </w:tc>
        <w:tc>
          <w:tcPr>
            <w:tcW w:w="12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5.8</w:t>
            </w:r>
          </w:p>
        </w:tc>
        <w:tc>
          <w:tcPr>
            <w:tcW w:w="1380" w:type="dxa"/>
            <w:vAlign w:val="bottom"/>
            <w:shd w:val="clear" w:color="auto" w:fill="DFDEEE"/>
          </w:tcPr>
          <w:p>
            <w:pPr>
              <w:jc w:val="right"/>
              <w:ind w:right="10"/>
              <w:spacing w:after="0"/>
              <w:rPr>
                <w:sz w:val="20"/>
                <w:szCs w:val="20"/>
                <w:color w:val="auto"/>
              </w:rPr>
            </w:pPr>
            <w:r>
              <w:rPr>
                <w:rFonts w:ascii="Arial" w:cs="Arial" w:eastAsia="Arial" w:hAnsi="Arial"/>
                <w:sz w:val="14"/>
                <w:szCs w:val="14"/>
                <w:color w:val="auto"/>
              </w:rPr>
              <w:t>(3.2)</w:t>
            </w:r>
          </w:p>
        </w:tc>
        <w:tc>
          <w:tcPr>
            <w:tcW w:w="1240" w:type="dxa"/>
            <w:vAlign w:val="bottom"/>
            <w:shd w:val="clear" w:color="auto" w:fill="DFDEEE"/>
          </w:tcPr>
          <w:p>
            <w:pPr>
              <w:jc w:val="center"/>
              <w:ind w:left="832"/>
              <w:spacing w:after="0"/>
              <w:rPr>
                <w:sz w:val="20"/>
                <w:szCs w:val="20"/>
                <w:color w:val="auto"/>
              </w:rPr>
            </w:pPr>
            <w:r>
              <w:rPr>
                <w:rFonts w:ascii="Arial" w:cs="Arial" w:eastAsia="Arial" w:hAnsi="Arial"/>
                <w:sz w:val="14"/>
                <w:szCs w:val="14"/>
                <w:color w:val="auto"/>
              </w:rPr>
              <w:t>(0.2)</w:t>
            </w:r>
          </w:p>
        </w:tc>
        <w:tc>
          <w:tcPr>
            <w:tcW w:w="1620" w:type="dxa"/>
            <w:vAlign w:val="bottom"/>
            <w:shd w:val="clear" w:color="auto" w:fill="DFDEEE"/>
          </w:tcPr>
          <w:p>
            <w:pPr>
              <w:jc w:val="right"/>
              <w:ind w:right="292"/>
              <w:spacing w:after="0"/>
              <w:rPr>
                <w:sz w:val="20"/>
                <w:szCs w:val="20"/>
                <w:color w:val="auto"/>
              </w:rPr>
            </w:pPr>
            <w:r>
              <w:rPr>
                <w:rFonts w:ascii="Arial" w:cs="Arial" w:eastAsia="Arial" w:hAnsi="Arial"/>
                <w:sz w:val="14"/>
                <w:szCs w:val="14"/>
                <w:color w:val="auto"/>
              </w:rPr>
              <w:t>0.04</w:t>
            </w:r>
          </w:p>
        </w:tc>
        <w:tc>
          <w:tcPr>
            <w:tcW w:w="1280" w:type="dxa"/>
            <w:vAlign w:val="bottom"/>
            <w:shd w:val="clear" w:color="auto" w:fill="DFDEEE"/>
          </w:tcPr>
          <w:p>
            <w:pPr>
              <w:ind w:left="800"/>
              <w:spacing w:after="0"/>
              <w:rPr>
                <w:sz w:val="20"/>
                <w:szCs w:val="20"/>
                <w:color w:val="auto"/>
              </w:rPr>
            </w:pPr>
            <w:r>
              <w:rPr>
                <w:rFonts w:ascii="Arial" w:cs="Arial" w:eastAsia="Arial" w:hAnsi="Arial"/>
                <w:sz w:val="14"/>
                <w:szCs w:val="14"/>
                <w:color w:val="auto"/>
              </w:rPr>
              <w:t>—</w:t>
            </w:r>
          </w:p>
        </w:tc>
        <w:tc>
          <w:tcPr>
            <w:tcW w:w="1520" w:type="dxa"/>
            <w:vAlign w:val="bottom"/>
            <w:shd w:val="clear" w:color="auto" w:fill="DFDEEE"/>
          </w:tcPr>
          <w:p>
            <w:pPr>
              <w:jc w:val="right"/>
              <w:ind w:right="470"/>
              <w:spacing w:after="0"/>
              <w:rPr>
                <w:sz w:val="20"/>
                <w:szCs w:val="20"/>
                <w:color w:val="auto"/>
              </w:rPr>
            </w:pPr>
            <w:r>
              <w:rPr>
                <w:rFonts w:ascii="Arial" w:cs="Arial" w:eastAsia="Arial" w:hAnsi="Arial"/>
                <w:sz w:val="14"/>
                <w:szCs w:val="14"/>
                <w:color w:val="auto"/>
              </w:rPr>
              <w:t>1.5</w:t>
            </w:r>
          </w:p>
        </w:tc>
        <w:tc>
          <w:tcPr>
            <w:tcW w:w="820" w:type="dxa"/>
            <w:vAlign w:val="bottom"/>
            <w:shd w:val="clear" w:color="auto" w:fill="DFDEEE"/>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9"/>
        </w:trPr>
        <w:tc>
          <w:tcPr>
            <w:tcW w:w="1280" w:type="dxa"/>
            <w:vAlign w:val="bottom"/>
            <w:tcBorders>
              <w:bottom w:val="single" w:sz="8" w:color="BCBEC0"/>
            </w:tcBorders>
          </w:tcPr>
          <w:p>
            <w:pPr>
              <w:spacing w:after="0"/>
              <w:rPr>
                <w:sz w:val="20"/>
                <w:szCs w:val="20"/>
                <w:color w:val="auto"/>
              </w:rPr>
            </w:pPr>
            <w:r>
              <w:rPr>
                <w:rFonts w:ascii="Arial" w:cs="Arial" w:eastAsia="Arial" w:hAnsi="Arial"/>
                <w:sz w:val="14"/>
                <w:szCs w:val="14"/>
                <w:b w:val="1"/>
                <w:bCs w:val="1"/>
                <w:color w:val="29378D"/>
              </w:rPr>
              <w:t>2022</w:t>
            </w:r>
          </w:p>
        </w:tc>
        <w:tc>
          <w:tcPr>
            <w:tcW w:w="1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5.4</w:t>
            </w:r>
          </w:p>
        </w:tc>
        <w:tc>
          <w:tcPr>
            <w:tcW w:w="1380" w:type="dxa"/>
            <w:vAlign w:val="bottom"/>
            <w:tcBorders>
              <w:bottom w:val="single" w:sz="8" w:color="BCBEC0"/>
            </w:tcBorders>
          </w:tcPr>
          <w:p>
            <w:pPr>
              <w:jc w:val="right"/>
              <w:ind w:right="10"/>
              <w:spacing w:after="0"/>
              <w:rPr>
                <w:sz w:val="20"/>
                <w:szCs w:val="20"/>
                <w:color w:val="auto"/>
              </w:rPr>
            </w:pPr>
            <w:r>
              <w:rPr>
                <w:rFonts w:ascii="Arial" w:cs="Arial" w:eastAsia="Arial" w:hAnsi="Arial"/>
                <w:sz w:val="14"/>
                <w:szCs w:val="14"/>
                <w:color w:val="auto"/>
              </w:rPr>
              <w:t>(3.4)</w:t>
            </w:r>
          </w:p>
        </w:tc>
        <w:tc>
          <w:tcPr>
            <w:tcW w:w="1240" w:type="dxa"/>
            <w:vAlign w:val="bottom"/>
            <w:tcBorders>
              <w:bottom w:val="single" w:sz="8" w:color="BCBEC0"/>
            </w:tcBorders>
          </w:tcPr>
          <w:p>
            <w:pPr>
              <w:ind w:left="104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BCBEC0"/>
            </w:tcBorders>
          </w:tcPr>
          <w:p>
            <w:pPr>
              <w:jc w:val="right"/>
              <w:ind w:right="292"/>
              <w:spacing w:after="0"/>
              <w:rPr>
                <w:sz w:val="20"/>
                <w:szCs w:val="20"/>
                <w:color w:val="auto"/>
              </w:rPr>
            </w:pPr>
            <w:r>
              <w:rPr>
                <w:rFonts w:ascii="Arial" w:cs="Arial" w:eastAsia="Arial" w:hAnsi="Arial"/>
                <w:sz w:val="14"/>
                <w:szCs w:val="14"/>
                <w:color w:val="auto"/>
              </w:rPr>
              <w:t>0.05</w:t>
            </w:r>
          </w:p>
        </w:tc>
        <w:tc>
          <w:tcPr>
            <w:tcW w:w="1280" w:type="dxa"/>
            <w:vAlign w:val="bottom"/>
            <w:tcBorders>
              <w:bottom w:val="single" w:sz="8" w:color="BCBEC0"/>
            </w:tcBorders>
          </w:tcPr>
          <w:p>
            <w:pPr>
              <w:ind w:left="80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CBEC0"/>
            </w:tcBorders>
          </w:tcPr>
          <w:p>
            <w:pPr>
              <w:jc w:val="right"/>
              <w:ind w:right="470"/>
              <w:spacing w:after="0"/>
              <w:rPr>
                <w:sz w:val="20"/>
                <w:szCs w:val="20"/>
                <w:color w:val="auto"/>
              </w:rPr>
            </w:pPr>
            <w:r>
              <w:rPr>
                <w:rFonts w:ascii="Arial" w:cs="Arial" w:eastAsia="Arial" w:hAnsi="Arial"/>
                <w:sz w:val="14"/>
                <w:szCs w:val="14"/>
                <w:color w:val="auto"/>
              </w:rPr>
              <w:t>9.1</w:t>
            </w:r>
          </w:p>
        </w:tc>
        <w:tc>
          <w:tcPr>
            <w:tcW w:w="82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BCBEC0"/>
            </w:tcBorders>
            <w:shd w:val="clear" w:color="auto" w:fill="DFDEEE"/>
          </w:tcPr>
          <w:p>
            <w:pPr>
              <w:spacing w:after="0"/>
              <w:rPr>
                <w:sz w:val="20"/>
                <w:szCs w:val="20"/>
                <w:color w:val="auto"/>
              </w:rPr>
            </w:pPr>
            <w:r>
              <w:rPr>
                <w:rFonts w:ascii="Arial" w:cs="Arial" w:eastAsia="Arial" w:hAnsi="Arial"/>
                <w:sz w:val="14"/>
                <w:szCs w:val="14"/>
                <w:b w:val="1"/>
                <w:bCs w:val="1"/>
                <w:color w:val="29378D"/>
              </w:rPr>
              <w:t>2021</w:t>
            </w:r>
          </w:p>
        </w:tc>
        <w:tc>
          <w:tcPr>
            <w:tcW w:w="128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5.3</w:t>
            </w:r>
          </w:p>
        </w:tc>
        <w:tc>
          <w:tcPr>
            <w:tcW w:w="1380" w:type="dxa"/>
            <w:vAlign w:val="bottom"/>
            <w:tcBorders>
              <w:bottom w:val="single" w:sz="8" w:color="BCBEC0"/>
            </w:tcBorders>
            <w:shd w:val="clear" w:color="auto" w:fill="DFDEEE"/>
          </w:tcPr>
          <w:p>
            <w:pPr>
              <w:jc w:val="right"/>
              <w:ind w:right="10"/>
              <w:spacing w:after="0"/>
              <w:rPr>
                <w:sz w:val="20"/>
                <w:szCs w:val="20"/>
                <w:color w:val="auto"/>
              </w:rPr>
            </w:pPr>
            <w:r>
              <w:rPr>
                <w:rFonts w:ascii="Arial" w:cs="Arial" w:eastAsia="Arial" w:hAnsi="Arial"/>
                <w:sz w:val="14"/>
                <w:szCs w:val="14"/>
                <w:color w:val="auto"/>
              </w:rPr>
              <w:t>(3.1)</w:t>
            </w:r>
          </w:p>
        </w:tc>
        <w:tc>
          <w:tcPr>
            <w:tcW w:w="1240" w:type="dxa"/>
            <w:vAlign w:val="bottom"/>
            <w:tcBorders>
              <w:bottom w:val="single" w:sz="8" w:color="BCBEC0"/>
            </w:tcBorders>
            <w:shd w:val="clear" w:color="auto" w:fill="DFDEEE"/>
          </w:tcPr>
          <w:p>
            <w:pPr>
              <w:jc w:val="center"/>
              <w:ind w:left="832"/>
              <w:spacing w:after="0"/>
              <w:rPr>
                <w:sz w:val="20"/>
                <w:szCs w:val="20"/>
                <w:color w:val="auto"/>
              </w:rPr>
            </w:pPr>
            <w:r>
              <w:rPr>
                <w:rFonts w:ascii="Arial" w:cs="Arial" w:eastAsia="Arial" w:hAnsi="Arial"/>
                <w:sz w:val="14"/>
                <w:szCs w:val="14"/>
                <w:color w:val="auto"/>
              </w:rPr>
              <w:t>(0.1)</w:t>
            </w:r>
          </w:p>
        </w:tc>
        <w:tc>
          <w:tcPr>
            <w:tcW w:w="1620" w:type="dxa"/>
            <w:vAlign w:val="bottom"/>
            <w:tcBorders>
              <w:bottom w:val="single" w:sz="8" w:color="BCBEC0"/>
            </w:tcBorders>
            <w:shd w:val="clear" w:color="auto" w:fill="DFDEEE"/>
          </w:tcPr>
          <w:p>
            <w:pPr>
              <w:jc w:val="right"/>
              <w:ind w:right="292"/>
              <w:spacing w:after="0"/>
              <w:rPr>
                <w:sz w:val="20"/>
                <w:szCs w:val="20"/>
                <w:color w:val="auto"/>
              </w:rPr>
            </w:pPr>
            <w:r>
              <w:rPr>
                <w:rFonts w:ascii="Arial" w:cs="Arial" w:eastAsia="Arial" w:hAnsi="Arial"/>
                <w:sz w:val="14"/>
                <w:szCs w:val="14"/>
                <w:color w:val="auto"/>
              </w:rPr>
              <w:t>0.06</w:t>
            </w:r>
          </w:p>
        </w:tc>
        <w:tc>
          <w:tcPr>
            <w:tcW w:w="1280" w:type="dxa"/>
            <w:vAlign w:val="bottom"/>
            <w:tcBorders>
              <w:bottom w:val="single" w:sz="8" w:color="BCBEC0"/>
            </w:tcBorders>
            <w:shd w:val="clear" w:color="auto" w:fill="DFDEEE"/>
          </w:tcPr>
          <w:p>
            <w:pPr>
              <w:ind w:left="80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CBEC0"/>
            </w:tcBorders>
            <w:shd w:val="clear" w:color="auto" w:fill="DFDEEE"/>
          </w:tcPr>
          <w:p>
            <w:pPr>
              <w:jc w:val="right"/>
              <w:ind w:right="470"/>
              <w:spacing w:after="0"/>
              <w:rPr>
                <w:sz w:val="20"/>
                <w:szCs w:val="20"/>
                <w:color w:val="auto"/>
              </w:rPr>
            </w:pPr>
            <w:r>
              <w:rPr>
                <w:rFonts w:ascii="Arial" w:cs="Arial" w:eastAsia="Arial" w:hAnsi="Arial"/>
                <w:sz w:val="14"/>
                <w:szCs w:val="14"/>
                <w:color w:val="auto"/>
              </w:rPr>
              <w:t>7.0</w:t>
            </w:r>
          </w:p>
        </w:tc>
        <w:tc>
          <w:tcPr>
            <w:tcW w:w="820" w:type="dxa"/>
            <w:vAlign w:val="bottom"/>
            <w:tcBorders>
              <w:bottom w:val="single" w:sz="8" w:color="BCBEC0"/>
            </w:tcBorders>
            <w:shd w:val="clear" w:color="auto" w:fill="DFDEEE"/>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BCBEC0"/>
            </w:tcBorders>
          </w:tcPr>
          <w:p>
            <w:pPr>
              <w:spacing w:after="0"/>
              <w:rPr>
                <w:sz w:val="20"/>
                <w:szCs w:val="20"/>
                <w:color w:val="auto"/>
              </w:rPr>
            </w:pPr>
            <w:r>
              <w:rPr>
                <w:rFonts w:ascii="Arial" w:cs="Arial" w:eastAsia="Arial" w:hAnsi="Arial"/>
                <w:sz w:val="14"/>
                <w:szCs w:val="14"/>
                <w:b w:val="1"/>
                <w:bCs w:val="1"/>
                <w:color w:val="29378D"/>
              </w:rPr>
              <w:t>2020</w:t>
            </w:r>
          </w:p>
        </w:tc>
        <w:tc>
          <w:tcPr>
            <w:tcW w:w="1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5.5</w:t>
            </w:r>
          </w:p>
        </w:tc>
        <w:tc>
          <w:tcPr>
            <w:tcW w:w="1380" w:type="dxa"/>
            <w:vAlign w:val="bottom"/>
            <w:tcBorders>
              <w:bottom w:val="single" w:sz="8" w:color="BCBEC0"/>
            </w:tcBorders>
          </w:tcPr>
          <w:p>
            <w:pPr>
              <w:jc w:val="right"/>
              <w:ind w:right="10"/>
              <w:spacing w:after="0"/>
              <w:rPr>
                <w:sz w:val="20"/>
                <w:szCs w:val="20"/>
                <w:color w:val="auto"/>
              </w:rPr>
            </w:pPr>
            <w:r>
              <w:rPr>
                <w:rFonts w:ascii="Arial" w:cs="Arial" w:eastAsia="Arial" w:hAnsi="Arial"/>
                <w:sz w:val="14"/>
                <w:szCs w:val="14"/>
                <w:color w:val="auto"/>
              </w:rPr>
              <w:t>(2.8)</w:t>
            </w:r>
          </w:p>
        </w:tc>
        <w:tc>
          <w:tcPr>
            <w:tcW w:w="1240" w:type="dxa"/>
            <w:vAlign w:val="bottom"/>
            <w:tcBorders>
              <w:bottom w:val="single" w:sz="8" w:color="BCBEC0"/>
            </w:tcBorders>
          </w:tcPr>
          <w:p>
            <w:pPr>
              <w:jc w:val="center"/>
              <w:ind w:left="832"/>
              <w:spacing w:after="0"/>
              <w:rPr>
                <w:sz w:val="20"/>
                <w:szCs w:val="20"/>
                <w:color w:val="auto"/>
              </w:rPr>
            </w:pPr>
            <w:r>
              <w:rPr>
                <w:rFonts w:ascii="Arial" w:cs="Arial" w:eastAsia="Arial" w:hAnsi="Arial"/>
                <w:sz w:val="14"/>
                <w:szCs w:val="14"/>
                <w:color w:val="auto"/>
              </w:rPr>
              <w:t>(0.4)</w:t>
            </w:r>
          </w:p>
        </w:tc>
        <w:tc>
          <w:tcPr>
            <w:tcW w:w="1620" w:type="dxa"/>
            <w:vAlign w:val="bottom"/>
            <w:tcBorders>
              <w:bottom w:val="single" w:sz="8" w:color="BCBEC0"/>
            </w:tcBorders>
          </w:tcPr>
          <w:p>
            <w:pPr>
              <w:jc w:val="right"/>
              <w:ind w:right="292"/>
              <w:spacing w:after="0"/>
              <w:rPr>
                <w:sz w:val="20"/>
                <w:szCs w:val="20"/>
                <w:color w:val="auto"/>
              </w:rPr>
            </w:pPr>
            <w:r>
              <w:rPr>
                <w:rFonts w:ascii="Arial" w:cs="Arial" w:eastAsia="Arial" w:hAnsi="Arial"/>
                <w:sz w:val="14"/>
                <w:szCs w:val="14"/>
                <w:color w:val="auto"/>
              </w:rPr>
              <w:t>0.09</w:t>
            </w:r>
          </w:p>
        </w:tc>
        <w:tc>
          <w:tcPr>
            <w:tcW w:w="1280" w:type="dxa"/>
            <w:vAlign w:val="bottom"/>
            <w:tcBorders>
              <w:bottom w:val="single" w:sz="8" w:color="BCBEC0"/>
            </w:tcBorders>
          </w:tcPr>
          <w:p>
            <w:pPr>
              <w:ind w:left="80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BCBEC0"/>
            </w:tcBorders>
          </w:tcPr>
          <w:p>
            <w:pPr>
              <w:jc w:val="right"/>
              <w:ind w:right="470"/>
              <w:spacing w:after="0"/>
              <w:rPr>
                <w:sz w:val="20"/>
                <w:szCs w:val="20"/>
                <w:color w:val="auto"/>
              </w:rPr>
            </w:pPr>
            <w:r>
              <w:rPr>
                <w:rFonts w:ascii="Arial" w:cs="Arial" w:eastAsia="Arial" w:hAnsi="Arial"/>
                <w:sz w:val="14"/>
                <w:szCs w:val="14"/>
                <w:color w:val="auto"/>
              </w:rPr>
              <w:t>0.3</w:t>
            </w:r>
          </w:p>
        </w:tc>
        <w:tc>
          <w:tcPr>
            <w:tcW w:w="82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660" w:right="520" w:hanging="328"/>
        <w:spacing w:after="0" w:line="305" w:lineRule="auto"/>
        <w:tabs>
          <w:tab w:leader="none" w:pos="645" w:val="left"/>
        </w:tabs>
        <w:numPr>
          <w:ilvl w:val="1"/>
          <w:numId w:val="162"/>
        </w:numPr>
        <w:rPr>
          <w:rFonts w:ascii="Arial" w:cs="Arial" w:eastAsia="Arial" w:hAnsi="Arial"/>
          <w:sz w:val="14"/>
          <w:szCs w:val="14"/>
          <w:color w:val="auto"/>
        </w:rPr>
      </w:pPr>
      <w:r>
        <w:rPr>
          <w:rFonts w:ascii="Arial" w:cs="Arial" w:eastAsia="Arial" w:hAnsi="Arial"/>
          <w:sz w:val="14"/>
          <w:szCs w:val="14"/>
          <w:color w:val="auto"/>
        </w:rPr>
        <w:t>The change in pension value amounts relate solely to the increased present value of the NEO’s pension plan benefits using mandatory SEC assumptions, see additional information in the Summary Compensation Table on page 71.</w:t>
      </w:r>
    </w:p>
    <w:p>
      <w:pPr>
        <w:spacing w:after="0" w:line="9" w:lineRule="exact"/>
        <w:rPr>
          <w:rFonts w:ascii="Arial" w:cs="Arial" w:eastAsia="Arial" w:hAnsi="Arial"/>
          <w:sz w:val="14"/>
          <w:szCs w:val="14"/>
          <w:color w:val="auto"/>
        </w:rPr>
      </w:pPr>
    </w:p>
    <w:p>
      <w:pPr>
        <w:ind w:left="260" w:hanging="252"/>
        <w:spacing w:after="0" w:line="269" w:lineRule="auto"/>
        <w:tabs>
          <w:tab w:leader="none" w:pos="217" w:val="left"/>
        </w:tabs>
        <w:numPr>
          <w:ilvl w:val="0"/>
          <w:numId w:val="163"/>
        </w:numPr>
        <w:rPr>
          <w:rFonts w:ascii="Arial" w:cs="Arial" w:eastAsia="Arial" w:hAnsi="Arial"/>
          <w:sz w:val="14"/>
          <w:szCs w:val="14"/>
          <w:color w:val="auto"/>
        </w:rPr>
      </w:pPr>
      <w:r>
        <w:rPr>
          <w:rFonts w:ascii="Arial" w:cs="Arial" w:eastAsia="Arial" w:hAnsi="Arial"/>
          <w:sz w:val="14"/>
          <w:szCs w:val="14"/>
          <w:color w:val="auto"/>
        </w:rPr>
        <w:t>Key components that factor into the amount reported as CAP (in accordance with the SEC definition) are the Company’s year-end stock value and equity awards. Executives receive the value of their equity grants only upon vesting. The value reflected for unvested grants, as calculated in CAP, does not reflect value actually received or realized by the executives during the covered year. The equity component of CAP for fiscal years 2023, 2022, 2021 and 2020 are further detailed in the table below. The equity values were calculated in accordance with the SEC methodology for determining CAP for each year shown.</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amounts deducted or added in calculating the equity award adjustments are as follows:</w:t>
      </w:r>
    </w:p>
    <w:p>
      <w:pPr>
        <w:spacing w:after="0" w:line="181" w:lineRule="exact"/>
        <w:rPr>
          <w:sz w:val="20"/>
          <w:szCs w:val="20"/>
          <w:color w:val="auto"/>
        </w:rPr>
      </w:pPr>
    </w:p>
    <w:p>
      <w:pPr>
        <w:jc w:val="center"/>
        <w:ind w:left="1400"/>
        <w:spacing w:after="0"/>
        <w:rPr>
          <w:sz w:val="20"/>
          <w:szCs w:val="20"/>
          <w:color w:val="auto"/>
        </w:rPr>
      </w:pPr>
      <w:r>
        <w:rPr>
          <w:rFonts w:ascii="Arial" w:cs="Arial" w:eastAsia="Arial" w:hAnsi="Arial"/>
          <w:sz w:val="13"/>
          <w:szCs w:val="13"/>
          <w:b w:val="1"/>
          <w:bCs w:val="1"/>
          <w:color w:val="auto"/>
        </w:rPr>
        <w:t>Equity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27940</wp:posOffset>
            </wp:positionV>
            <wp:extent cx="609473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094730" cy="8890"/>
                    </a:xfrm>
                    <a:prstGeom prst="rect">
                      <a:avLst/>
                    </a:prstGeom>
                    <a:noFill/>
                  </pic:spPr>
                </pic:pic>
              </a:graphicData>
            </a:graphic>
          </wp:anchor>
        </w:drawing>
      </w:r>
    </w:p>
    <w:p>
      <w:pPr>
        <w:spacing w:after="0" w:line="47" w:lineRule="exact"/>
        <w:rPr>
          <w:sz w:val="20"/>
          <w:szCs w:val="20"/>
          <w:color w:val="auto"/>
        </w:rPr>
      </w:pPr>
    </w:p>
    <w:p>
      <w:pPr>
        <w:jc w:val="center"/>
        <w:ind w:left="1400"/>
        <w:spacing w:after="0"/>
        <w:rPr>
          <w:sz w:val="20"/>
          <w:szCs w:val="20"/>
          <w:color w:val="auto"/>
        </w:rPr>
      </w:pPr>
      <w:r>
        <w:rPr>
          <w:rFonts w:ascii="Arial" w:cs="Arial" w:eastAsia="Arial" w:hAnsi="Arial"/>
          <w:sz w:val="13"/>
          <w:szCs w:val="13"/>
          <w:b w:val="1"/>
          <w:bCs w:val="1"/>
          <w:color w:val="auto"/>
        </w:rPr>
        <w:t>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27940</wp:posOffset>
            </wp:positionV>
            <wp:extent cx="609473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094730" cy="8255"/>
                    </a:xfrm>
                    <a:prstGeom prst="rect">
                      <a:avLst/>
                    </a:prstGeom>
                    <a:noFill/>
                  </pic:spPr>
                </pic:pic>
              </a:graphicData>
            </a:graphic>
          </wp:anchor>
        </w:drawing>
      </w:r>
    </w:p>
    <w:p>
      <w:pPr>
        <w:spacing w:after="0" w:line="316"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20" w:type="dxa"/>
            <w:vAlign w:val="bottom"/>
          </w:tcPr>
          <w:p>
            <w:pPr>
              <w:jc w:val="right"/>
              <w:ind w:right="37"/>
              <w:spacing w:after="0"/>
              <w:rPr>
                <w:sz w:val="20"/>
                <w:szCs w:val="20"/>
                <w:color w:val="auto"/>
              </w:rPr>
            </w:pPr>
            <w:r>
              <w:rPr>
                <w:rFonts w:ascii="Arial" w:cs="Arial" w:eastAsia="Arial" w:hAnsi="Arial"/>
                <w:sz w:val="13"/>
                <w:szCs w:val="13"/>
                <w:b w:val="1"/>
                <w:bCs w:val="1"/>
                <w:color w:val="auto"/>
              </w:rPr>
              <w:t>Annual Change in</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Fair Value as of</w:t>
            </w:r>
          </w:p>
        </w:tc>
        <w:tc>
          <w:tcPr>
            <w:tcW w:w="1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48"/>
        </w:trPr>
        <w:tc>
          <w:tcPr>
            <w:tcW w:w="98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Arial" w:cs="Arial" w:eastAsia="Arial" w:hAnsi="Arial"/>
                <w:sz w:val="13"/>
                <w:szCs w:val="13"/>
                <w:b w:val="1"/>
                <w:bCs w:val="1"/>
                <w:color w:val="auto"/>
              </w:rPr>
              <w:t>Fair Value of Current</w:t>
            </w:r>
          </w:p>
        </w:tc>
        <w:tc>
          <w:tcPr>
            <w:tcW w:w="1420" w:type="dxa"/>
            <w:vAlign w:val="bottom"/>
          </w:tcPr>
          <w:p>
            <w:pPr>
              <w:jc w:val="right"/>
              <w:ind w:right="37"/>
              <w:spacing w:after="0"/>
              <w:rPr>
                <w:sz w:val="20"/>
                <w:szCs w:val="20"/>
                <w:color w:val="auto"/>
              </w:rPr>
            </w:pPr>
            <w:r>
              <w:rPr>
                <w:rFonts w:ascii="Arial" w:cs="Arial" w:eastAsia="Arial" w:hAnsi="Arial"/>
                <w:sz w:val="13"/>
                <w:szCs w:val="13"/>
                <w:b w:val="1"/>
                <w:bCs w:val="1"/>
                <w:color w:val="auto"/>
                <w:w w:val="98"/>
              </w:rPr>
              <w:t>Fair Value as of Year-</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Vesting of Awards</w:t>
            </w:r>
          </w:p>
        </w:tc>
        <w:tc>
          <w:tcPr>
            <w:tcW w:w="1420" w:type="dxa"/>
            <w:vAlign w:val="bottom"/>
          </w:tcPr>
          <w:p>
            <w:pPr>
              <w:jc w:val="right"/>
              <w:ind w:right="17"/>
              <w:spacing w:after="0"/>
              <w:rPr>
                <w:sz w:val="20"/>
                <w:szCs w:val="20"/>
                <w:color w:val="auto"/>
              </w:rPr>
            </w:pPr>
            <w:r>
              <w:rPr>
                <w:rFonts w:ascii="Arial" w:cs="Arial" w:eastAsia="Arial" w:hAnsi="Arial"/>
                <w:sz w:val="13"/>
                <w:szCs w:val="13"/>
                <w:b w:val="1"/>
                <w:bCs w:val="1"/>
                <w:color w:val="auto"/>
              </w:rPr>
              <w:t>Annual Change in</w:t>
            </w: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Annual Change in</w:t>
            </w:r>
          </w:p>
        </w:tc>
        <w:tc>
          <w:tcPr>
            <w:tcW w:w="1480" w:type="dxa"/>
            <w:vAlign w:val="bottom"/>
          </w:tcPr>
          <w:p>
            <w:pPr>
              <w:jc w:val="right"/>
              <w:ind w:right="77"/>
              <w:spacing w:after="0"/>
              <w:rPr>
                <w:sz w:val="20"/>
                <w:szCs w:val="20"/>
                <w:color w:val="auto"/>
              </w:rPr>
            </w:pPr>
            <w:r>
              <w:rPr>
                <w:rFonts w:ascii="Arial" w:cs="Arial" w:eastAsia="Arial" w:hAnsi="Arial"/>
                <w:sz w:val="13"/>
                <w:szCs w:val="13"/>
                <w:b w:val="1"/>
                <w:bCs w:val="1"/>
                <w:color w:val="auto"/>
                <w:w w:val="99"/>
              </w:rPr>
              <w:t>Value of Dividends or</w:t>
            </w:r>
          </w:p>
        </w:tc>
        <w:tc>
          <w:tcPr>
            <w:tcW w:w="1240" w:type="dxa"/>
            <w:vAlign w:val="bottom"/>
          </w:tcPr>
          <w:p>
            <w:pPr>
              <w:spacing w:after="0"/>
              <w:rPr>
                <w:sz w:val="12"/>
                <w:szCs w:val="12"/>
                <w:color w:val="auto"/>
              </w:rPr>
            </w:pPr>
          </w:p>
        </w:tc>
      </w:tr>
      <w:tr>
        <w:trPr>
          <w:trHeight w:val="135"/>
        </w:trPr>
        <w:tc>
          <w:tcPr>
            <w:tcW w:w="980" w:type="dxa"/>
            <w:vAlign w:val="bottom"/>
          </w:tcPr>
          <w:p>
            <w:pPr>
              <w:spacing w:after="0"/>
              <w:rPr>
                <w:sz w:val="11"/>
                <w:szCs w:val="11"/>
                <w:color w:val="auto"/>
              </w:rPr>
            </w:pPr>
          </w:p>
        </w:tc>
        <w:tc>
          <w:tcPr>
            <w:tcW w:w="1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Year Equity Awards</w:t>
            </w:r>
          </w:p>
        </w:tc>
        <w:tc>
          <w:tcPr>
            <w:tcW w:w="142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End for Unvested</w:t>
            </w:r>
          </w:p>
        </w:tc>
        <w:tc>
          <w:tcPr>
            <w:tcW w:w="13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Granted and Vested</w:t>
            </w:r>
          </w:p>
        </w:tc>
        <w:tc>
          <w:tcPr>
            <w:tcW w:w="14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w w:val="97"/>
              </w:rPr>
              <w:t>Value as of Vesting of</w:t>
            </w:r>
          </w:p>
        </w:tc>
        <w:tc>
          <w:tcPr>
            <w:tcW w:w="13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Value of Prior Year's</w:t>
            </w:r>
          </w:p>
        </w:tc>
        <w:tc>
          <w:tcPr>
            <w:tcW w:w="148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Other Earnings Paid</w:t>
            </w:r>
          </w:p>
        </w:tc>
        <w:tc>
          <w:tcPr>
            <w:tcW w:w="12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Total Equity Value</w:t>
            </w:r>
          </w:p>
        </w:tc>
      </w:tr>
      <w:tr>
        <w:trPr>
          <w:trHeight w:val="185"/>
        </w:trPr>
        <w:tc>
          <w:tcPr>
            <w:tcW w:w="980" w:type="dxa"/>
            <w:vAlign w:val="bottom"/>
          </w:tcPr>
          <w:p>
            <w:pPr>
              <w:spacing w:after="0"/>
              <w:rPr>
                <w:sz w:val="20"/>
                <w:szCs w:val="20"/>
                <w:color w:val="auto"/>
              </w:rPr>
            </w:pPr>
            <w:r>
              <w:rPr>
                <w:rFonts w:ascii="Arial" w:cs="Arial" w:eastAsia="Arial" w:hAnsi="Arial"/>
                <w:sz w:val="13"/>
                <w:szCs w:val="13"/>
                <w:b w:val="1"/>
                <w:bCs w:val="1"/>
                <w:color w:val="auto"/>
              </w:rPr>
              <w:t>Year ($M)</w:t>
            </w:r>
          </w:p>
        </w:tc>
        <w:tc>
          <w:tcPr>
            <w:tcW w:w="1680" w:type="dxa"/>
            <w:vAlign w:val="bottom"/>
          </w:tcPr>
          <w:p>
            <w:pPr>
              <w:jc w:val="right"/>
              <w:spacing w:after="0"/>
              <w:rPr>
                <w:sz w:val="20"/>
                <w:szCs w:val="20"/>
                <w:color w:val="auto"/>
              </w:rPr>
            </w:pPr>
            <w:r>
              <w:rPr>
                <w:rFonts w:ascii="Arial" w:cs="Arial" w:eastAsia="Arial" w:hAnsi="Arial"/>
                <w:sz w:val="13"/>
                <w:szCs w:val="13"/>
                <w:b w:val="1"/>
                <w:bCs w:val="1"/>
                <w:color w:val="auto"/>
              </w:rPr>
              <w:t>as of Year-End</w:t>
            </w:r>
          </w:p>
        </w:tc>
        <w:tc>
          <w:tcPr>
            <w:tcW w:w="1420" w:type="dxa"/>
            <w:vAlign w:val="bottom"/>
          </w:tcPr>
          <w:p>
            <w:pPr>
              <w:jc w:val="right"/>
              <w:ind w:right="37"/>
              <w:spacing w:after="0"/>
              <w:rPr>
                <w:sz w:val="20"/>
                <w:szCs w:val="20"/>
                <w:color w:val="auto"/>
              </w:rPr>
            </w:pPr>
            <w:r>
              <w:rPr>
                <w:rFonts w:ascii="Arial" w:cs="Arial" w:eastAsia="Arial" w:hAnsi="Arial"/>
                <w:sz w:val="13"/>
                <w:szCs w:val="13"/>
                <w:b w:val="1"/>
                <w:bCs w:val="1"/>
                <w:color w:val="auto"/>
              </w:rPr>
              <w:t>Awards</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in Year</w:t>
            </w:r>
          </w:p>
        </w:tc>
        <w:tc>
          <w:tcPr>
            <w:tcW w:w="1420" w:type="dxa"/>
            <w:vAlign w:val="bottom"/>
          </w:tcPr>
          <w:p>
            <w:pPr>
              <w:jc w:val="right"/>
              <w:ind w:right="17"/>
              <w:spacing w:after="0"/>
              <w:rPr>
                <w:sz w:val="20"/>
                <w:szCs w:val="20"/>
                <w:color w:val="auto"/>
              </w:rPr>
            </w:pPr>
            <w:r>
              <w:rPr>
                <w:rFonts w:ascii="Arial" w:cs="Arial" w:eastAsia="Arial" w:hAnsi="Arial"/>
                <w:sz w:val="13"/>
                <w:szCs w:val="13"/>
                <w:b w:val="1"/>
                <w:bCs w:val="1"/>
                <w:color w:val="auto"/>
              </w:rPr>
              <w:t>Prior Year's Awards</w:t>
            </w: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Awards Forfeited</w:t>
            </w:r>
          </w:p>
        </w:tc>
        <w:tc>
          <w:tcPr>
            <w:tcW w:w="1480" w:type="dxa"/>
            <w:vAlign w:val="bottom"/>
          </w:tcPr>
          <w:p>
            <w:pPr>
              <w:jc w:val="right"/>
              <w:ind w:right="77"/>
              <w:spacing w:after="0"/>
              <w:rPr>
                <w:sz w:val="20"/>
                <w:szCs w:val="20"/>
                <w:color w:val="auto"/>
              </w:rPr>
            </w:pPr>
            <w:r>
              <w:rPr>
                <w:rFonts w:ascii="Arial" w:cs="Arial" w:eastAsia="Arial" w:hAnsi="Arial"/>
                <w:sz w:val="13"/>
                <w:szCs w:val="13"/>
                <w:b w:val="1"/>
                <w:bCs w:val="1"/>
                <w:color w:val="auto"/>
              </w:rPr>
              <w:t>on Stock</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Included in CAP</w:t>
            </w:r>
          </w:p>
        </w:tc>
      </w:tr>
    </w:tbl>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18"/>
        </w:trPr>
        <w:tc>
          <w:tcPr>
            <w:tcW w:w="1280" w:type="dxa"/>
            <w:vAlign w:val="bottom"/>
            <w:tcBorders>
              <w:top w:val="single" w:sz="8" w:color="29378D"/>
            </w:tcBorders>
            <w:shd w:val="clear" w:color="auto" w:fill="E1E0EF"/>
          </w:tcPr>
          <w:p>
            <w:pPr>
              <w:spacing w:after="0"/>
              <w:rPr>
                <w:sz w:val="20"/>
                <w:szCs w:val="20"/>
                <w:color w:val="auto"/>
              </w:rPr>
            </w:pPr>
            <w:r>
              <w:rPr>
                <w:rFonts w:ascii="Arial" w:cs="Arial" w:eastAsia="Arial" w:hAnsi="Arial"/>
                <w:sz w:val="14"/>
                <w:szCs w:val="14"/>
                <w:b w:val="1"/>
                <w:bCs w:val="1"/>
                <w:color w:val="29378D"/>
              </w:rPr>
              <w:t>2023</w:t>
            </w:r>
          </w:p>
        </w:tc>
        <w:tc>
          <w:tcPr>
            <w:tcW w:w="1380" w:type="dxa"/>
            <w:vAlign w:val="bottom"/>
            <w:tcBorders>
              <w:top w:val="single" w:sz="8" w:color="29378D"/>
            </w:tcBorders>
            <w:shd w:val="clear" w:color="auto" w:fill="DFDEEE"/>
          </w:tcPr>
          <w:p>
            <w:pPr>
              <w:jc w:val="right"/>
              <w:ind w:right="10"/>
              <w:spacing w:after="0"/>
              <w:rPr>
                <w:sz w:val="20"/>
                <w:szCs w:val="20"/>
                <w:color w:val="auto"/>
              </w:rPr>
            </w:pPr>
            <w:r>
              <w:rPr>
                <w:rFonts w:ascii="Arial" w:cs="Arial" w:eastAsia="Arial" w:hAnsi="Arial"/>
                <w:sz w:val="14"/>
                <w:szCs w:val="14"/>
                <w:color w:val="auto"/>
              </w:rPr>
              <w:t>17.1</w:t>
            </w:r>
          </w:p>
        </w:tc>
        <w:tc>
          <w:tcPr>
            <w:tcW w:w="1420" w:type="dxa"/>
            <w:vAlign w:val="bottom"/>
            <w:tcBorders>
              <w:top w:val="single" w:sz="8" w:color="29378D"/>
            </w:tcBorders>
            <w:shd w:val="clear" w:color="auto" w:fill="DFDEEE"/>
          </w:tcPr>
          <w:p>
            <w:pPr>
              <w:jc w:val="right"/>
              <w:ind w:right="31"/>
              <w:spacing w:after="0"/>
              <w:rPr>
                <w:sz w:val="20"/>
                <w:szCs w:val="20"/>
                <w:color w:val="auto"/>
              </w:rPr>
            </w:pPr>
            <w:r>
              <w:rPr>
                <w:rFonts w:ascii="Arial" w:cs="Arial" w:eastAsia="Arial" w:hAnsi="Arial"/>
                <w:sz w:val="14"/>
                <w:szCs w:val="14"/>
                <w:color w:val="auto"/>
              </w:rPr>
              <w:t>(8.1)</w:t>
            </w:r>
          </w:p>
        </w:tc>
        <w:tc>
          <w:tcPr>
            <w:tcW w:w="1300" w:type="dxa"/>
            <w:vAlign w:val="bottom"/>
            <w:tcBorders>
              <w:top w:val="single" w:sz="8" w:color="29378D"/>
            </w:tcBorders>
            <w:shd w:val="clear" w:color="auto" w:fill="DFDEEE"/>
          </w:tcPr>
          <w:p>
            <w:pPr>
              <w:jc w:val="right"/>
              <w:ind w:right="11"/>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29378D"/>
            </w:tcBorders>
            <w:shd w:val="clear" w:color="auto" w:fill="DFDEEE"/>
          </w:tcPr>
          <w:p>
            <w:pPr>
              <w:jc w:val="center"/>
              <w:ind w:left="891"/>
              <w:spacing w:after="0"/>
              <w:rPr>
                <w:sz w:val="20"/>
                <w:szCs w:val="20"/>
                <w:color w:val="auto"/>
              </w:rPr>
            </w:pPr>
            <w:r>
              <w:rPr>
                <w:rFonts w:ascii="Arial" w:cs="Arial" w:eastAsia="Arial" w:hAnsi="Arial"/>
                <w:sz w:val="14"/>
                <w:szCs w:val="14"/>
                <w:color w:val="auto"/>
              </w:rPr>
              <w:t>(4.6)</w:t>
            </w:r>
          </w:p>
        </w:tc>
        <w:tc>
          <w:tcPr>
            <w:tcW w:w="1340" w:type="dxa"/>
            <w:vAlign w:val="bottom"/>
            <w:tcBorders>
              <w:top w:val="single" w:sz="8" w:color="29378D"/>
            </w:tcBorders>
            <w:shd w:val="clear" w:color="auto" w:fill="DFDEEE"/>
          </w:tcPr>
          <w:p>
            <w:pPr>
              <w:ind w:left="1100"/>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29378D"/>
            </w:tcBorders>
            <w:shd w:val="clear" w:color="auto" w:fill="DFDEEE"/>
          </w:tcPr>
          <w:p>
            <w:pPr>
              <w:jc w:val="right"/>
              <w:ind w:right="130"/>
              <w:spacing w:after="0"/>
              <w:rPr>
                <w:sz w:val="20"/>
                <w:szCs w:val="20"/>
                <w:color w:val="auto"/>
              </w:rPr>
            </w:pPr>
            <w:r>
              <w:rPr>
                <w:rFonts w:ascii="Arial" w:cs="Arial" w:eastAsia="Arial" w:hAnsi="Arial"/>
                <w:sz w:val="14"/>
                <w:szCs w:val="14"/>
                <w:color w:val="auto"/>
              </w:rPr>
              <w:t>1.1</w:t>
            </w:r>
          </w:p>
        </w:tc>
        <w:tc>
          <w:tcPr>
            <w:tcW w:w="1260" w:type="dxa"/>
            <w:vAlign w:val="bottom"/>
            <w:tcBorders>
              <w:top w:val="single" w:sz="8" w:color="29378D"/>
            </w:tcBorders>
            <w:shd w:val="clear" w:color="auto" w:fill="DFDEEE"/>
          </w:tcPr>
          <w:p>
            <w:pPr>
              <w:jc w:val="right"/>
              <w:ind w:right="10"/>
              <w:spacing w:after="0"/>
              <w:rPr>
                <w:sz w:val="20"/>
                <w:szCs w:val="20"/>
                <w:color w:val="auto"/>
              </w:rPr>
            </w:pPr>
            <w:r>
              <w:rPr>
                <w:rFonts w:ascii="Arial" w:cs="Arial" w:eastAsia="Arial" w:hAnsi="Arial"/>
                <w:sz w:val="14"/>
                <w:szCs w:val="14"/>
                <w:color w:val="auto"/>
              </w:rPr>
              <w:t>5.5</w:t>
            </w:r>
          </w:p>
        </w:tc>
      </w:tr>
      <w:tr>
        <w:trPr>
          <w:trHeight w:val="215"/>
        </w:trPr>
        <w:tc>
          <w:tcPr>
            <w:tcW w:w="1280" w:type="dxa"/>
            <w:vAlign w:val="bottom"/>
            <w:tcBorders>
              <w:bottom w:val="single" w:sz="8" w:color="BCBEC0"/>
            </w:tcBorders>
          </w:tcPr>
          <w:p>
            <w:pPr>
              <w:spacing w:after="0"/>
              <w:rPr>
                <w:sz w:val="20"/>
                <w:szCs w:val="20"/>
                <w:color w:val="auto"/>
              </w:rPr>
            </w:pPr>
            <w:r>
              <w:rPr>
                <w:rFonts w:ascii="Arial" w:cs="Arial" w:eastAsia="Arial" w:hAnsi="Arial"/>
                <w:sz w:val="14"/>
                <w:szCs w:val="14"/>
                <w:b w:val="1"/>
                <w:bCs w:val="1"/>
                <w:color w:val="29378D"/>
              </w:rPr>
              <w:t>2022</w:t>
            </w:r>
          </w:p>
        </w:tc>
        <w:tc>
          <w:tcPr>
            <w:tcW w:w="1380" w:type="dxa"/>
            <w:vAlign w:val="bottom"/>
            <w:tcBorders>
              <w:bottom w:val="single" w:sz="8" w:color="BCBEC0"/>
            </w:tcBorders>
          </w:tcPr>
          <w:p>
            <w:pPr>
              <w:jc w:val="right"/>
              <w:ind w:right="10"/>
              <w:spacing w:after="0"/>
              <w:rPr>
                <w:sz w:val="20"/>
                <w:szCs w:val="20"/>
                <w:color w:val="auto"/>
              </w:rPr>
            </w:pPr>
            <w:r>
              <w:rPr>
                <w:rFonts w:ascii="Arial" w:cs="Arial" w:eastAsia="Arial" w:hAnsi="Arial"/>
                <w:sz w:val="14"/>
                <w:szCs w:val="14"/>
                <w:color w:val="auto"/>
              </w:rPr>
              <w:t>25.5</w:t>
            </w:r>
          </w:p>
        </w:tc>
        <w:tc>
          <w:tcPr>
            <w:tcW w:w="1420" w:type="dxa"/>
            <w:vAlign w:val="bottom"/>
            <w:tcBorders>
              <w:bottom w:val="single" w:sz="8" w:color="BCBEC0"/>
            </w:tcBorders>
          </w:tcPr>
          <w:p>
            <w:pPr>
              <w:jc w:val="right"/>
              <w:ind w:right="71"/>
              <w:spacing w:after="0"/>
              <w:rPr>
                <w:sz w:val="20"/>
                <w:szCs w:val="20"/>
                <w:color w:val="auto"/>
              </w:rPr>
            </w:pPr>
            <w:r>
              <w:rPr>
                <w:rFonts w:ascii="Arial" w:cs="Arial" w:eastAsia="Arial" w:hAnsi="Arial"/>
                <w:sz w:val="14"/>
                <w:szCs w:val="14"/>
                <w:color w:val="auto"/>
              </w:rPr>
              <w:t>13.2</w:t>
            </w:r>
          </w:p>
        </w:tc>
        <w:tc>
          <w:tcPr>
            <w:tcW w:w="1300" w:type="dxa"/>
            <w:vAlign w:val="bottom"/>
            <w:tcBorders>
              <w:bottom w:val="single" w:sz="8" w:color="BCBEC0"/>
            </w:tcBorders>
          </w:tcPr>
          <w:p>
            <w:pPr>
              <w:jc w:val="right"/>
              <w:ind w:right="11"/>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CBEC0"/>
            </w:tcBorders>
          </w:tcPr>
          <w:p>
            <w:pPr>
              <w:jc w:val="center"/>
              <w:ind w:left="911"/>
              <w:spacing w:after="0"/>
              <w:rPr>
                <w:sz w:val="20"/>
                <w:szCs w:val="20"/>
                <w:color w:val="auto"/>
              </w:rPr>
            </w:pPr>
            <w:r>
              <w:rPr>
                <w:rFonts w:ascii="Arial" w:cs="Arial" w:eastAsia="Arial" w:hAnsi="Arial"/>
                <w:sz w:val="14"/>
                <w:szCs w:val="14"/>
                <w:color w:val="auto"/>
              </w:rPr>
              <w:t>8.2</w:t>
            </w:r>
          </w:p>
        </w:tc>
        <w:tc>
          <w:tcPr>
            <w:tcW w:w="1340" w:type="dxa"/>
            <w:vAlign w:val="bottom"/>
            <w:tcBorders>
              <w:bottom w:val="single" w:sz="8" w:color="BCBEC0"/>
            </w:tcBorders>
          </w:tcPr>
          <w:p>
            <w:pPr>
              <w:ind w:left="11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CBEC0"/>
            </w:tcBorders>
          </w:tcPr>
          <w:p>
            <w:pPr>
              <w:jc w:val="right"/>
              <w:ind w:right="130"/>
              <w:spacing w:after="0"/>
              <w:rPr>
                <w:sz w:val="20"/>
                <w:szCs w:val="20"/>
                <w:color w:val="auto"/>
              </w:rPr>
            </w:pPr>
            <w:r>
              <w:rPr>
                <w:rFonts w:ascii="Arial" w:cs="Arial" w:eastAsia="Arial" w:hAnsi="Arial"/>
                <w:sz w:val="14"/>
                <w:szCs w:val="14"/>
                <w:color w:val="auto"/>
              </w:rPr>
              <w:t>0.9</w:t>
            </w:r>
          </w:p>
        </w:tc>
        <w:tc>
          <w:tcPr>
            <w:tcW w:w="1260" w:type="dxa"/>
            <w:vAlign w:val="bottom"/>
            <w:tcBorders>
              <w:bottom w:val="single" w:sz="8" w:color="BCBEC0"/>
            </w:tcBorders>
          </w:tcPr>
          <w:p>
            <w:pPr>
              <w:jc w:val="right"/>
              <w:ind w:right="10"/>
              <w:spacing w:after="0"/>
              <w:rPr>
                <w:sz w:val="20"/>
                <w:szCs w:val="20"/>
                <w:color w:val="auto"/>
              </w:rPr>
            </w:pPr>
            <w:r>
              <w:rPr>
                <w:rFonts w:ascii="Arial" w:cs="Arial" w:eastAsia="Arial" w:hAnsi="Arial"/>
                <w:sz w:val="14"/>
                <w:szCs w:val="14"/>
                <w:color w:val="auto"/>
              </w:rPr>
              <w:t>47.8</w:t>
            </w:r>
          </w:p>
        </w:tc>
      </w:tr>
      <w:tr>
        <w:trPr>
          <w:trHeight w:val="210"/>
        </w:trPr>
        <w:tc>
          <w:tcPr>
            <w:tcW w:w="1280" w:type="dxa"/>
            <w:vAlign w:val="bottom"/>
            <w:tcBorders>
              <w:bottom w:val="single" w:sz="8" w:color="BCBEC0"/>
            </w:tcBorders>
            <w:shd w:val="clear" w:color="auto" w:fill="DFDEEE"/>
          </w:tcPr>
          <w:p>
            <w:pPr>
              <w:spacing w:after="0"/>
              <w:rPr>
                <w:sz w:val="20"/>
                <w:szCs w:val="20"/>
                <w:color w:val="auto"/>
              </w:rPr>
            </w:pPr>
            <w:r>
              <w:rPr>
                <w:rFonts w:ascii="Arial" w:cs="Arial" w:eastAsia="Arial" w:hAnsi="Arial"/>
                <w:sz w:val="14"/>
                <w:szCs w:val="14"/>
                <w:b w:val="1"/>
                <w:bCs w:val="1"/>
                <w:color w:val="29378D"/>
              </w:rPr>
              <w:t>2021</w:t>
            </w:r>
          </w:p>
        </w:tc>
        <w:tc>
          <w:tcPr>
            <w:tcW w:w="1380" w:type="dxa"/>
            <w:vAlign w:val="bottom"/>
            <w:tcBorders>
              <w:bottom w:val="single" w:sz="8" w:color="BCBEC0"/>
            </w:tcBorders>
            <w:shd w:val="clear" w:color="auto" w:fill="DFDEEE"/>
          </w:tcPr>
          <w:p>
            <w:pPr>
              <w:jc w:val="right"/>
              <w:ind w:right="10"/>
              <w:spacing w:after="0"/>
              <w:rPr>
                <w:sz w:val="20"/>
                <w:szCs w:val="20"/>
                <w:color w:val="auto"/>
              </w:rPr>
            </w:pPr>
            <w:r>
              <w:rPr>
                <w:rFonts w:ascii="Arial" w:cs="Arial" w:eastAsia="Arial" w:hAnsi="Arial"/>
                <w:sz w:val="14"/>
                <w:szCs w:val="14"/>
                <w:color w:val="auto"/>
              </w:rPr>
              <w:t>22.5</w:t>
            </w:r>
          </w:p>
        </w:tc>
        <w:tc>
          <w:tcPr>
            <w:tcW w:w="1420" w:type="dxa"/>
            <w:vAlign w:val="bottom"/>
            <w:tcBorders>
              <w:bottom w:val="single" w:sz="8" w:color="BCBEC0"/>
            </w:tcBorders>
            <w:shd w:val="clear" w:color="auto" w:fill="DFDEEE"/>
          </w:tcPr>
          <w:p>
            <w:pPr>
              <w:jc w:val="right"/>
              <w:ind w:right="71"/>
              <w:spacing w:after="0"/>
              <w:rPr>
                <w:sz w:val="20"/>
                <w:szCs w:val="20"/>
                <w:color w:val="auto"/>
              </w:rPr>
            </w:pPr>
            <w:r>
              <w:rPr>
                <w:rFonts w:ascii="Arial" w:cs="Arial" w:eastAsia="Arial" w:hAnsi="Arial"/>
                <w:sz w:val="14"/>
                <w:szCs w:val="14"/>
                <w:color w:val="auto"/>
              </w:rPr>
              <w:t>4.7</w:t>
            </w:r>
          </w:p>
        </w:tc>
        <w:tc>
          <w:tcPr>
            <w:tcW w:w="1300" w:type="dxa"/>
            <w:vAlign w:val="bottom"/>
            <w:tcBorders>
              <w:bottom w:val="single" w:sz="8" w:color="BCBEC0"/>
            </w:tcBorders>
            <w:shd w:val="clear" w:color="auto" w:fill="DFDEEE"/>
          </w:tcPr>
          <w:p>
            <w:pPr>
              <w:jc w:val="right"/>
              <w:ind w:right="11"/>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CBEC0"/>
            </w:tcBorders>
            <w:shd w:val="clear" w:color="auto" w:fill="DFDEEE"/>
          </w:tcPr>
          <w:p>
            <w:pPr>
              <w:jc w:val="center"/>
              <w:ind w:left="911"/>
              <w:spacing w:after="0"/>
              <w:rPr>
                <w:sz w:val="20"/>
                <w:szCs w:val="20"/>
                <w:color w:val="auto"/>
              </w:rPr>
            </w:pPr>
            <w:r>
              <w:rPr>
                <w:rFonts w:ascii="Arial" w:cs="Arial" w:eastAsia="Arial" w:hAnsi="Arial"/>
                <w:sz w:val="14"/>
                <w:szCs w:val="14"/>
                <w:color w:val="auto"/>
              </w:rPr>
              <w:t>4.4</w:t>
            </w:r>
          </w:p>
        </w:tc>
        <w:tc>
          <w:tcPr>
            <w:tcW w:w="1340" w:type="dxa"/>
            <w:vAlign w:val="bottom"/>
            <w:tcBorders>
              <w:bottom w:val="single" w:sz="8" w:color="BCBEC0"/>
            </w:tcBorders>
            <w:shd w:val="clear" w:color="auto" w:fill="DFDEEE"/>
          </w:tcPr>
          <w:p>
            <w:pPr>
              <w:ind w:left="11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CBEC0"/>
            </w:tcBorders>
            <w:shd w:val="clear" w:color="auto" w:fill="DFDEEE"/>
          </w:tcPr>
          <w:p>
            <w:pPr>
              <w:jc w:val="right"/>
              <w:ind w:right="130"/>
              <w:spacing w:after="0"/>
              <w:rPr>
                <w:sz w:val="20"/>
                <w:szCs w:val="20"/>
                <w:color w:val="auto"/>
              </w:rPr>
            </w:pPr>
            <w:r>
              <w:rPr>
                <w:rFonts w:ascii="Arial" w:cs="Arial" w:eastAsia="Arial" w:hAnsi="Arial"/>
                <w:sz w:val="14"/>
                <w:szCs w:val="14"/>
                <w:color w:val="auto"/>
              </w:rPr>
              <w:t>0.8</w:t>
            </w:r>
          </w:p>
        </w:tc>
        <w:tc>
          <w:tcPr>
            <w:tcW w:w="1260" w:type="dxa"/>
            <w:vAlign w:val="bottom"/>
            <w:tcBorders>
              <w:bottom w:val="single" w:sz="8" w:color="BCBEC0"/>
            </w:tcBorders>
            <w:shd w:val="clear" w:color="auto" w:fill="DFDEEE"/>
          </w:tcPr>
          <w:p>
            <w:pPr>
              <w:jc w:val="right"/>
              <w:ind w:right="10"/>
              <w:spacing w:after="0"/>
              <w:rPr>
                <w:sz w:val="20"/>
                <w:szCs w:val="20"/>
                <w:color w:val="auto"/>
              </w:rPr>
            </w:pPr>
            <w:r>
              <w:rPr>
                <w:rFonts w:ascii="Arial" w:cs="Arial" w:eastAsia="Arial" w:hAnsi="Arial"/>
                <w:sz w:val="14"/>
                <w:szCs w:val="14"/>
                <w:color w:val="auto"/>
              </w:rPr>
              <w:t>32.4</w:t>
            </w:r>
          </w:p>
        </w:tc>
      </w:tr>
      <w:tr>
        <w:trPr>
          <w:trHeight w:val="209"/>
        </w:trPr>
        <w:tc>
          <w:tcPr>
            <w:tcW w:w="1280" w:type="dxa"/>
            <w:vAlign w:val="bottom"/>
            <w:tcBorders>
              <w:bottom w:val="single" w:sz="8" w:color="D1D3D4"/>
            </w:tcBorders>
          </w:tcPr>
          <w:p>
            <w:pPr>
              <w:spacing w:after="0"/>
              <w:rPr>
                <w:sz w:val="20"/>
                <w:szCs w:val="20"/>
                <w:color w:val="auto"/>
              </w:rPr>
            </w:pPr>
            <w:r>
              <w:rPr>
                <w:rFonts w:ascii="Arial" w:cs="Arial" w:eastAsia="Arial" w:hAnsi="Arial"/>
                <w:sz w:val="14"/>
                <w:szCs w:val="14"/>
                <w:b w:val="1"/>
                <w:bCs w:val="1"/>
                <w:color w:val="29378D"/>
              </w:rPr>
              <w:t>2020</w:t>
            </w:r>
          </w:p>
        </w:tc>
        <w:tc>
          <w:tcPr>
            <w:tcW w:w="1380" w:type="dxa"/>
            <w:vAlign w:val="bottom"/>
            <w:tcBorders>
              <w:bottom w:val="single" w:sz="8" w:color="D1D3D4"/>
            </w:tcBorders>
          </w:tcPr>
          <w:p>
            <w:pPr>
              <w:jc w:val="right"/>
              <w:ind w:right="10"/>
              <w:spacing w:after="0"/>
              <w:rPr>
                <w:sz w:val="20"/>
                <w:szCs w:val="20"/>
                <w:color w:val="auto"/>
              </w:rPr>
            </w:pPr>
            <w:r>
              <w:rPr>
                <w:rFonts w:ascii="Arial" w:cs="Arial" w:eastAsia="Arial" w:hAnsi="Arial"/>
                <w:sz w:val="14"/>
                <w:szCs w:val="14"/>
                <w:color w:val="auto"/>
              </w:rPr>
              <w:t>11.6</w:t>
            </w:r>
          </w:p>
        </w:tc>
        <w:tc>
          <w:tcPr>
            <w:tcW w:w="1420" w:type="dxa"/>
            <w:vAlign w:val="bottom"/>
            <w:tcBorders>
              <w:bottom w:val="single" w:sz="8" w:color="D1D3D4"/>
            </w:tcBorders>
          </w:tcPr>
          <w:p>
            <w:pPr>
              <w:jc w:val="right"/>
              <w:ind w:right="31"/>
              <w:spacing w:after="0"/>
              <w:rPr>
                <w:sz w:val="20"/>
                <w:szCs w:val="20"/>
                <w:color w:val="auto"/>
              </w:rPr>
            </w:pPr>
            <w:r>
              <w:rPr>
                <w:rFonts w:ascii="Arial" w:cs="Arial" w:eastAsia="Arial" w:hAnsi="Arial"/>
                <w:sz w:val="14"/>
                <w:szCs w:val="14"/>
                <w:color w:val="auto"/>
              </w:rPr>
              <w:t>(3.1)</w:t>
            </w:r>
          </w:p>
        </w:tc>
        <w:tc>
          <w:tcPr>
            <w:tcW w:w="1300" w:type="dxa"/>
            <w:vAlign w:val="bottom"/>
            <w:tcBorders>
              <w:bottom w:val="single" w:sz="8" w:color="D1D3D4"/>
            </w:tcBorders>
          </w:tcPr>
          <w:p>
            <w:pPr>
              <w:jc w:val="right"/>
              <w:ind w:right="11"/>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D1D3D4"/>
            </w:tcBorders>
          </w:tcPr>
          <w:p>
            <w:pPr>
              <w:jc w:val="center"/>
              <w:ind w:left="891"/>
              <w:spacing w:after="0"/>
              <w:rPr>
                <w:sz w:val="20"/>
                <w:szCs w:val="20"/>
                <w:color w:val="auto"/>
              </w:rPr>
            </w:pPr>
            <w:r>
              <w:rPr>
                <w:rFonts w:ascii="Arial" w:cs="Arial" w:eastAsia="Arial" w:hAnsi="Arial"/>
                <w:sz w:val="14"/>
                <w:szCs w:val="14"/>
                <w:color w:val="auto"/>
              </w:rPr>
              <w:t>(0.9)</w:t>
            </w:r>
          </w:p>
        </w:tc>
        <w:tc>
          <w:tcPr>
            <w:tcW w:w="1340" w:type="dxa"/>
            <w:vAlign w:val="bottom"/>
            <w:tcBorders>
              <w:bottom w:val="single" w:sz="8" w:color="D1D3D4"/>
            </w:tcBorders>
          </w:tcPr>
          <w:p>
            <w:pPr>
              <w:ind w:left="11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D1D3D4"/>
            </w:tcBorders>
          </w:tcPr>
          <w:p>
            <w:pPr>
              <w:jc w:val="right"/>
              <w:ind w:right="130"/>
              <w:spacing w:after="0"/>
              <w:rPr>
                <w:sz w:val="20"/>
                <w:szCs w:val="20"/>
                <w:color w:val="auto"/>
              </w:rPr>
            </w:pPr>
            <w:r>
              <w:rPr>
                <w:rFonts w:ascii="Arial" w:cs="Arial" w:eastAsia="Arial" w:hAnsi="Arial"/>
                <w:sz w:val="14"/>
                <w:szCs w:val="14"/>
                <w:color w:val="auto"/>
              </w:rPr>
              <w:t>0.4</w:t>
            </w:r>
          </w:p>
        </w:tc>
        <w:tc>
          <w:tcPr>
            <w:tcW w:w="1260" w:type="dxa"/>
            <w:vAlign w:val="bottom"/>
            <w:tcBorders>
              <w:bottom w:val="single" w:sz="8" w:color="D1D3D4"/>
            </w:tcBorders>
          </w:tcPr>
          <w:p>
            <w:pPr>
              <w:jc w:val="right"/>
              <w:ind w:right="10"/>
              <w:spacing w:after="0"/>
              <w:rPr>
                <w:sz w:val="20"/>
                <w:szCs w:val="20"/>
                <w:color w:val="auto"/>
              </w:rPr>
            </w:pPr>
            <w:r>
              <w:rPr>
                <w:rFonts w:ascii="Arial" w:cs="Arial" w:eastAsia="Arial" w:hAnsi="Arial"/>
                <w:sz w:val="14"/>
                <w:szCs w:val="14"/>
                <w:color w:val="auto"/>
              </w:rPr>
              <w:t>8.0</w:t>
            </w:r>
          </w:p>
        </w:tc>
      </w:tr>
      <w:tr>
        <w:trPr>
          <w:trHeight w:val="405"/>
        </w:trPr>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jc w:val="right"/>
              <w:ind w:right="171"/>
              <w:spacing w:after="0"/>
              <w:rPr>
                <w:sz w:val="20"/>
                <w:szCs w:val="20"/>
                <w:color w:val="auto"/>
              </w:rPr>
            </w:pPr>
            <w:r>
              <w:rPr>
                <w:rFonts w:ascii="Arial" w:cs="Arial" w:eastAsia="Arial" w:hAnsi="Arial"/>
                <w:sz w:val="13"/>
                <w:szCs w:val="13"/>
                <w:b w:val="1"/>
                <w:bCs w:val="1"/>
                <w:color w:val="auto"/>
              </w:rPr>
              <w:t>Equity Valuation</w:t>
            </w: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
        </w:trPr>
        <w:tc>
          <w:tcPr>
            <w:tcW w:w="1280" w:type="dxa"/>
            <w:vAlign w:val="bottom"/>
          </w:tcPr>
          <w:p>
            <w:pPr>
              <w:spacing w:after="0" w:line="20" w:lineRule="exact"/>
              <w:rPr>
                <w:sz w:val="1"/>
                <w:szCs w:val="1"/>
                <w:color w:val="auto"/>
              </w:rPr>
            </w:pPr>
          </w:p>
        </w:tc>
        <w:tc>
          <w:tcPr>
            <w:tcW w:w="1380" w:type="dxa"/>
            <w:vAlign w:val="bottom"/>
            <w:tcBorders>
              <w:bottom w:val="single" w:sz="8" w:color="29378D"/>
            </w:tcBorders>
          </w:tcPr>
          <w:p>
            <w:pPr>
              <w:spacing w:after="0" w:line="20" w:lineRule="exact"/>
              <w:rPr>
                <w:sz w:val="1"/>
                <w:szCs w:val="1"/>
                <w:color w:val="auto"/>
              </w:rPr>
            </w:pPr>
          </w:p>
        </w:tc>
        <w:tc>
          <w:tcPr>
            <w:tcW w:w="1420" w:type="dxa"/>
            <w:vAlign w:val="bottom"/>
            <w:tcBorders>
              <w:bottom w:val="single" w:sz="8" w:color="29378D"/>
            </w:tcBorders>
          </w:tcPr>
          <w:p>
            <w:pPr>
              <w:spacing w:after="0" w:line="20" w:lineRule="exact"/>
              <w:rPr>
                <w:sz w:val="1"/>
                <w:szCs w:val="1"/>
                <w:color w:val="auto"/>
              </w:rPr>
            </w:pPr>
          </w:p>
        </w:tc>
        <w:tc>
          <w:tcPr>
            <w:tcW w:w="1300" w:type="dxa"/>
            <w:vAlign w:val="bottom"/>
            <w:tcBorders>
              <w:bottom w:val="single" w:sz="8" w:color="29378D"/>
            </w:tcBorders>
          </w:tcPr>
          <w:p>
            <w:pPr>
              <w:spacing w:after="0" w:line="20" w:lineRule="exact"/>
              <w:rPr>
                <w:sz w:val="1"/>
                <w:szCs w:val="1"/>
                <w:color w:val="auto"/>
              </w:rPr>
            </w:pPr>
          </w:p>
        </w:tc>
        <w:tc>
          <w:tcPr>
            <w:tcW w:w="1420" w:type="dxa"/>
            <w:vAlign w:val="bottom"/>
            <w:tcBorders>
              <w:bottom w:val="single" w:sz="8" w:color="29378D"/>
            </w:tcBorders>
          </w:tcPr>
          <w:p>
            <w:pPr>
              <w:spacing w:after="0" w:line="20" w:lineRule="exact"/>
              <w:rPr>
                <w:sz w:val="1"/>
                <w:szCs w:val="1"/>
                <w:color w:val="auto"/>
              </w:rPr>
            </w:pPr>
          </w:p>
        </w:tc>
        <w:tc>
          <w:tcPr>
            <w:tcW w:w="1340" w:type="dxa"/>
            <w:vAlign w:val="bottom"/>
            <w:tcBorders>
              <w:bottom w:val="single" w:sz="8" w:color="29378D"/>
            </w:tcBorders>
          </w:tcPr>
          <w:p>
            <w:pPr>
              <w:spacing w:after="0" w:line="20" w:lineRule="exact"/>
              <w:rPr>
                <w:sz w:val="1"/>
                <w:szCs w:val="1"/>
                <w:color w:val="auto"/>
              </w:rPr>
            </w:pPr>
          </w:p>
        </w:tc>
        <w:tc>
          <w:tcPr>
            <w:tcW w:w="1480" w:type="dxa"/>
            <w:vAlign w:val="bottom"/>
            <w:tcBorders>
              <w:bottom w:val="single" w:sz="8" w:color="29378D"/>
            </w:tcBorders>
          </w:tcPr>
          <w:p>
            <w:pPr>
              <w:spacing w:after="0" w:line="20" w:lineRule="exact"/>
              <w:rPr>
                <w:sz w:val="1"/>
                <w:szCs w:val="1"/>
                <w:color w:val="auto"/>
              </w:rPr>
            </w:pPr>
          </w:p>
        </w:tc>
        <w:tc>
          <w:tcPr>
            <w:tcW w:w="1260" w:type="dxa"/>
            <w:vAlign w:val="bottom"/>
            <w:tcBorders>
              <w:bottom w:val="single" w:sz="8" w:color="29378D"/>
            </w:tcBorders>
          </w:tcPr>
          <w:p>
            <w:pPr>
              <w:spacing w:after="0" w:line="20" w:lineRule="exact"/>
              <w:rPr>
                <w:sz w:val="1"/>
                <w:szCs w:val="1"/>
                <w:color w:val="auto"/>
              </w:rPr>
            </w:pPr>
          </w:p>
        </w:tc>
      </w:tr>
      <w:tr>
        <w:trPr>
          <w:trHeight w:val="174"/>
        </w:trPr>
        <w:tc>
          <w:tcPr>
            <w:tcW w:w="1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20" w:type="dxa"/>
            <w:vAlign w:val="bottom"/>
          </w:tcPr>
          <w:p>
            <w:pPr>
              <w:jc w:val="right"/>
              <w:ind w:right="11"/>
              <w:spacing w:after="0"/>
              <w:rPr>
                <w:sz w:val="20"/>
                <w:szCs w:val="20"/>
                <w:color w:val="auto"/>
              </w:rPr>
            </w:pPr>
            <w:r>
              <w:rPr>
                <w:rFonts w:ascii="Arial" w:cs="Arial" w:eastAsia="Arial" w:hAnsi="Arial"/>
                <w:sz w:val="13"/>
                <w:szCs w:val="13"/>
                <w:b w:val="1"/>
                <w:bCs w:val="1"/>
                <w:color w:val="auto"/>
                <w:w w:val="99"/>
              </w:rPr>
              <w:t>Non-PEO NEOs (Avg)</w:t>
            </w: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2"/>
        </w:trPr>
        <w:tc>
          <w:tcPr>
            <w:tcW w:w="1280" w:type="dxa"/>
            <w:vAlign w:val="bottom"/>
          </w:tcPr>
          <w:p>
            <w:pPr>
              <w:spacing w:after="0" w:line="20" w:lineRule="exact"/>
              <w:rPr>
                <w:sz w:val="1"/>
                <w:szCs w:val="1"/>
                <w:color w:val="auto"/>
              </w:rPr>
            </w:pPr>
          </w:p>
        </w:tc>
        <w:tc>
          <w:tcPr>
            <w:tcW w:w="1380" w:type="dxa"/>
            <w:vAlign w:val="bottom"/>
            <w:tcBorders>
              <w:bottom w:val="single" w:sz="8" w:color="29378D"/>
            </w:tcBorders>
          </w:tcPr>
          <w:p>
            <w:pPr>
              <w:spacing w:after="0" w:line="20" w:lineRule="exact"/>
              <w:rPr>
                <w:sz w:val="1"/>
                <w:szCs w:val="1"/>
                <w:color w:val="auto"/>
              </w:rPr>
            </w:pPr>
          </w:p>
        </w:tc>
        <w:tc>
          <w:tcPr>
            <w:tcW w:w="1420" w:type="dxa"/>
            <w:vAlign w:val="bottom"/>
            <w:tcBorders>
              <w:bottom w:val="single" w:sz="8" w:color="29378D"/>
            </w:tcBorders>
          </w:tcPr>
          <w:p>
            <w:pPr>
              <w:spacing w:after="0" w:line="20" w:lineRule="exact"/>
              <w:rPr>
                <w:sz w:val="1"/>
                <w:szCs w:val="1"/>
                <w:color w:val="auto"/>
              </w:rPr>
            </w:pPr>
          </w:p>
        </w:tc>
        <w:tc>
          <w:tcPr>
            <w:tcW w:w="1300" w:type="dxa"/>
            <w:vAlign w:val="bottom"/>
            <w:tcBorders>
              <w:bottom w:val="single" w:sz="8" w:color="29378D"/>
            </w:tcBorders>
          </w:tcPr>
          <w:p>
            <w:pPr>
              <w:spacing w:after="0" w:line="20" w:lineRule="exact"/>
              <w:rPr>
                <w:sz w:val="1"/>
                <w:szCs w:val="1"/>
                <w:color w:val="auto"/>
              </w:rPr>
            </w:pPr>
          </w:p>
        </w:tc>
        <w:tc>
          <w:tcPr>
            <w:tcW w:w="1420" w:type="dxa"/>
            <w:vAlign w:val="bottom"/>
            <w:tcBorders>
              <w:bottom w:val="single" w:sz="8" w:color="29378D"/>
            </w:tcBorders>
          </w:tcPr>
          <w:p>
            <w:pPr>
              <w:spacing w:after="0" w:line="20" w:lineRule="exact"/>
              <w:rPr>
                <w:sz w:val="1"/>
                <w:szCs w:val="1"/>
                <w:color w:val="auto"/>
              </w:rPr>
            </w:pPr>
          </w:p>
        </w:tc>
        <w:tc>
          <w:tcPr>
            <w:tcW w:w="1340" w:type="dxa"/>
            <w:vAlign w:val="bottom"/>
            <w:tcBorders>
              <w:bottom w:val="single" w:sz="8" w:color="29378D"/>
            </w:tcBorders>
          </w:tcPr>
          <w:p>
            <w:pPr>
              <w:spacing w:after="0" w:line="20" w:lineRule="exact"/>
              <w:rPr>
                <w:sz w:val="1"/>
                <w:szCs w:val="1"/>
                <w:color w:val="auto"/>
              </w:rPr>
            </w:pPr>
          </w:p>
        </w:tc>
        <w:tc>
          <w:tcPr>
            <w:tcW w:w="1480" w:type="dxa"/>
            <w:vAlign w:val="bottom"/>
            <w:tcBorders>
              <w:bottom w:val="single" w:sz="8" w:color="29378D"/>
            </w:tcBorders>
          </w:tcPr>
          <w:p>
            <w:pPr>
              <w:spacing w:after="0" w:line="20" w:lineRule="exact"/>
              <w:rPr>
                <w:sz w:val="1"/>
                <w:szCs w:val="1"/>
                <w:color w:val="auto"/>
              </w:rPr>
            </w:pPr>
          </w:p>
        </w:tc>
        <w:tc>
          <w:tcPr>
            <w:tcW w:w="1260" w:type="dxa"/>
            <w:vAlign w:val="bottom"/>
            <w:tcBorders>
              <w:bottom w:val="single" w:sz="8" w:color="29378D"/>
            </w:tcBorders>
          </w:tcPr>
          <w:p>
            <w:pPr>
              <w:spacing w:after="0" w:line="20" w:lineRule="exact"/>
              <w:rPr>
                <w:sz w:val="1"/>
                <w:szCs w:val="1"/>
                <w:color w:val="auto"/>
              </w:rPr>
            </w:pPr>
          </w:p>
        </w:tc>
      </w:tr>
      <w:tr>
        <w:trPr>
          <w:trHeight w:val="421"/>
        </w:trPr>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jc w:val="right"/>
              <w:ind w:right="31"/>
              <w:spacing w:after="0"/>
              <w:rPr>
                <w:sz w:val="20"/>
                <w:szCs w:val="20"/>
                <w:color w:val="auto"/>
              </w:rPr>
            </w:pPr>
            <w:r>
              <w:rPr>
                <w:rFonts w:ascii="Arial" w:cs="Arial" w:eastAsia="Arial" w:hAnsi="Arial"/>
                <w:sz w:val="13"/>
                <w:szCs w:val="13"/>
                <w:b w:val="1"/>
                <w:bCs w:val="1"/>
                <w:color w:val="auto"/>
              </w:rPr>
              <w:t>Annual Change in</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Fair Value as of</w:t>
            </w: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35"/>
        </w:trPr>
        <w:tc>
          <w:tcPr>
            <w:tcW w:w="1280" w:type="dxa"/>
            <w:vAlign w:val="bottom"/>
          </w:tcPr>
          <w:p>
            <w:pPr>
              <w:spacing w:after="0"/>
              <w:rPr>
                <w:sz w:val="11"/>
                <w:szCs w:val="11"/>
                <w:color w:val="auto"/>
              </w:rPr>
            </w:pPr>
          </w:p>
        </w:tc>
        <w:tc>
          <w:tcPr>
            <w:tcW w:w="13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Fair Value of Current</w:t>
            </w:r>
          </w:p>
        </w:tc>
        <w:tc>
          <w:tcPr>
            <w:tcW w:w="1420" w:type="dxa"/>
            <w:vAlign w:val="bottom"/>
          </w:tcPr>
          <w:p>
            <w:pPr>
              <w:jc w:val="right"/>
              <w:ind w:right="31"/>
              <w:spacing w:after="0" w:line="135" w:lineRule="exact"/>
              <w:rPr>
                <w:sz w:val="20"/>
                <w:szCs w:val="20"/>
                <w:color w:val="auto"/>
              </w:rPr>
            </w:pPr>
            <w:r>
              <w:rPr>
                <w:rFonts w:ascii="Arial" w:cs="Arial" w:eastAsia="Arial" w:hAnsi="Arial"/>
                <w:sz w:val="13"/>
                <w:szCs w:val="13"/>
                <w:b w:val="1"/>
                <w:bCs w:val="1"/>
                <w:color w:val="auto"/>
                <w:w w:val="98"/>
              </w:rPr>
              <w:t>Fair Value as of Year-</w:t>
            </w:r>
          </w:p>
        </w:tc>
        <w:tc>
          <w:tcPr>
            <w:tcW w:w="13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Vesting of Awards</w:t>
            </w:r>
          </w:p>
        </w:tc>
        <w:tc>
          <w:tcPr>
            <w:tcW w:w="1420" w:type="dxa"/>
            <w:vAlign w:val="bottom"/>
          </w:tcPr>
          <w:p>
            <w:pPr>
              <w:jc w:val="right"/>
              <w:ind w:right="11"/>
              <w:spacing w:after="0" w:line="135" w:lineRule="exact"/>
              <w:rPr>
                <w:sz w:val="20"/>
                <w:szCs w:val="20"/>
                <w:color w:val="auto"/>
              </w:rPr>
            </w:pPr>
            <w:r>
              <w:rPr>
                <w:rFonts w:ascii="Arial" w:cs="Arial" w:eastAsia="Arial" w:hAnsi="Arial"/>
                <w:sz w:val="13"/>
                <w:szCs w:val="13"/>
                <w:b w:val="1"/>
                <w:bCs w:val="1"/>
                <w:color w:val="auto"/>
              </w:rPr>
              <w:t>Annual Change in</w:t>
            </w:r>
          </w:p>
        </w:tc>
        <w:tc>
          <w:tcPr>
            <w:tcW w:w="13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Annual Change in</w:t>
            </w:r>
          </w:p>
        </w:tc>
        <w:tc>
          <w:tcPr>
            <w:tcW w:w="148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w w:val="99"/>
              </w:rPr>
              <w:t>Value of Dividends or</w:t>
            </w:r>
          </w:p>
        </w:tc>
        <w:tc>
          <w:tcPr>
            <w:tcW w:w="1260" w:type="dxa"/>
            <w:vAlign w:val="bottom"/>
          </w:tcPr>
          <w:p>
            <w:pPr>
              <w:spacing w:after="0"/>
              <w:rPr>
                <w:sz w:val="11"/>
                <w:szCs w:val="11"/>
                <w:color w:val="auto"/>
              </w:rPr>
            </w:pPr>
          </w:p>
        </w:tc>
      </w:tr>
      <w:tr>
        <w:trPr>
          <w:trHeight w:val="148"/>
        </w:trPr>
        <w:tc>
          <w:tcPr>
            <w:tcW w:w="128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b w:val="1"/>
                <w:bCs w:val="1"/>
                <w:color w:val="auto"/>
              </w:rPr>
              <w:t>Year Equity Awards</w:t>
            </w:r>
          </w:p>
        </w:tc>
        <w:tc>
          <w:tcPr>
            <w:tcW w:w="1420" w:type="dxa"/>
            <w:vAlign w:val="bottom"/>
          </w:tcPr>
          <w:p>
            <w:pPr>
              <w:jc w:val="right"/>
              <w:ind w:right="31"/>
              <w:spacing w:after="0"/>
              <w:rPr>
                <w:sz w:val="20"/>
                <w:szCs w:val="20"/>
                <w:color w:val="auto"/>
              </w:rPr>
            </w:pPr>
            <w:r>
              <w:rPr>
                <w:rFonts w:ascii="Arial" w:cs="Arial" w:eastAsia="Arial" w:hAnsi="Arial"/>
                <w:sz w:val="13"/>
                <w:szCs w:val="13"/>
                <w:b w:val="1"/>
                <w:bCs w:val="1"/>
                <w:color w:val="auto"/>
              </w:rPr>
              <w:t>End for Unvested</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Granted and Vested</w:t>
            </w:r>
          </w:p>
        </w:tc>
        <w:tc>
          <w:tcPr>
            <w:tcW w:w="1420" w:type="dxa"/>
            <w:vAlign w:val="bottom"/>
          </w:tcPr>
          <w:p>
            <w:pPr>
              <w:jc w:val="right"/>
              <w:ind w:right="11"/>
              <w:spacing w:after="0"/>
              <w:rPr>
                <w:sz w:val="20"/>
                <w:szCs w:val="20"/>
                <w:color w:val="auto"/>
              </w:rPr>
            </w:pPr>
            <w:r>
              <w:rPr>
                <w:rFonts w:ascii="Arial" w:cs="Arial" w:eastAsia="Arial" w:hAnsi="Arial"/>
                <w:sz w:val="13"/>
                <w:szCs w:val="13"/>
                <w:b w:val="1"/>
                <w:bCs w:val="1"/>
                <w:color w:val="auto"/>
                <w:w w:val="97"/>
              </w:rPr>
              <w:t>Value as of Vesting of</w:t>
            </w: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Value of Prior Year's</w:t>
            </w:r>
          </w:p>
        </w:tc>
        <w:tc>
          <w:tcPr>
            <w:tcW w:w="1480" w:type="dxa"/>
            <w:vAlign w:val="bottom"/>
          </w:tcPr>
          <w:p>
            <w:pPr>
              <w:jc w:val="right"/>
              <w:ind w:right="70"/>
              <w:spacing w:after="0"/>
              <w:rPr>
                <w:sz w:val="20"/>
                <w:szCs w:val="20"/>
                <w:color w:val="auto"/>
              </w:rPr>
            </w:pPr>
            <w:r>
              <w:rPr>
                <w:rFonts w:ascii="Arial" w:cs="Arial" w:eastAsia="Arial" w:hAnsi="Arial"/>
                <w:sz w:val="13"/>
                <w:szCs w:val="13"/>
                <w:b w:val="1"/>
                <w:bCs w:val="1"/>
                <w:color w:val="auto"/>
              </w:rPr>
              <w:t>Other Earnings Paid</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Total Equity Value</w:t>
            </w:r>
          </w:p>
        </w:tc>
      </w:tr>
      <w:tr>
        <w:trPr>
          <w:trHeight w:val="189"/>
        </w:trPr>
        <w:tc>
          <w:tcPr>
            <w:tcW w:w="1280" w:type="dxa"/>
            <w:vAlign w:val="bottom"/>
            <w:tcBorders>
              <w:bottom w:val="single" w:sz="8" w:color="29378D"/>
            </w:tcBorders>
          </w:tcPr>
          <w:p>
            <w:pPr>
              <w:spacing w:after="0"/>
              <w:rPr>
                <w:sz w:val="20"/>
                <w:szCs w:val="20"/>
                <w:color w:val="auto"/>
              </w:rPr>
            </w:pPr>
            <w:r>
              <w:rPr>
                <w:rFonts w:ascii="Arial" w:cs="Arial" w:eastAsia="Arial" w:hAnsi="Arial"/>
                <w:sz w:val="13"/>
                <w:szCs w:val="13"/>
                <w:b w:val="1"/>
                <w:bCs w:val="1"/>
                <w:color w:val="auto"/>
              </w:rPr>
              <w:t>Year ($M)</w:t>
            </w:r>
          </w:p>
        </w:tc>
        <w:tc>
          <w:tcPr>
            <w:tcW w:w="1380" w:type="dxa"/>
            <w:vAlign w:val="bottom"/>
            <w:tcBorders>
              <w:bottom w:val="single" w:sz="8" w:color="29378D"/>
            </w:tcBorders>
          </w:tcPr>
          <w:p>
            <w:pPr>
              <w:jc w:val="right"/>
              <w:spacing w:after="0"/>
              <w:rPr>
                <w:sz w:val="20"/>
                <w:szCs w:val="20"/>
                <w:color w:val="auto"/>
              </w:rPr>
            </w:pPr>
            <w:r>
              <w:rPr>
                <w:rFonts w:ascii="Arial" w:cs="Arial" w:eastAsia="Arial" w:hAnsi="Arial"/>
                <w:sz w:val="13"/>
                <w:szCs w:val="13"/>
                <w:b w:val="1"/>
                <w:bCs w:val="1"/>
                <w:color w:val="auto"/>
              </w:rPr>
              <w:t>as of Year-End</w:t>
            </w:r>
          </w:p>
        </w:tc>
        <w:tc>
          <w:tcPr>
            <w:tcW w:w="1420" w:type="dxa"/>
            <w:vAlign w:val="bottom"/>
            <w:tcBorders>
              <w:bottom w:val="single" w:sz="8" w:color="29378D"/>
            </w:tcBorders>
          </w:tcPr>
          <w:p>
            <w:pPr>
              <w:jc w:val="right"/>
              <w:ind w:right="31"/>
              <w:spacing w:after="0"/>
              <w:rPr>
                <w:sz w:val="20"/>
                <w:szCs w:val="20"/>
                <w:color w:val="auto"/>
              </w:rPr>
            </w:pPr>
            <w:r>
              <w:rPr>
                <w:rFonts w:ascii="Arial" w:cs="Arial" w:eastAsia="Arial" w:hAnsi="Arial"/>
                <w:sz w:val="13"/>
                <w:szCs w:val="13"/>
                <w:b w:val="1"/>
                <w:bCs w:val="1"/>
                <w:color w:val="auto"/>
              </w:rPr>
              <w:t>Awards</w:t>
            </w:r>
          </w:p>
        </w:tc>
        <w:tc>
          <w:tcPr>
            <w:tcW w:w="1300" w:type="dxa"/>
            <w:vAlign w:val="bottom"/>
            <w:tcBorders>
              <w:bottom w:val="single" w:sz="8" w:color="29378D"/>
            </w:tcBorders>
          </w:tcPr>
          <w:p>
            <w:pPr>
              <w:jc w:val="right"/>
              <w:spacing w:after="0"/>
              <w:rPr>
                <w:sz w:val="20"/>
                <w:szCs w:val="20"/>
                <w:color w:val="auto"/>
              </w:rPr>
            </w:pPr>
            <w:r>
              <w:rPr>
                <w:rFonts w:ascii="Arial" w:cs="Arial" w:eastAsia="Arial" w:hAnsi="Arial"/>
                <w:sz w:val="13"/>
                <w:szCs w:val="13"/>
                <w:b w:val="1"/>
                <w:bCs w:val="1"/>
                <w:color w:val="auto"/>
              </w:rPr>
              <w:t>in Year</w:t>
            </w:r>
          </w:p>
        </w:tc>
        <w:tc>
          <w:tcPr>
            <w:tcW w:w="1420" w:type="dxa"/>
            <w:vAlign w:val="bottom"/>
            <w:tcBorders>
              <w:bottom w:val="single" w:sz="8" w:color="29378D"/>
            </w:tcBorders>
          </w:tcPr>
          <w:p>
            <w:pPr>
              <w:jc w:val="right"/>
              <w:ind w:right="11"/>
              <w:spacing w:after="0"/>
              <w:rPr>
                <w:sz w:val="20"/>
                <w:szCs w:val="20"/>
                <w:color w:val="auto"/>
              </w:rPr>
            </w:pPr>
            <w:r>
              <w:rPr>
                <w:rFonts w:ascii="Arial" w:cs="Arial" w:eastAsia="Arial" w:hAnsi="Arial"/>
                <w:sz w:val="13"/>
                <w:szCs w:val="13"/>
                <w:b w:val="1"/>
                <w:bCs w:val="1"/>
                <w:color w:val="auto"/>
              </w:rPr>
              <w:t>Prior Year's Awards</w:t>
            </w:r>
          </w:p>
        </w:tc>
        <w:tc>
          <w:tcPr>
            <w:tcW w:w="1340" w:type="dxa"/>
            <w:vAlign w:val="bottom"/>
            <w:tcBorders>
              <w:bottom w:val="single" w:sz="8" w:color="29378D"/>
            </w:tcBorders>
          </w:tcPr>
          <w:p>
            <w:pPr>
              <w:jc w:val="right"/>
              <w:spacing w:after="0"/>
              <w:rPr>
                <w:sz w:val="20"/>
                <w:szCs w:val="20"/>
                <w:color w:val="auto"/>
              </w:rPr>
            </w:pPr>
            <w:r>
              <w:rPr>
                <w:rFonts w:ascii="Arial" w:cs="Arial" w:eastAsia="Arial" w:hAnsi="Arial"/>
                <w:sz w:val="13"/>
                <w:szCs w:val="13"/>
                <w:b w:val="1"/>
                <w:bCs w:val="1"/>
                <w:color w:val="auto"/>
              </w:rPr>
              <w:t>Awards Forfeited</w:t>
            </w:r>
          </w:p>
        </w:tc>
        <w:tc>
          <w:tcPr>
            <w:tcW w:w="1480" w:type="dxa"/>
            <w:vAlign w:val="bottom"/>
            <w:tcBorders>
              <w:bottom w:val="single" w:sz="8" w:color="29378D"/>
            </w:tcBorders>
          </w:tcPr>
          <w:p>
            <w:pPr>
              <w:jc w:val="right"/>
              <w:ind w:right="70"/>
              <w:spacing w:after="0"/>
              <w:rPr>
                <w:sz w:val="20"/>
                <w:szCs w:val="20"/>
                <w:color w:val="auto"/>
              </w:rPr>
            </w:pPr>
            <w:r>
              <w:rPr>
                <w:rFonts w:ascii="Arial" w:cs="Arial" w:eastAsia="Arial" w:hAnsi="Arial"/>
                <w:sz w:val="13"/>
                <w:szCs w:val="13"/>
                <w:b w:val="1"/>
                <w:bCs w:val="1"/>
                <w:color w:val="auto"/>
              </w:rPr>
              <w:t>on Stock</w:t>
            </w:r>
          </w:p>
        </w:tc>
        <w:tc>
          <w:tcPr>
            <w:tcW w:w="1260" w:type="dxa"/>
            <w:vAlign w:val="bottom"/>
            <w:tcBorders>
              <w:bottom w:val="single" w:sz="8" w:color="29378D"/>
            </w:tcBorders>
          </w:tcPr>
          <w:p>
            <w:pPr>
              <w:jc w:val="right"/>
              <w:spacing w:after="0"/>
              <w:rPr>
                <w:sz w:val="20"/>
                <w:szCs w:val="20"/>
                <w:color w:val="auto"/>
              </w:rPr>
            </w:pPr>
            <w:r>
              <w:rPr>
                <w:rFonts w:ascii="Arial" w:cs="Arial" w:eastAsia="Arial" w:hAnsi="Arial"/>
                <w:sz w:val="13"/>
                <w:szCs w:val="13"/>
                <w:b w:val="1"/>
                <w:bCs w:val="1"/>
                <w:color w:val="auto"/>
              </w:rPr>
              <w:t>Included in CAP</w:t>
            </w:r>
          </w:p>
        </w:tc>
      </w:tr>
      <w:tr>
        <w:trPr>
          <w:trHeight w:val="213"/>
        </w:trPr>
        <w:tc>
          <w:tcPr>
            <w:tcW w:w="1280" w:type="dxa"/>
            <w:vAlign w:val="bottom"/>
            <w:shd w:val="clear" w:color="auto" w:fill="E1E0EF"/>
          </w:tcPr>
          <w:p>
            <w:pPr>
              <w:spacing w:after="0"/>
              <w:rPr>
                <w:sz w:val="20"/>
                <w:szCs w:val="20"/>
                <w:color w:val="auto"/>
              </w:rPr>
            </w:pPr>
            <w:r>
              <w:rPr>
                <w:rFonts w:ascii="Arial" w:cs="Arial" w:eastAsia="Arial" w:hAnsi="Arial"/>
                <w:sz w:val="14"/>
                <w:szCs w:val="14"/>
                <w:b w:val="1"/>
                <w:bCs w:val="1"/>
                <w:color w:val="29378D"/>
              </w:rPr>
              <w:t>2023</w:t>
            </w:r>
          </w:p>
        </w:tc>
        <w:tc>
          <w:tcPr>
            <w:tcW w:w="1380" w:type="dxa"/>
            <w:vAlign w:val="bottom"/>
            <w:shd w:val="clear" w:color="auto" w:fill="DFDEEE"/>
          </w:tcPr>
          <w:p>
            <w:pPr>
              <w:jc w:val="right"/>
              <w:ind w:right="10"/>
              <w:spacing w:after="0"/>
              <w:rPr>
                <w:sz w:val="20"/>
                <w:szCs w:val="20"/>
                <w:color w:val="auto"/>
              </w:rPr>
            </w:pPr>
            <w:r>
              <w:rPr>
                <w:rFonts w:ascii="Arial" w:cs="Arial" w:eastAsia="Arial" w:hAnsi="Arial"/>
                <w:sz w:val="14"/>
                <w:szCs w:val="14"/>
                <w:color w:val="auto"/>
              </w:rPr>
              <w:t>3.5</w:t>
            </w:r>
          </w:p>
        </w:tc>
        <w:tc>
          <w:tcPr>
            <w:tcW w:w="1420" w:type="dxa"/>
            <w:vAlign w:val="bottom"/>
            <w:shd w:val="clear" w:color="auto" w:fill="DFDEEE"/>
          </w:tcPr>
          <w:p>
            <w:pPr>
              <w:jc w:val="right"/>
              <w:ind w:right="31"/>
              <w:spacing w:after="0"/>
              <w:rPr>
                <w:sz w:val="20"/>
                <w:szCs w:val="20"/>
                <w:color w:val="auto"/>
              </w:rPr>
            </w:pPr>
            <w:r>
              <w:rPr>
                <w:rFonts w:ascii="Arial" w:cs="Arial" w:eastAsia="Arial" w:hAnsi="Arial"/>
                <w:sz w:val="14"/>
                <w:szCs w:val="14"/>
                <w:color w:val="auto"/>
              </w:rPr>
              <w:t>(1.4)</w:t>
            </w:r>
          </w:p>
        </w:tc>
        <w:tc>
          <w:tcPr>
            <w:tcW w:w="1300" w:type="dxa"/>
            <w:vAlign w:val="bottom"/>
            <w:shd w:val="clear" w:color="auto" w:fill="DFDEEE"/>
          </w:tcPr>
          <w:p>
            <w:pPr>
              <w:jc w:val="right"/>
              <w:ind w:right="11"/>
              <w:spacing w:after="0"/>
              <w:rPr>
                <w:sz w:val="20"/>
                <w:szCs w:val="20"/>
                <w:color w:val="auto"/>
              </w:rPr>
            </w:pPr>
            <w:r>
              <w:rPr>
                <w:rFonts w:ascii="Arial" w:cs="Arial" w:eastAsia="Arial" w:hAnsi="Arial"/>
                <w:sz w:val="14"/>
                <w:szCs w:val="14"/>
                <w:color w:val="auto"/>
              </w:rPr>
              <w:t>—</w:t>
            </w:r>
          </w:p>
        </w:tc>
        <w:tc>
          <w:tcPr>
            <w:tcW w:w="1420" w:type="dxa"/>
            <w:vAlign w:val="bottom"/>
            <w:shd w:val="clear" w:color="auto" w:fill="DFDEEE"/>
          </w:tcPr>
          <w:p>
            <w:pPr>
              <w:jc w:val="center"/>
              <w:ind w:left="891"/>
              <w:spacing w:after="0"/>
              <w:rPr>
                <w:sz w:val="20"/>
                <w:szCs w:val="20"/>
                <w:color w:val="auto"/>
              </w:rPr>
            </w:pPr>
            <w:r>
              <w:rPr>
                <w:rFonts w:ascii="Arial" w:cs="Arial" w:eastAsia="Arial" w:hAnsi="Arial"/>
                <w:sz w:val="14"/>
                <w:szCs w:val="14"/>
                <w:color w:val="auto"/>
              </w:rPr>
              <w:t>(0.8)</w:t>
            </w:r>
          </w:p>
        </w:tc>
        <w:tc>
          <w:tcPr>
            <w:tcW w:w="1340" w:type="dxa"/>
            <w:vAlign w:val="bottom"/>
            <w:shd w:val="clear" w:color="auto" w:fill="DFDEEE"/>
          </w:tcPr>
          <w:p>
            <w:pPr>
              <w:ind w:left="1100"/>
              <w:spacing w:after="0"/>
              <w:rPr>
                <w:sz w:val="20"/>
                <w:szCs w:val="20"/>
                <w:color w:val="auto"/>
              </w:rPr>
            </w:pPr>
            <w:r>
              <w:rPr>
                <w:rFonts w:ascii="Arial" w:cs="Arial" w:eastAsia="Arial" w:hAnsi="Arial"/>
                <w:sz w:val="14"/>
                <w:szCs w:val="14"/>
                <w:color w:val="auto"/>
              </w:rPr>
              <w:t>—</w:t>
            </w:r>
          </w:p>
        </w:tc>
        <w:tc>
          <w:tcPr>
            <w:tcW w:w="1480" w:type="dxa"/>
            <w:vAlign w:val="bottom"/>
            <w:shd w:val="clear" w:color="auto" w:fill="DFDEEE"/>
          </w:tcPr>
          <w:p>
            <w:pPr>
              <w:jc w:val="right"/>
              <w:ind w:right="130"/>
              <w:spacing w:after="0"/>
              <w:rPr>
                <w:sz w:val="20"/>
                <w:szCs w:val="20"/>
                <w:color w:val="auto"/>
              </w:rPr>
            </w:pPr>
            <w:r>
              <w:rPr>
                <w:rFonts w:ascii="Arial" w:cs="Arial" w:eastAsia="Arial" w:hAnsi="Arial"/>
                <w:sz w:val="14"/>
                <w:szCs w:val="14"/>
                <w:color w:val="auto"/>
              </w:rPr>
              <w:t>0.2</w:t>
            </w:r>
          </w:p>
        </w:tc>
        <w:tc>
          <w:tcPr>
            <w:tcW w:w="1260" w:type="dxa"/>
            <w:vAlign w:val="bottom"/>
            <w:shd w:val="clear" w:color="auto" w:fill="DFDEEE"/>
          </w:tcPr>
          <w:p>
            <w:pPr>
              <w:jc w:val="right"/>
              <w:ind w:right="10"/>
              <w:spacing w:after="0"/>
              <w:rPr>
                <w:sz w:val="20"/>
                <w:szCs w:val="20"/>
                <w:color w:val="auto"/>
              </w:rPr>
            </w:pPr>
            <w:r>
              <w:rPr>
                <w:rFonts w:ascii="Arial" w:cs="Arial" w:eastAsia="Arial" w:hAnsi="Arial"/>
                <w:sz w:val="14"/>
                <w:szCs w:val="14"/>
                <w:color w:val="auto"/>
              </w:rPr>
              <w:t>1.5</w:t>
            </w:r>
          </w:p>
        </w:tc>
      </w:tr>
      <w:tr>
        <w:trPr>
          <w:trHeight w:val="215"/>
        </w:trPr>
        <w:tc>
          <w:tcPr>
            <w:tcW w:w="1280" w:type="dxa"/>
            <w:vAlign w:val="bottom"/>
            <w:tcBorders>
              <w:bottom w:val="single" w:sz="8" w:color="BCBEC0"/>
            </w:tcBorders>
          </w:tcPr>
          <w:p>
            <w:pPr>
              <w:spacing w:after="0"/>
              <w:rPr>
                <w:sz w:val="20"/>
                <w:szCs w:val="20"/>
                <w:color w:val="auto"/>
              </w:rPr>
            </w:pPr>
            <w:r>
              <w:rPr>
                <w:rFonts w:ascii="Arial" w:cs="Arial" w:eastAsia="Arial" w:hAnsi="Arial"/>
                <w:sz w:val="14"/>
                <w:szCs w:val="14"/>
                <w:b w:val="1"/>
                <w:bCs w:val="1"/>
                <w:color w:val="29378D"/>
              </w:rPr>
              <w:t>2022</w:t>
            </w:r>
          </w:p>
        </w:tc>
        <w:tc>
          <w:tcPr>
            <w:tcW w:w="1380" w:type="dxa"/>
            <w:vAlign w:val="bottom"/>
            <w:tcBorders>
              <w:bottom w:val="single" w:sz="8" w:color="BCBEC0"/>
            </w:tcBorders>
          </w:tcPr>
          <w:p>
            <w:pPr>
              <w:jc w:val="right"/>
              <w:ind w:right="10"/>
              <w:spacing w:after="0"/>
              <w:rPr>
                <w:sz w:val="20"/>
                <w:szCs w:val="20"/>
                <w:color w:val="auto"/>
              </w:rPr>
            </w:pPr>
            <w:r>
              <w:rPr>
                <w:rFonts w:ascii="Arial" w:cs="Arial" w:eastAsia="Arial" w:hAnsi="Arial"/>
                <w:sz w:val="14"/>
                <w:szCs w:val="14"/>
                <w:color w:val="auto"/>
              </w:rPr>
              <w:t>5.6</w:t>
            </w:r>
          </w:p>
        </w:tc>
        <w:tc>
          <w:tcPr>
            <w:tcW w:w="1420" w:type="dxa"/>
            <w:vAlign w:val="bottom"/>
            <w:tcBorders>
              <w:bottom w:val="single" w:sz="8" w:color="BCBEC0"/>
            </w:tcBorders>
          </w:tcPr>
          <w:p>
            <w:pPr>
              <w:jc w:val="right"/>
              <w:ind w:right="71"/>
              <w:spacing w:after="0"/>
              <w:rPr>
                <w:sz w:val="20"/>
                <w:szCs w:val="20"/>
                <w:color w:val="auto"/>
              </w:rPr>
            </w:pPr>
            <w:r>
              <w:rPr>
                <w:rFonts w:ascii="Arial" w:cs="Arial" w:eastAsia="Arial" w:hAnsi="Arial"/>
                <w:sz w:val="14"/>
                <w:szCs w:val="14"/>
                <w:color w:val="auto"/>
              </w:rPr>
              <w:t>2.2</w:t>
            </w:r>
          </w:p>
        </w:tc>
        <w:tc>
          <w:tcPr>
            <w:tcW w:w="1300" w:type="dxa"/>
            <w:vAlign w:val="bottom"/>
            <w:tcBorders>
              <w:bottom w:val="single" w:sz="8" w:color="BCBEC0"/>
            </w:tcBorders>
          </w:tcPr>
          <w:p>
            <w:pPr>
              <w:jc w:val="right"/>
              <w:ind w:right="11"/>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CBEC0"/>
            </w:tcBorders>
          </w:tcPr>
          <w:p>
            <w:pPr>
              <w:jc w:val="center"/>
              <w:ind w:left="911"/>
              <w:spacing w:after="0"/>
              <w:rPr>
                <w:sz w:val="20"/>
                <w:szCs w:val="20"/>
                <w:color w:val="auto"/>
              </w:rPr>
            </w:pPr>
            <w:r>
              <w:rPr>
                <w:rFonts w:ascii="Arial" w:cs="Arial" w:eastAsia="Arial" w:hAnsi="Arial"/>
                <w:sz w:val="14"/>
                <w:szCs w:val="14"/>
                <w:color w:val="auto"/>
              </w:rPr>
              <w:t>1.2</w:t>
            </w:r>
          </w:p>
        </w:tc>
        <w:tc>
          <w:tcPr>
            <w:tcW w:w="1340" w:type="dxa"/>
            <w:vAlign w:val="bottom"/>
            <w:tcBorders>
              <w:bottom w:val="single" w:sz="8" w:color="BCBEC0"/>
            </w:tcBorders>
          </w:tcPr>
          <w:p>
            <w:pPr>
              <w:ind w:left="11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CBEC0"/>
            </w:tcBorders>
          </w:tcPr>
          <w:p>
            <w:pPr>
              <w:jc w:val="right"/>
              <w:ind w:right="130"/>
              <w:spacing w:after="0"/>
              <w:rPr>
                <w:sz w:val="20"/>
                <w:szCs w:val="20"/>
                <w:color w:val="auto"/>
              </w:rPr>
            </w:pPr>
            <w:r>
              <w:rPr>
                <w:rFonts w:ascii="Arial" w:cs="Arial" w:eastAsia="Arial" w:hAnsi="Arial"/>
                <w:sz w:val="14"/>
                <w:szCs w:val="14"/>
                <w:color w:val="auto"/>
              </w:rPr>
              <w:t>0.1</w:t>
            </w:r>
          </w:p>
        </w:tc>
        <w:tc>
          <w:tcPr>
            <w:tcW w:w="1260" w:type="dxa"/>
            <w:vAlign w:val="bottom"/>
            <w:tcBorders>
              <w:bottom w:val="single" w:sz="8" w:color="BCBEC0"/>
            </w:tcBorders>
          </w:tcPr>
          <w:p>
            <w:pPr>
              <w:jc w:val="right"/>
              <w:ind w:right="10"/>
              <w:spacing w:after="0"/>
              <w:rPr>
                <w:sz w:val="20"/>
                <w:szCs w:val="20"/>
                <w:color w:val="auto"/>
              </w:rPr>
            </w:pPr>
            <w:r>
              <w:rPr>
                <w:rFonts w:ascii="Arial" w:cs="Arial" w:eastAsia="Arial" w:hAnsi="Arial"/>
                <w:sz w:val="14"/>
                <w:szCs w:val="14"/>
                <w:color w:val="auto"/>
              </w:rPr>
              <w:t>9.1</w:t>
            </w:r>
          </w:p>
        </w:tc>
      </w:tr>
      <w:tr>
        <w:trPr>
          <w:trHeight w:val="210"/>
        </w:trPr>
        <w:tc>
          <w:tcPr>
            <w:tcW w:w="1280" w:type="dxa"/>
            <w:vAlign w:val="bottom"/>
            <w:tcBorders>
              <w:bottom w:val="single" w:sz="8" w:color="BCBEC0"/>
            </w:tcBorders>
            <w:shd w:val="clear" w:color="auto" w:fill="DFDEEE"/>
          </w:tcPr>
          <w:p>
            <w:pPr>
              <w:spacing w:after="0"/>
              <w:rPr>
                <w:sz w:val="20"/>
                <w:szCs w:val="20"/>
                <w:color w:val="auto"/>
              </w:rPr>
            </w:pPr>
            <w:r>
              <w:rPr>
                <w:rFonts w:ascii="Arial" w:cs="Arial" w:eastAsia="Arial" w:hAnsi="Arial"/>
                <w:sz w:val="14"/>
                <w:szCs w:val="14"/>
                <w:b w:val="1"/>
                <w:bCs w:val="1"/>
                <w:color w:val="29378D"/>
              </w:rPr>
              <w:t>2021</w:t>
            </w:r>
          </w:p>
        </w:tc>
        <w:tc>
          <w:tcPr>
            <w:tcW w:w="1380" w:type="dxa"/>
            <w:vAlign w:val="bottom"/>
            <w:tcBorders>
              <w:bottom w:val="single" w:sz="8" w:color="BCBEC0"/>
            </w:tcBorders>
            <w:shd w:val="clear" w:color="auto" w:fill="DFDEEE"/>
          </w:tcPr>
          <w:p>
            <w:pPr>
              <w:jc w:val="right"/>
              <w:ind w:right="10"/>
              <w:spacing w:after="0"/>
              <w:rPr>
                <w:sz w:val="20"/>
                <w:szCs w:val="20"/>
                <w:color w:val="auto"/>
              </w:rPr>
            </w:pPr>
            <w:r>
              <w:rPr>
                <w:rFonts w:ascii="Arial" w:cs="Arial" w:eastAsia="Arial" w:hAnsi="Arial"/>
                <w:sz w:val="14"/>
                <w:szCs w:val="14"/>
                <w:color w:val="auto"/>
              </w:rPr>
              <w:t>5.0</w:t>
            </w:r>
          </w:p>
        </w:tc>
        <w:tc>
          <w:tcPr>
            <w:tcW w:w="1420" w:type="dxa"/>
            <w:vAlign w:val="bottom"/>
            <w:tcBorders>
              <w:bottom w:val="single" w:sz="8" w:color="BCBEC0"/>
            </w:tcBorders>
            <w:shd w:val="clear" w:color="auto" w:fill="DFDEEE"/>
          </w:tcPr>
          <w:p>
            <w:pPr>
              <w:jc w:val="right"/>
              <w:ind w:right="71"/>
              <w:spacing w:after="0"/>
              <w:rPr>
                <w:sz w:val="20"/>
                <w:szCs w:val="20"/>
                <w:color w:val="auto"/>
              </w:rPr>
            </w:pPr>
            <w:r>
              <w:rPr>
                <w:rFonts w:ascii="Arial" w:cs="Arial" w:eastAsia="Arial" w:hAnsi="Arial"/>
                <w:sz w:val="14"/>
                <w:szCs w:val="14"/>
                <w:color w:val="auto"/>
              </w:rPr>
              <w:t>1.0</w:t>
            </w:r>
          </w:p>
        </w:tc>
        <w:tc>
          <w:tcPr>
            <w:tcW w:w="1300" w:type="dxa"/>
            <w:vAlign w:val="bottom"/>
            <w:tcBorders>
              <w:bottom w:val="single" w:sz="8" w:color="BCBEC0"/>
            </w:tcBorders>
            <w:shd w:val="clear" w:color="auto" w:fill="DFDEEE"/>
          </w:tcPr>
          <w:p>
            <w:pPr>
              <w:jc w:val="right"/>
              <w:ind w:right="11"/>
              <w:spacing w:after="0"/>
              <w:rPr>
                <w:sz w:val="20"/>
                <w:szCs w:val="20"/>
                <w:color w:val="auto"/>
              </w:rPr>
            </w:pPr>
            <w:r>
              <w:rPr>
                <w:rFonts w:ascii="Arial" w:cs="Arial" w:eastAsia="Arial" w:hAnsi="Arial"/>
                <w:sz w:val="14"/>
                <w:szCs w:val="14"/>
                <w:color w:val="auto"/>
              </w:rPr>
              <w:t>0.2</w:t>
            </w:r>
          </w:p>
        </w:tc>
        <w:tc>
          <w:tcPr>
            <w:tcW w:w="1420" w:type="dxa"/>
            <w:vAlign w:val="bottom"/>
            <w:tcBorders>
              <w:bottom w:val="single" w:sz="8" w:color="BCBEC0"/>
            </w:tcBorders>
            <w:shd w:val="clear" w:color="auto" w:fill="DFDEEE"/>
          </w:tcPr>
          <w:p>
            <w:pPr>
              <w:jc w:val="center"/>
              <w:ind w:left="911"/>
              <w:spacing w:after="0"/>
              <w:rPr>
                <w:sz w:val="20"/>
                <w:szCs w:val="20"/>
                <w:color w:val="auto"/>
              </w:rPr>
            </w:pPr>
            <w:r>
              <w:rPr>
                <w:rFonts w:ascii="Arial" w:cs="Arial" w:eastAsia="Arial" w:hAnsi="Arial"/>
                <w:sz w:val="14"/>
                <w:szCs w:val="14"/>
                <w:color w:val="auto"/>
              </w:rPr>
              <w:t>0.7</w:t>
            </w:r>
          </w:p>
        </w:tc>
        <w:tc>
          <w:tcPr>
            <w:tcW w:w="1340" w:type="dxa"/>
            <w:vAlign w:val="bottom"/>
            <w:tcBorders>
              <w:bottom w:val="single" w:sz="8" w:color="BCBEC0"/>
            </w:tcBorders>
            <w:shd w:val="clear" w:color="auto" w:fill="DFDEEE"/>
          </w:tcPr>
          <w:p>
            <w:pPr>
              <w:ind w:left="110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BCBEC0"/>
            </w:tcBorders>
            <w:shd w:val="clear" w:color="auto" w:fill="DFDEEE"/>
          </w:tcPr>
          <w:p>
            <w:pPr>
              <w:jc w:val="right"/>
              <w:ind w:right="130"/>
              <w:spacing w:after="0"/>
              <w:rPr>
                <w:sz w:val="20"/>
                <w:szCs w:val="20"/>
                <w:color w:val="auto"/>
              </w:rPr>
            </w:pPr>
            <w:r>
              <w:rPr>
                <w:rFonts w:ascii="Arial" w:cs="Arial" w:eastAsia="Arial" w:hAnsi="Arial"/>
                <w:sz w:val="14"/>
                <w:szCs w:val="14"/>
                <w:color w:val="auto"/>
              </w:rPr>
              <w:t>0.1</w:t>
            </w:r>
          </w:p>
        </w:tc>
        <w:tc>
          <w:tcPr>
            <w:tcW w:w="1260" w:type="dxa"/>
            <w:vAlign w:val="bottom"/>
            <w:tcBorders>
              <w:bottom w:val="single" w:sz="8" w:color="BCBEC0"/>
            </w:tcBorders>
            <w:shd w:val="clear" w:color="auto" w:fill="DFDEEE"/>
          </w:tcPr>
          <w:p>
            <w:pPr>
              <w:jc w:val="right"/>
              <w:ind w:right="10"/>
              <w:spacing w:after="0"/>
              <w:rPr>
                <w:sz w:val="20"/>
                <w:szCs w:val="20"/>
                <w:color w:val="auto"/>
              </w:rPr>
            </w:pPr>
            <w:r>
              <w:rPr>
                <w:rFonts w:ascii="Arial" w:cs="Arial" w:eastAsia="Arial" w:hAnsi="Arial"/>
                <w:sz w:val="14"/>
                <w:szCs w:val="14"/>
                <w:color w:val="auto"/>
              </w:rPr>
              <w:t>7.0</w:t>
            </w:r>
          </w:p>
        </w:tc>
      </w:tr>
      <w:tr>
        <w:trPr>
          <w:trHeight w:val="210"/>
        </w:trPr>
        <w:tc>
          <w:tcPr>
            <w:tcW w:w="1280" w:type="dxa"/>
            <w:vAlign w:val="bottom"/>
            <w:tcBorders>
              <w:bottom w:val="single" w:sz="8" w:color="BCBEC0"/>
            </w:tcBorders>
          </w:tcPr>
          <w:p>
            <w:pPr>
              <w:spacing w:after="0"/>
              <w:rPr>
                <w:sz w:val="20"/>
                <w:szCs w:val="20"/>
                <w:color w:val="auto"/>
              </w:rPr>
            </w:pPr>
            <w:r>
              <w:rPr>
                <w:rFonts w:ascii="Arial" w:cs="Arial" w:eastAsia="Arial" w:hAnsi="Arial"/>
                <w:sz w:val="14"/>
                <w:szCs w:val="14"/>
                <w:b w:val="1"/>
                <w:bCs w:val="1"/>
                <w:color w:val="29378D"/>
              </w:rPr>
              <w:t>2020</w:t>
            </w:r>
          </w:p>
        </w:tc>
        <w:tc>
          <w:tcPr>
            <w:tcW w:w="1380" w:type="dxa"/>
            <w:vAlign w:val="bottom"/>
            <w:tcBorders>
              <w:bottom w:val="single" w:sz="8" w:color="BCBEC0"/>
            </w:tcBorders>
          </w:tcPr>
          <w:p>
            <w:pPr>
              <w:jc w:val="right"/>
              <w:ind w:right="10"/>
              <w:spacing w:after="0"/>
              <w:rPr>
                <w:sz w:val="20"/>
                <w:szCs w:val="20"/>
                <w:color w:val="auto"/>
              </w:rPr>
            </w:pPr>
            <w:r>
              <w:rPr>
                <w:rFonts w:ascii="Arial" w:cs="Arial" w:eastAsia="Arial" w:hAnsi="Arial"/>
                <w:sz w:val="14"/>
                <w:szCs w:val="14"/>
                <w:color w:val="auto"/>
              </w:rPr>
              <w:t>2.4</w:t>
            </w:r>
          </w:p>
        </w:tc>
        <w:tc>
          <w:tcPr>
            <w:tcW w:w="1420" w:type="dxa"/>
            <w:vAlign w:val="bottom"/>
            <w:tcBorders>
              <w:bottom w:val="single" w:sz="8" w:color="BCBEC0"/>
            </w:tcBorders>
          </w:tcPr>
          <w:p>
            <w:pPr>
              <w:jc w:val="right"/>
              <w:ind w:right="31"/>
              <w:spacing w:after="0"/>
              <w:rPr>
                <w:sz w:val="20"/>
                <w:szCs w:val="20"/>
                <w:color w:val="auto"/>
              </w:rPr>
            </w:pPr>
            <w:r>
              <w:rPr>
                <w:rFonts w:ascii="Arial" w:cs="Arial" w:eastAsia="Arial" w:hAnsi="Arial"/>
                <w:sz w:val="14"/>
                <w:szCs w:val="14"/>
                <w:color w:val="auto"/>
              </w:rPr>
              <w:t>(0.5)</w:t>
            </w:r>
          </w:p>
        </w:tc>
        <w:tc>
          <w:tcPr>
            <w:tcW w:w="1300" w:type="dxa"/>
            <w:vAlign w:val="bottom"/>
            <w:tcBorders>
              <w:bottom w:val="single" w:sz="8" w:color="BCBEC0"/>
            </w:tcBorders>
          </w:tcPr>
          <w:p>
            <w:pPr>
              <w:jc w:val="right"/>
              <w:ind w:right="11"/>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CBEC0"/>
            </w:tcBorders>
          </w:tcPr>
          <w:p>
            <w:pPr>
              <w:jc w:val="center"/>
              <w:ind w:left="891"/>
              <w:spacing w:after="0"/>
              <w:rPr>
                <w:sz w:val="20"/>
                <w:szCs w:val="20"/>
                <w:color w:val="auto"/>
              </w:rPr>
            </w:pPr>
            <w:r>
              <w:rPr>
                <w:rFonts w:ascii="Arial" w:cs="Arial" w:eastAsia="Arial" w:hAnsi="Arial"/>
                <w:sz w:val="14"/>
                <w:szCs w:val="14"/>
                <w:color w:val="auto"/>
              </w:rPr>
              <w:t>(0.1)</w:t>
            </w:r>
          </w:p>
        </w:tc>
        <w:tc>
          <w:tcPr>
            <w:tcW w:w="134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(1.6)</w:t>
            </w:r>
          </w:p>
        </w:tc>
        <w:tc>
          <w:tcPr>
            <w:tcW w:w="1480" w:type="dxa"/>
            <w:vAlign w:val="bottom"/>
            <w:tcBorders>
              <w:bottom w:val="single" w:sz="8" w:color="BCBEC0"/>
            </w:tcBorders>
          </w:tcPr>
          <w:p>
            <w:pPr>
              <w:jc w:val="right"/>
              <w:ind w:right="130"/>
              <w:spacing w:after="0"/>
              <w:rPr>
                <w:sz w:val="20"/>
                <w:szCs w:val="20"/>
                <w:color w:val="auto"/>
              </w:rPr>
            </w:pPr>
            <w:r>
              <w:rPr>
                <w:rFonts w:ascii="Arial" w:cs="Arial" w:eastAsia="Arial" w:hAnsi="Arial"/>
                <w:sz w:val="14"/>
                <w:szCs w:val="14"/>
                <w:color w:val="auto"/>
              </w:rPr>
              <w:t>0.1</w:t>
            </w:r>
          </w:p>
        </w:tc>
        <w:tc>
          <w:tcPr>
            <w:tcW w:w="1260" w:type="dxa"/>
            <w:vAlign w:val="bottom"/>
            <w:tcBorders>
              <w:bottom w:val="single" w:sz="8" w:color="BCBEC0"/>
            </w:tcBorders>
          </w:tcPr>
          <w:p>
            <w:pPr>
              <w:jc w:val="right"/>
              <w:ind w:right="10"/>
              <w:spacing w:after="0"/>
              <w:rPr>
                <w:sz w:val="20"/>
                <w:szCs w:val="20"/>
                <w:color w:val="auto"/>
              </w:rPr>
            </w:pPr>
            <w:r>
              <w:rPr>
                <w:rFonts w:ascii="Arial" w:cs="Arial" w:eastAsia="Arial" w:hAnsi="Arial"/>
                <w:sz w:val="14"/>
                <w:szCs w:val="14"/>
                <w:color w:val="auto"/>
              </w:rPr>
              <w:t>0.3</w:t>
            </w:r>
          </w:p>
        </w:tc>
      </w:tr>
    </w:tbl>
    <w:p>
      <w:pPr>
        <w:spacing w:after="0" w:line="153" w:lineRule="exact"/>
        <w:rPr>
          <w:sz w:val="20"/>
          <w:szCs w:val="20"/>
          <w:color w:val="auto"/>
        </w:rPr>
      </w:pPr>
    </w:p>
    <w:p>
      <w:pPr>
        <w:ind w:left="260" w:right="20"/>
        <w:spacing w:after="0" w:line="273" w:lineRule="auto"/>
        <w:rPr>
          <w:sz w:val="20"/>
          <w:szCs w:val="20"/>
          <w:color w:val="auto"/>
        </w:rPr>
      </w:pPr>
      <w:r>
        <w:rPr>
          <w:rFonts w:ascii="Arial" w:cs="Arial" w:eastAsia="Arial" w:hAnsi="Arial"/>
          <w:sz w:val="14"/>
          <w:szCs w:val="14"/>
          <w:color w:val="auto"/>
        </w:rPr>
        <w:t>In 2023, the fair value of grants slightly decreased. In 2022 and 2021, the fair value of the grants awarded in the respective years increased at the end of the year due to the growth in stock price, which is a key driver of the amount of, and change in, CAP year-over-year. The grant date aggregate fair value of the grants awarded in 2020 was higher compared to the fair value at the end of the year due to the decrease in stock price.</w:t>
      </w:r>
    </w:p>
    <w:p>
      <w:pPr>
        <w:spacing w:after="0" w:line="45" w:lineRule="exact"/>
        <w:rPr>
          <w:sz w:val="20"/>
          <w:szCs w:val="20"/>
          <w:color w:val="auto"/>
        </w:rPr>
      </w:pPr>
    </w:p>
    <w:p>
      <w:pPr>
        <w:ind w:left="260" w:right="140"/>
        <w:spacing w:after="0" w:line="273" w:lineRule="auto"/>
        <w:rPr>
          <w:sz w:val="20"/>
          <w:szCs w:val="20"/>
          <w:color w:val="auto"/>
        </w:rPr>
      </w:pPr>
      <w:r>
        <w:rPr>
          <w:rFonts w:ascii="Arial" w:cs="Arial" w:eastAsia="Arial" w:hAnsi="Arial"/>
          <w:sz w:val="14"/>
          <w:szCs w:val="14"/>
          <w:color w:val="auto"/>
          <w:highlight w:val="white"/>
        </w:rPr>
        <w:t xml:space="preserve">The </w:t>
      </w:r>
      <w:r>
        <w:rPr>
          <w:rFonts w:ascii="Arial" w:cs="Arial" w:eastAsia="Arial" w:hAnsi="Arial"/>
          <w:sz w:val="14"/>
          <w:szCs w:val="14"/>
          <w:color w:val="auto"/>
        </w:rPr>
        <w:t>Company’s relative TSR and operational metrics score determine the number of performance shares that vest for each three-year cycle, ranging from 0% to 200% for</w:t>
      </w:r>
      <w:r>
        <w:rPr>
          <w:rFonts w:ascii="Arial" w:cs="Arial" w:eastAsia="Arial" w:hAnsi="Arial"/>
          <w:sz w:val="14"/>
          <w:szCs w:val="14"/>
          <w:color w:val="auto"/>
          <w:highlight w:val="white"/>
        </w:rPr>
        <w:t xml:space="preserve"> </w:t>
      </w:r>
      <w:r>
        <w:rPr>
          <w:rFonts w:ascii="Arial" w:cs="Arial" w:eastAsia="Arial" w:hAnsi="Arial"/>
          <w:sz w:val="14"/>
          <w:szCs w:val="14"/>
          <w:color w:val="auto"/>
        </w:rPr>
        <w:t>the 2023, 2022 and 2021 RPSR grants, and 0% to 150% for the RPSR grants awarded in 2020, 2019 and 2018. The executive RPSR performance scores were 141%, 135%, 122% and 105%, in 2023, 2022, 2021, and 2020, respectively, which contributed to the incremental change in CAP year-over-year, along with the change in stock price.</w:t>
      </w:r>
    </w:p>
    <w:p>
      <w:pPr>
        <w:spacing w:after="0" w:line="207" w:lineRule="exact"/>
        <w:rPr>
          <w:sz w:val="20"/>
          <w:szCs w:val="20"/>
          <w:color w:val="auto"/>
        </w:rPr>
      </w:pPr>
    </w:p>
    <w:p>
      <w:pPr>
        <w:ind w:left="260" w:right="180"/>
        <w:spacing w:after="0" w:line="305" w:lineRule="auto"/>
        <w:rPr>
          <w:sz w:val="20"/>
          <w:szCs w:val="20"/>
          <w:color w:val="auto"/>
        </w:rPr>
      </w:pPr>
      <w:r>
        <w:rPr>
          <w:rFonts w:ascii="Arial" w:cs="Arial" w:eastAsia="Arial" w:hAnsi="Arial"/>
          <w:sz w:val="14"/>
          <w:szCs w:val="14"/>
          <w:color w:val="auto"/>
        </w:rPr>
        <w:t>Mr. Bedingfield terminated his employment in 2020 and was not retirement eligible. He forfeited nearly $8M in equity value. The average non-PEO NEO CAP in 2020 was greatly impacted by the forfeited awards. Additional details included in footnote seven.</w:t>
      </w:r>
    </w:p>
    <w:p>
      <w:pPr>
        <w:spacing w:after="0" w:line="9" w:lineRule="exact"/>
        <w:rPr>
          <w:sz w:val="20"/>
          <w:szCs w:val="20"/>
          <w:color w:val="auto"/>
        </w:rPr>
      </w:pPr>
    </w:p>
    <w:p>
      <w:pPr>
        <w:ind w:left="220" w:hanging="212"/>
        <w:spacing w:after="0"/>
        <w:tabs>
          <w:tab w:leader="none" w:pos="22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TSR has been calculated in the same manner as under S-K 402(v)(2)(iv).</w:t>
      </w:r>
    </w:p>
    <w:p>
      <w:pPr>
        <w:spacing w:after="0" w:line="82" w:lineRule="exact"/>
        <w:rPr>
          <w:rFonts w:ascii="Arial" w:cs="Arial" w:eastAsia="Arial" w:hAnsi="Arial"/>
          <w:sz w:val="14"/>
          <w:szCs w:val="14"/>
          <w:color w:val="auto"/>
        </w:rPr>
      </w:pPr>
    </w:p>
    <w:p>
      <w:pPr>
        <w:ind w:left="220" w:hanging="212"/>
        <w:spacing w:after="0"/>
        <w:tabs>
          <w:tab w:leader="none" w:pos="22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Standard &amp; Poor’s (S&amp;P) Aerospace and Defense (A&amp;D) Index as disclosed in the Company’s Annual Report on Form 10-K, filed on January 25, 2024.</w:t>
      </w:r>
    </w:p>
    <w:p>
      <w:pPr>
        <w:spacing w:after="0" w:line="82" w:lineRule="exact"/>
        <w:rPr>
          <w:rFonts w:ascii="Arial" w:cs="Arial" w:eastAsia="Arial" w:hAnsi="Arial"/>
          <w:sz w:val="14"/>
          <w:szCs w:val="14"/>
          <w:color w:val="auto"/>
        </w:rPr>
      </w:pPr>
    </w:p>
    <w:p>
      <w:pPr>
        <w:ind w:left="260" w:hanging="252"/>
        <w:spacing w:after="0" w:line="280" w:lineRule="auto"/>
        <w:tabs>
          <w:tab w:leader="none" w:pos="217" w:val="left"/>
        </w:tabs>
        <w:numPr>
          <w:ilvl w:val="0"/>
          <w:numId w:val="164"/>
        </w:numPr>
        <w:rPr>
          <w:rFonts w:ascii="Arial" w:cs="Arial" w:eastAsia="Arial" w:hAnsi="Arial"/>
          <w:sz w:val="14"/>
          <w:szCs w:val="14"/>
          <w:color w:val="auto"/>
        </w:rPr>
      </w:pPr>
      <w:r>
        <w:rPr>
          <w:rFonts w:ascii="Arial" w:cs="Arial" w:eastAsia="Arial" w:hAnsi="Arial"/>
          <w:sz w:val="14"/>
          <w:szCs w:val="14"/>
          <w:color w:val="auto"/>
        </w:rPr>
        <w:t>Adjusted Cash Flow from Operations*, as defined on page 116, is the Company Selected Measure (CSM), linking performance for the most recently completed fiscal year to CAP for the PEO and non-PEO NEOs. The selected measure focuses on cash generation for strategy execution and enables management to make capital investment decisions that support long-term profitable growth. For more information, including how the measure is calculated, see “Appendix A - Use of Non-GAAP Financial Measures” on page 116.</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0" w:hanging="494"/>
        <w:spacing w:after="0"/>
        <w:tabs>
          <w:tab w:leader="none" w:pos="520" w:val="left"/>
        </w:tabs>
        <w:numPr>
          <w:ilvl w:val="0"/>
          <w:numId w:val="165"/>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89" w:name="page90"/>
    <w:bookmarkEnd w:id="89"/>
    <w:p>
      <w:pPr>
        <w:jc w:val="right"/>
        <w:ind w:right="20"/>
        <w:spacing w:after="0"/>
        <w:rPr>
          <w:sz w:val="20"/>
          <w:szCs w:val="20"/>
          <w:color w:val="auto"/>
        </w:rPr>
      </w:pPr>
      <w:r>
        <w:rPr>
          <w:rFonts w:ascii="Arial" w:cs="Arial" w:eastAsia="Arial" w:hAnsi="Arial"/>
          <w:sz w:val="14"/>
          <w:szCs w:val="14"/>
          <w:b w:val="1"/>
          <w:bCs w:val="1"/>
          <w:color w:val="auto"/>
        </w:rPr>
        <w:t>Pay Versus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60" w:right="40" w:hanging="252"/>
        <w:spacing w:after="0" w:line="273" w:lineRule="auto"/>
        <w:tabs>
          <w:tab w:leader="none" w:pos="217" w:val="left"/>
        </w:tabs>
        <w:numPr>
          <w:ilvl w:val="0"/>
          <w:numId w:val="166"/>
        </w:numPr>
        <w:rPr>
          <w:rFonts w:ascii="Arial" w:cs="Arial" w:eastAsia="Arial" w:hAnsi="Arial"/>
          <w:sz w:val="14"/>
          <w:szCs w:val="14"/>
          <w:color w:val="auto"/>
        </w:rPr>
      </w:pPr>
      <w:r>
        <w:rPr>
          <w:rFonts w:ascii="Arial" w:cs="Arial" w:eastAsia="Arial" w:hAnsi="Arial"/>
          <w:sz w:val="14"/>
          <w:szCs w:val="14"/>
          <w:color w:val="auto"/>
        </w:rPr>
        <w:t>Mr. Bedingfield was the Corporate Vice President and Chief Financial Officer in 2019. He stepped down from his position effective February 17, 2020 and left the Company February 21, 2020. On February 6, 2020 the Company filed a Form 8-K which included, as an exhibit, the Separation Agreement with Mr. Bedingfield. A significant portion of Mr. Bedingfield's LTI awards were forfeited upon termination, amounting in a loss of about $8M. With Mr. Bedingfield excluded, the average CAP for non-PEO NEOs is $4.5M.</w:t>
      </w:r>
    </w:p>
    <w:p>
      <w:pPr>
        <w:spacing w:after="0" w:line="374" w:lineRule="exact"/>
        <w:rPr>
          <w:sz w:val="20"/>
          <w:szCs w:val="20"/>
          <w:color w:val="auto"/>
        </w:rPr>
      </w:pPr>
    </w:p>
    <w:p>
      <w:pPr>
        <w:spacing w:after="0"/>
        <w:rPr>
          <w:sz w:val="20"/>
          <w:szCs w:val="20"/>
          <w:color w:val="auto"/>
        </w:rPr>
      </w:pPr>
      <w:r>
        <w:rPr>
          <w:rFonts w:ascii="Arial" w:cs="Arial" w:eastAsia="Arial" w:hAnsi="Arial"/>
          <w:sz w:val="23"/>
          <w:szCs w:val="23"/>
          <w:color w:val="auto"/>
        </w:rPr>
        <w:t>Tabular List of Performance Measures</w:t>
      </w:r>
    </w:p>
    <w:p>
      <w:pPr>
        <w:spacing w:after="0" w:line="104"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In 2023, the greatest impact on the compensation of our PEO and non-PEO NEOs was from the Company's LTI plan, particularly our performance against the metrics for our RPSRs, which comprise 70% of the LTI award and approximately half of the total direct compensation for our PEO and non-PEO NEOs. The RPSR metrics reflect the Company’s continued emphasis on operational performance directly impacted by management decisions and behaviors, and are set to motivate and reward the PEO and non-PEO NEOs to achieve our long-term objectives. The metrics reinforce the link between the Company's interests and the interests of our shareholders. For more detail, see the “Key Components of Our Executive Compensation Programs” section. These performance measures align to the Company’s “Compensation Philosophy and Objectives” as defined in the Compensation Discussion &amp; Analysis, on page 50.</w:t>
      </w:r>
    </w:p>
    <w:p>
      <w:pPr>
        <w:spacing w:after="0" w:line="76"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In addition, absolute TSR, which reflects our Company's stock value, is another important measure because it has a significant impact on our executives' required CAP calculation. It is important to note, if absolute TSR is negative, the relative TSR (rTSR) RPSR metric is capped at 100%. Lastly, Adjusted Cash Flow from Operations*, the CSM, focuses on generating cash for strategy execution and enables leaders to make capital investment decisions that support long-term growth. The metric is an important driver for assessing the Company's AIP performance.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These key financial performance measures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72390</wp:posOffset>
            </wp:positionV>
            <wp:extent cx="8255" cy="1289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8890" cy="2743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27432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72390</wp:posOffset>
            </wp:positionV>
            <wp:extent cx="8255" cy="1289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12890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20" w:type="dxa"/>
            <w:vAlign w:val="bottom"/>
            <w:tcBorders>
              <w:bottom w:val="single" w:sz="8" w:color="00249C"/>
            </w:tcBorders>
          </w:tcPr>
          <w:p>
            <w:pPr>
              <w:jc w:val="center"/>
              <w:ind w:right="1509"/>
              <w:spacing w:after="0"/>
              <w:rPr>
                <w:sz w:val="20"/>
                <w:szCs w:val="20"/>
                <w:color w:val="auto"/>
              </w:rPr>
            </w:pPr>
            <w:r>
              <w:rPr>
                <w:rFonts w:ascii="Arial" w:cs="Arial" w:eastAsia="Arial" w:hAnsi="Arial"/>
                <w:sz w:val="13"/>
                <w:szCs w:val="13"/>
                <w:b w:val="1"/>
                <w:bCs w:val="1"/>
                <w:color w:val="auto"/>
                <w:w w:val="96"/>
              </w:rPr>
              <w:t>Performance Measures</w:t>
            </w:r>
          </w:p>
        </w:tc>
        <w:tc>
          <w:tcPr>
            <w:tcW w:w="2920" w:type="dxa"/>
            <w:vAlign w:val="bottom"/>
            <w:tcBorders>
              <w:bottom w:val="single" w:sz="8" w:color="00249C"/>
            </w:tcBorders>
          </w:tcPr>
          <w:p>
            <w:pPr>
              <w:jc w:val="center"/>
              <w:ind w:right="1530"/>
              <w:spacing w:after="0"/>
              <w:rPr>
                <w:sz w:val="20"/>
                <w:szCs w:val="20"/>
                <w:color w:val="auto"/>
              </w:rPr>
            </w:pPr>
            <w:r>
              <w:rPr>
                <w:rFonts w:ascii="Arial" w:cs="Arial" w:eastAsia="Arial" w:hAnsi="Arial"/>
                <w:sz w:val="13"/>
                <w:szCs w:val="13"/>
                <w:b w:val="1"/>
                <w:bCs w:val="1"/>
                <w:color w:val="auto"/>
                <w:w w:val="92"/>
              </w:rPr>
              <w:t>Type</w:t>
            </w:r>
          </w:p>
        </w:tc>
        <w:tc>
          <w:tcPr>
            <w:tcW w:w="20" w:type="dxa"/>
            <w:vAlign w:val="bottom"/>
            <w:tcBorders>
              <w:bottom w:val="single" w:sz="8" w:color="00249C"/>
            </w:tcBorders>
          </w:tcPr>
          <w:p>
            <w:pPr>
              <w:spacing w:after="0"/>
              <w:rPr>
                <w:sz w:val="15"/>
                <w:szCs w:val="15"/>
                <w:color w:val="auto"/>
              </w:rPr>
            </w:pPr>
          </w:p>
        </w:tc>
      </w:tr>
      <w:tr>
        <w:trPr>
          <w:trHeight w:val="218"/>
        </w:trPr>
        <w:tc>
          <w:tcPr>
            <w:tcW w:w="8320" w:type="dxa"/>
            <w:vAlign w:val="bottom"/>
            <w:tcBorders>
              <w:bottom w:val="single" w:sz="8" w:color="DFDEEE"/>
            </w:tcBorders>
            <w:shd w:val="clear" w:color="auto" w:fill="DFDEEE"/>
          </w:tcPr>
          <w:p>
            <w:pPr>
              <w:jc w:val="center"/>
              <w:ind w:right="1509"/>
              <w:spacing w:after="0"/>
              <w:rPr>
                <w:sz w:val="20"/>
                <w:szCs w:val="20"/>
                <w:color w:val="auto"/>
              </w:rPr>
            </w:pPr>
            <w:r>
              <w:rPr>
                <w:rFonts w:ascii="Arial" w:cs="Arial" w:eastAsia="Arial" w:hAnsi="Arial"/>
                <w:sz w:val="14"/>
                <w:szCs w:val="14"/>
                <w:color w:val="auto"/>
              </w:rPr>
              <w:t>Adjusted Cumulative FCF*</w:t>
            </w:r>
          </w:p>
        </w:tc>
        <w:tc>
          <w:tcPr>
            <w:tcW w:w="2920" w:type="dxa"/>
            <w:vAlign w:val="bottom"/>
            <w:tcBorders>
              <w:bottom w:val="single" w:sz="8" w:color="DFDEEE"/>
            </w:tcBorders>
            <w:shd w:val="clear" w:color="auto" w:fill="DFDEEE"/>
          </w:tcPr>
          <w:p>
            <w:pPr>
              <w:jc w:val="center"/>
              <w:ind w:right="1530"/>
              <w:spacing w:after="0"/>
              <w:rPr>
                <w:sz w:val="20"/>
                <w:szCs w:val="20"/>
                <w:color w:val="auto"/>
              </w:rPr>
            </w:pPr>
            <w:r>
              <w:rPr>
                <w:rFonts w:ascii="Arial" w:cs="Arial" w:eastAsia="Arial" w:hAnsi="Arial"/>
                <w:sz w:val="14"/>
                <w:szCs w:val="14"/>
                <w:color w:val="auto"/>
              </w:rPr>
              <w:t>RPSR Metric</w:t>
            </w:r>
          </w:p>
        </w:tc>
        <w:tc>
          <w:tcPr>
            <w:tcW w:w="20" w:type="dxa"/>
            <w:vAlign w:val="bottom"/>
          </w:tcPr>
          <w:p>
            <w:pPr>
              <w:spacing w:after="0"/>
              <w:rPr>
                <w:sz w:val="18"/>
                <w:szCs w:val="18"/>
                <w:color w:val="auto"/>
              </w:rPr>
            </w:pPr>
          </w:p>
        </w:tc>
      </w:tr>
      <w:tr>
        <w:trPr>
          <w:trHeight w:val="188"/>
        </w:trPr>
        <w:tc>
          <w:tcPr>
            <w:tcW w:w="8320" w:type="dxa"/>
            <w:vAlign w:val="bottom"/>
            <w:tcBorders>
              <w:top w:val="single" w:sz="8" w:color="BCBEC0"/>
            </w:tcBorders>
          </w:tcPr>
          <w:p>
            <w:pPr>
              <w:jc w:val="center"/>
              <w:ind w:right="1529"/>
              <w:spacing w:after="0"/>
              <w:rPr>
                <w:sz w:val="20"/>
                <w:szCs w:val="20"/>
                <w:color w:val="auto"/>
              </w:rPr>
            </w:pPr>
            <w:r>
              <w:rPr>
                <w:rFonts w:ascii="Arial" w:cs="Arial" w:eastAsia="Arial" w:hAnsi="Arial"/>
                <w:sz w:val="14"/>
                <w:szCs w:val="14"/>
                <w:color w:val="auto"/>
              </w:rPr>
              <w:t>Relative TSR</w:t>
            </w:r>
          </w:p>
        </w:tc>
        <w:tc>
          <w:tcPr>
            <w:tcW w:w="2920" w:type="dxa"/>
            <w:vAlign w:val="bottom"/>
            <w:tcBorders>
              <w:top w:val="single" w:sz="8" w:color="BCBEC0"/>
            </w:tcBorders>
          </w:tcPr>
          <w:p>
            <w:pPr>
              <w:jc w:val="center"/>
              <w:ind w:right="1530"/>
              <w:spacing w:after="0"/>
              <w:rPr>
                <w:sz w:val="20"/>
                <w:szCs w:val="20"/>
                <w:color w:val="auto"/>
              </w:rPr>
            </w:pPr>
            <w:r>
              <w:rPr>
                <w:rFonts w:ascii="Arial" w:cs="Arial" w:eastAsia="Arial" w:hAnsi="Arial"/>
                <w:sz w:val="14"/>
                <w:szCs w:val="14"/>
                <w:color w:val="auto"/>
              </w:rPr>
              <w:t>RPSR Metric</w:t>
            </w:r>
          </w:p>
        </w:tc>
        <w:tc>
          <w:tcPr>
            <w:tcW w:w="20" w:type="dxa"/>
            <w:vAlign w:val="bottom"/>
          </w:tcPr>
          <w:p>
            <w:pPr>
              <w:spacing w:after="0"/>
              <w:rPr>
                <w:sz w:val="16"/>
                <w:szCs w:val="16"/>
                <w:color w:val="auto"/>
              </w:rPr>
            </w:pPr>
          </w:p>
        </w:tc>
      </w:tr>
      <w:tr>
        <w:trPr>
          <w:trHeight w:val="22"/>
        </w:trPr>
        <w:tc>
          <w:tcPr>
            <w:tcW w:w="8320" w:type="dxa"/>
            <w:vAlign w:val="bottom"/>
            <w:tcBorders>
              <w:bottom w:val="single" w:sz="8" w:color="BCBEC0"/>
            </w:tcBorders>
          </w:tcPr>
          <w:p>
            <w:pPr>
              <w:spacing w:after="0" w:line="20" w:lineRule="exact"/>
              <w:rPr>
                <w:sz w:val="1"/>
                <w:szCs w:val="1"/>
                <w:color w:val="auto"/>
              </w:rPr>
            </w:pPr>
          </w:p>
        </w:tc>
        <w:tc>
          <w:tcPr>
            <w:tcW w:w="2920" w:type="dxa"/>
            <w:vAlign w:val="bottom"/>
            <w:tcBorders>
              <w:bottom w:val="single" w:sz="8" w:color="BCBE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8320" w:type="dxa"/>
            <w:vAlign w:val="bottom"/>
            <w:tcBorders>
              <w:bottom w:val="single" w:sz="8" w:color="DFDEEE"/>
            </w:tcBorders>
            <w:shd w:val="clear" w:color="auto" w:fill="DFDEEE"/>
          </w:tcPr>
          <w:p>
            <w:pPr>
              <w:jc w:val="center"/>
              <w:ind w:right="1509"/>
              <w:spacing w:after="0"/>
              <w:rPr>
                <w:sz w:val="20"/>
                <w:szCs w:val="20"/>
                <w:color w:val="auto"/>
              </w:rPr>
            </w:pPr>
            <w:r>
              <w:rPr>
                <w:rFonts w:ascii="Arial" w:cs="Arial" w:eastAsia="Arial" w:hAnsi="Arial"/>
                <w:sz w:val="14"/>
                <w:szCs w:val="14"/>
                <w:color w:val="auto"/>
              </w:rPr>
              <w:t>Return on Invested Capital* (ROIC)</w:t>
            </w:r>
          </w:p>
        </w:tc>
        <w:tc>
          <w:tcPr>
            <w:tcW w:w="2920" w:type="dxa"/>
            <w:vAlign w:val="bottom"/>
            <w:tcBorders>
              <w:bottom w:val="single" w:sz="8" w:color="DFDEEE"/>
            </w:tcBorders>
            <w:shd w:val="clear" w:color="auto" w:fill="DFDEEE"/>
          </w:tcPr>
          <w:p>
            <w:pPr>
              <w:jc w:val="center"/>
              <w:ind w:right="1530"/>
              <w:spacing w:after="0"/>
              <w:rPr>
                <w:sz w:val="20"/>
                <w:szCs w:val="20"/>
                <w:color w:val="auto"/>
              </w:rPr>
            </w:pPr>
            <w:r>
              <w:rPr>
                <w:rFonts w:ascii="Arial" w:cs="Arial" w:eastAsia="Arial" w:hAnsi="Arial"/>
                <w:sz w:val="14"/>
                <w:szCs w:val="14"/>
                <w:color w:val="auto"/>
              </w:rPr>
              <w:t>RPSR Metric</w:t>
            </w:r>
          </w:p>
        </w:tc>
        <w:tc>
          <w:tcPr>
            <w:tcW w:w="20" w:type="dxa"/>
            <w:vAlign w:val="bottom"/>
          </w:tcPr>
          <w:p>
            <w:pPr>
              <w:spacing w:after="0"/>
              <w:rPr>
                <w:sz w:val="18"/>
                <w:szCs w:val="18"/>
                <w:color w:val="auto"/>
              </w:rPr>
            </w:pPr>
          </w:p>
        </w:tc>
      </w:tr>
      <w:tr>
        <w:trPr>
          <w:trHeight w:val="188"/>
        </w:trPr>
        <w:tc>
          <w:tcPr>
            <w:tcW w:w="8320" w:type="dxa"/>
            <w:vAlign w:val="bottom"/>
            <w:tcBorders>
              <w:top w:val="single" w:sz="8" w:color="BCBEC0"/>
            </w:tcBorders>
          </w:tcPr>
          <w:p>
            <w:pPr>
              <w:jc w:val="center"/>
              <w:ind w:right="1529"/>
              <w:spacing w:after="0"/>
              <w:rPr>
                <w:sz w:val="20"/>
                <w:szCs w:val="20"/>
                <w:color w:val="auto"/>
              </w:rPr>
            </w:pPr>
            <w:r>
              <w:rPr>
                <w:rFonts w:ascii="Arial" w:cs="Arial" w:eastAsia="Arial" w:hAnsi="Arial"/>
                <w:sz w:val="14"/>
                <w:szCs w:val="14"/>
                <w:color w:val="auto"/>
              </w:rPr>
              <w:t>Absolute TSR</w:t>
            </w:r>
          </w:p>
        </w:tc>
        <w:tc>
          <w:tcPr>
            <w:tcW w:w="2920" w:type="dxa"/>
            <w:vAlign w:val="bottom"/>
            <w:tcBorders>
              <w:top w:val="single" w:sz="8" w:color="BCBEC0"/>
            </w:tcBorders>
          </w:tcPr>
          <w:p>
            <w:pPr>
              <w:jc w:val="center"/>
              <w:ind w:right="1530"/>
              <w:spacing w:after="0"/>
              <w:rPr>
                <w:sz w:val="20"/>
                <w:szCs w:val="20"/>
                <w:color w:val="auto"/>
              </w:rPr>
            </w:pPr>
            <w:r>
              <w:rPr>
                <w:rFonts w:ascii="Arial" w:cs="Arial" w:eastAsia="Arial" w:hAnsi="Arial"/>
                <w:sz w:val="14"/>
                <w:szCs w:val="14"/>
                <w:color w:val="auto"/>
              </w:rPr>
              <w:t>Value of LTI</w:t>
            </w:r>
          </w:p>
        </w:tc>
        <w:tc>
          <w:tcPr>
            <w:tcW w:w="20" w:type="dxa"/>
            <w:vAlign w:val="bottom"/>
          </w:tcPr>
          <w:p>
            <w:pPr>
              <w:spacing w:after="0"/>
              <w:rPr>
                <w:sz w:val="16"/>
                <w:szCs w:val="16"/>
                <w:color w:val="auto"/>
              </w:rPr>
            </w:pPr>
          </w:p>
        </w:tc>
      </w:tr>
      <w:tr>
        <w:trPr>
          <w:trHeight w:val="22"/>
        </w:trPr>
        <w:tc>
          <w:tcPr>
            <w:tcW w:w="8320" w:type="dxa"/>
            <w:vAlign w:val="bottom"/>
            <w:tcBorders>
              <w:bottom w:val="single" w:sz="8" w:color="BCBEC0"/>
            </w:tcBorders>
          </w:tcPr>
          <w:p>
            <w:pPr>
              <w:spacing w:after="0" w:line="20" w:lineRule="exact"/>
              <w:rPr>
                <w:sz w:val="1"/>
                <w:szCs w:val="1"/>
                <w:color w:val="auto"/>
              </w:rPr>
            </w:pPr>
          </w:p>
        </w:tc>
        <w:tc>
          <w:tcPr>
            <w:tcW w:w="2920" w:type="dxa"/>
            <w:vAlign w:val="bottom"/>
            <w:tcBorders>
              <w:bottom w:val="single" w:sz="8" w:color="BCBEC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8320" w:type="dxa"/>
            <w:vAlign w:val="bottom"/>
            <w:tcBorders>
              <w:bottom w:val="single" w:sz="8" w:color="DFDEEE"/>
            </w:tcBorders>
            <w:shd w:val="clear" w:color="auto" w:fill="DFDEEE"/>
          </w:tcPr>
          <w:p>
            <w:pPr>
              <w:jc w:val="center"/>
              <w:ind w:right="1529"/>
              <w:spacing w:after="0"/>
              <w:rPr>
                <w:sz w:val="20"/>
                <w:szCs w:val="20"/>
                <w:color w:val="auto"/>
              </w:rPr>
            </w:pPr>
            <w:r>
              <w:rPr>
                <w:rFonts w:ascii="Arial" w:cs="Arial" w:eastAsia="Arial" w:hAnsi="Arial"/>
                <w:sz w:val="14"/>
                <w:szCs w:val="14"/>
                <w:color w:val="auto"/>
              </w:rPr>
              <w:t>Adjusted Cash Flow from Operations*</w:t>
            </w:r>
          </w:p>
        </w:tc>
        <w:tc>
          <w:tcPr>
            <w:tcW w:w="2920" w:type="dxa"/>
            <w:vAlign w:val="bottom"/>
            <w:tcBorders>
              <w:bottom w:val="single" w:sz="8" w:color="DFDEEE"/>
            </w:tcBorders>
            <w:shd w:val="clear" w:color="auto" w:fill="DFDEEE"/>
          </w:tcPr>
          <w:p>
            <w:pPr>
              <w:jc w:val="center"/>
              <w:ind w:right="1530"/>
              <w:spacing w:after="0"/>
              <w:rPr>
                <w:sz w:val="20"/>
                <w:szCs w:val="20"/>
                <w:color w:val="auto"/>
              </w:rPr>
            </w:pPr>
            <w:r>
              <w:rPr>
                <w:rFonts w:ascii="Arial" w:cs="Arial" w:eastAsia="Arial" w:hAnsi="Arial"/>
                <w:sz w:val="14"/>
                <w:szCs w:val="14"/>
                <w:color w:val="auto"/>
              </w:rPr>
              <w:t>CSM/AIP Metric</w:t>
            </w:r>
          </w:p>
        </w:tc>
        <w:tc>
          <w:tcPr>
            <w:tcW w:w="20" w:type="dxa"/>
            <w:vAlign w:val="bottom"/>
          </w:tcPr>
          <w:p>
            <w:pPr>
              <w:spacing w:after="0"/>
              <w:rPr>
                <w:sz w:val="18"/>
                <w:szCs w:val="18"/>
                <w:color w:val="auto"/>
              </w:rPr>
            </w:pPr>
          </w:p>
        </w:tc>
      </w:tr>
      <w:tr>
        <w:trPr>
          <w:trHeight w:val="323"/>
        </w:trPr>
        <w:tc>
          <w:tcPr>
            <w:tcW w:w="8320" w:type="dxa"/>
            <w:vAlign w:val="bottom"/>
            <w:tcBorders>
              <w:top w:val="single" w:sz="8" w:color="BCBEC0"/>
            </w:tcBorders>
          </w:tcPr>
          <w:p>
            <w:pPr>
              <w:spacing w:after="0"/>
              <w:rPr>
                <w:sz w:val="20"/>
                <w:szCs w:val="20"/>
                <w:color w:val="auto"/>
              </w:rPr>
            </w:pPr>
            <w:r>
              <w:rPr>
                <w:rFonts w:ascii="Arial" w:cs="Arial" w:eastAsia="Arial" w:hAnsi="Arial"/>
                <w:sz w:val="14"/>
                <w:szCs w:val="14"/>
                <w:color w:val="auto"/>
              </w:rPr>
              <w:t>* This metric is a non-GAAP financial measure. For more information, see “Appendix A - Use of Non-GAAP Financial Measures.”</w:t>
            </w:r>
          </w:p>
        </w:tc>
        <w:tc>
          <w:tcPr>
            <w:tcW w:w="2920" w:type="dxa"/>
            <w:vAlign w:val="bottom"/>
            <w:tcBorders>
              <w:top w:val="single" w:sz="8" w:color="BCBEC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8890" cy="15430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87</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38"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color w:val="auto"/>
        </w:rPr>
        <w:t>Pay Versus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3"/>
          <w:szCs w:val="23"/>
          <w:color w:val="auto"/>
        </w:rPr>
        <w:t>Relationship Between CAP and Financial Performance Measures</w:t>
      </w:r>
    </w:p>
    <w:p>
      <w:pPr>
        <w:spacing w:after="0" w:line="117"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As shown in the chart below, the Company’s three-year cumulative TSR outperformed the companies included in the S&amp;P A&amp;D Index. The PEO and other non-PEO NEOs’ CAP amounts are aligned with the Company’s TSR. This is due primarily to the Company’s use of equity incentives, which are tied directly to stock price in addition to the Company’s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57785</wp:posOffset>
            </wp:positionV>
            <wp:extent cx="4937760" cy="254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93776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Adjusted Cash Flow from Operations* was selected as the CSM to focus on an annual metric, per SEC guidance. This metric emphasizes the importance of generating cash for strategy execution and enables management to make capital investment decisions, which were impacted by pension reimbursements in 2023 and 2022, as well as tax legislation in 2022. Since it has a stronger focus on our annual performance rather than long-term performance, the impact of Adjusted Cash Flow from Operations* on CAP is moderate compared to the LTI plan metrics.</w:t>
      </w:r>
    </w:p>
    <w:p>
      <w:pPr>
        <w:spacing w:after="0" w:line="78"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While the Company is required to include net income as a metric in the Pay Versus Performance table, we do not believe the metric is an appropriate selection for analyzing CAP, as defined by the SEC. Net income is not used to measure compensation due to the non-operational impacts of the annual mark-to-market pension and OPB adjustments, which include actuarial gains and losses that can vary significantly from year to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36195</wp:posOffset>
            </wp:positionV>
            <wp:extent cx="4937760" cy="254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93776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 This metric is a non-GAAP financial measure. For more information, see “Appendix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0" w:hanging="494"/>
        <w:spacing w:after="0"/>
        <w:tabs>
          <w:tab w:leader="none" w:pos="520" w:val="left"/>
        </w:tabs>
        <w:numPr>
          <w:ilvl w:val="0"/>
          <w:numId w:val="167"/>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8" w:right="419" w:bottom="1440" w:gutter="0" w:footer="0" w:header="0"/>
        </w:sectPr>
      </w:pPr>
    </w:p>
    <w:bookmarkStart w:id="91" w:name="page92"/>
    <w:bookmarkEnd w:id="91"/>
    <w:p>
      <w:pPr>
        <w:spacing w:after="0"/>
        <w:rPr>
          <w:sz w:val="20"/>
          <w:szCs w:val="20"/>
          <w:color w:val="auto"/>
        </w:rPr>
      </w:pPr>
      <w:r>
        <w:rPr>
          <w:rFonts w:ascii="Arial" w:cs="Arial" w:eastAsia="Arial" w:hAnsi="Arial"/>
          <w:sz w:val="43"/>
          <w:szCs w:val="43"/>
          <w:b w:val="1"/>
          <w:bCs w:val="1"/>
          <w:color w:val="29378D"/>
        </w:rPr>
        <w:t>Equity Compensation Plan Information</w:t>
      </w:r>
    </w:p>
    <w:p>
      <w:pPr>
        <w:spacing w:after="0" w:line="200" w:lineRule="exact"/>
        <w:rPr>
          <w:sz w:val="20"/>
          <w:szCs w:val="20"/>
          <w:color w:val="auto"/>
        </w:rPr>
      </w:pPr>
    </w:p>
    <w:p>
      <w:pPr>
        <w:spacing w:after="0" w:line="266"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We currently maintain two equity compensation plans: the 2011 Plan and the 1993 Stock Plan for Non-Employee Directors, as amended (1993 Directors Plan). Each of these plans has been approved by our shareholders.</w:t>
      </w:r>
    </w:p>
    <w:p>
      <w:pPr>
        <w:spacing w:after="0" w:line="33"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color w:val="auto"/>
        </w:rPr>
        <w:t>The following table sets forth the number of shares of our common stock to be issued upon payout of outstanding awards and the number of shares remaining available for future award grants under these equity compensation plans as of December 31, 2023.</w:t>
      </w:r>
    </w:p>
    <w:p>
      <w:pPr>
        <w:sectPr>
          <w:pgSz w:w="11900" w:h="16838" w:orient="portrait"/>
          <w:cols w:equalWidth="0" w:num="1">
            <w:col w:w="11240"/>
          </w:cols>
          <w:pgMar w:left="320" w:top="1298" w:right="339" w:bottom="1440" w:gutter="0" w:footer="0" w:header="0"/>
        </w:sectPr>
      </w:pPr>
    </w:p>
    <w:p>
      <w:pPr>
        <w:spacing w:after="0" w:line="84"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Number of shares of</w:t>
      </w:r>
    </w:p>
    <w:p>
      <w:pPr>
        <w:spacing w:after="0" w:line="10"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common stock to be</w:t>
      </w:r>
    </w:p>
    <w:p>
      <w:pPr>
        <w:jc w:val="right"/>
        <w:ind w:right="20"/>
        <w:spacing w:after="0"/>
        <w:rPr>
          <w:sz w:val="20"/>
          <w:szCs w:val="20"/>
          <w:color w:val="auto"/>
        </w:rPr>
      </w:pPr>
      <w:r>
        <w:rPr>
          <w:rFonts w:ascii="Arial" w:cs="Arial" w:eastAsia="Arial" w:hAnsi="Arial"/>
          <w:sz w:val="13"/>
          <w:szCs w:val="13"/>
          <w:b w:val="1"/>
          <w:bCs w:val="1"/>
          <w:color w:val="auto"/>
        </w:rPr>
        <w:t>issued upon exercise</w:t>
      </w:r>
    </w:p>
    <w:p>
      <w:pPr>
        <w:spacing w:after="0" w:line="10"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of outstanding options and</w:t>
      </w:r>
    </w:p>
    <w:p>
      <w:pPr>
        <w:jc w:val="right"/>
        <w:ind w:right="20"/>
        <w:spacing w:after="0"/>
        <w:rPr>
          <w:sz w:val="20"/>
          <w:szCs w:val="20"/>
          <w:color w:val="auto"/>
        </w:rPr>
      </w:pPr>
      <w:r>
        <w:rPr>
          <w:rFonts w:ascii="Arial" w:cs="Arial" w:eastAsia="Arial" w:hAnsi="Arial"/>
          <w:sz w:val="13"/>
          <w:szCs w:val="13"/>
          <w:b w:val="1"/>
          <w:bCs w:val="1"/>
          <w:color w:val="auto"/>
        </w:rPr>
        <w:t>payout of outstanding</w:t>
      </w:r>
    </w:p>
    <w:p>
      <w:pPr>
        <w:jc w:val="right"/>
        <w:ind w:right="20"/>
        <w:spacing w:after="0" w:line="194" w:lineRule="auto"/>
        <w:rPr>
          <w:sz w:val="20"/>
          <w:szCs w:val="20"/>
          <w:color w:val="auto"/>
        </w:rPr>
      </w:pPr>
      <w:r>
        <w:rPr>
          <w:rFonts w:ascii="Arial" w:cs="Arial" w:eastAsia="Arial" w:hAnsi="Arial"/>
          <w:sz w:val="13"/>
          <w:szCs w:val="13"/>
          <w:b w:val="1"/>
          <w:bCs w:val="1"/>
          <w:color w:val="auto"/>
        </w:rPr>
        <w:t>awards</w:t>
      </w:r>
      <w:r>
        <w:rPr>
          <w:rFonts w:ascii="Arial" w:cs="Arial" w:eastAsia="Arial" w:hAnsi="Arial"/>
          <w:sz w:val="16"/>
          <w:szCs w:val="16"/>
          <w:b w:val="1"/>
          <w:bCs w:val="1"/>
          <w:color w:val="auto"/>
          <w:vertAlign w:val="superscript"/>
        </w:rPr>
        <w:t>(1)</w:t>
      </w:r>
    </w:p>
    <w:p>
      <w:pPr>
        <w:ind w:left="20"/>
        <w:spacing w:after="0"/>
        <w:tabs>
          <w:tab w:leader="none" w:pos="5680" w:val="left"/>
        </w:tabs>
        <w:rPr>
          <w:sz w:val="20"/>
          <w:szCs w:val="20"/>
          <w:color w:val="auto"/>
        </w:rPr>
      </w:pPr>
      <w:r>
        <w:rPr>
          <w:rFonts w:ascii="Arial" w:cs="Arial" w:eastAsia="Arial" w:hAnsi="Arial"/>
          <w:sz w:val="13"/>
          <w:szCs w:val="13"/>
          <w:b w:val="1"/>
          <w:bCs w:val="1"/>
          <w:color w:val="auto"/>
        </w:rPr>
        <w:t>Plan category</w:t>
      </w:r>
      <w:r>
        <w:rPr>
          <w:sz w:val="20"/>
          <w:szCs w:val="20"/>
          <w:color w:val="auto"/>
        </w:rPr>
        <w:tab/>
      </w:r>
      <w:r>
        <w:rPr>
          <w:rFonts w:ascii="Arial" w:cs="Arial" w:eastAsia="Arial" w:hAnsi="Arial"/>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0" w:type="dxa"/>
            <w:vAlign w:val="bottom"/>
          </w:tcPr>
          <w:p>
            <w:pPr>
              <w:spacing w:after="0"/>
              <w:rPr>
                <w:sz w:val="13"/>
                <w:szCs w:val="13"/>
                <w:color w:val="auto"/>
              </w:rPr>
            </w:pPr>
          </w:p>
        </w:tc>
        <w:tc>
          <w:tcPr>
            <w:tcW w:w="2520" w:type="dxa"/>
            <w:vAlign w:val="bottom"/>
          </w:tcPr>
          <w:p>
            <w:pPr>
              <w:jc w:val="right"/>
              <w:spacing w:after="0"/>
              <w:rPr>
                <w:sz w:val="20"/>
                <w:szCs w:val="20"/>
                <w:color w:val="auto"/>
              </w:rPr>
            </w:pPr>
            <w:r>
              <w:rPr>
                <w:rFonts w:ascii="Arial" w:cs="Arial" w:eastAsia="Arial" w:hAnsi="Arial"/>
                <w:sz w:val="13"/>
                <w:szCs w:val="13"/>
                <w:b w:val="1"/>
                <w:bCs w:val="1"/>
                <w:color w:val="auto"/>
              </w:rPr>
              <w:t>Number of shares of</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2520" w:type="dxa"/>
            <w:vAlign w:val="bottom"/>
          </w:tcPr>
          <w:p>
            <w:pPr>
              <w:jc w:val="right"/>
              <w:spacing w:after="0"/>
              <w:rPr>
                <w:sz w:val="20"/>
                <w:szCs w:val="20"/>
                <w:color w:val="auto"/>
              </w:rPr>
            </w:pPr>
            <w:r>
              <w:rPr>
                <w:rFonts w:ascii="Arial" w:cs="Arial" w:eastAsia="Arial" w:hAnsi="Arial"/>
                <w:sz w:val="13"/>
                <w:szCs w:val="13"/>
                <w:b w:val="1"/>
                <w:bCs w:val="1"/>
                <w:color w:val="auto"/>
              </w:rPr>
              <w:t>common stock remaining</w:t>
            </w:r>
          </w:p>
        </w:tc>
        <w:tc>
          <w:tcPr>
            <w:tcW w:w="0" w:type="dxa"/>
            <w:vAlign w:val="bottom"/>
          </w:tcPr>
          <w:p>
            <w:pPr>
              <w:spacing w:after="0"/>
              <w:rPr>
                <w:sz w:val="1"/>
                <w:szCs w:val="1"/>
                <w:color w:val="auto"/>
              </w:rPr>
            </w:pPr>
          </w:p>
        </w:tc>
      </w:tr>
      <w:tr>
        <w:trPr>
          <w:trHeight w:val="162"/>
        </w:trPr>
        <w:tc>
          <w:tcPr>
            <w:tcW w:w="1800" w:type="dxa"/>
            <w:vAlign w:val="bottom"/>
            <w:vMerge w:val="restart"/>
          </w:tcPr>
          <w:p>
            <w:pPr>
              <w:jc w:val="right"/>
              <w:ind w:right="437"/>
              <w:spacing w:after="0"/>
              <w:rPr>
                <w:sz w:val="20"/>
                <w:szCs w:val="20"/>
                <w:color w:val="auto"/>
              </w:rPr>
            </w:pPr>
            <w:r>
              <w:rPr>
                <w:rFonts w:ascii="Arial" w:cs="Arial" w:eastAsia="Arial" w:hAnsi="Arial"/>
                <w:sz w:val="13"/>
                <w:szCs w:val="13"/>
                <w:b w:val="1"/>
                <w:bCs w:val="1"/>
                <w:color w:val="auto"/>
              </w:rPr>
              <w:t>Weighted-average</w:t>
            </w:r>
          </w:p>
        </w:tc>
        <w:tc>
          <w:tcPr>
            <w:tcW w:w="2520" w:type="dxa"/>
            <w:vAlign w:val="bottom"/>
          </w:tcPr>
          <w:p>
            <w:pPr>
              <w:jc w:val="right"/>
              <w:spacing w:after="0"/>
              <w:rPr>
                <w:sz w:val="20"/>
                <w:szCs w:val="20"/>
                <w:color w:val="auto"/>
              </w:rPr>
            </w:pPr>
            <w:r>
              <w:rPr>
                <w:rFonts w:ascii="Arial" w:cs="Arial" w:eastAsia="Arial" w:hAnsi="Arial"/>
                <w:sz w:val="13"/>
                <w:szCs w:val="13"/>
                <w:b w:val="1"/>
                <w:bCs w:val="1"/>
                <w:color w:val="auto"/>
              </w:rPr>
              <w:t>available for future issuance</w:t>
            </w:r>
          </w:p>
        </w:tc>
        <w:tc>
          <w:tcPr>
            <w:tcW w:w="0" w:type="dxa"/>
            <w:vAlign w:val="bottom"/>
          </w:tcPr>
          <w:p>
            <w:pPr>
              <w:spacing w:after="0"/>
              <w:rPr>
                <w:sz w:val="1"/>
                <w:szCs w:val="1"/>
                <w:color w:val="auto"/>
              </w:rPr>
            </w:pPr>
          </w:p>
        </w:tc>
      </w:tr>
      <w:tr>
        <w:trPr>
          <w:trHeight w:val="135"/>
        </w:trPr>
        <w:tc>
          <w:tcPr>
            <w:tcW w:w="1800" w:type="dxa"/>
            <w:vAlign w:val="bottom"/>
            <w:vMerge w:val="continue"/>
          </w:tcPr>
          <w:p>
            <w:pPr>
              <w:spacing w:after="0"/>
              <w:rPr>
                <w:sz w:val="11"/>
                <w:szCs w:val="11"/>
                <w:color w:val="auto"/>
              </w:rPr>
            </w:pPr>
          </w:p>
        </w:tc>
        <w:tc>
          <w:tcPr>
            <w:tcW w:w="25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under equity compensation plans</w:t>
            </w:r>
          </w:p>
        </w:tc>
        <w:tc>
          <w:tcPr>
            <w:tcW w:w="0" w:type="dxa"/>
            <w:vAlign w:val="bottom"/>
          </w:tcPr>
          <w:p>
            <w:pPr>
              <w:spacing w:after="0"/>
              <w:rPr>
                <w:sz w:val="1"/>
                <w:szCs w:val="1"/>
                <w:color w:val="auto"/>
              </w:rPr>
            </w:pPr>
          </w:p>
        </w:tc>
      </w:tr>
      <w:tr>
        <w:trPr>
          <w:trHeight w:val="148"/>
        </w:trPr>
        <w:tc>
          <w:tcPr>
            <w:tcW w:w="1800" w:type="dxa"/>
            <w:vAlign w:val="bottom"/>
          </w:tcPr>
          <w:p>
            <w:pPr>
              <w:jc w:val="right"/>
              <w:ind w:right="437"/>
              <w:spacing w:after="0"/>
              <w:rPr>
                <w:sz w:val="20"/>
                <w:szCs w:val="20"/>
                <w:color w:val="auto"/>
              </w:rPr>
            </w:pPr>
            <w:r>
              <w:rPr>
                <w:rFonts w:ascii="Arial" w:cs="Arial" w:eastAsia="Arial" w:hAnsi="Arial"/>
                <w:sz w:val="13"/>
                <w:szCs w:val="13"/>
                <w:b w:val="1"/>
                <w:bCs w:val="1"/>
                <w:color w:val="auto"/>
              </w:rPr>
              <w:t>exercise price of</w:t>
            </w:r>
          </w:p>
        </w:tc>
        <w:tc>
          <w:tcPr>
            <w:tcW w:w="2520" w:type="dxa"/>
            <w:vAlign w:val="bottom"/>
          </w:tcPr>
          <w:p>
            <w:pPr>
              <w:jc w:val="right"/>
              <w:spacing w:after="0"/>
              <w:rPr>
                <w:sz w:val="20"/>
                <w:szCs w:val="20"/>
                <w:color w:val="auto"/>
              </w:rPr>
            </w:pPr>
            <w:r>
              <w:rPr>
                <w:rFonts w:ascii="Arial" w:cs="Arial" w:eastAsia="Arial" w:hAnsi="Arial"/>
                <w:sz w:val="13"/>
                <w:szCs w:val="13"/>
                <w:b w:val="1"/>
                <w:bCs w:val="1"/>
                <w:color w:val="auto"/>
              </w:rPr>
              <w:t>(excluding shares reflected in the</w:t>
            </w:r>
          </w:p>
        </w:tc>
        <w:tc>
          <w:tcPr>
            <w:tcW w:w="0" w:type="dxa"/>
            <w:vAlign w:val="bottom"/>
          </w:tcPr>
          <w:p>
            <w:pPr>
              <w:spacing w:after="0"/>
              <w:rPr>
                <w:sz w:val="1"/>
                <w:szCs w:val="1"/>
                <w:color w:val="auto"/>
              </w:rPr>
            </w:pPr>
          </w:p>
        </w:tc>
      </w:tr>
      <w:tr>
        <w:trPr>
          <w:trHeight w:val="162"/>
        </w:trPr>
        <w:tc>
          <w:tcPr>
            <w:tcW w:w="1800" w:type="dxa"/>
            <w:vAlign w:val="bottom"/>
          </w:tcPr>
          <w:p>
            <w:pPr>
              <w:jc w:val="right"/>
              <w:ind w:right="437"/>
              <w:spacing w:after="0" w:line="162" w:lineRule="exact"/>
              <w:rPr>
                <w:sz w:val="20"/>
                <w:szCs w:val="20"/>
                <w:color w:val="auto"/>
              </w:rPr>
            </w:pPr>
            <w:r>
              <w:rPr>
                <w:rFonts w:ascii="Arial" w:cs="Arial" w:eastAsia="Arial" w:hAnsi="Arial"/>
                <w:sz w:val="13"/>
                <w:szCs w:val="13"/>
                <w:b w:val="1"/>
                <w:bCs w:val="1"/>
                <w:color w:val="auto"/>
                <w:w w:val="92"/>
              </w:rPr>
              <w:t>outstanding options</w:t>
            </w:r>
            <w:r>
              <w:rPr>
                <w:rFonts w:ascii="Arial" w:cs="Arial" w:eastAsia="Arial" w:hAnsi="Arial"/>
                <w:sz w:val="16"/>
                <w:szCs w:val="16"/>
                <w:b w:val="1"/>
                <w:bCs w:val="1"/>
                <w:color w:val="auto"/>
                <w:w w:val="92"/>
                <w:vertAlign w:val="superscript"/>
              </w:rPr>
              <w:t>(2)</w:t>
            </w:r>
          </w:p>
        </w:tc>
        <w:tc>
          <w:tcPr>
            <w:tcW w:w="2520" w:type="dxa"/>
            <w:vAlign w:val="bottom"/>
          </w:tcPr>
          <w:p>
            <w:pPr>
              <w:jc w:val="right"/>
              <w:spacing w:after="0" w:line="162" w:lineRule="exact"/>
              <w:rPr>
                <w:sz w:val="20"/>
                <w:szCs w:val="20"/>
                <w:color w:val="auto"/>
              </w:rPr>
            </w:pPr>
            <w:r>
              <w:rPr>
                <w:rFonts w:ascii="Arial" w:cs="Arial" w:eastAsia="Arial" w:hAnsi="Arial"/>
                <w:sz w:val="13"/>
                <w:szCs w:val="13"/>
                <w:b w:val="1"/>
                <w:bCs w:val="1"/>
                <w:color w:val="auto"/>
              </w:rPr>
              <w:t>first column)</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172"/>
        </w:trPr>
        <w:tc>
          <w:tcPr>
            <w:tcW w:w="1800" w:type="dxa"/>
            <w:vAlign w:val="bottom"/>
          </w:tcPr>
          <w:p>
            <w:pPr>
              <w:jc w:val="right"/>
              <w:ind w:right="437"/>
              <w:spacing w:after="0"/>
              <w:rPr>
                <w:sz w:val="20"/>
                <w:szCs w:val="20"/>
                <w:color w:val="auto"/>
              </w:rPr>
            </w:pPr>
            <w:r>
              <w:rPr>
                <w:rFonts w:ascii="Arial" w:cs="Arial" w:eastAsia="Arial" w:hAnsi="Arial"/>
                <w:sz w:val="13"/>
                <w:szCs w:val="13"/>
                <w:b w:val="1"/>
                <w:bCs w:val="1"/>
                <w:color w:val="auto"/>
              </w:rPr>
              <w:t>($)</w:t>
            </w:r>
          </w:p>
        </w:tc>
        <w:tc>
          <w:tcPr>
            <w:tcW w:w="25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bl>
    <w:p>
      <w:pPr>
        <w:spacing w:after="0" w:line="48" w:lineRule="exact"/>
        <w:rPr>
          <w:sz w:val="20"/>
          <w:szCs w:val="20"/>
          <w:color w:val="auto"/>
        </w:rPr>
      </w:pPr>
    </w:p>
    <w:p>
      <w:pPr>
        <w:sectPr>
          <w:pgSz w:w="11900" w:h="16838" w:orient="portrait"/>
          <w:cols w:equalWidth="0" w:num="2">
            <w:col w:w="5860" w:space="720"/>
            <w:col w:w="4660"/>
          </w:cols>
          <w:pgMar w:left="320" w:top="1298"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3900" w:type="dxa"/>
            <w:vAlign w:val="bottom"/>
          </w:tcPr>
          <w:p>
            <w:pPr>
              <w:ind w:left="20"/>
              <w:spacing w:after="0"/>
              <w:rPr>
                <w:sz w:val="20"/>
                <w:szCs w:val="20"/>
                <w:color w:val="auto"/>
              </w:rPr>
            </w:pPr>
            <w:r>
              <w:rPr>
                <w:rFonts w:ascii="Arial" w:cs="Arial" w:eastAsia="Arial" w:hAnsi="Arial"/>
                <w:sz w:val="16"/>
                <w:szCs w:val="16"/>
                <w:color w:val="auto"/>
              </w:rPr>
              <w:t>Equity compensation plans approved</w:t>
            </w:r>
          </w:p>
        </w:tc>
        <w:tc>
          <w:tcPr>
            <w:tcW w:w="2840" w:type="dxa"/>
            <w:vAlign w:val="bottom"/>
          </w:tcPr>
          <w:p>
            <w:pPr>
              <w:jc w:val="right"/>
              <w:ind w:right="819"/>
              <w:spacing w:after="0"/>
              <w:rPr>
                <w:sz w:val="20"/>
                <w:szCs w:val="20"/>
                <w:color w:val="auto"/>
              </w:rPr>
            </w:pPr>
            <w:r>
              <w:rPr>
                <w:rFonts w:ascii="Arial" w:cs="Arial" w:eastAsia="Arial" w:hAnsi="Arial"/>
                <w:sz w:val="16"/>
                <w:szCs w:val="16"/>
                <w:color w:val="auto"/>
              </w:rPr>
              <w:t>1,105,287</w:t>
            </w:r>
          </w:p>
        </w:tc>
        <w:tc>
          <w:tcPr>
            <w:tcW w:w="2300" w:type="dxa"/>
            <w:vAlign w:val="bottom"/>
          </w:tcPr>
          <w:p>
            <w:pPr>
              <w:ind w:left="880"/>
              <w:spacing w:after="0"/>
              <w:rPr>
                <w:sz w:val="20"/>
                <w:szCs w:val="20"/>
                <w:color w:val="auto"/>
              </w:rPr>
            </w:pPr>
            <w:r>
              <w:rPr>
                <w:rFonts w:ascii="Arial" w:cs="Arial" w:eastAsia="Arial" w:hAnsi="Arial"/>
                <w:sz w:val="16"/>
                <w:szCs w:val="16"/>
                <w:color w:val="auto"/>
              </w:rPr>
              <w:t>N/A</w:t>
            </w:r>
          </w:p>
        </w:tc>
        <w:tc>
          <w:tcPr>
            <w:tcW w:w="1880" w:type="dxa"/>
            <w:vAlign w:val="bottom"/>
          </w:tcPr>
          <w:p>
            <w:pPr>
              <w:jc w:val="right"/>
              <w:spacing w:after="0"/>
              <w:rPr>
                <w:sz w:val="20"/>
                <w:szCs w:val="20"/>
                <w:color w:val="auto"/>
              </w:rPr>
            </w:pPr>
            <w:r>
              <w:rPr>
                <w:rFonts w:ascii="Arial" w:cs="Arial" w:eastAsia="Arial" w:hAnsi="Arial"/>
                <w:sz w:val="16"/>
                <w:szCs w:val="16"/>
                <w:color w:val="auto"/>
              </w:rPr>
              <w:t>4,354,180</w:t>
            </w:r>
          </w:p>
        </w:tc>
        <w:tc>
          <w:tcPr>
            <w:tcW w:w="320" w:type="dxa"/>
            <w:vAlign w:val="bottom"/>
          </w:tcPr>
          <w:p>
            <w:pPr>
              <w:spacing w:after="0"/>
              <w:rPr>
                <w:sz w:val="16"/>
                <w:szCs w:val="16"/>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by shareholders</w:t>
            </w: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9"/>
        </w:trPr>
        <w:tc>
          <w:tcPr>
            <w:tcW w:w="3900" w:type="dxa"/>
            <w:vAlign w:val="bottom"/>
            <w:tcBorders>
              <w:bottom w:val="single" w:sz="8" w:color="BCBEC0"/>
            </w:tcBorders>
          </w:tcPr>
          <w:p>
            <w:pPr>
              <w:spacing w:after="0"/>
              <w:rPr>
                <w:sz w:val="2"/>
                <w:szCs w:val="2"/>
                <w:color w:val="auto"/>
              </w:rPr>
            </w:pPr>
          </w:p>
        </w:tc>
        <w:tc>
          <w:tcPr>
            <w:tcW w:w="2840" w:type="dxa"/>
            <w:vAlign w:val="bottom"/>
            <w:tcBorders>
              <w:bottom w:val="single" w:sz="8" w:color="BCBEC0"/>
            </w:tcBorders>
          </w:tcPr>
          <w:p>
            <w:pPr>
              <w:spacing w:after="0"/>
              <w:rPr>
                <w:sz w:val="2"/>
                <w:szCs w:val="2"/>
                <w:color w:val="auto"/>
              </w:rPr>
            </w:pPr>
          </w:p>
        </w:tc>
        <w:tc>
          <w:tcPr>
            <w:tcW w:w="2300" w:type="dxa"/>
            <w:vAlign w:val="bottom"/>
            <w:tcBorders>
              <w:bottom w:val="single" w:sz="8" w:color="BCBEC0"/>
            </w:tcBorders>
          </w:tcPr>
          <w:p>
            <w:pPr>
              <w:spacing w:after="0"/>
              <w:rPr>
                <w:sz w:val="2"/>
                <w:szCs w:val="2"/>
                <w:color w:val="auto"/>
              </w:rPr>
            </w:pPr>
          </w:p>
        </w:tc>
        <w:tc>
          <w:tcPr>
            <w:tcW w:w="1880" w:type="dxa"/>
            <w:vAlign w:val="bottom"/>
            <w:tcBorders>
              <w:bottom w:val="single" w:sz="8" w:color="BCBEC0"/>
            </w:tcBorders>
          </w:tcPr>
          <w:p>
            <w:pPr>
              <w:spacing w:after="0"/>
              <w:rPr>
                <w:sz w:val="2"/>
                <w:szCs w:val="2"/>
                <w:color w:val="auto"/>
              </w:rPr>
            </w:pPr>
          </w:p>
        </w:tc>
        <w:tc>
          <w:tcPr>
            <w:tcW w:w="320" w:type="dxa"/>
            <w:vAlign w:val="bottom"/>
            <w:tcBorders>
              <w:bottom w:val="single" w:sz="8" w:color="BCBEC0"/>
            </w:tcBorders>
          </w:tcPr>
          <w:p>
            <w:pPr>
              <w:spacing w:after="0"/>
              <w:rPr>
                <w:sz w:val="2"/>
                <w:szCs w:val="2"/>
                <w:color w:val="auto"/>
              </w:rPr>
            </w:pPr>
          </w:p>
        </w:tc>
      </w:tr>
      <w:tr>
        <w:trPr>
          <w:trHeight w:val="195"/>
        </w:trPr>
        <w:tc>
          <w:tcPr>
            <w:tcW w:w="3900" w:type="dxa"/>
            <w:vAlign w:val="bottom"/>
          </w:tcPr>
          <w:p>
            <w:pPr>
              <w:ind w:left="20"/>
              <w:spacing w:after="0"/>
              <w:rPr>
                <w:sz w:val="20"/>
                <w:szCs w:val="20"/>
                <w:color w:val="auto"/>
              </w:rPr>
            </w:pPr>
            <w:r>
              <w:rPr>
                <w:rFonts w:ascii="Arial" w:cs="Arial" w:eastAsia="Arial" w:hAnsi="Arial"/>
                <w:sz w:val="16"/>
                <w:szCs w:val="16"/>
                <w:color w:val="auto"/>
              </w:rPr>
              <w:t>Equity compensation plans not</w:t>
            </w:r>
          </w:p>
        </w:tc>
        <w:tc>
          <w:tcPr>
            <w:tcW w:w="2840" w:type="dxa"/>
            <w:vAlign w:val="bottom"/>
          </w:tcPr>
          <w:p>
            <w:pPr>
              <w:jc w:val="right"/>
              <w:ind w:right="819"/>
              <w:spacing w:after="0"/>
              <w:rPr>
                <w:sz w:val="20"/>
                <w:szCs w:val="20"/>
                <w:color w:val="auto"/>
              </w:rPr>
            </w:pPr>
            <w:r>
              <w:rPr>
                <w:rFonts w:ascii="Arial" w:cs="Arial" w:eastAsia="Arial" w:hAnsi="Arial"/>
                <w:sz w:val="16"/>
                <w:szCs w:val="16"/>
                <w:color w:val="auto"/>
              </w:rPr>
              <w:t>N/A</w:t>
            </w:r>
          </w:p>
        </w:tc>
        <w:tc>
          <w:tcPr>
            <w:tcW w:w="2300" w:type="dxa"/>
            <w:vAlign w:val="bottom"/>
          </w:tcPr>
          <w:p>
            <w:pPr>
              <w:ind w:left="880"/>
              <w:spacing w:after="0"/>
              <w:rPr>
                <w:sz w:val="20"/>
                <w:szCs w:val="20"/>
                <w:color w:val="auto"/>
              </w:rPr>
            </w:pPr>
            <w:r>
              <w:rPr>
                <w:rFonts w:ascii="Arial" w:cs="Arial" w:eastAsia="Arial" w:hAnsi="Arial"/>
                <w:sz w:val="16"/>
                <w:szCs w:val="16"/>
                <w:color w:val="auto"/>
              </w:rPr>
              <w:t>N/A</w:t>
            </w:r>
          </w:p>
        </w:tc>
        <w:tc>
          <w:tcPr>
            <w:tcW w:w="1880" w:type="dxa"/>
            <w:vAlign w:val="bottom"/>
          </w:tcPr>
          <w:p>
            <w:pPr>
              <w:jc w:val="right"/>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16"/>
                <w:szCs w:val="16"/>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approved by shareholders</w:t>
            </w:r>
          </w:p>
        </w:tc>
        <w:tc>
          <w:tcPr>
            <w:tcW w:w="2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9"/>
        </w:trPr>
        <w:tc>
          <w:tcPr>
            <w:tcW w:w="3900" w:type="dxa"/>
            <w:vAlign w:val="bottom"/>
            <w:tcBorders>
              <w:bottom w:val="single" w:sz="8" w:color="BCBEC0"/>
            </w:tcBorders>
          </w:tcPr>
          <w:p>
            <w:pPr>
              <w:spacing w:after="0"/>
              <w:rPr>
                <w:sz w:val="2"/>
                <w:szCs w:val="2"/>
                <w:color w:val="auto"/>
              </w:rPr>
            </w:pPr>
          </w:p>
        </w:tc>
        <w:tc>
          <w:tcPr>
            <w:tcW w:w="2840" w:type="dxa"/>
            <w:vAlign w:val="bottom"/>
            <w:tcBorders>
              <w:bottom w:val="single" w:sz="8" w:color="BCBEC0"/>
            </w:tcBorders>
          </w:tcPr>
          <w:p>
            <w:pPr>
              <w:spacing w:after="0"/>
              <w:rPr>
                <w:sz w:val="2"/>
                <w:szCs w:val="2"/>
                <w:color w:val="auto"/>
              </w:rPr>
            </w:pPr>
          </w:p>
        </w:tc>
        <w:tc>
          <w:tcPr>
            <w:tcW w:w="2300" w:type="dxa"/>
            <w:vAlign w:val="bottom"/>
            <w:tcBorders>
              <w:bottom w:val="single" w:sz="8" w:color="BCBEC0"/>
            </w:tcBorders>
          </w:tcPr>
          <w:p>
            <w:pPr>
              <w:spacing w:after="0"/>
              <w:rPr>
                <w:sz w:val="2"/>
                <w:szCs w:val="2"/>
                <w:color w:val="auto"/>
              </w:rPr>
            </w:pPr>
          </w:p>
        </w:tc>
        <w:tc>
          <w:tcPr>
            <w:tcW w:w="1880" w:type="dxa"/>
            <w:vAlign w:val="bottom"/>
            <w:tcBorders>
              <w:bottom w:val="single" w:sz="8" w:color="BCBEC0"/>
            </w:tcBorders>
          </w:tcPr>
          <w:p>
            <w:pPr>
              <w:spacing w:after="0"/>
              <w:rPr>
                <w:sz w:val="2"/>
                <w:szCs w:val="2"/>
                <w:color w:val="auto"/>
              </w:rPr>
            </w:pPr>
          </w:p>
        </w:tc>
        <w:tc>
          <w:tcPr>
            <w:tcW w:w="320" w:type="dxa"/>
            <w:vAlign w:val="bottom"/>
            <w:tcBorders>
              <w:bottom w:val="single" w:sz="8" w:color="BCBEC0"/>
            </w:tcBorders>
          </w:tcPr>
          <w:p>
            <w:pPr>
              <w:spacing w:after="0"/>
              <w:rPr>
                <w:sz w:val="2"/>
                <w:szCs w:val="2"/>
                <w:color w:val="auto"/>
              </w:rPr>
            </w:pPr>
          </w:p>
        </w:tc>
      </w:tr>
      <w:tr>
        <w:trPr>
          <w:trHeight w:val="233"/>
        </w:trPr>
        <w:tc>
          <w:tcPr>
            <w:tcW w:w="39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auto"/>
              </w:rPr>
              <w:t>Total</w:t>
            </w:r>
          </w:p>
        </w:tc>
        <w:tc>
          <w:tcPr>
            <w:tcW w:w="2840" w:type="dxa"/>
            <w:vAlign w:val="bottom"/>
            <w:tcBorders>
              <w:bottom w:val="single" w:sz="8" w:color="BCBEC0"/>
            </w:tcBorders>
          </w:tcPr>
          <w:p>
            <w:pPr>
              <w:jc w:val="right"/>
              <w:ind w:right="819"/>
              <w:spacing w:after="0"/>
              <w:rPr>
                <w:sz w:val="20"/>
                <w:szCs w:val="20"/>
                <w:color w:val="auto"/>
              </w:rPr>
            </w:pPr>
            <w:r>
              <w:rPr>
                <w:rFonts w:ascii="Arial" w:cs="Arial" w:eastAsia="Arial" w:hAnsi="Arial"/>
                <w:sz w:val="16"/>
                <w:szCs w:val="16"/>
                <w:color w:val="auto"/>
              </w:rPr>
              <w:t>1,105,287</w:t>
            </w:r>
          </w:p>
        </w:tc>
        <w:tc>
          <w:tcPr>
            <w:tcW w:w="2300" w:type="dxa"/>
            <w:vAlign w:val="bottom"/>
            <w:tcBorders>
              <w:bottom w:val="single" w:sz="8" w:color="BCBEC0"/>
            </w:tcBorders>
          </w:tcPr>
          <w:p>
            <w:pPr>
              <w:ind w:left="880"/>
              <w:spacing w:after="0"/>
              <w:rPr>
                <w:sz w:val="20"/>
                <w:szCs w:val="20"/>
                <w:color w:val="auto"/>
              </w:rPr>
            </w:pPr>
            <w:r>
              <w:rPr>
                <w:rFonts w:ascii="Arial" w:cs="Arial" w:eastAsia="Arial" w:hAnsi="Arial"/>
                <w:sz w:val="16"/>
                <w:szCs w:val="16"/>
                <w:color w:val="auto"/>
              </w:rPr>
              <w:t>N/A</w:t>
            </w:r>
          </w:p>
        </w:tc>
        <w:tc>
          <w:tcPr>
            <w:tcW w:w="18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4,354,180</w:t>
            </w:r>
          </w:p>
        </w:tc>
        <w:tc>
          <w:tcPr>
            <w:tcW w:w="320" w:type="dxa"/>
            <w:vAlign w:val="bottom"/>
            <w:tcBorders>
              <w:bottom w:val="single" w:sz="8" w:color="BCBEC0"/>
            </w:tcBorders>
          </w:tcPr>
          <w:p>
            <w:pPr>
              <w:jc w:val="right"/>
              <w:ind w:right="127"/>
              <w:spacing w:after="0"/>
              <w:rPr>
                <w:sz w:val="20"/>
                <w:szCs w:val="20"/>
                <w:color w:val="auto"/>
              </w:rPr>
            </w:pPr>
            <w:r>
              <w:rPr>
                <w:rFonts w:ascii="Arial" w:cs="Arial" w:eastAsia="Arial" w:hAnsi="Arial"/>
                <w:sz w:val="11"/>
                <w:szCs w:val="11"/>
                <w:color w:val="auto"/>
                <w:w w:val="88"/>
              </w:rPr>
              <w:t>(4)</w:t>
            </w:r>
          </w:p>
        </w:tc>
      </w:tr>
    </w:tbl>
    <w:p>
      <w:pPr>
        <w:spacing w:after="0" w:line="139" w:lineRule="exact"/>
        <w:rPr>
          <w:sz w:val="20"/>
          <w:szCs w:val="20"/>
          <w:color w:val="auto"/>
        </w:rPr>
      </w:pPr>
    </w:p>
    <w:p>
      <w:pPr>
        <w:ind w:left="260" w:right="60" w:hanging="252"/>
        <w:spacing w:after="0" w:line="256" w:lineRule="auto"/>
        <w:tabs>
          <w:tab w:leader="none" w:pos="258" w:val="left"/>
        </w:tabs>
        <w:numPr>
          <w:ilvl w:val="0"/>
          <w:numId w:val="168"/>
        </w:numPr>
        <w:rPr>
          <w:rFonts w:ascii="Arial" w:cs="Arial" w:eastAsia="Arial" w:hAnsi="Arial"/>
          <w:sz w:val="14"/>
          <w:szCs w:val="14"/>
          <w:color w:val="auto"/>
        </w:rPr>
      </w:pPr>
      <w:r>
        <w:rPr>
          <w:rFonts w:ascii="Arial" w:cs="Arial" w:eastAsia="Arial" w:hAnsi="Arial"/>
          <w:sz w:val="14"/>
          <w:szCs w:val="14"/>
          <w:color w:val="auto"/>
        </w:rPr>
        <w:t>This number includes 499,159 shares that were subject to outstanding stock awards granted under the 2011 Plan, 250,941 awards earned at year end but pending distribution subject to final performance adjustments, 67,582 shares subject to outstanding stock units credited under the 2011 Plan and 1993 Directors Plan, and additional performance shares of 287,605, which reflect the number of shares deliverable under payment of outstanding restricted performance stock rights, assuming maximum performance criteria have been achieved.</w:t>
      </w:r>
    </w:p>
    <w:p>
      <w:pPr>
        <w:spacing w:after="0" w:line="42" w:lineRule="exact"/>
        <w:rPr>
          <w:rFonts w:ascii="Arial" w:cs="Arial" w:eastAsia="Arial" w:hAnsi="Arial"/>
          <w:sz w:val="14"/>
          <w:szCs w:val="14"/>
          <w:color w:val="auto"/>
        </w:rPr>
      </w:pPr>
    </w:p>
    <w:p>
      <w:pPr>
        <w:ind w:left="260" w:hanging="252"/>
        <w:spacing w:after="0"/>
        <w:tabs>
          <w:tab w:leader="none" w:pos="26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There were no options outstanding as of December 31, 2023.</w:t>
      </w:r>
    </w:p>
    <w:p>
      <w:pPr>
        <w:spacing w:after="0" w:line="68" w:lineRule="exact"/>
        <w:rPr>
          <w:rFonts w:ascii="Arial" w:cs="Arial" w:eastAsia="Arial" w:hAnsi="Arial"/>
          <w:sz w:val="14"/>
          <w:szCs w:val="14"/>
          <w:color w:val="auto"/>
        </w:rPr>
      </w:pPr>
    </w:p>
    <w:p>
      <w:pPr>
        <w:ind w:left="260" w:right="260" w:hanging="252"/>
        <w:spacing w:after="0" w:line="251" w:lineRule="auto"/>
        <w:tabs>
          <w:tab w:leader="none" w:pos="258" w:val="left"/>
        </w:tabs>
        <w:numPr>
          <w:ilvl w:val="0"/>
          <w:numId w:val="168"/>
        </w:numPr>
        <w:rPr>
          <w:rFonts w:ascii="Arial" w:cs="Arial" w:eastAsia="Arial" w:hAnsi="Arial"/>
          <w:sz w:val="14"/>
          <w:szCs w:val="14"/>
          <w:color w:val="auto"/>
        </w:rPr>
      </w:pPr>
      <w:r>
        <w:rPr>
          <w:rFonts w:ascii="Arial" w:cs="Arial" w:eastAsia="Arial" w:hAnsi="Arial"/>
          <w:sz w:val="14"/>
          <w:szCs w:val="14"/>
          <w:color w:val="auto"/>
        </w:rPr>
        <w:t>Of the aggregate number of shares that remained available for future issuance, 4,354,180 were available under the 2011 Plan as of December 31, 2023. No new awards may be granted under the 1993 Directors Plan.</w:t>
      </w:r>
    </w:p>
    <w:p>
      <w:pPr>
        <w:spacing w:after="0" w:line="1" w:lineRule="exact"/>
        <w:rPr>
          <w:rFonts w:ascii="Arial" w:cs="Arial" w:eastAsia="Arial" w:hAnsi="Arial"/>
          <w:sz w:val="14"/>
          <w:szCs w:val="14"/>
          <w:color w:val="auto"/>
        </w:rPr>
      </w:pPr>
    </w:p>
    <w:p>
      <w:pPr>
        <w:ind w:left="260" w:right="240" w:hanging="252"/>
        <w:spacing w:after="0" w:line="264" w:lineRule="auto"/>
        <w:tabs>
          <w:tab w:leader="none" w:pos="258" w:val="left"/>
        </w:tabs>
        <w:numPr>
          <w:ilvl w:val="0"/>
          <w:numId w:val="168"/>
        </w:numPr>
        <w:rPr>
          <w:rFonts w:ascii="Arial" w:cs="Arial" w:eastAsia="Arial" w:hAnsi="Arial"/>
          <w:sz w:val="14"/>
          <w:szCs w:val="14"/>
          <w:color w:val="auto"/>
        </w:rPr>
      </w:pPr>
      <w:r>
        <w:rPr>
          <w:rFonts w:ascii="Arial" w:cs="Arial" w:eastAsia="Arial" w:hAnsi="Arial"/>
          <w:sz w:val="14"/>
          <w:szCs w:val="14"/>
          <w:color w:val="auto"/>
        </w:rPr>
        <w:t>After giving effect to our February 2024 awards, the number of shares of common stock remaining available for future issuance would be 3,978,120 (assuming maximum payout of such awards).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89</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type w:val="continuous"/>
        </w:sectPr>
      </w:pPr>
    </w:p>
    <w:bookmarkStart w:id="92" w:name="page93"/>
    <w:bookmarkEnd w:id="92"/>
    <w:p>
      <w:pPr>
        <w:ind w:right="2560"/>
        <w:spacing w:after="0" w:line="297" w:lineRule="auto"/>
        <w:rPr>
          <w:sz w:val="20"/>
          <w:szCs w:val="20"/>
          <w:color w:val="auto"/>
        </w:rPr>
      </w:pPr>
      <w:r>
        <w:rPr>
          <w:rFonts w:ascii="Arial" w:cs="Arial" w:eastAsia="Arial" w:hAnsi="Arial"/>
          <w:sz w:val="43"/>
          <w:szCs w:val="43"/>
          <w:b w:val="1"/>
          <w:bCs w:val="1"/>
          <w:color w:val="29378D"/>
        </w:rPr>
        <w:t>Proposal 3: Ratification of Appointment of Independent Auditor</w:t>
      </w:r>
    </w:p>
    <w:p>
      <w:pPr>
        <w:spacing w:after="0" w:line="264"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Audit and Risk Committee believes that the appointment of Deloitte &amp; Touche LLP (Deloitte) is in the best interests of the Company and its shareholders, and proposes and recommends that the shareholders ratify the Audit and Risk Committee’s appointment of Deloitte as our independent auditor for 2024. Deloitte served as our independent auditor for 2023, and Deloitte or its predecessors have served as the independent auditor for the Company (including certain of its predecessor companies) since 1975. The Audit and Risk Committee is responsible for the appointment, compensation, retention, oversight, evaluation and termination, if necessary, of our independent auditor. The Audit and Risk Committee is responsible for reviewing and pre-approving audit and non-audit services and related fees for the independent auditor. In addition, the Audit and Risk Committee, at least annually, reviews and evaluates with management and our internal auditors Deloitte’s performance. The Audit and Risk Committee also reviews the performance of Deloitte’s lead audit partner, and the Audit and Risk Committee and its Chair oversee the rotation of Deloitte’s lead audit partner and are involved in the selection and approval of the lead audit partner. The lead audit partner rotates every five years in accordance with regulatory requirements.</w:t>
      </w:r>
    </w:p>
    <w:p>
      <w:pPr>
        <w:spacing w:after="0" w:line="69"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Although ratification is not required by our Bylaws or otherwise, the Audit and Risk Committee is submitting the selection of Deloitte to shareholders as a matter of good corporate governance. If the shareholders fail to ratify the appointment of Deloitte, the Audit and Risk Committee will consider this in its selection of auditor for the following year. A representative from Deloitte will attend the Annual Meeting and will have the opportunity to make a statement and respond to appropriate questions.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13"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7149465" cy="3600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360045"/>
                    </a:xfrm>
                    <a:prstGeom prst="rect">
                      <a:avLst/>
                    </a:prstGeom>
                    <a:noFill/>
                  </pic:spPr>
                </pic:pic>
              </a:graphicData>
            </a:graphic>
          </wp:anchor>
        </w:drawing>
      </w:r>
    </w:p>
    <w:p>
      <w:pPr>
        <w:spacing w:after="0" w:line="234"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 xml:space="preserve">THE BOARD OF DIRECTORS UNANIMOUSLY RECOMMENDS THAT YOU VOTE </w:t>
      </w:r>
      <w:r>
        <w:rPr>
          <w:rFonts w:ascii="Arial" w:cs="Arial" w:eastAsia="Arial" w:hAnsi="Arial"/>
          <w:sz w:val="14"/>
          <w:szCs w:val="14"/>
          <w:b w:val="1"/>
          <w:bCs w:val="1"/>
          <w:color w:val="29378D"/>
        </w:rPr>
        <w:t>“FOR”</w:t>
      </w:r>
      <w:r>
        <w:rPr>
          <w:rFonts w:ascii="Arial" w:cs="Arial" w:eastAsia="Arial" w:hAnsi="Arial"/>
          <w:sz w:val="14"/>
          <w:szCs w:val="14"/>
          <w:b w:val="1"/>
          <w:bCs w:val="1"/>
          <w:color w:val="auto"/>
        </w:rPr>
        <w:t xml:space="preserve"> PROPOSAL 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 Fees and All Other Fees</w:t>
      </w:r>
    </w:p>
    <w:p>
      <w:pPr>
        <w:spacing w:after="0" w:line="134" w:lineRule="exact"/>
        <w:rPr>
          <w:sz w:val="20"/>
          <w:szCs w:val="20"/>
          <w:color w:val="auto"/>
        </w:rPr>
      </w:pPr>
    </w:p>
    <w:p>
      <w:pPr>
        <w:jc w:val="both"/>
        <w:ind w:right="460"/>
        <w:spacing w:after="0" w:line="275" w:lineRule="auto"/>
        <w:rPr>
          <w:sz w:val="20"/>
          <w:szCs w:val="20"/>
          <w:color w:val="auto"/>
        </w:rPr>
      </w:pPr>
      <w:r>
        <w:rPr>
          <w:rFonts w:ascii="Arial" w:cs="Arial" w:eastAsia="Arial" w:hAnsi="Arial"/>
          <w:sz w:val="16"/>
          <w:szCs w:val="16"/>
          <w:color w:val="auto"/>
        </w:rPr>
        <w:t>The following table summarizes aggregate fees incurred for professional audit services for the audit of the Company’s consolidated financial statement audits for the years ended December 31, 2023 and 2022, and fees billed for other services in fiscal years 2023 and 2022, in each case by Deloitte, the member firms of Deloitte Touche Tohmatsu Limited and their respective affiliates: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20" w:type="dxa"/>
            <w:vAlign w:val="bottom"/>
          </w:tcPr>
          <w:p>
            <w:pPr>
              <w:jc w:val="right"/>
              <w:ind w:right="62"/>
              <w:spacing w:after="0"/>
              <w:rPr>
                <w:sz w:val="20"/>
                <w:szCs w:val="20"/>
                <w:color w:val="auto"/>
              </w:rPr>
            </w:pPr>
            <w:r>
              <w:rPr>
                <w:rFonts w:ascii="Arial" w:cs="Arial" w:eastAsia="Arial" w:hAnsi="Arial"/>
                <w:sz w:val="13"/>
                <w:szCs w:val="13"/>
                <w:b w:val="1"/>
                <w:bCs w:val="1"/>
                <w:color w:val="auto"/>
              </w:rPr>
              <w:t>2023</w:t>
            </w: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r>
      <w:tr>
        <w:trPr>
          <w:trHeight w:val="22"/>
        </w:trPr>
        <w:tc>
          <w:tcPr>
            <w:tcW w:w="4860" w:type="dxa"/>
            <w:vAlign w:val="bottom"/>
            <w:tcBorders>
              <w:bottom w:val="single" w:sz="8" w:color="29378D"/>
            </w:tcBorders>
          </w:tcPr>
          <w:p>
            <w:pPr>
              <w:spacing w:after="0" w:line="20" w:lineRule="exact"/>
              <w:rPr>
                <w:sz w:val="1"/>
                <w:szCs w:val="1"/>
                <w:color w:val="auto"/>
              </w:rPr>
            </w:pPr>
          </w:p>
        </w:tc>
        <w:tc>
          <w:tcPr>
            <w:tcW w:w="3620" w:type="dxa"/>
            <w:vAlign w:val="bottom"/>
            <w:tcBorders>
              <w:bottom w:val="single" w:sz="8" w:color="29378D"/>
            </w:tcBorders>
          </w:tcPr>
          <w:p>
            <w:pPr>
              <w:spacing w:after="0" w:line="20" w:lineRule="exact"/>
              <w:rPr>
                <w:sz w:val="1"/>
                <w:szCs w:val="1"/>
                <w:color w:val="auto"/>
              </w:rPr>
            </w:pPr>
          </w:p>
        </w:tc>
        <w:tc>
          <w:tcPr>
            <w:tcW w:w="1220" w:type="dxa"/>
            <w:vAlign w:val="bottom"/>
            <w:tcBorders>
              <w:bottom w:val="single" w:sz="8" w:color="29378D"/>
            </w:tcBorders>
          </w:tcPr>
          <w:p>
            <w:pPr>
              <w:spacing w:after="0" w:line="20" w:lineRule="exact"/>
              <w:rPr>
                <w:sz w:val="1"/>
                <w:szCs w:val="1"/>
                <w:color w:val="auto"/>
              </w:rPr>
            </w:pPr>
          </w:p>
        </w:tc>
        <w:tc>
          <w:tcPr>
            <w:tcW w:w="440" w:type="dxa"/>
            <w:vAlign w:val="bottom"/>
            <w:tcBorders>
              <w:bottom w:val="single" w:sz="8" w:color="29378D"/>
            </w:tcBorders>
          </w:tcPr>
          <w:p>
            <w:pPr>
              <w:spacing w:after="0" w:line="20" w:lineRule="exact"/>
              <w:rPr>
                <w:sz w:val="1"/>
                <w:szCs w:val="1"/>
                <w:color w:val="auto"/>
              </w:rPr>
            </w:pPr>
          </w:p>
        </w:tc>
        <w:tc>
          <w:tcPr>
            <w:tcW w:w="1100" w:type="dxa"/>
            <w:vAlign w:val="bottom"/>
            <w:tcBorders>
              <w:bottom w:val="single" w:sz="8" w:color="29378D"/>
            </w:tcBorders>
          </w:tcPr>
          <w:p>
            <w:pPr>
              <w:spacing w:after="0" w:line="20" w:lineRule="exact"/>
              <w:rPr>
                <w:sz w:val="1"/>
                <w:szCs w:val="1"/>
                <w:color w:val="auto"/>
              </w:rPr>
            </w:pPr>
          </w:p>
        </w:tc>
      </w:tr>
      <w:tr>
        <w:trPr>
          <w:trHeight w:val="263"/>
        </w:trPr>
        <w:tc>
          <w:tcPr>
            <w:tcW w:w="486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362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22"/>
              <w:spacing w:after="0"/>
              <w:rPr>
                <w:sz w:val="20"/>
                <w:szCs w:val="20"/>
                <w:color w:val="auto"/>
              </w:rPr>
            </w:pPr>
            <w:r>
              <w:rPr>
                <w:rFonts w:ascii="Arial" w:cs="Arial" w:eastAsia="Arial" w:hAnsi="Arial"/>
                <w:sz w:val="16"/>
                <w:szCs w:val="16"/>
                <w:color w:val="auto"/>
              </w:rPr>
              <w:t>21,144,000</w:t>
            </w:r>
          </w:p>
        </w:tc>
        <w:tc>
          <w:tcPr>
            <w:tcW w:w="44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CBEC0"/>
            </w:tcBorders>
          </w:tcPr>
          <w:p>
            <w:pPr>
              <w:jc w:val="right"/>
              <w:ind w:right="2"/>
              <w:spacing w:after="0"/>
              <w:rPr>
                <w:sz w:val="20"/>
                <w:szCs w:val="20"/>
                <w:color w:val="auto"/>
              </w:rPr>
            </w:pPr>
            <w:r>
              <w:rPr>
                <w:rFonts w:ascii="Arial" w:cs="Arial" w:eastAsia="Arial" w:hAnsi="Arial"/>
                <w:sz w:val="16"/>
                <w:szCs w:val="16"/>
                <w:color w:val="auto"/>
              </w:rPr>
              <w:t>20,067,000</w:t>
            </w:r>
          </w:p>
        </w:tc>
      </w:tr>
      <w:tr>
        <w:trPr>
          <w:trHeight w:val="264"/>
        </w:trPr>
        <w:tc>
          <w:tcPr>
            <w:tcW w:w="486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3620" w:type="dxa"/>
            <w:vAlign w:val="bottom"/>
            <w:tcBorders>
              <w:bottom w:val="single" w:sz="8" w:color="BCBEC0"/>
            </w:tcBorders>
          </w:tcPr>
          <w:p>
            <w:pPr>
              <w:spacing w:after="0"/>
              <w:rPr>
                <w:sz w:val="22"/>
                <w:szCs w:val="22"/>
                <w:color w:val="auto"/>
              </w:rPr>
            </w:pPr>
          </w:p>
        </w:tc>
        <w:tc>
          <w:tcPr>
            <w:tcW w:w="1220" w:type="dxa"/>
            <w:vAlign w:val="bottom"/>
            <w:tcBorders>
              <w:bottom w:val="single" w:sz="8" w:color="BCBEC0"/>
            </w:tcBorders>
          </w:tcPr>
          <w:p>
            <w:pPr>
              <w:jc w:val="right"/>
              <w:ind w:right="12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BCBEC0"/>
            </w:tcBorders>
          </w:tcPr>
          <w:p>
            <w:pPr>
              <w:spacing w:after="0"/>
              <w:rPr>
                <w:sz w:val="22"/>
                <w:szCs w:val="22"/>
                <w:color w:val="auto"/>
              </w:rPr>
            </w:pPr>
          </w:p>
        </w:tc>
        <w:tc>
          <w:tcPr>
            <w:tcW w:w="1100" w:type="dxa"/>
            <w:vAlign w:val="bottom"/>
            <w:tcBorders>
              <w:bottom w:val="single" w:sz="8" w:color="BCBEC0"/>
            </w:tcBorders>
          </w:tcPr>
          <w:p>
            <w:pPr>
              <w:jc w:val="right"/>
              <w:ind w:right="2"/>
              <w:spacing w:after="0"/>
              <w:rPr>
                <w:sz w:val="20"/>
                <w:szCs w:val="20"/>
                <w:color w:val="auto"/>
              </w:rPr>
            </w:pPr>
            <w:r>
              <w:rPr>
                <w:rFonts w:ascii="Arial" w:cs="Arial" w:eastAsia="Arial" w:hAnsi="Arial"/>
                <w:sz w:val="16"/>
                <w:szCs w:val="16"/>
                <w:color w:val="auto"/>
              </w:rPr>
              <w:t>—</w:t>
            </w:r>
          </w:p>
        </w:tc>
      </w:tr>
      <w:tr>
        <w:trPr>
          <w:trHeight w:val="263"/>
        </w:trPr>
        <w:tc>
          <w:tcPr>
            <w:tcW w:w="486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Tax-Related Fees</w:t>
            </w:r>
            <w:r>
              <w:rPr>
                <w:rFonts w:ascii="Arial" w:cs="Arial" w:eastAsia="Arial" w:hAnsi="Arial"/>
                <w:sz w:val="21"/>
                <w:szCs w:val="21"/>
                <w:color w:val="auto"/>
                <w:vertAlign w:val="superscript"/>
              </w:rPr>
              <w:t>(3)</w:t>
            </w:r>
          </w:p>
        </w:tc>
        <w:tc>
          <w:tcPr>
            <w:tcW w:w="3620" w:type="dxa"/>
            <w:vAlign w:val="bottom"/>
            <w:tcBorders>
              <w:bottom w:val="single" w:sz="8" w:color="BCBEC0"/>
            </w:tcBorders>
          </w:tcPr>
          <w:p>
            <w:pPr>
              <w:spacing w:after="0"/>
              <w:rPr>
                <w:sz w:val="22"/>
                <w:szCs w:val="22"/>
                <w:color w:val="auto"/>
              </w:rPr>
            </w:pPr>
          </w:p>
        </w:tc>
        <w:tc>
          <w:tcPr>
            <w:tcW w:w="1220" w:type="dxa"/>
            <w:vAlign w:val="bottom"/>
            <w:tcBorders>
              <w:bottom w:val="single" w:sz="8" w:color="BCBEC0"/>
            </w:tcBorders>
          </w:tcPr>
          <w:p>
            <w:pPr>
              <w:jc w:val="right"/>
              <w:ind w:right="122"/>
              <w:spacing w:after="0"/>
              <w:rPr>
                <w:sz w:val="20"/>
                <w:szCs w:val="20"/>
                <w:color w:val="auto"/>
              </w:rPr>
            </w:pPr>
            <w:r>
              <w:rPr>
                <w:rFonts w:ascii="Arial" w:cs="Arial" w:eastAsia="Arial" w:hAnsi="Arial"/>
                <w:sz w:val="16"/>
                <w:szCs w:val="16"/>
                <w:color w:val="auto"/>
              </w:rPr>
              <w:t>363,000</w:t>
            </w:r>
          </w:p>
        </w:tc>
        <w:tc>
          <w:tcPr>
            <w:tcW w:w="440" w:type="dxa"/>
            <w:vAlign w:val="bottom"/>
            <w:tcBorders>
              <w:bottom w:val="single" w:sz="8" w:color="BCBEC0"/>
            </w:tcBorders>
          </w:tcPr>
          <w:p>
            <w:pPr>
              <w:spacing w:after="0"/>
              <w:rPr>
                <w:sz w:val="22"/>
                <w:szCs w:val="22"/>
                <w:color w:val="auto"/>
              </w:rPr>
            </w:pPr>
          </w:p>
        </w:tc>
        <w:tc>
          <w:tcPr>
            <w:tcW w:w="1100" w:type="dxa"/>
            <w:vAlign w:val="bottom"/>
            <w:tcBorders>
              <w:bottom w:val="single" w:sz="8" w:color="BCBEC0"/>
            </w:tcBorders>
          </w:tcPr>
          <w:p>
            <w:pPr>
              <w:jc w:val="right"/>
              <w:ind w:right="2"/>
              <w:spacing w:after="0"/>
              <w:rPr>
                <w:sz w:val="20"/>
                <w:szCs w:val="20"/>
                <w:color w:val="auto"/>
              </w:rPr>
            </w:pPr>
            <w:r>
              <w:rPr>
                <w:rFonts w:ascii="Arial" w:cs="Arial" w:eastAsia="Arial" w:hAnsi="Arial"/>
                <w:sz w:val="16"/>
                <w:szCs w:val="16"/>
                <w:color w:val="auto"/>
              </w:rPr>
              <w:t>382,000</w:t>
            </w:r>
          </w:p>
        </w:tc>
      </w:tr>
      <w:tr>
        <w:trPr>
          <w:trHeight w:val="208"/>
        </w:trPr>
        <w:tc>
          <w:tcPr>
            <w:tcW w:w="4860" w:type="dxa"/>
            <w:vAlign w:val="bottom"/>
          </w:tcPr>
          <w:p>
            <w:pPr>
              <w:ind w:left="20"/>
              <w:spacing w:after="0"/>
              <w:rPr>
                <w:sz w:val="20"/>
                <w:szCs w:val="20"/>
                <w:color w:val="auto"/>
              </w:rPr>
            </w:pPr>
            <w:r>
              <w:rPr>
                <w:rFonts w:ascii="Arial" w:cs="Arial" w:eastAsia="Arial" w:hAnsi="Arial"/>
                <w:sz w:val="16"/>
                <w:szCs w:val="16"/>
                <w:color w:val="auto"/>
              </w:rPr>
              <w:t>All Other Fees</w:t>
            </w:r>
          </w:p>
        </w:tc>
        <w:tc>
          <w:tcPr>
            <w:tcW w:w="362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8"/>
        </w:trPr>
        <w:tc>
          <w:tcPr>
            <w:tcW w:w="4860" w:type="dxa"/>
            <w:vAlign w:val="bottom"/>
            <w:tcBorders>
              <w:bottom w:val="single" w:sz="8" w:color="BCBEC0"/>
            </w:tcBorders>
          </w:tcPr>
          <w:p>
            <w:pPr>
              <w:spacing w:after="0"/>
              <w:rPr>
                <w:sz w:val="2"/>
                <w:szCs w:val="2"/>
                <w:color w:val="auto"/>
              </w:rPr>
            </w:pPr>
          </w:p>
        </w:tc>
        <w:tc>
          <w:tcPr>
            <w:tcW w:w="3620" w:type="dxa"/>
            <w:vAlign w:val="bottom"/>
            <w:tcBorders>
              <w:bottom w:val="single" w:sz="8" w:color="BCBEC0"/>
            </w:tcBorders>
          </w:tcPr>
          <w:p>
            <w:pPr>
              <w:spacing w:after="0"/>
              <w:rPr>
                <w:sz w:val="2"/>
                <w:szCs w:val="2"/>
                <w:color w:val="auto"/>
              </w:rPr>
            </w:pPr>
          </w:p>
        </w:tc>
        <w:tc>
          <w:tcPr>
            <w:tcW w:w="1220" w:type="dxa"/>
            <w:vAlign w:val="bottom"/>
            <w:tcBorders>
              <w:bottom w:val="single" w:sz="8" w:color="BCBEC0"/>
            </w:tcBorders>
          </w:tcPr>
          <w:p>
            <w:pPr>
              <w:spacing w:after="0"/>
              <w:rPr>
                <w:sz w:val="2"/>
                <w:szCs w:val="2"/>
                <w:color w:val="auto"/>
              </w:rPr>
            </w:pPr>
          </w:p>
        </w:tc>
        <w:tc>
          <w:tcPr>
            <w:tcW w:w="440" w:type="dxa"/>
            <w:vAlign w:val="bottom"/>
            <w:tcBorders>
              <w:bottom w:val="single" w:sz="8" w:color="BCBEC0"/>
            </w:tcBorders>
          </w:tcPr>
          <w:p>
            <w:pPr>
              <w:spacing w:after="0"/>
              <w:rPr>
                <w:sz w:val="2"/>
                <w:szCs w:val="2"/>
                <w:color w:val="auto"/>
              </w:rPr>
            </w:pPr>
          </w:p>
        </w:tc>
        <w:tc>
          <w:tcPr>
            <w:tcW w:w="1100" w:type="dxa"/>
            <w:vAlign w:val="bottom"/>
            <w:tcBorders>
              <w:bottom w:val="single" w:sz="8" w:color="BCBEC0"/>
            </w:tcBorders>
          </w:tcPr>
          <w:p>
            <w:pPr>
              <w:spacing w:after="0"/>
              <w:rPr>
                <w:sz w:val="2"/>
                <w:szCs w:val="2"/>
                <w:color w:val="auto"/>
              </w:rPr>
            </w:pPr>
          </w:p>
        </w:tc>
      </w:tr>
      <w:tr>
        <w:trPr>
          <w:trHeight w:val="208"/>
        </w:trPr>
        <w:tc>
          <w:tcPr>
            <w:tcW w:w="4860" w:type="dxa"/>
            <w:vAlign w:val="bottom"/>
          </w:tcPr>
          <w:p>
            <w:pPr>
              <w:ind w:left="20"/>
              <w:spacing w:after="0"/>
              <w:rPr>
                <w:sz w:val="20"/>
                <w:szCs w:val="20"/>
                <w:color w:val="auto"/>
              </w:rPr>
            </w:pPr>
            <w:r>
              <w:rPr>
                <w:rFonts w:ascii="Arial" w:cs="Arial" w:eastAsia="Arial" w:hAnsi="Arial"/>
                <w:sz w:val="16"/>
                <w:szCs w:val="16"/>
                <w:color w:val="auto"/>
              </w:rPr>
              <w:t>Total Fees</w:t>
            </w:r>
          </w:p>
        </w:tc>
        <w:tc>
          <w:tcPr>
            <w:tcW w:w="36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22"/>
              <w:spacing w:after="0"/>
              <w:rPr>
                <w:sz w:val="20"/>
                <w:szCs w:val="20"/>
                <w:color w:val="auto"/>
              </w:rPr>
            </w:pPr>
            <w:r>
              <w:rPr>
                <w:rFonts w:ascii="Arial" w:cs="Arial" w:eastAsia="Arial" w:hAnsi="Arial"/>
                <w:sz w:val="16"/>
                <w:szCs w:val="16"/>
                <w:color w:val="auto"/>
              </w:rPr>
              <w:t>21,507,000</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20,449,000</w:t>
            </w:r>
          </w:p>
        </w:tc>
      </w:tr>
      <w:tr>
        <w:trPr>
          <w:trHeight w:val="28"/>
        </w:trPr>
        <w:tc>
          <w:tcPr>
            <w:tcW w:w="4860" w:type="dxa"/>
            <w:vAlign w:val="bottom"/>
            <w:tcBorders>
              <w:bottom w:val="single" w:sz="8" w:color="BCBEC0"/>
            </w:tcBorders>
          </w:tcPr>
          <w:p>
            <w:pPr>
              <w:spacing w:after="0"/>
              <w:rPr>
                <w:sz w:val="2"/>
                <w:szCs w:val="2"/>
                <w:color w:val="auto"/>
              </w:rPr>
            </w:pPr>
          </w:p>
        </w:tc>
        <w:tc>
          <w:tcPr>
            <w:tcW w:w="3620" w:type="dxa"/>
            <w:vAlign w:val="bottom"/>
            <w:tcBorders>
              <w:bottom w:val="single" w:sz="8" w:color="BCBEC0"/>
            </w:tcBorders>
          </w:tcPr>
          <w:p>
            <w:pPr>
              <w:spacing w:after="0"/>
              <w:rPr>
                <w:sz w:val="2"/>
                <w:szCs w:val="2"/>
                <w:color w:val="auto"/>
              </w:rPr>
            </w:pPr>
          </w:p>
        </w:tc>
        <w:tc>
          <w:tcPr>
            <w:tcW w:w="1220" w:type="dxa"/>
            <w:vAlign w:val="bottom"/>
            <w:tcBorders>
              <w:bottom w:val="single" w:sz="8" w:color="BCBEC0"/>
            </w:tcBorders>
          </w:tcPr>
          <w:p>
            <w:pPr>
              <w:spacing w:after="0"/>
              <w:rPr>
                <w:sz w:val="2"/>
                <w:szCs w:val="2"/>
                <w:color w:val="auto"/>
              </w:rPr>
            </w:pPr>
          </w:p>
        </w:tc>
        <w:tc>
          <w:tcPr>
            <w:tcW w:w="440" w:type="dxa"/>
            <w:vAlign w:val="bottom"/>
            <w:tcBorders>
              <w:bottom w:val="single" w:sz="8" w:color="BCBEC0"/>
            </w:tcBorders>
          </w:tcPr>
          <w:p>
            <w:pPr>
              <w:spacing w:after="0"/>
              <w:rPr>
                <w:sz w:val="2"/>
                <w:szCs w:val="2"/>
                <w:color w:val="auto"/>
              </w:rPr>
            </w:pPr>
          </w:p>
        </w:tc>
        <w:tc>
          <w:tcPr>
            <w:tcW w:w="1100" w:type="dxa"/>
            <w:vAlign w:val="bottom"/>
            <w:tcBorders>
              <w:bottom w:val="single" w:sz="8" w:color="BCBEC0"/>
            </w:tcBorders>
          </w:tcPr>
          <w:p>
            <w:pPr>
              <w:spacing w:after="0"/>
              <w:rPr>
                <w:sz w:val="2"/>
                <w:szCs w:val="2"/>
                <w:color w:val="auto"/>
              </w:rPr>
            </w:pPr>
          </w:p>
        </w:tc>
      </w:tr>
    </w:tbl>
    <w:p>
      <w:pPr>
        <w:spacing w:after="0" w:line="139" w:lineRule="exact"/>
        <w:rPr>
          <w:sz w:val="20"/>
          <w:szCs w:val="20"/>
          <w:color w:val="auto"/>
        </w:rPr>
      </w:pPr>
    </w:p>
    <w:p>
      <w:pPr>
        <w:ind w:left="260" w:right="40" w:hanging="252"/>
        <w:spacing w:after="0" w:line="247" w:lineRule="auto"/>
        <w:tabs>
          <w:tab w:leader="none" w:pos="258" w:val="left"/>
        </w:tabs>
        <w:numPr>
          <w:ilvl w:val="0"/>
          <w:numId w:val="169"/>
        </w:numPr>
        <w:rPr>
          <w:rFonts w:ascii="Arial" w:cs="Arial" w:eastAsia="Arial" w:hAnsi="Arial"/>
          <w:sz w:val="14"/>
          <w:szCs w:val="14"/>
          <w:color w:val="auto"/>
        </w:rPr>
      </w:pPr>
      <w:r>
        <w:rPr>
          <w:rFonts w:ascii="Arial" w:cs="Arial" w:eastAsia="Arial" w:hAnsi="Arial"/>
          <w:sz w:val="14"/>
          <w:szCs w:val="14"/>
          <w:color w:val="auto"/>
        </w:rPr>
        <w:t>Audit fees for 2023 and 2022 reflect fees of $18,960,000 and $18,085,000, respectively, for the consolidated financial statement audits and include the audit of internal controls pursuant to Section 404 of the Sarbanes-Oxley Act of 2002. Audit fees for 2023 and 2022 also include $1,925,000 and $1,908,000, respectively, for foreign statutory audits. Fees for foreign statutory audits are reported in the year in which the audits are performed. For example, foreign statutory audit fees reported in 2023 relate to audits of the Company’s foreign entities for the fiscal year ended 2022. The remaining 2023 audit fees primarily relate to audit services associated with the Company’s Form 8-K filing in connection with its debt offering in February 2023, the Company’s Form S-3 filing in March 2023, and the Company’s Form S-8 filing in July 2023.</w:t>
      </w:r>
    </w:p>
    <w:p>
      <w:pPr>
        <w:spacing w:after="0" w:line="200" w:lineRule="exact"/>
        <w:rPr>
          <w:sz w:val="20"/>
          <w:szCs w:val="20"/>
          <w:color w:val="auto"/>
        </w:rPr>
      </w:pPr>
    </w:p>
    <w:p>
      <w:pPr>
        <w:spacing w:after="0" w:line="376" w:lineRule="exact"/>
        <w:rPr>
          <w:sz w:val="20"/>
          <w:szCs w:val="20"/>
          <w:color w:val="auto"/>
        </w:rPr>
      </w:pPr>
    </w:p>
    <w:p>
      <w:pPr>
        <w:ind w:left="520" w:hanging="494"/>
        <w:spacing w:after="0"/>
        <w:tabs>
          <w:tab w:leader="none" w:pos="520" w:val="left"/>
        </w:tabs>
        <w:numPr>
          <w:ilvl w:val="0"/>
          <w:numId w:val="170"/>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4"/>
          <w:szCs w:val="14"/>
          <w:b w:val="1"/>
          <w:bCs w:val="1"/>
          <w:color w:val="auto"/>
        </w:rPr>
        <w:t>Proposal 3: Ratification of Appointment of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60" w:right="120" w:hanging="252"/>
        <w:spacing w:after="0" w:line="248" w:lineRule="auto"/>
        <w:tabs>
          <w:tab w:leader="none" w:pos="258" w:val="left"/>
        </w:tabs>
        <w:numPr>
          <w:ilvl w:val="0"/>
          <w:numId w:val="171"/>
        </w:numPr>
        <w:rPr>
          <w:rFonts w:ascii="Arial" w:cs="Arial" w:eastAsia="Arial" w:hAnsi="Arial"/>
          <w:sz w:val="14"/>
          <w:szCs w:val="14"/>
          <w:color w:val="auto"/>
        </w:rPr>
      </w:pPr>
      <w:r>
        <w:rPr>
          <w:rFonts w:ascii="Arial" w:cs="Arial" w:eastAsia="Arial" w:hAnsi="Arial"/>
          <w:sz w:val="14"/>
          <w:szCs w:val="14"/>
          <w:color w:val="auto"/>
        </w:rPr>
        <w:t>Audit-related fees reflect fees for services that are reasonably related to the performance of the audit or review of the Company’s financial statements. There were no additional audit-related fees in 2023 or 2022. Audit-related fees exclude fees related to benefit plan audits, which are paid for by the plans, that totaled $1,496,000 for 2023 and $1,419,000 for 2022.</w:t>
      </w:r>
    </w:p>
    <w:p>
      <w:pPr>
        <w:ind w:left="260" w:right="40" w:hanging="252"/>
        <w:spacing w:after="0" w:line="264" w:lineRule="auto"/>
        <w:tabs>
          <w:tab w:leader="none" w:pos="258" w:val="left"/>
        </w:tabs>
        <w:numPr>
          <w:ilvl w:val="0"/>
          <w:numId w:val="171"/>
        </w:numPr>
        <w:rPr>
          <w:rFonts w:ascii="Arial" w:cs="Arial" w:eastAsia="Arial" w:hAnsi="Arial"/>
          <w:sz w:val="14"/>
          <w:szCs w:val="14"/>
          <w:color w:val="auto"/>
        </w:rPr>
      </w:pPr>
      <w:r>
        <w:rPr>
          <w:rFonts w:ascii="Arial" w:cs="Arial" w:eastAsia="Arial" w:hAnsi="Arial"/>
          <w:sz w:val="14"/>
          <w:szCs w:val="14"/>
          <w:color w:val="auto"/>
        </w:rPr>
        <w:t>Tax-related fees during 2023 and 2022 reflect fees of $363,000 and $382,000, respectively, for services concerning foreign income tax compliance, foreign Value Added Tax compliance and other tax matters.</w:t>
      </w:r>
    </w:p>
    <w:p>
      <w:pPr>
        <w:spacing w:after="0" w:line="272" w:lineRule="exact"/>
        <w:rPr>
          <w:sz w:val="20"/>
          <w:szCs w:val="20"/>
          <w:color w:val="auto"/>
        </w:rPr>
      </w:pPr>
    </w:p>
    <w:p>
      <w:pPr>
        <w:ind w:right="1560"/>
        <w:spacing w:after="0" w:line="291" w:lineRule="auto"/>
        <w:rPr>
          <w:sz w:val="20"/>
          <w:szCs w:val="20"/>
          <w:color w:val="auto"/>
        </w:rPr>
      </w:pPr>
      <w:r>
        <w:rPr>
          <w:rFonts w:ascii="Arial" w:cs="Arial" w:eastAsia="Arial" w:hAnsi="Arial"/>
          <w:sz w:val="32"/>
          <w:szCs w:val="32"/>
          <w:b w:val="1"/>
          <w:bCs w:val="1"/>
          <w:color w:val="auto"/>
        </w:rPr>
        <w:t>Policy on Audit and Risk Committee Pre-Approval of Audit and Permissible Non-Audit Services</w:t>
      </w:r>
    </w:p>
    <w:p>
      <w:pPr>
        <w:spacing w:after="0" w:line="1"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It is the Audit and Risk Committee’s policy to pre-approve all audit and permitted non-audit services provided by our independent auditor in order to provide reasonable assurance that the provision of these services does not impair the auditor’s independence. Pre-approval may be given at any time. The Audit and Risk Committee has delegated pre-approval authority for any individual project up to $1 million to the Chair of the Audit and Risk Committee.</w:t>
      </w:r>
    </w:p>
    <w:p>
      <w:pPr>
        <w:spacing w:after="0" w:line="56"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color w:val="auto"/>
        </w:rPr>
        <w:t>The decisions of the Chair to pre-approve a permitted service are reported to the Audit and Risk Committee at its next meeting. The independent auditor is required to periodically report to the full Audit and Risk Committee regarding the extent of services provided by the independent auditor in accordance with this pre-approval policy, as well as the fees for the services performed to date.</w:t>
      </w:r>
    </w:p>
    <w:p>
      <w:pPr>
        <w:spacing w:after="0" w:line="70"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Audit and Risk Committee approved all audit and non-audit services provided by Deloitte, the member firms of Deloitte Touche Tohmatsu Limited and their respective affiliates during 2023 and 2022, in each case before being engaged to provide those services.</w:t>
      </w:r>
    </w:p>
    <w:p>
      <w:pPr>
        <w:spacing w:after="0" w:line="24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 and Risk Committee Report</w:t>
      </w:r>
    </w:p>
    <w:p>
      <w:pPr>
        <w:spacing w:after="0" w:line="148" w:lineRule="exact"/>
        <w:rPr>
          <w:sz w:val="20"/>
          <w:szCs w:val="20"/>
          <w:color w:val="auto"/>
        </w:rPr>
      </w:pPr>
    </w:p>
    <w:p>
      <w:pPr>
        <w:jc w:val="both"/>
        <w:ind w:right="180"/>
        <w:spacing w:after="0" w:line="265" w:lineRule="auto"/>
        <w:rPr>
          <w:sz w:val="20"/>
          <w:szCs w:val="20"/>
          <w:color w:val="auto"/>
        </w:rPr>
      </w:pPr>
      <w:r>
        <w:rPr>
          <w:rFonts w:ascii="Arial" w:cs="Arial" w:eastAsia="Arial" w:hAnsi="Arial"/>
          <w:sz w:val="16"/>
          <w:szCs w:val="16"/>
          <w:color w:val="auto"/>
        </w:rPr>
        <w:t>The Audit and Risk Committee of the Board of Directors is responsible for assisting the Board of Directors in fulfilling its oversight responsibilities over the Company’s accounting, auditing and financial reporting processes and financial risk assessment and management process, and for monitoring compliance with certain regulatory and compliance matters. The Audit and Risk Committee’s written charter describes the Audit and Risk Committee’s responsibilities and has been approved by the Board of Directors.</w:t>
      </w:r>
    </w:p>
    <w:p>
      <w:pPr>
        <w:spacing w:after="0" w:line="78" w:lineRule="exact"/>
        <w:rPr>
          <w:sz w:val="20"/>
          <w:szCs w:val="20"/>
          <w:color w:val="auto"/>
        </w:rPr>
      </w:pPr>
    </w:p>
    <w:p>
      <w:pPr>
        <w:jc w:val="both"/>
        <w:ind w:right="160"/>
        <w:spacing w:after="0" w:line="286" w:lineRule="auto"/>
        <w:rPr>
          <w:sz w:val="20"/>
          <w:szCs w:val="20"/>
          <w:color w:val="auto"/>
        </w:rPr>
      </w:pPr>
      <w:r>
        <w:rPr>
          <w:rFonts w:ascii="Arial" w:cs="Arial" w:eastAsia="Arial" w:hAnsi="Arial"/>
          <w:sz w:val="16"/>
          <w:szCs w:val="16"/>
          <w:color w:val="auto"/>
        </w:rPr>
        <w:t>Management is responsible for preparing the Company’s financial statements and for the financial reporting process, including evaluating the effectiveness of the Company’s disclosure controls and procedures and internal control over financial reporting.</w:t>
      </w:r>
    </w:p>
    <w:p>
      <w:pPr>
        <w:spacing w:after="0" w:line="61" w:lineRule="exact"/>
        <w:rPr>
          <w:sz w:val="20"/>
          <w:szCs w:val="20"/>
          <w:color w:val="auto"/>
        </w:rPr>
      </w:pPr>
    </w:p>
    <w:p>
      <w:pPr>
        <w:jc w:val="both"/>
        <w:ind w:right="340"/>
        <w:spacing w:after="0" w:line="266" w:lineRule="auto"/>
        <w:rPr>
          <w:sz w:val="20"/>
          <w:szCs w:val="20"/>
          <w:color w:val="auto"/>
        </w:rPr>
      </w:pPr>
      <w:r>
        <w:rPr>
          <w:rFonts w:ascii="Arial" w:cs="Arial" w:eastAsia="Arial" w:hAnsi="Arial"/>
          <w:sz w:val="16"/>
          <w:szCs w:val="16"/>
          <w:color w:val="auto"/>
        </w:rPr>
        <w:t>Deloitte &amp; Touche LLP (Deloitte), the Company’s independent auditor, is responsible for performing an independent audit of the Company’s consolidated financial statements and expressing an opinion on the conformity of the financial statements with accounting principles generally accepted in the United States of America, and on the effectiveness of the Company’s internal control over financial reporting.</w:t>
      </w:r>
    </w:p>
    <w:p>
      <w:pPr>
        <w:spacing w:after="0" w:line="77"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In connection with the preparation of the Company’s financial statements as of and for the year ended December 31, 2023, the Audit and Risk Committee reviewed and discussed the audited financial statements with the Company’s Chief Executive Officer, Chief Financial Officer, Chief Accounting Officer and Deloitte. The Audit and Risk Committee also discussed with Deloitte the communications required under applicable requirements of the Public Company Accounting Oversight Board (PCAOB) and the SEC, including the matters required to be discussed by Auditing Standard No. 1301, Communications with Audit Committees, as adopted by the PCAOB, and, with and without management present, discussed and reviewed the results of Deloitte’s examination of the financial statements. Additionally, the Audit and Risk Committee discussed with the Company’s internal auditors the results of their audits completed during 2023.</w:t>
      </w:r>
    </w:p>
    <w:p>
      <w:pPr>
        <w:spacing w:after="0" w:line="6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Audit and Risk Committee received the written disclosures and the letter from Deloitte required by the applicable requirements of the PCAOB regarding the independent auditor’s communications with the Audit and Risk Committee concerning independence. In addition, the Audit and Risk Committee discussed with Deloitte that firm’s independence from the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91</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color w:val="auto"/>
        </w:rPr>
        <w:t>Proposal 3: Ratification of Appointment of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Based on the Audit and Risk Committee’s review and discussions described in this report, the Audit and Risk Committee recommended to the Board of Directors and the Board of Directors approved that the audited financial statements for the year ended December 31, 2023 be included in the Company’s Annual Report on Form 10-K for the year ended December 31, 2023 for filing with the SEC. The Audit and Risk Committee also reappointed Deloitte to serve as the Company’s independent auditor for 2024, and requested that this appointment be submitted to shareholders for ratification at the Annual Meeting.</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AND RISK COMMITTEE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Thomas M. Schoewe, Chair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Marianne C. Brown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Ann M. Fudge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Kimberly A. Ross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James S. Turley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29378D"/>
        </w:rPr>
        <w:t>Mark A. Welsh III</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0" w:hanging="494"/>
        <w:spacing w:after="0"/>
        <w:tabs>
          <w:tab w:leader="none" w:pos="520" w:val="left"/>
        </w:tabs>
        <w:numPr>
          <w:ilvl w:val="0"/>
          <w:numId w:val="172"/>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238" w:right="639" w:bottom="1440" w:gutter="0" w:footer="0" w:header="0"/>
        </w:sectPr>
      </w:pPr>
    </w:p>
    <w:bookmarkStart w:id="95" w:name="page96"/>
    <w:bookmarkEnd w:id="95"/>
    <w:p>
      <w:pPr>
        <w:ind w:right="400"/>
        <w:spacing w:after="0" w:line="266" w:lineRule="auto"/>
        <w:rPr>
          <w:sz w:val="20"/>
          <w:szCs w:val="20"/>
          <w:color w:val="auto"/>
        </w:rPr>
      </w:pPr>
      <w:r>
        <w:rPr>
          <w:rFonts w:ascii="Arial" w:cs="Arial" w:eastAsia="Arial" w:hAnsi="Arial"/>
          <w:sz w:val="43"/>
          <w:szCs w:val="43"/>
          <w:b w:val="1"/>
          <w:bCs w:val="1"/>
          <w:color w:val="29378D"/>
        </w:rPr>
        <w:t>Proposal 4: Elimination of Personal Liability of Officers for Monetary Damages for Breach of Certain Fiduciary Duties as Permitted by Delaware Law</w:t>
      </w:r>
    </w:p>
    <w:p>
      <w:pPr>
        <w:spacing w:after="0" w:line="10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In March 2024, the Board of Directors (Board) approved and declared advisable an amendment (Amendment) to our Amended and Restated Certificate of Incorporation (Certificate of Incorporation) to provide for the elimination of personal liability of certain officers for monetary damages for breach of certain fiduciary duties as an officer, to the extent permitted by the Delaware General Corporation Law (DGCL). We are asking shareholders to approve this Amendment, as set forth in the form attached as Exhibit A to this Proxy Statement, with proposed deletions reflected by “strike-through” text and proposed additions reflected by “underline” text.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221"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Our Certificate of Incorporation currently contains a provision in Article Fifteenth eliminating the monetary liability of directors to the fullest extent permitted by Section 102(b)(7) of the DGCL. Effective August 2022, Section 102(b)(7) of the DGCL was amended to allow Delaware corporations to include in their certificates of incorporation provisions limiting the monetary liability of the following officers for breach of the duty of care in certain actions: (1) a corporation’s president, chief executive officer, chief operating officer, chief financial officer, chief legal officer, controller, treasurer or chief accounting officer;</w:t>
      </w:r>
    </w:p>
    <w:p>
      <w:pPr>
        <w:ind w:right="280" w:firstLine="8"/>
        <w:spacing w:after="0" w:line="248" w:lineRule="auto"/>
        <w:tabs>
          <w:tab w:leader="none" w:pos="243"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 individual identified in the corporation’s SEC filings as one of its most highly compensated officers; and (3) an individual who, by written agreement with the corporation, has consented to be identified as an officer for purposes of Delaware’s long-arm jurisdiction statute.</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As permitted by Section 102(b)(7) of the DGCL, the Amendment would only limit the monetary liability of these officers for breaches of the fiduciary duty of care in any direct claim, but consistent with Section 102(b)(7) of the DGCL, as currently in effect, would not limit monetary liability of these officers in any action brought by or in the right of the Company, such as derivative claims by shareholders on behalf of the Company for breach of the fiduciary duty of care. Further, like the provision limiting monetary liability of directors, the Amendment would (1) not limit the monetary liability of these officers for any breach of</w:t>
      </w:r>
    </w:p>
    <w:p>
      <w:pPr>
        <w:jc w:val="both"/>
        <w:spacing w:after="0" w:line="220" w:lineRule="auto"/>
        <w:rPr>
          <w:sz w:val="20"/>
          <w:szCs w:val="20"/>
          <w:color w:val="auto"/>
        </w:rPr>
      </w:pPr>
      <w:r>
        <w:rPr>
          <w:rFonts w:ascii="Arial" w:cs="Arial" w:eastAsia="Arial" w:hAnsi="Arial"/>
          <w:sz w:val="16"/>
          <w:szCs w:val="16"/>
          <w:color w:val="auto"/>
        </w:rPr>
        <w:t>the fiduciary duty of loyalty to the Company or its shareholders, any acts or omissions not in good faith or which involve intentional misconduct or a knowing violation of the law, or any transaction from which the officer derived an improper personal benefit, and (2) provide that, if the DGCL is amended in the future</w:t>
      </w:r>
    </w:p>
    <w:p>
      <w:pPr>
        <w:jc w:val="both"/>
        <w:spacing w:after="0" w:line="248" w:lineRule="auto"/>
        <w:rPr>
          <w:sz w:val="20"/>
          <w:szCs w:val="20"/>
          <w:color w:val="auto"/>
        </w:rPr>
      </w:pPr>
      <w:r>
        <w:rPr>
          <w:rFonts w:ascii="Arial" w:cs="Arial" w:eastAsia="Arial" w:hAnsi="Arial"/>
          <w:sz w:val="16"/>
          <w:szCs w:val="16"/>
          <w:color w:val="auto"/>
        </w:rPr>
        <w:t>to authorize further limitation of the liability of officers, then the monetary liability of these officers will be limited to the fullest extent permitted by the DGCL, as so amended.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This Amendment Further Enhances the Company's Ability to Attract and Retain Key Officers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After careful deliberation, including a review of recent corporate governance trends and evolving best practices, the Board determined that it is in the best</w:t>
      </w:r>
    </w:p>
    <w:p>
      <w:pPr>
        <w:spacing w:after="0" w:line="8" w:lineRule="exact"/>
        <w:rPr>
          <w:sz w:val="20"/>
          <w:szCs w:val="20"/>
          <w:color w:val="auto"/>
        </w:rPr>
      </w:pPr>
    </w:p>
    <w:p>
      <w:pPr>
        <w:ind w:right="140"/>
        <w:spacing w:after="0" w:line="220" w:lineRule="auto"/>
        <w:rPr>
          <w:sz w:val="20"/>
          <w:szCs w:val="20"/>
          <w:color w:val="auto"/>
        </w:rPr>
      </w:pPr>
      <w:r>
        <w:rPr>
          <w:rFonts w:ascii="Arial" w:cs="Arial" w:eastAsia="Arial" w:hAnsi="Arial"/>
          <w:sz w:val="16"/>
          <w:szCs w:val="16"/>
          <w:color w:val="auto"/>
        </w:rPr>
        <w:t>interest of the Company and our shareholders to approve the Amendment so that exculpatory protection from certain monetary liabilities is available to our officers to the fullest extent permitted by Section 102(b)(7) of the DGCL. In the absence of such protection, qualified officers might be deterred from serving</w:t>
      </w:r>
    </w:p>
    <w:p>
      <w:pPr>
        <w:spacing w:after="0"/>
        <w:rPr>
          <w:sz w:val="20"/>
          <w:szCs w:val="20"/>
          <w:color w:val="auto"/>
        </w:rPr>
      </w:pPr>
      <w:r>
        <w:rPr>
          <w:rFonts w:ascii="Arial" w:cs="Arial" w:eastAsia="Arial" w:hAnsi="Arial"/>
          <w:sz w:val="16"/>
          <w:szCs w:val="16"/>
          <w:color w:val="auto"/>
        </w:rPr>
        <w:t>as officers or from making business decisions as officers that involve risk, due to potential exposure to personal monetary liability for business decisions.</w:t>
      </w:r>
    </w:p>
    <w:p>
      <w:pPr>
        <w:spacing w:after="0" w:line="219"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The Board is committed to ensuring that our officers and directors are appropriately protected, consistent with applicable law and our values, when acting on behalf, and in the best interest, of our Company and shareholders. Taking into account (1) that the Amendment, which aligns with exculpation provisions applicable to our directors, will further enhance the Company’s ability to attract and retain key officers by mitigating the risk of certain personal financial</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claims that could arise in an individual’s capacity as an officer while also potentially reducing future litigation costs associated with frivolous lawsuits; (2) the narrow types of claims for which officers’ monetary liability would be limited under the Amendment (similar to the limitations of liability already provided to</w:t>
      </w:r>
    </w:p>
    <w:p>
      <w:pPr>
        <w:jc w:val="both"/>
        <w:spacing w:after="0" w:line="248" w:lineRule="auto"/>
        <w:rPr>
          <w:sz w:val="20"/>
          <w:szCs w:val="20"/>
          <w:color w:val="auto"/>
        </w:rPr>
      </w:pPr>
      <w:r>
        <w:rPr>
          <w:rFonts w:ascii="Arial" w:cs="Arial" w:eastAsia="Arial" w:hAnsi="Arial"/>
          <w:sz w:val="16"/>
          <w:szCs w:val="16"/>
          <w:color w:val="auto"/>
        </w:rPr>
        <w:t>directors) and (3) a review of recent corporate governance trends and evolving best practices, the Board determined that it is in the best interests of the Company and our shareholders to adopt the Amendment.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Process for Approval of Proposed Amendment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If shareholders approve the Amendment at the Annual Meeting, we intend to file with the Secretary of State of the State of Delaware a certificate of</w:t>
      </w:r>
    </w:p>
    <w:p>
      <w:pPr>
        <w:spacing w:after="0" w:line="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amendment to our Certificate of Incorporation that reflects the Amendment shown on Exhibit A, which will be effective upon filing. Shareholder approval of the Amendment shown on Exhibit A also will be deemed to</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93</w:t>
            </w:r>
          </w:p>
        </w:tc>
      </w:tr>
      <w:tr>
        <w:trPr>
          <w:trHeight w:val="306"/>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4"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color w:val="auto"/>
        </w:rPr>
        <w:t>Proposal 4: Elimination of Personal Liability of Officers for Monetary Damages for Breach of Certain Fiduciary Duties as Permitted by Delaware Law</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constitute the approval of the filing of the certificate of amendment. The Board retains the discretion to abandon the Amendment and not implement it at any time before it becomes effective, even if it is approved by shareholders. The description of the Amendment to our Certificate of Incorporation set forth in this Proxy Statement is qualified in its entirety by reference to the actual provisions set forth in Exhibit A. We urge you to read this Exhibit carefully.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affirmative vote of a majority of the voting power of the outstanding shares of common stock is required to approve this proposal and the Amendment.</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Abstentions and broker non-votes will have the same effect as votes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310515</wp:posOffset>
            </wp:positionV>
            <wp:extent cx="7149465" cy="3600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 xml:space="preserve">THE BOARD OF DIRECTORS UNANIMOUSLY RECOMMENDS THAT YOU VOTE </w:t>
      </w:r>
      <w:r>
        <w:rPr>
          <w:rFonts w:ascii="Arial" w:cs="Arial" w:eastAsia="Arial" w:hAnsi="Arial"/>
          <w:sz w:val="14"/>
          <w:szCs w:val="14"/>
          <w:b w:val="1"/>
          <w:bCs w:val="1"/>
          <w:color w:val="29378D"/>
        </w:rPr>
        <w:t>“FOR”</w:t>
      </w:r>
      <w:r>
        <w:rPr>
          <w:rFonts w:ascii="Arial" w:cs="Arial" w:eastAsia="Arial" w:hAnsi="Arial"/>
          <w:sz w:val="14"/>
          <w:szCs w:val="14"/>
          <w:b w:val="1"/>
          <w:bCs w:val="1"/>
          <w:color w:val="auto"/>
        </w:rPr>
        <w:t xml:space="preserve"> 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0" w:hanging="494"/>
        <w:spacing w:after="0"/>
        <w:tabs>
          <w:tab w:leader="none" w:pos="520" w:val="left"/>
        </w:tabs>
        <w:numPr>
          <w:ilvl w:val="0"/>
          <w:numId w:val="174"/>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7" w:name="page98"/>
    <w:bookmarkEnd w:id="97"/>
    <w:p>
      <w:pPr>
        <w:ind w:right="960"/>
        <w:spacing w:after="0" w:line="298" w:lineRule="auto"/>
        <w:rPr>
          <w:sz w:val="20"/>
          <w:szCs w:val="20"/>
          <w:color w:val="auto"/>
        </w:rPr>
      </w:pPr>
      <w:r>
        <w:rPr>
          <w:rFonts w:ascii="Arial" w:cs="Arial" w:eastAsia="Arial" w:hAnsi="Arial"/>
          <w:sz w:val="43"/>
          <w:szCs w:val="43"/>
          <w:b w:val="1"/>
          <w:bCs w:val="1"/>
          <w:color w:val="29378D"/>
        </w:rPr>
        <w:t>Proposal 5: Approval of 2024 Long-Term Incentive Stock Plan</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In March 2024, the Board approved the Northrop Grumman 2024 Long-Term Incentive Stock Plan (the “2024 Plan”). The 2024 Plan is intended to continue</w:t>
      </w:r>
    </w:p>
    <w:p>
      <w:pPr>
        <w:spacing w:after="0" w:line="8" w:lineRule="exact"/>
        <w:rPr>
          <w:sz w:val="20"/>
          <w:szCs w:val="20"/>
          <w:color w:val="auto"/>
        </w:rPr>
      </w:pPr>
    </w:p>
    <w:p>
      <w:pPr>
        <w:ind w:right="340"/>
        <w:spacing w:after="0" w:line="220" w:lineRule="auto"/>
        <w:rPr>
          <w:sz w:val="20"/>
          <w:szCs w:val="20"/>
          <w:color w:val="auto"/>
        </w:rPr>
      </w:pPr>
      <w:r>
        <w:rPr>
          <w:rFonts w:ascii="Arial" w:cs="Arial" w:eastAsia="Arial" w:hAnsi="Arial"/>
          <w:sz w:val="16"/>
          <w:szCs w:val="16"/>
          <w:color w:val="auto"/>
        </w:rPr>
        <w:t>our long-term incentive compensation program, currently implemented under the Northrop Grumman 2011 Long-Term Incentive Stock Plan (as amended from time to time, the “2011 Plan”), which is set to expire in 2025. We are asking shareholders to approve this plan, as set forth in Exhibit B to this Proxy</w:t>
      </w:r>
    </w:p>
    <w:p>
      <w:pPr>
        <w:ind w:right="320"/>
        <w:spacing w:after="0" w:line="248" w:lineRule="auto"/>
        <w:rPr>
          <w:sz w:val="20"/>
          <w:szCs w:val="20"/>
          <w:color w:val="auto"/>
        </w:rPr>
      </w:pPr>
      <w:r>
        <w:rPr>
          <w:rFonts w:ascii="Arial" w:cs="Arial" w:eastAsia="Arial" w:hAnsi="Arial"/>
          <w:sz w:val="16"/>
          <w:szCs w:val="16"/>
          <w:color w:val="auto"/>
        </w:rPr>
        <w:t>Statement. Upon shareholder approval of the 2024 Plan (“Effective Time”), no further grants will be made under the 2011 Plan. Beginning March 1, 2024, new awards under the 2011 Plan (if any) will be deducted from the number of shares authorized for issuance under the 2024 Plan.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Highlights of the 2024 Plan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2024 Plan establishes the total number of shares authorized for issuance under new awards at 5,750,000 (plus a number of shares equal to the number</w:t>
      </w:r>
    </w:p>
    <w:p>
      <w:pPr>
        <w:spacing w:after="0" w:line="8" w:lineRule="exact"/>
        <w:rPr>
          <w:sz w:val="20"/>
          <w:szCs w:val="20"/>
          <w:color w:val="auto"/>
        </w:rPr>
      </w:pPr>
    </w:p>
    <w:p>
      <w:pPr>
        <w:ind w:right="240"/>
        <w:spacing w:after="0" w:line="220" w:lineRule="auto"/>
        <w:rPr>
          <w:sz w:val="20"/>
          <w:szCs w:val="20"/>
          <w:color w:val="auto"/>
        </w:rPr>
      </w:pPr>
      <w:r>
        <w:rPr>
          <w:rFonts w:ascii="Arial" w:cs="Arial" w:eastAsia="Arial" w:hAnsi="Arial"/>
          <w:sz w:val="16"/>
          <w:szCs w:val="16"/>
          <w:color w:val="auto"/>
        </w:rPr>
        <w:t>of shares subject to outstanding equity awards as of the Effective Time under the 2011 Plan which are subsequently cancelled, terminated, forfeited, or otherwise expire or are settled in cash, less new awards under the 2011 Plan (if any) made on or after March 1, 2024). It authorizes Northrop Grumman to</w:t>
      </w:r>
    </w:p>
    <w:p>
      <w:pPr>
        <w:ind w:right="40"/>
        <w:spacing w:after="0" w:line="236" w:lineRule="auto"/>
        <w:rPr>
          <w:sz w:val="20"/>
          <w:szCs w:val="20"/>
          <w:color w:val="auto"/>
        </w:rPr>
      </w:pPr>
      <w:r>
        <w:rPr>
          <w:rFonts w:ascii="Arial" w:cs="Arial" w:eastAsia="Arial" w:hAnsi="Arial"/>
          <w:sz w:val="16"/>
          <w:szCs w:val="16"/>
          <w:color w:val="auto"/>
        </w:rPr>
        <w:t>grant equity-based awards, including awards that are denominated in or can be settled in shares of the Company’s common stock, and performance-based awards that are denominated in or can be settled only in cash. The 2024 Plan is an important tool for attracting, retaining, and motivating key employees and non-employee directors. Equity-based awards are a foundational part of our executive compensation philosophy and objectives, as discussed in the Compensation Discussion &amp; Analysis on page 50, and our compensation of directors as discussed on page 45.</w:t>
      </w:r>
    </w:p>
    <w:p>
      <w:pPr>
        <w:spacing w:after="0" w:line="205" w:lineRule="exact"/>
        <w:rPr>
          <w:sz w:val="20"/>
          <w:szCs w:val="20"/>
          <w:color w:val="auto"/>
        </w:rPr>
      </w:pPr>
    </w:p>
    <w:p>
      <w:pPr>
        <w:ind w:right="200"/>
        <w:spacing w:after="0" w:line="230" w:lineRule="auto"/>
        <w:rPr>
          <w:sz w:val="20"/>
          <w:szCs w:val="20"/>
          <w:color w:val="auto"/>
        </w:rPr>
      </w:pPr>
      <w:r>
        <w:rPr>
          <w:rFonts w:ascii="Arial" w:cs="Arial" w:eastAsia="Arial" w:hAnsi="Arial"/>
          <w:sz w:val="16"/>
          <w:szCs w:val="16"/>
          <w:color w:val="auto"/>
        </w:rPr>
        <w:t>The 2024 Plan is a key component of our compensation program and includes important provisions aligned with shareholder interests and aimed at enhancing shareholder value. A description of key features of the 2024 Plan is attached as Appendix B to this Proxy Statement and incorporated herein by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reference, which description is qualified in its entirety by the full text of the 2024 Plan that is attached as Exhibit B to this Proxy Statement.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Board recommends that you vote FOR the Northrop Grumman 2024 Long-Term Incentive Stock Plan:</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598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WHAT’S IN THE PLAN</w:t>
            </w:r>
          </w:p>
        </w:tc>
        <w:tc>
          <w:tcPr>
            <w:tcW w:w="528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WHAT’S NOT IN THE PLAN</w:t>
            </w:r>
          </w:p>
        </w:tc>
        <w:tc>
          <w:tcPr>
            <w:tcW w:w="0" w:type="dxa"/>
            <w:vAlign w:val="bottom"/>
          </w:tcPr>
          <w:p>
            <w:pPr>
              <w:spacing w:after="0"/>
              <w:rPr>
                <w:sz w:val="1"/>
                <w:szCs w:val="1"/>
                <w:color w:val="auto"/>
              </w:rPr>
            </w:pPr>
          </w:p>
        </w:tc>
      </w:tr>
      <w:tr>
        <w:trPr>
          <w:trHeight w:val="384"/>
        </w:trPr>
        <w:tc>
          <w:tcPr>
            <w:tcW w:w="1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29378D"/>
              </w:rPr>
              <w:t>•</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 xml:space="preserve">Plan Administration. </w:t>
            </w:r>
            <w:r>
              <w:rPr>
                <w:rFonts w:ascii="Arial" w:cs="Arial" w:eastAsia="Arial" w:hAnsi="Arial"/>
                <w:sz w:val="16"/>
                <w:szCs w:val="16"/>
                <w:color w:val="auto"/>
              </w:rPr>
              <w:t>The plan is administered by the Compensation and</w:t>
            </w:r>
          </w:p>
        </w:tc>
        <w:tc>
          <w:tcPr>
            <w:tcW w:w="120" w:type="dxa"/>
            <w:vAlign w:val="bottom"/>
          </w:tcPr>
          <w:p>
            <w:pPr>
              <w:ind w:left="20"/>
              <w:spacing w:after="0"/>
              <w:rPr>
                <w:sz w:val="20"/>
                <w:szCs w:val="20"/>
                <w:color w:val="auto"/>
              </w:rPr>
            </w:pPr>
            <w:r>
              <w:rPr>
                <w:rFonts w:ascii="Arial" w:cs="Arial" w:eastAsia="Arial" w:hAnsi="Arial"/>
                <w:sz w:val="16"/>
                <w:szCs w:val="16"/>
                <w:color w:val="29378D"/>
              </w:rPr>
              <w:t>•</w:t>
            </w:r>
          </w:p>
        </w:tc>
        <w:tc>
          <w:tcPr>
            <w:tcW w:w="516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 xml:space="preserve">No “evergreen” provision. </w:t>
            </w:r>
            <w:r>
              <w:rPr>
                <w:rFonts w:ascii="Arial" w:cs="Arial" w:eastAsia="Arial" w:hAnsi="Arial"/>
                <w:sz w:val="16"/>
                <w:szCs w:val="16"/>
                <w:color w:val="auto"/>
              </w:rPr>
              <w:t>The plan does not contain an “evergreen”</w:t>
            </w: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Human Capital Committee of the Board composed of non-employee directors.</w:t>
            </w:r>
          </w:p>
        </w:tc>
        <w:tc>
          <w:tcPr>
            <w:tcW w:w="120" w:type="dxa"/>
            <w:vAlign w:val="bottom"/>
          </w:tcPr>
          <w:p>
            <w:pPr>
              <w:spacing w:after="0"/>
              <w:rPr>
                <w:sz w:val="15"/>
                <w:szCs w:val="15"/>
                <w:color w:val="auto"/>
              </w:rPr>
            </w:pPr>
          </w:p>
        </w:tc>
        <w:tc>
          <w:tcPr>
            <w:tcW w:w="51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feature that automatically replenishes the share reserve. The plan</w:t>
            </w: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29378D"/>
              </w:rPr>
              <w:t>•</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 xml:space="preserve">Minimum Vesting Period. </w:t>
            </w:r>
            <w:r>
              <w:rPr>
                <w:rFonts w:ascii="Arial" w:cs="Arial" w:eastAsia="Arial" w:hAnsi="Arial"/>
                <w:sz w:val="16"/>
                <w:szCs w:val="16"/>
                <w:color w:val="auto"/>
              </w:rPr>
              <w:t>Awards under the plan require a minimum of one-</w:t>
            </w:r>
          </w:p>
        </w:tc>
        <w:tc>
          <w:tcPr>
            <w:tcW w:w="120" w:type="dxa"/>
            <w:vAlign w:val="bottom"/>
          </w:tcPr>
          <w:p>
            <w:pPr>
              <w:spacing w:after="0"/>
              <w:rPr>
                <w:sz w:val="16"/>
                <w:szCs w:val="16"/>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requires shareholder approval to increase the share reserve.</w:t>
            </w: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year vesting period, subject to certain exceptions.</w:t>
            </w:r>
          </w:p>
        </w:tc>
        <w:tc>
          <w:tcPr>
            <w:tcW w:w="120" w:type="dxa"/>
            <w:vAlign w:val="bottom"/>
          </w:tcPr>
          <w:p>
            <w:pPr>
              <w:spacing w:after="0"/>
              <w:rPr>
                <w:sz w:val="15"/>
                <w:szCs w:val="15"/>
                <w:color w:val="auto"/>
              </w:rPr>
            </w:pPr>
          </w:p>
        </w:tc>
        <w:tc>
          <w:tcPr>
            <w:tcW w:w="5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ind w:left="40"/>
              <w:spacing w:after="0" w:line="175" w:lineRule="exact"/>
              <w:rPr>
                <w:sz w:val="20"/>
                <w:szCs w:val="20"/>
                <w:color w:val="auto"/>
              </w:rPr>
            </w:pPr>
            <w:r>
              <w:rPr>
                <w:rFonts w:ascii="Arial" w:cs="Arial" w:eastAsia="Arial" w:hAnsi="Arial"/>
                <w:sz w:val="16"/>
                <w:szCs w:val="16"/>
                <w:color w:val="29378D"/>
              </w:rPr>
              <w:t>•</w:t>
            </w:r>
          </w:p>
        </w:tc>
        <w:tc>
          <w:tcPr>
            <w:tcW w:w="584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b w:val="1"/>
                <w:bCs w:val="1"/>
                <w:color w:val="auto"/>
              </w:rPr>
              <w:t xml:space="preserve">Limits on share recycling. </w:t>
            </w:r>
            <w:r>
              <w:rPr>
                <w:rFonts w:ascii="Arial" w:cs="Arial" w:eastAsia="Arial" w:hAnsi="Arial"/>
                <w:sz w:val="16"/>
                <w:szCs w:val="16"/>
                <w:color w:val="auto"/>
              </w:rPr>
              <w:t>Shares tendered or retained for tax withholding</w:t>
            </w:r>
          </w:p>
        </w:tc>
        <w:tc>
          <w:tcPr>
            <w:tcW w:w="120" w:type="dxa"/>
            <w:vAlign w:val="bottom"/>
          </w:tcPr>
          <w:p>
            <w:pPr>
              <w:spacing w:after="0"/>
              <w:rPr>
                <w:sz w:val="15"/>
                <w:szCs w:val="15"/>
                <w:color w:val="auto"/>
              </w:rPr>
            </w:pPr>
          </w:p>
        </w:tc>
        <w:tc>
          <w:tcPr>
            <w:tcW w:w="5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purposes or for payment of exercise price on option awards are not added back</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29378D"/>
              </w:rPr>
              <w:t>•</w:t>
            </w:r>
          </w:p>
        </w:tc>
        <w:tc>
          <w:tcPr>
            <w:tcW w:w="51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 xml:space="preserve">No repricing of options or SARs. </w:t>
            </w:r>
            <w:r>
              <w:rPr>
                <w:rFonts w:ascii="Arial" w:cs="Arial" w:eastAsia="Arial" w:hAnsi="Arial"/>
                <w:sz w:val="16"/>
                <w:szCs w:val="16"/>
                <w:color w:val="auto"/>
              </w:rPr>
              <w:t>Any action that may constitute a</w:t>
            </w:r>
          </w:p>
        </w:tc>
        <w:tc>
          <w:tcPr>
            <w:tcW w:w="0" w:type="dxa"/>
            <w:vAlign w:val="bottom"/>
          </w:tcPr>
          <w:p>
            <w:pPr>
              <w:spacing w:after="0"/>
              <w:rPr>
                <w:sz w:val="1"/>
                <w:szCs w:val="1"/>
                <w:color w:val="auto"/>
              </w:rPr>
            </w:pPr>
          </w:p>
        </w:tc>
      </w:tr>
      <w:tr>
        <w:trPr>
          <w:trHeight w:val="163"/>
        </w:trPr>
        <w:tc>
          <w:tcPr>
            <w:tcW w:w="14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100"/>
              <w:spacing w:after="0" w:line="163" w:lineRule="exact"/>
              <w:rPr>
                <w:sz w:val="20"/>
                <w:szCs w:val="20"/>
                <w:color w:val="auto"/>
              </w:rPr>
            </w:pPr>
            <w:r>
              <w:rPr>
                <w:rFonts w:ascii="Arial" w:cs="Arial" w:eastAsia="Arial" w:hAnsi="Arial"/>
                <w:sz w:val="16"/>
                <w:szCs w:val="16"/>
                <w:color w:val="auto"/>
              </w:rPr>
              <w:t>to the share reserve.</w:t>
            </w:r>
          </w:p>
        </w:tc>
        <w:tc>
          <w:tcPr>
            <w:tcW w:w="120" w:type="dxa"/>
            <w:vAlign w:val="bottom"/>
            <w:vMerge w:val="continue"/>
          </w:tcPr>
          <w:p>
            <w:pPr>
              <w:spacing w:after="0"/>
              <w:rPr>
                <w:sz w:val="14"/>
                <w:szCs w:val="14"/>
                <w:color w:val="auto"/>
              </w:rPr>
            </w:pPr>
          </w:p>
        </w:tc>
        <w:tc>
          <w:tcPr>
            <w:tcW w:w="51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color w:val="29378D"/>
              </w:rPr>
              <w:t>•</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b w:val="1"/>
                <w:bCs w:val="1"/>
                <w:color w:val="auto"/>
              </w:rPr>
              <w:t xml:space="preserve">Clawback. </w:t>
            </w:r>
            <w:r>
              <w:rPr>
                <w:rFonts w:ascii="Arial" w:cs="Arial" w:eastAsia="Arial" w:hAnsi="Arial"/>
                <w:sz w:val="16"/>
                <w:szCs w:val="16"/>
                <w:color w:val="auto"/>
              </w:rPr>
              <w:t>Awards are subject to the Company’s Policy Regarding the</w:t>
            </w:r>
          </w:p>
        </w:tc>
        <w:tc>
          <w:tcPr>
            <w:tcW w:w="120" w:type="dxa"/>
            <w:vAlign w:val="bottom"/>
          </w:tcPr>
          <w:p>
            <w:pPr>
              <w:spacing w:after="0"/>
              <w:rPr>
                <w:sz w:val="11"/>
                <w:szCs w:val="11"/>
                <w:color w:val="auto"/>
              </w:rPr>
            </w:pPr>
          </w:p>
        </w:tc>
        <w:tc>
          <w:tcPr>
            <w:tcW w:w="516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5"/>
                <w:szCs w:val="15"/>
                <w:color w:val="auto"/>
              </w:rPr>
              <w:t>repricing of stock options or SARs is prohibited under the plan,</w:t>
            </w:r>
          </w:p>
        </w:tc>
        <w:tc>
          <w:tcPr>
            <w:tcW w:w="0" w:type="dxa"/>
            <w:vAlign w:val="bottom"/>
          </w:tcPr>
          <w:p>
            <w:pPr>
              <w:spacing w:after="0"/>
              <w:rPr>
                <w:sz w:val="1"/>
                <w:szCs w:val="1"/>
                <w:color w:val="auto"/>
              </w:rPr>
            </w:pPr>
          </w:p>
        </w:tc>
      </w:tr>
      <w:tr>
        <w:trPr>
          <w:trHeight w:val="68"/>
        </w:trPr>
        <w:tc>
          <w:tcPr>
            <w:tcW w:w="140" w:type="dxa"/>
            <w:vAlign w:val="bottom"/>
            <w:tcBorders>
              <w:left w:val="single" w:sz="8" w:color="auto"/>
            </w:tcBorders>
            <w:vMerge w:val="continue"/>
          </w:tcPr>
          <w:p>
            <w:pPr>
              <w:spacing w:after="0"/>
              <w:rPr>
                <w:sz w:val="5"/>
                <w:szCs w:val="5"/>
                <w:color w:val="auto"/>
              </w:rPr>
            </w:pPr>
          </w:p>
        </w:tc>
        <w:tc>
          <w:tcPr>
            <w:tcW w:w="5840" w:type="dxa"/>
            <w:vAlign w:val="bottom"/>
            <w:tcBorders>
              <w:right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516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subject to certain adjustment provisions.</w:t>
            </w: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Recoupment of Certain Incentive Compensation Payments (see page 68 of this</w:t>
            </w:r>
          </w:p>
        </w:tc>
        <w:tc>
          <w:tcPr>
            <w:tcW w:w="120" w:type="dxa"/>
            <w:vAlign w:val="bottom"/>
          </w:tcPr>
          <w:p>
            <w:pPr>
              <w:spacing w:after="0"/>
              <w:rPr>
                <w:sz w:val="15"/>
                <w:szCs w:val="15"/>
                <w:color w:val="auto"/>
              </w:rPr>
            </w:pPr>
          </w:p>
        </w:tc>
        <w:tc>
          <w:tcPr>
            <w:tcW w:w="51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Proxy Statement for more information regarding our Recoupment Policy).</w:t>
            </w:r>
          </w:p>
        </w:tc>
        <w:tc>
          <w:tcPr>
            <w:tcW w:w="120" w:type="dxa"/>
            <w:vAlign w:val="bottom"/>
          </w:tcPr>
          <w:p>
            <w:pPr>
              <w:spacing w:after="0"/>
              <w:rPr>
                <w:sz w:val="16"/>
                <w:szCs w:val="16"/>
                <w:color w:val="auto"/>
              </w:rPr>
            </w:pPr>
          </w:p>
        </w:tc>
        <w:tc>
          <w:tcPr>
            <w:tcW w:w="5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0" w:type="dxa"/>
            <w:vAlign w:val="bottom"/>
            <w:tcBorders>
              <w:left w:val="single" w:sz="8" w:color="auto"/>
            </w:tcBorders>
          </w:tcPr>
          <w:p>
            <w:pPr>
              <w:ind w:left="40"/>
              <w:spacing w:after="0" w:line="175" w:lineRule="exact"/>
              <w:rPr>
                <w:sz w:val="20"/>
                <w:szCs w:val="20"/>
                <w:color w:val="auto"/>
              </w:rPr>
            </w:pPr>
            <w:r>
              <w:rPr>
                <w:rFonts w:ascii="Arial" w:cs="Arial" w:eastAsia="Arial" w:hAnsi="Arial"/>
                <w:sz w:val="16"/>
                <w:szCs w:val="16"/>
                <w:color w:val="29378D"/>
              </w:rPr>
              <w:t>•</w:t>
            </w:r>
          </w:p>
        </w:tc>
        <w:tc>
          <w:tcPr>
            <w:tcW w:w="5840" w:type="dxa"/>
            <w:vAlign w:val="bottom"/>
            <w:tcBorders>
              <w:right w:val="single" w:sz="8" w:color="auto"/>
            </w:tcBorders>
          </w:tcPr>
          <w:p>
            <w:pPr>
              <w:ind w:left="60"/>
              <w:spacing w:after="0" w:line="175" w:lineRule="exact"/>
              <w:rPr>
                <w:sz w:val="20"/>
                <w:szCs w:val="20"/>
                <w:color w:val="auto"/>
              </w:rPr>
            </w:pPr>
            <w:r>
              <w:rPr>
                <w:rFonts w:ascii="Arial" w:cs="Arial" w:eastAsia="Arial" w:hAnsi="Arial"/>
                <w:sz w:val="16"/>
                <w:szCs w:val="16"/>
                <w:b w:val="1"/>
                <w:bCs w:val="1"/>
                <w:color w:val="auto"/>
              </w:rPr>
              <w:t>Limited Term</w:t>
            </w:r>
            <w:r>
              <w:rPr>
                <w:rFonts w:ascii="Arial" w:cs="Arial" w:eastAsia="Arial" w:hAnsi="Arial"/>
                <w:sz w:val="16"/>
                <w:szCs w:val="16"/>
                <w:color w:val="auto"/>
              </w:rPr>
              <w:t>. The plan is designed to continue to incentivize plan participants</w:t>
            </w:r>
          </w:p>
        </w:tc>
        <w:tc>
          <w:tcPr>
            <w:tcW w:w="120" w:type="dxa"/>
            <w:vAlign w:val="bottom"/>
          </w:tcPr>
          <w:p>
            <w:pPr>
              <w:spacing w:after="0"/>
              <w:rPr>
                <w:sz w:val="15"/>
                <w:szCs w:val="15"/>
                <w:color w:val="auto"/>
              </w:rPr>
            </w:pPr>
          </w:p>
        </w:tc>
        <w:tc>
          <w:tcPr>
            <w:tcW w:w="5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during its effective time period, not to exceed ten years.</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29378D"/>
              </w:rPr>
              <w:t>•</w:t>
            </w:r>
          </w:p>
        </w:tc>
        <w:tc>
          <w:tcPr>
            <w:tcW w:w="51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 xml:space="preserve">No payments on pre-vesting dividends. </w:t>
            </w:r>
            <w:r>
              <w:rPr>
                <w:rFonts w:ascii="Arial" w:cs="Arial" w:eastAsia="Arial" w:hAnsi="Arial"/>
                <w:sz w:val="16"/>
                <w:szCs w:val="16"/>
                <w:color w:val="auto"/>
              </w:rPr>
              <w:t>No payment is made with</w:t>
            </w:r>
          </w:p>
        </w:tc>
        <w:tc>
          <w:tcPr>
            <w:tcW w:w="0" w:type="dxa"/>
            <w:vAlign w:val="bottom"/>
          </w:tcPr>
          <w:p>
            <w:pPr>
              <w:spacing w:after="0"/>
              <w:rPr>
                <w:sz w:val="1"/>
                <w:szCs w:val="1"/>
                <w:color w:val="auto"/>
              </w:rPr>
            </w:pPr>
          </w:p>
        </w:tc>
      </w:tr>
      <w:tr>
        <w:trPr>
          <w:trHeight w:val="54"/>
        </w:trPr>
        <w:tc>
          <w:tcPr>
            <w:tcW w:w="1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color w:val="29378D"/>
              </w:rPr>
              <w:t>•</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b w:val="1"/>
                <w:bCs w:val="1"/>
                <w:color w:val="auto"/>
              </w:rPr>
              <w:t xml:space="preserve">Annual limit on non-employee director compensation. </w:t>
            </w:r>
            <w:r>
              <w:rPr>
                <w:rFonts w:ascii="Arial" w:cs="Arial" w:eastAsia="Arial" w:hAnsi="Arial"/>
                <w:sz w:val="16"/>
                <w:szCs w:val="16"/>
                <w:color w:val="auto"/>
              </w:rPr>
              <w:t>The plan limits the</w:t>
            </w:r>
          </w:p>
        </w:tc>
        <w:tc>
          <w:tcPr>
            <w:tcW w:w="120" w:type="dxa"/>
            <w:vAlign w:val="bottom"/>
            <w:vMerge w:val="continue"/>
          </w:tcPr>
          <w:p>
            <w:pPr>
              <w:spacing w:after="0"/>
              <w:rPr>
                <w:sz w:val="4"/>
                <w:szCs w:val="4"/>
                <w:color w:val="auto"/>
              </w:rPr>
            </w:pPr>
          </w:p>
        </w:tc>
        <w:tc>
          <w:tcPr>
            <w:tcW w:w="51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40" w:type="dxa"/>
            <w:vAlign w:val="bottom"/>
            <w:tcBorders>
              <w:left w:val="single" w:sz="8" w:color="auto"/>
            </w:tcBorders>
            <w:vMerge w:val="continue"/>
          </w:tcPr>
          <w:p>
            <w:pPr>
              <w:spacing w:after="0"/>
              <w:rPr>
                <w:sz w:val="14"/>
                <w:szCs w:val="14"/>
                <w:color w:val="auto"/>
              </w:rPr>
            </w:pPr>
          </w:p>
        </w:tc>
        <w:tc>
          <w:tcPr>
            <w:tcW w:w="5840" w:type="dxa"/>
            <w:vAlign w:val="bottom"/>
            <w:tcBorders>
              <w:right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16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respect to dividends or dividend equivalent rights unless and to the</w:t>
            </w:r>
          </w:p>
        </w:tc>
        <w:tc>
          <w:tcPr>
            <w:tcW w:w="0" w:type="dxa"/>
            <w:vAlign w:val="bottom"/>
          </w:tcPr>
          <w:p>
            <w:pPr>
              <w:spacing w:after="0"/>
              <w:rPr>
                <w:sz w:val="1"/>
                <w:szCs w:val="1"/>
                <w:color w:val="auto"/>
              </w:rPr>
            </w:pPr>
          </w:p>
        </w:tc>
      </w:tr>
      <w:tr>
        <w:trPr>
          <w:trHeight w:val="134"/>
        </w:trPr>
        <w:tc>
          <w:tcPr>
            <w:tcW w:w="140" w:type="dxa"/>
            <w:vAlign w:val="bottom"/>
            <w:tcBorders>
              <w:left w:val="single" w:sz="8" w:color="auto"/>
            </w:tcBorders>
          </w:tcPr>
          <w:p>
            <w:pPr>
              <w:spacing w:after="0"/>
              <w:rPr>
                <w:sz w:val="11"/>
                <w:szCs w:val="11"/>
                <w:color w:val="auto"/>
              </w:rPr>
            </w:pPr>
          </w:p>
        </w:tc>
        <w:tc>
          <w:tcPr>
            <w:tcW w:w="5840" w:type="dxa"/>
            <w:vAlign w:val="bottom"/>
            <w:tcBorders>
              <w:right w:val="single" w:sz="8" w:color="auto"/>
            </w:tcBorders>
          </w:tcPr>
          <w:p>
            <w:pPr>
              <w:ind w:left="100"/>
              <w:spacing w:after="0" w:line="134" w:lineRule="exact"/>
              <w:rPr>
                <w:sz w:val="20"/>
                <w:szCs w:val="20"/>
                <w:color w:val="auto"/>
              </w:rPr>
            </w:pPr>
            <w:r>
              <w:rPr>
                <w:rFonts w:ascii="Arial" w:cs="Arial" w:eastAsia="Arial" w:hAnsi="Arial"/>
                <w:sz w:val="15"/>
                <w:szCs w:val="15"/>
                <w:color w:val="auto"/>
              </w:rPr>
              <w:t>annual aggregate equity and cash compensation for non-employee directors to</w:t>
            </w:r>
          </w:p>
        </w:tc>
        <w:tc>
          <w:tcPr>
            <w:tcW w:w="120" w:type="dxa"/>
            <w:vAlign w:val="bottom"/>
          </w:tcPr>
          <w:p>
            <w:pPr>
              <w:spacing w:after="0"/>
              <w:rPr>
                <w:sz w:val="11"/>
                <w:szCs w:val="11"/>
                <w:color w:val="auto"/>
              </w:rPr>
            </w:pPr>
          </w:p>
        </w:tc>
        <w:tc>
          <w:tcPr>
            <w:tcW w:w="516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extent that the related vesting conditions of the underlying award are</w:t>
            </w:r>
          </w:p>
        </w:tc>
        <w:tc>
          <w:tcPr>
            <w:tcW w:w="0" w:type="dxa"/>
            <w:vAlign w:val="bottom"/>
          </w:tcPr>
          <w:p>
            <w:pPr>
              <w:spacing w:after="0"/>
              <w:rPr>
                <w:sz w:val="1"/>
                <w:szCs w:val="1"/>
                <w:color w:val="auto"/>
              </w:rPr>
            </w:pPr>
          </w:p>
        </w:tc>
      </w:tr>
      <w:tr>
        <w:trPr>
          <w:trHeight w:val="68"/>
        </w:trPr>
        <w:tc>
          <w:tcPr>
            <w:tcW w:w="140" w:type="dxa"/>
            <w:vAlign w:val="bottom"/>
            <w:tcBorders>
              <w:left w:val="single" w:sz="8" w:color="auto"/>
            </w:tcBorders>
          </w:tcPr>
          <w:p>
            <w:pPr>
              <w:spacing w:after="0"/>
              <w:rPr>
                <w:sz w:val="5"/>
                <w:szCs w:val="5"/>
                <w:color w:val="auto"/>
              </w:rPr>
            </w:pPr>
          </w:p>
        </w:tc>
        <w:tc>
          <w:tcPr>
            <w:tcW w:w="5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$1,000,000 (or $2,000,000 for the first year of board service and for a chair or</w:t>
            </w:r>
          </w:p>
        </w:tc>
        <w:tc>
          <w:tcPr>
            <w:tcW w:w="120" w:type="dxa"/>
            <w:vAlign w:val="bottom"/>
          </w:tcPr>
          <w:p>
            <w:pPr>
              <w:spacing w:after="0"/>
              <w:rPr>
                <w:sz w:val="5"/>
                <w:szCs w:val="5"/>
                <w:color w:val="auto"/>
              </w:rPr>
            </w:pPr>
          </w:p>
        </w:tc>
        <w:tc>
          <w:tcPr>
            <w:tcW w:w="5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40" w:type="dxa"/>
            <w:vAlign w:val="bottom"/>
            <w:tcBorders>
              <w:left w:val="single" w:sz="8" w:color="auto"/>
            </w:tcBorders>
          </w:tcPr>
          <w:p>
            <w:pPr>
              <w:spacing w:after="0"/>
              <w:rPr>
                <w:sz w:val="10"/>
                <w:szCs w:val="10"/>
                <w:color w:val="auto"/>
              </w:rPr>
            </w:pPr>
          </w:p>
        </w:tc>
        <w:tc>
          <w:tcPr>
            <w:tcW w:w="584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516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satisfied.</w:t>
            </w:r>
          </w:p>
        </w:tc>
        <w:tc>
          <w:tcPr>
            <w:tcW w:w="0" w:type="dxa"/>
            <w:vAlign w:val="bottom"/>
          </w:tcPr>
          <w:p>
            <w:pPr>
              <w:spacing w:after="0"/>
              <w:rPr>
                <w:sz w:val="1"/>
                <w:szCs w:val="1"/>
                <w:color w:val="auto"/>
              </w:rPr>
            </w:pPr>
          </w:p>
        </w:tc>
      </w:tr>
      <w:tr>
        <w:trPr>
          <w:trHeight w:val="93"/>
        </w:trPr>
        <w:tc>
          <w:tcPr>
            <w:tcW w:w="140" w:type="dxa"/>
            <w:vAlign w:val="bottom"/>
            <w:tcBorders>
              <w:left w:val="single" w:sz="8" w:color="auto"/>
            </w:tcBorders>
          </w:tcPr>
          <w:p>
            <w:pPr>
              <w:spacing w:after="0"/>
              <w:rPr>
                <w:sz w:val="8"/>
                <w:szCs w:val="8"/>
                <w:color w:val="auto"/>
              </w:rPr>
            </w:pPr>
          </w:p>
        </w:tc>
        <w:tc>
          <w:tcPr>
            <w:tcW w:w="584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lead director); in 2023, non-employee directors received an annual cash</w:t>
            </w:r>
          </w:p>
        </w:tc>
        <w:tc>
          <w:tcPr>
            <w:tcW w:w="120" w:type="dxa"/>
            <w:vAlign w:val="bottom"/>
          </w:tcPr>
          <w:p>
            <w:pPr>
              <w:spacing w:after="0"/>
              <w:rPr>
                <w:sz w:val="8"/>
                <w:szCs w:val="8"/>
                <w:color w:val="auto"/>
              </w:rPr>
            </w:pPr>
          </w:p>
        </w:tc>
        <w:tc>
          <w:tcPr>
            <w:tcW w:w="51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40" w:type="dxa"/>
            <w:vAlign w:val="bottom"/>
            <w:tcBorders>
              <w:left w:val="single" w:sz="8" w:color="auto"/>
            </w:tcBorders>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5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retainer of $140,000 and an annual equity grant of $175,000 in deferred stock</w:t>
            </w:r>
          </w:p>
        </w:tc>
        <w:tc>
          <w:tcPr>
            <w:tcW w:w="120" w:type="dxa"/>
            <w:vAlign w:val="bottom"/>
          </w:tcPr>
          <w:p>
            <w:pPr>
              <w:spacing w:after="0"/>
              <w:rPr>
                <w:sz w:val="16"/>
                <w:szCs w:val="16"/>
                <w:color w:val="auto"/>
              </w:rPr>
            </w:pPr>
          </w:p>
        </w:tc>
        <w:tc>
          <w:tcPr>
            <w:tcW w:w="5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units (see page 45 for more information regarding director compensation).</w:t>
            </w:r>
          </w:p>
        </w:tc>
        <w:tc>
          <w:tcPr>
            <w:tcW w:w="120" w:type="dxa"/>
            <w:vAlign w:val="bottom"/>
          </w:tcPr>
          <w:p>
            <w:pPr>
              <w:spacing w:after="0"/>
              <w:rPr>
                <w:sz w:val="15"/>
                <w:szCs w:val="15"/>
                <w:color w:val="auto"/>
              </w:rPr>
            </w:pPr>
          </w:p>
        </w:tc>
        <w:tc>
          <w:tcPr>
            <w:tcW w:w="5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ind w:left="40"/>
              <w:spacing w:after="0"/>
              <w:rPr>
                <w:sz w:val="20"/>
                <w:szCs w:val="20"/>
                <w:color w:val="auto"/>
              </w:rPr>
            </w:pPr>
            <w:r>
              <w:rPr>
                <w:rFonts w:ascii="Arial" w:cs="Arial" w:eastAsia="Arial" w:hAnsi="Arial"/>
                <w:sz w:val="16"/>
                <w:szCs w:val="16"/>
                <w:color w:val="29378D"/>
              </w:rPr>
              <w:t>•</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CIC Double Trigger</w:t>
            </w:r>
            <w:r>
              <w:rPr>
                <w:rFonts w:ascii="Arial" w:cs="Arial" w:eastAsia="Arial" w:hAnsi="Arial"/>
                <w:sz w:val="16"/>
                <w:szCs w:val="16"/>
                <w:color w:val="auto"/>
              </w:rPr>
              <w:t>. The plan provides explicitly only for "double trigger",</w:t>
            </w:r>
          </w:p>
        </w:tc>
        <w:tc>
          <w:tcPr>
            <w:tcW w:w="120" w:type="dxa"/>
            <w:vAlign w:val="bottom"/>
          </w:tcPr>
          <w:p>
            <w:pPr>
              <w:ind w:left="20"/>
              <w:spacing w:after="0"/>
              <w:rPr>
                <w:sz w:val="20"/>
                <w:szCs w:val="20"/>
                <w:color w:val="auto"/>
              </w:rPr>
            </w:pPr>
            <w:r>
              <w:rPr>
                <w:rFonts w:ascii="Arial" w:cs="Arial" w:eastAsia="Arial" w:hAnsi="Arial"/>
                <w:sz w:val="16"/>
                <w:szCs w:val="16"/>
                <w:color w:val="29378D"/>
              </w:rPr>
              <w:t>•</w:t>
            </w:r>
          </w:p>
        </w:tc>
        <w:tc>
          <w:tcPr>
            <w:tcW w:w="5160" w:type="dxa"/>
            <w:vAlign w:val="bottom"/>
            <w:tcBorders>
              <w:right w:val="single" w:sz="8" w:color="auto"/>
            </w:tcBorders>
          </w:tcPr>
          <w:p>
            <w:pPr>
              <w:ind w:left="40"/>
              <w:spacing w:after="0"/>
              <w:rPr>
                <w:sz w:val="20"/>
                <w:szCs w:val="20"/>
                <w:color w:val="auto"/>
              </w:rPr>
            </w:pPr>
            <w:r>
              <w:rPr>
                <w:rFonts w:ascii="Arial" w:cs="Arial" w:eastAsia="Arial" w:hAnsi="Arial"/>
                <w:sz w:val="16"/>
                <w:szCs w:val="16"/>
                <w:b w:val="1"/>
                <w:bCs w:val="1"/>
                <w:color w:val="auto"/>
              </w:rPr>
              <w:t xml:space="preserve">No buy out. </w:t>
            </w:r>
            <w:r>
              <w:rPr>
                <w:rFonts w:ascii="Arial" w:cs="Arial" w:eastAsia="Arial" w:hAnsi="Arial"/>
                <w:sz w:val="16"/>
                <w:szCs w:val="16"/>
                <w:color w:val="auto"/>
              </w:rPr>
              <w:t>No underwater buyouts of SARs or stock options.</w:t>
            </w: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meaning that vesting/ payment does not occur solely on a change in control,</w:t>
            </w:r>
          </w:p>
        </w:tc>
        <w:tc>
          <w:tcPr>
            <w:tcW w:w="120" w:type="dxa"/>
            <w:vAlign w:val="bottom"/>
          </w:tcPr>
          <w:p>
            <w:pPr>
              <w:spacing w:after="0"/>
              <w:rPr>
                <w:sz w:val="15"/>
                <w:szCs w:val="15"/>
                <w:color w:val="auto"/>
              </w:rPr>
            </w:pPr>
          </w:p>
        </w:tc>
        <w:tc>
          <w:tcPr>
            <w:tcW w:w="5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but rather also requires either the successor’s failure to assume the award or</w:t>
            </w:r>
          </w:p>
        </w:tc>
        <w:tc>
          <w:tcPr>
            <w:tcW w:w="120" w:type="dxa"/>
            <w:vAlign w:val="bottom"/>
          </w:tcPr>
          <w:p>
            <w:pPr>
              <w:spacing w:after="0"/>
              <w:rPr>
                <w:sz w:val="15"/>
                <w:szCs w:val="15"/>
                <w:color w:val="auto"/>
              </w:rPr>
            </w:pPr>
          </w:p>
        </w:tc>
        <w:tc>
          <w:tcPr>
            <w:tcW w:w="5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58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certain employment termination in connection with a change in control to trigger</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29378D"/>
              </w:rPr>
              <w:t>•</w:t>
            </w:r>
          </w:p>
        </w:tc>
        <w:tc>
          <w:tcPr>
            <w:tcW w:w="516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rPr>
              <w:t xml:space="preserve">No reload. </w:t>
            </w:r>
            <w:r>
              <w:rPr>
                <w:rFonts w:ascii="Arial" w:cs="Arial" w:eastAsia="Arial" w:hAnsi="Arial"/>
                <w:sz w:val="16"/>
                <w:szCs w:val="16"/>
                <w:color w:val="auto"/>
              </w:rPr>
              <w:t>No “options reloading” feature for any option or SAR</w:t>
            </w:r>
          </w:p>
        </w:tc>
        <w:tc>
          <w:tcPr>
            <w:tcW w:w="0" w:type="dxa"/>
            <w:vAlign w:val="bottom"/>
          </w:tcPr>
          <w:p>
            <w:pPr>
              <w:spacing w:after="0"/>
              <w:rPr>
                <w:sz w:val="1"/>
                <w:szCs w:val="1"/>
                <w:color w:val="auto"/>
              </w:rPr>
            </w:pPr>
          </w:p>
        </w:tc>
      </w:tr>
      <w:tr>
        <w:trPr>
          <w:trHeight w:val="163"/>
        </w:trPr>
        <w:tc>
          <w:tcPr>
            <w:tcW w:w="140" w:type="dxa"/>
            <w:vAlign w:val="bottom"/>
            <w:tcBorders>
              <w:left w:val="single" w:sz="8" w:color="auto"/>
            </w:tcBorders>
          </w:tcPr>
          <w:p>
            <w:pPr>
              <w:spacing w:after="0"/>
              <w:rPr>
                <w:sz w:val="14"/>
                <w:szCs w:val="14"/>
                <w:color w:val="auto"/>
              </w:rPr>
            </w:pPr>
          </w:p>
        </w:tc>
        <w:tc>
          <w:tcPr>
            <w:tcW w:w="5840" w:type="dxa"/>
            <w:vAlign w:val="bottom"/>
            <w:tcBorders>
              <w:right w:val="single" w:sz="8" w:color="auto"/>
            </w:tcBorders>
          </w:tcPr>
          <w:p>
            <w:pPr>
              <w:ind w:left="100"/>
              <w:spacing w:after="0" w:line="163" w:lineRule="exact"/>
              <w:rPr>
                <w:sz w:val="20"/>
                <w:szCs w:val="20"/>
                <w:color w:val="auto"/>
              </w:rPr>
            </w:pPr>
            <w:r>
              <w:rPr>
                <w:rFonts w:ascii="Arial" w:cs="Arial" w:eastAsia="Arial" w:hAnsi="Arial"/>
                <w:sz w:val="16"/>
                <w:szCs w:val="16"/>
                <w:color w:val="auto"/>
              </w:rPr>
              <w:t>vesting, exercise or payment.</w:t>
            </w:r>
          </w:p>
        </w:tc>
        <w:tc>
          <w:tcPr>
            <w:tcW w:w="120" w:type="dxa"/>
            <w:vAlign w:val="bottom"/>
            <w:vMerge w:val="continue"/>
          </w:tcPr>
          <w:p>
            <w:pPr>
              <w:spacing w:after="0"/>
              <w:rPr>
                <w:sz w:val="14"/>
                <w:szCs w:val="14"/>
                <w:color w:val="auto"/>
              </w:rPr>
            </w:pPr>
          </w:p>
        </w:tc>
        <w:tc>
          <w:tcPr>
            <w:tcW w:w="51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0" w:type="dxa"/>
            <w:vAlign w:val="bottom"/>
            <w:tcBorders>
              <w:left w:val="single" w:sz="8" w:color="auto"/>
            </w:tcBorders>
          </w:tcPr>
          <w:p>
            <w:pPr>
              <w:spacing w:after="0"/>
              <w:rPr>
                <w:sz w:val="12"/>
                <w:szCs w:val="12"/>
                <w:color w:val="auto"/>
              </w:rPr>
            </w:pPr>
          </w:p>
        </w:tc>
        <w:tc>
          <w:tcPr>
            <w:tcW w:w="58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160" w:type="dxa"/>
            <w:vAlign w:val="bottom"/>
            <w:tcBorders>
              <w:right w:val="single" w:sz="8" w:color="auto"/>
            </w:tcBorders>
          </w:tcPr>
          <w:p>
            <w:pPr>
              <w:ind w:left="80"/>
              <w:spacing w:after="0" w:line="148" w:lineRule="exact"/>
              <w:rPr>
                <w:sz w:val="20"/>
                <w:szCs w:val="20"/>
                <w:color w:val="auto"/>
              </w:rPr>
            </w:pPr>
            <w:r>
              <w:rPr>
                <w:rFonts w:ascii="Arial" w:cs="Arial" w:eastAsia="Arial" w:hAnsi="Arial"/>
                <w:sz w:val="16"/>
                <w:szCs w:val="16"/>
                <w:color w:val="auto"/>
              </w:rPr>
              <w:t>granted under the plan. In other words, option grants cannot have</w:t>
            </w:r>
          </w:p>
        </w:tc>
        <w:tc>
          <w:tcPr>
            <w:tcW w:w="0" w:type="dxa"/>
            <w:vAlign w:val="bottom"/>
          </w:tcPr>
          <w:p>
            <w:pPr>
              <w:spacing w:after="0"/>
              <w:rPr>
                <w:sz w:val="1"/>
                <w:szCs w:val="1"/>
                <w:color w:val="auto"/>
              </w:rPr>
            </w:pPr>
          </w:p>
        </w:tc>
      </w:tr>
      <w:tr>
        <w:trPr>
          <w:trHeight w:val="175"/>
        </w:trPr>
        <w:tc>
          <w:tcPr>
            <w:tcW w:w="140" w:type="dxa"/>
            <w:vAlign w:val="bottom"/>
            <w:tcBorders>
              <w:left w:val="single" w:sz="8" w:color="auto"/>
            </w:tcBorders>
          </w:tcPr>
          <w:p>
            <w:pPr>
              <w:spacing w:after="0"/>
              <w:rPr>
                <w:sz w:val="15"/>
                <w:szCs w:val="15"/>
                <w:color w:val="auto"/>
              </w:rPr>
            </w:pPr>
          </w:p>
        </w:tc>
        <w:tc>
          <w:tcPr>
            <w:tcW w:w="58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reload features that would provide for a new grant of options in an</w:t>
            </w: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58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amount equal to the shares tendered to satisfy the exercise price of</w:t>
            </w:r>
          </w:p>
        </w:tc>
        <w:tc>
          <w:tcPr>
            <w:tcW w:w="0" w:type="dxa"/>
            <w:vAlign w:val="bottom"/>
          </w:tcPr>
          <w:p>
            <w:pPr>
              <w:spacing w:after="0"/>
              <w:rPr>
                <w:sz w:val="1"/>
                <w:szCs w:val="1"/>
                <w:color w:val="auto"/>
              </w:rPr>
            </w:pPr>
          </w:p>
        </w:tc>
      </w:tr>
      <w:tr>
        <w:trPr>
          <w:trHeight w:val="224"/>
        </w:trPr>
        <w:tc>
          <w:tcPr>
            <w:tcW w:w="140" w:type="dxa"/>
            <w:vAlign w:val="bottom"/>
            <w:tcBorders>
              <w:left w:val="single" w:sz="8" w:color="auto"/>
              <w:bottom w:val="single" w:sz="8" w:color="auto"/>
            </w:tcBorders>
          </w:tcPr>
          <w:p>
            <w:pPr>
              <w:spacing w:after="0"/>
              <w:rPr>
                <w:sz w:val="19"/>
                <w:szCs w:val="19"/>
                <w:color w:val="auto"/>
              </w:rPr>
            </w:pPr>
          </w:p>
        </w:tc>
        <w:tc>
          <w:tcPr>
            <w:tcW w:w="5840" w:type="dxa"/>
            <w:vAlign w:val="bottom"/>
            <w:tcBorders>
              <w:bottom w:val="single" w:sz="8" w:color="auto"/>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an existing option.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95</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98"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color w:val="auto"/>
        </w:rPr>
        <w:t>Proposal 5: Approval of 2024 Long-Term Incentive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Considerations</w:t>
      </w:r>
    </w:p>
    <w:p>
      <w:pPr>
        <w:spacing w:after="0" w:line="235" w:lineRule="exact"/>
        <w:rPr>
          <w:sz w:val="20"/>
          <w:szCs w:val="20"/>
          <w:color w:val="auto"/>
        </w:rPr>
      </w:pPr>
    </w:p>
    <w:p>
      <w:pPr>
        <w:ind w:right="560"/>
        <w:spacing w:after="0" w:line="268" w:lineRule="auto"/>
        <w:rPr>
          <w:sz w:val="20"/>
          <w:szCs w:val="20"/>
          <w:color w:val="auto"/>
        </w:rPr>
      </w:pPr>
      <w:r>
        <w:rPr>
          <w:rFonts w:ascii="Arial" w:cs="Arial" w:eastAsia="Arial" w:hAnsi="Arial"/>
          <w:sz w:val="16"/>
          <w:szCs w:val="16"/>
          <w:color w:val="auto"/>
        </w:rPr>
        <w:t>When approving the 2024 Plan, the Board and Compensation and Human Capital Committee considered, among other issues, dilution, burn rate and overhang measurements:</w:t>
      </w:r>
    </w:p>
    <w:p>
      <w:pPr>
        <w:spacing w:after="0" w:line="170" w:lineRule="exact"/>
        <w:rPr>
          <w:sz w:val="20"/>
          <w:szCs w:val="20"/>
          <w:color w:val="auto"/>
        </w:rPr>
      </w:pPr>
    </w:p>
    <w:p>
      <w:pPr>
        <w:jc w:val="both"/>
        <w:ind w:left="660" w:right="60" w:hanging="324"/>
        <w:spacing w:after="0" w:line="234" w:lineRule="auto"/>
        <w:rPr>
          <w:sz w:val="20"/>
          <w:szCs w:val="20"/>
          <w:color w:val="auto"/>
        </w:rPr>
      </w:pPr>
      <w:r>
        <w:rPr>
          <w:rFonts w:ascii="Arial" w:cs="Arial" w:eastAsia="Arial" w:hAnsi="Arial"/>
          <w:sz w:val="16"/>
          <w:szCs w:val="16"/>
          <w:color w:val="auto"/>
        </w:rPr>
        <w:t>– If the 2024 Plan is approved, 5,750,000 shares will be available for new awards (subject to certain adjustments). As of March 1, 2024, a total of 3,978,120 shares of common stock remained available for new awards under the 2011 Plan. Beginning March 1, 2024, new awards under the 2011 Plan (if any) will be deducted from the number of shares authorized for issuance under the 2024 Plan. Upon shareholder approval of the 2024 Plan (“Effective Time”), no further grants will be made under the 2011 Plan.</w:t>
      </w:r>
    </w:p>
    <w:p>
      <w:pPr>
        <w:ind w:left="660" w:right="20" w:hanging="324"/>
        <w:spacing w:after="0" w:line="223" w:lineRule="auto"/>
        <w:rPr>
          <w:sz w:val="20"/>
          <w:szCs w:val="20"/>
          <w:color w:val="auto"/>
        </w:rPr>
      </w:pPr>
      <w:r>
        <w:rPr>
          <w:rFonts w:ascii="Arial" w:cs="Arial" w:eastAsia="Arial" w:hAnsi="Arial"/>
          <w:sz w:val="16"/>
          <w:szCs w:val="16"/>
          <w:color w:val="auto"/>
        </w:rPr>
        <w:t>– If the 2024 Plan had been approved on March 1, 2024, the Company’s total potential dilution in respect of the 2024 Plan would have been 3.88% as of that date. Potential dilution, for this purpose, is calculated as the total number of shares available for issuance under the 2024 Plan, divided by total common shares outstanding at the time of the calculation.</w:t>
      </w:r>
    </w:p>
    <w:p>
      <w:pPr>
        <w:ind w:left="660" w:hanging="324"/>
        <w:spacing w:after="0" w:line="226" w:lineRule="auto"/>
        <w:rPr>
          <w:sz w:val="20"/>
          <w:szCs w:val="20"/>
          <w:color w:val="auto"/>
        </w:rPr>
      </w:pPr>
      <w:r>
        <w:rPr>
          <w:rFonts w:ascii="Arial" w:cs="Arial" w:eastAsia="Arial" w:hAnsi="Arial"/>
          <w:sz w:val="16"/>
          <w:szCs w:val="16"/>
          <w:color w:val="auto"/>
        </w:rPr>
        <w:t>– The 2024 Plan provides for forfeited, terminated, cancelled or otherwise expiring awards under the 2011 Plan to be available for issuance under the 2024 Plan, less new awards under the 2011 Plan (if any) made on or after March 1, 2024. As of March 1, 2024, outstanding share awards under the 2011 Plan were (i) unvested time-based awards in the form of restricted stock unit grants to executives and independent directors of the Board covering 219,448 shares of common stock and (ii) unvested performance-based awards in the form of restricted performance stock units to executives covering 437,737 shares of common stock (assuming, for this purpose, the target level of performance were achieved with respect to any performance-based vesting criteria). To the extent outstanding awards are forfeited or settle below target, such shares will be available for new awards under the 2024 Plan. The Company has not issued stock options since 2011. No options or SARs are outstanding under the 2011 Plan.</w:t>
      </w:r>
    </w:p>
    <w:p>
      <w:pPr>
        <w:spacing w:after="0" w:line="2" w:lineRule="exact"/>
        <w:rPr>
          <w:sz w:val="20"/>
          <w:szCs w:val="20"/>
          <w:color w:val="auto"/>
        </w:rPr>
      </w:pPr>
    </w:p>
    <w:p>
      <w:pPr>
        <w:ind w:left="660" w:hanging="324"/>
        <w:spacing w:after="0" w:line="224" w:lineRule="auto"/>
        <w:rPr>
          <w:sz w:val="20"/>
          <w:szCs w:val="20"/>
          <w:color w:val="auto"/>
        </w:rPr>
      </w:pPr>
      <w:r>
        <w:rPr>
          <w:rFonts w:ascii="Arial" w:cs="Arial" w:eastAsia="Arial" w:hAnsi="Arial"/>
          <w:sz w:val="16"/>
          <w:szCs w:val="16"/>
          <w:color w:val="auto"/>
        </w:rPr>
        <w:t>– The Company’s annual burn rate under the 2011 Plan for 2023 was 0.15%. Burn rate shows how rapidly a company is depleting its shares reserved for equity compensation plans and is defined for any year as the number of shares granted under the Company’s equity incentive plans during the year divided by the basic weighted average number of common shares outstanding. The Company’s average annual burn rate for the years 2021 to 2023 was 0.17%.</w:t>
      </w:r>
    </w:p>
    <w:p>
      <w:pPr>
        <w:spacing w:after="0" w:line="1" w:lineRule="exact"/>
        <w:rPr>
          <w:sz w:val="20"/>
          <w:szCs w:val="20"/>
          <w:color w:val="auto"/>
        </w:rPr>
      </w:pPr>
    </w:p>
    <w:p>
      <w:pPr>
        <w:ind w:left="660" w:right="100" w:hanging="324"/>
        <w:spacing w:after="0" w:line="228" w:lineRule="auto"/>
        <w:rPr>
          <w:sz w:val="20"/>
          <w:szCs w:val="20"/>
          <w:color w:val="auto"/>
        </w:rPr>
      </w:pPr>
      <w:r>
        <w:rPr>
          <w:rFonts w:ascii="Arial" w:cs="Arial" w:eastAsia="Arial" w:hAnsi="Arial"/>
          <w:sz w:val="16"/>
          <w:szCs w:val="16"/>
          <w:color w:val="auto"/>
        </w:rPr>
        <w:t>– Our overhang as of March 1, 2024 was 3.17%. If the 2024 Plan had been approved on March 1, 2024, our overhang as that date would have been 4.37%. Overhang is calculated as the number of shares subject to equity awards outstanding but not exercised or settled, plus number of shares available to be granted, divided by total common shares outstanding.</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The number of shares of common stock outstanding as of March 1, 2024 was 148,200,063.</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Federal Income Tax Treatment of Awards Under the 2024 Plan</w:t>
      </w:r>
    </w:p>
    <w:p>
      <w:pPr>
        <w:spacing w:after="0" w:line="235" w:lineRule="exact"/>
        <w:rPr>
          <w:sz w:val="20"/>
          <w:szCs w:val="20"/>
          <w:color w:val="auto"/>
        </w:rPr>
      </w:pPr>
    </w:p>
    <w:p>
      <w:pPr>
        <w:ind w:right="220"/>
        <w:spacing w:after="0" w:line="230" w:lineRule="auto"/>
        <w:rPr>
          <w:sz w:val="20"/>
          <w:szCs w:val="20"/>
          <w:color w:val="auto"/>
        </w:rPr>
      </w:pPr>
      <w:r>
        <w:rPr>
          <w:rFonts w:ascii="Arial" w:cs="Arial" w:eastAsia="Arial" w:hAnsi="Arial"/>
          <w:sz w:val="16"/>
          <w:szCs w:val="16"/>
          <w:color w:val="auto"/>
        </w:rPr>
        <w:t>The following is a summary of the United States federal income tax consequences that generally will arise with respect to awards granted under the 2024 Plan. This summary is based on the federal tax laws in effect as of the date of this proxy statement. In addition, this summary assumes that all awards are</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exempt from, or comply with, the rules under Section 409A of the Code regarding nonqualified deferred compensation. Changes to these laws could alter the tax consequences described below. This summary is not intended to be exhaustive and, among other considerations, does not describe the deferred compensation provisions of Section 409A of the Code to the extent an award is subject to and does not satisfy those rules; nor does it describe state, local, or international tax consequences.</w:t>
      </w:r>
    </w:p>
    <w:p>
      <w:pPr>
        <w:spacing w:after="0" w:line="20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tax consequences of awards authorized for issuance under the 2024 depend on the types of awards granted. Generally, the tax consequences would be as follows for the following types of awards.</w:t>
      </w:r>
    </w:p>
    <w:p>
      <w:pPr>
        <w:spacing w:after="0" w:line="196"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A participant will not have income upon the grant of an incentive stock option. Also, except as described below, a participant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have income upon exercise of an incentive stock option if the participant has been employed by the Company or its corporate parent or 50% or majority-owned corporate subsidiary at all times beginning with the stock option grant date and ending three months before the date the participant exercises the</w:t>
      </w:r>
    </w:p>
    <w:p>
      <w:pPr>
        <w:spacing w:after="0" w:line="2" w:lineRule="exact"/>
        <w:rPr>
          <w:sz w:val="20"/>
          <w:szCs w:val="20"/>
          <w:color w:val="auto"/>
        </w:rPr>
      </w:pPr>
    </w:p>
    <w:p>
      <w:pPr>
        <w:ind w:right="280"/>
        <w:spacing w:after="0" w:line="235" w:lineRule="auto"/>
        <w:rPr>
          <w:sz w:val="20"/>
          <w:szCs w:val="20"/>
          <w:color w:val="auto"/>
        </w:rPr>
      </w:pPr>
      <w:r>
        <w:rPr>
          <w:rFonts w:ascii="Arial" w:cs="Arial" w:eastAsia="Arial" w:hAnsi="Arial"/>
          <w:sz w:val="16"/>
          <w:szCs w:val="16"/>
          <w:color w:val="auto"/>
        </w:rPr>
        <w:t>stock option. If the participant has not been so employed during that time, then the participant will be taxed as described below under “Nonqualified Stock Options.” The exercise of an incentive stock option may subject the participant to the alternative minimum tax.</w:t>
      </w:r>
    </w:p>
    <w:p>
      <w:pPr>
        <w:spacing w:after="0" w:line="204"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stock option was granted and more than one year after the stock option was exercised, then all of the profit will be long-term capital gain. If a participant sells the stock prior to satisfying these waiting periods, then the participant will have engaged in a disqualifying disposition and a portion of the profit will be ordinary income and a</w:t>
      </w:r>
    </w:p>
    <w:p>
      <w:pPr>
        <w:ind w:right="40"/>
        <w:spacing w:after="0" w:line="220" w:lineRule="auto"/>
        <w:rPr>
          <w:sz w:val="20"/>
          <w:szCs w:val="20"/>
          <w:color w:val="auto"/>
        </w:rPr>
      </w:pPr>
      <w:r>
        <w:rPr>
          <w:rFonts w:ascii="Arial" w:cs="Arial" w:eastAsia="Arial" w:hAnsi="Arial"/>
          <w:sz w:val="16"/>
          <w:szCs w:val="16"/>
          <w:color w:val="auto"/>
        </w:rPr>
        <w:t>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w:t>
      </w:r>
    </w:p>
    <w:p>
      <w:pPr>
        <w:spacing w:after="0"/>
        <w:rPr>
          <w:sz w:val="20"/>
          <w:szCs w:val="20"/>
          <w:color w:val="auto"/>
        </w:rPr>
      </w:pPr>
      <w:r>
        <w:rPr>
          <w:rFonts w:ascii="Arial" w:cs="Arial" w:eastAsia="Arial" w:hAnsi="Arial"/>
          <w:sz w:val="16"/>
          <w:szCs w:val="16"/>
          <w:color w:val="auto"/>
        </w:rPr>
        <w:t>the participant held the stock for more than one year and otherwise will be short-term.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 w:hanging="494"/>
        <w:spacing w:after="0"/>
        <w:tabs>
          <w:tab w:leader="none" w:pos="520" w:val="left"/>
        </w:tabs>
        <w:numPr>
          <w:ilvl w:val="0"/>
          <w:numId w:val="176"/>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4"/>
          <w:szCs w:val="14"/>
          <w:b w:val="1"/>
          <w:bCs w:val="1"/>
          <w:color w:val="auto"/>
        </w:rPr>
        <w:t>Proposal 5: Approval of 2024 Long-Term Incentive Stock Plan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40"/>
        <w:spacing w:after="0" w:line="239" w:lineRule="auto"/>
        <w:rPr>
          <w:sz w:val="20"/>
          <w:szCs w:val="20"/>
          <w:color w:val="auto"/>
        </w:rPr>
      </w:pPr>
      <w:r>
        <w:rPr>
          <w:rFonts w:ascii="Arial" w:cs="Arial" w:eastAsia="Arial" w:hAnsi="Arial"/>
          <w:sz w:val="16"/>
          <w:szCs w:val="16"/>
          <w:i w:val="1"/>
          <w:iCs w:val="1"/>
          <w:color w:val="auto"/>
        </w:rPr>
        <w:t xml:space="preserve">Nonqualified Stock Options. </w:t>
      </w:r>
      <w:r>
        <w:rPr>
          <w:rFonts w:ascii="Arial" w:cs="Arial" w:eastAsia="Arial" w:hAnsi="Arial"/>
          <w:sz w:val="16"/>
          <w:szCs w:val="16"/>
          <w:color w:val="auto"/>
        </w:rPr>
        <w:t>A participant will not have income upon the grant of a nonqualified stock option. A participant will have compensation income</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exercise of a nonqualified stock option equal to the value of the stock on the day the participant exercised the stock option less the exercise price.</w:t>
      </w:r>
    </w:p>
    <w:p>
      <w:pPr>
        <w:spacing w:after="0" w:line="1" w:lineRule="exact"/>
        <w:rPr>
          <w:sz w:val="20"/>
          <w:szCs w:val="20"/>
          <w:color w:val="auto"/>
        </w:rPr>
      </w:pPr>
    </w:p>
    <w:p>
      <w:pPr>
        <w:ind w:right="60"/>
        <w:spacing w:after="0" w:line="220" w:lineRule="auto"/>
        <w:rPr>
          <w:sz w:val="20"/>
          <w:szCs w:val="20"/>
          <w:color w:val="auto"/>
        </w:rPr>
      </w:pPr>
      <w:r>
        <w:rPr>
          <w:rFonts w:ascii="Arial" w:cs="Arial" w:eastAsia="Arial" w:hAnsi="Arial"/>
          <w:sz w:val="16"/>
          <w:szCs w:val="16"/>
          <w:color w:val="auto"/>
        </w:rPr>
        <w:t>Upon sale of the stock, the participant will have capital gain or loss equal to the difference between the sales proceeds and the value of the stock on the day the stock option was exercised. This capital gain or loss will be long-term if the participant has held the stock for more than one year and otherwise will be</w:t>
      </w:r>
    </w:p>
    <w:p>
      <w:pPr>
        <w:spacing w:after="0" w:line="229" w:lineRule="auto"/>
        <w:rPr>
          <w:sz w:val="20"/>
          <w:szCs w:val="20"/>
          <w:color w:val="auto"/>
        </w:rPr>
      </w:pPr>
      <w:r>
        <w:rPr>
          <w:rFonts w:ascii="Arial" w:cs="Arial" w:eastAsia="Arial" w:hAnsi="Arial"/>
          <w:sz w:val="16"/>
          <w:szCs w:val="16"/>
          <w:color w:val="auto"/>
        </w:rPr>
        <w:t>short-term.</w:t>
      </w:r>
    </w:p>
    <w:p>
      <w:pPr>
        <w:ind w:right="100"/>
        <w:spacing w:after="0" w:line="236"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 participant will not have income upon the grant of a SAR. A participant generally will recognize compensation income upon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a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w:t>
      </w:r>
    </w:p>
    <w:p>
      <w:pPr>
        <w:spacing w:after="0" w:line="192"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A participant will not have income upon the grant of restricted stock unless an election under Section 83(b) of the Code is made</w:t>
      </w:r>
      <w:r>
        <w:rPr>
          <w:rFonts w:ascii="Arial" w:cs="Arial" w:eastAsia="Arial" w:hAnsi="Arial"/>
          <w:sz w:val="16"/>
          <w:szCs w:val="16"/>
          <w:i w:val="1"/>
          <w:iCs w:val="1"/>
          <w:color w:val="auto"/>
        </w:rPr>
        <w:t xml:space="preserve"> </w:t>
      </w:r>
      <w:r>
        <w:rPr>
          <w:rFonts w:ascii="Arial" w:cs="Arial" w:eastAsia="Arial" w:hAnsi="Arial"/>
          <w:sz w:val="16"/>
          <w:szCs w:val="16"/>
          <w:color w:val="auto"/>
        </w:rPr>
        <w:t>within 30 days of the date of grant. If a timely 83(b) election is made, then a participant will have compensation income equal to the value of the stock less the purchase price, if any.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if any. When the stock is sold, the participant will have capital gain or loss</w:t>
      </w:r>
    </w:p>
    <w:p>
      <w:pPr>
        <w:ind w:right="60"/>
        <w:spacing w:after="0" w:line="235" w:lineRule="auto"/>
        <w:rPr>
          <w:sz w:val="20"/>
          <w:szCs w:val="20"/>
          <w:color w:val="auto"/>
        </w:rPr>
      </w:pPr>
      <w:r>
        <w:rPr>
          <w:rFonts w:ascii="Arial" w:cs="Arial" w:eastAsia="Arial" w:hAnsi="Arial"/>
          <w:sz w:val="16"/>
          <w:szCs w:val="16"/>
          <w:color w:val="auto"/>
        </w:rPr>
        <w:t>equal to the sales proceeds less the value of the stock on the vesting date. Any capital gain or loss will be long-term if the participant held the stock for more than one year and otherwise will be short-term.</w:t>
      </w:r>
    </w:p>
    <w:p>
      <w:pPr>
        <w:spacing w:after="0" w:line="204"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A participant will not have income upon the grant of an RSU. A participant is not permitted to make a Section 83(b) election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an RSU award. When the shares of common stock are delivered with respect to the RSUs (which may be upon vesting or may be at a later date), the participant will have income on the date of delivery in an amount equal to the fair market value of the stock on such date less the purchase price, if any. When the stock is sold, the participant will have capital gain or loss equal to the sales proceeds less the value of the stock on the delivery date. Any capital gain or loss will be long-term if the participant held the stock for more than one year and otherwise will be short-term.</w:t>
      </w:r>
    </w:p>
    <w:p>
      <w:pPr>
        <w:spacing w:after="0" w:line="191" w:lineRule="exact"/>
        <w:rPr>
          <w:sz w:val="20"/>
          <w:szCs w:val="20"/>
          <w:color w:val="auto"/>
        </w:rPr>
      </w:pPr>
    </w:p>
    <w:p>
      <w:pPr>
        <w:ind w:right="260"/>
        <w:spacing w:after="0" w:line="242" w:lineRule="auto"/>
        <w:rPr>
          <w:sz w:val="20"/>
          <w:szCs w:val="20"/>
          <w:color w:val="auto"/>
        </w:rPr>
      </w:pPr>
      <w:r>
        <w:rPr>
          <w:rFonts w:ascii="Arial" w:cs="Arial" w:eastAsia="Arial" w:hAnsi="Arial"/>
          <w:sz w:val="16"/>
          <w:szCs w:val="16"/>
          <w:i w:val="1"/>
          <w:iCs w:val="1"/>
          <w:color w:val="auto"/>
        </w:rPr>
        <w:t xml:space="preserve">Other Stock-Based Awards. </w:t>
      </w:r>
      <w:r>
        <w:rPr>
          <w:rFonts w:ascii="Arial" w:cs="Arial" w:eastAsia="Arial" w:hAnsi="Arial"/>
          <w:sz w:val="16"/>
          <w:szCs w:val="16"/>
          <w:color w:val="auto"/>
        </w:rPr>
        <w:t>The tax consequences associated with any other stock-based award granted under the 2024 Plan will vary depending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203" w:lineRule="exact"/>
        <w:rPr>
          <w:sz w:val="20"/>
          <w:szCs w:val="20"/>
          <w:color w:val="auto"/>
        </w:rPr>
      </w:pPr>
    </w:p>
    <w:p>
      <w:pPr>
        <w:ind w:right="360"/>
        <w:spacing w:after="0" w:line="268" w:lineRule="auto"/>
        <w:rPr>
          <w:sz w:val="20"/>
          <w:szCs w:val="20"/>
          <w:color w:val="auto"/>
        </w:rPr>
      </w:pPr>
      <w:r>
        <w:rPr>
          <w:rFonts w:ascii="Arial" w:cs="Arial" w:eastAsia="Arial" w:hAnsi="Arial"/>
          <w:sz w:val="16"/>
          <w:szCs w:val="16"/>
          <w:i w:val="1"/>
          <w:iCs w:val="1"/>
          <w:color w:val="auto"/>
        </w:rPr>
        <w:t xml:space="preserve">Tax Consequences to the Company. </w:t>
      </w:r>
      <w:r>
        <w:rPr>
          <w:rFonts w:ascii="Arial" w:cs="Arial" w:eastAsia="Arial" w:hAnsi="Arial"/>
          <w:sz w:val="16"/>
          <w:szCs w:val="16"/>
          <w:color w:val="auto"/>
        </w:rPr>
        <w:t>There will be no tax consequences to the Company except that the Company will be entitled to a deduction when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has compensation income, subject to the limitations of Section 162(m) of the Code.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Benefits under the 2024 Plan</w:t>
      </w:r>
    </w:p>
    <w:p>
      <w:pPr>
        <w:spacing w:after="0" w:line="235"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The amount and form of awards to eligible participants under the 2024 Plan in any year is determined at the discretion of the Compensation and Human Capital Committee and the Board. Therefore, future benefits under the 2024 Plan are discretionary and not determinable at this time, and we cannot include a table that reflects such future awards.</w:t>
      </w:r>
      <w:r>
        <w:rPr>
          <w:rFonts w:ascii="Arial" w:cs="Arial" w:eastAsia="Arial" w:hAnsi="Arial"/>
          <w:sz w:val="21"/>
          <w:szCs w:val="21"/>
          <w:color w:val="auto"/>
          <w:vertAlign w:val="superscript"/>
        </w:rPr>
        <w:t>1</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Based on the foregoing, the Board of Directors unanimously recommends the shareholders approve the 2024 Plan.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343"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Approval of this proposal requires the affirmative vote of a majority of the votes cast on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270510</wp:posOffset>
            </wp:positionV>
            <wp:extent cx="7149465" cy="3600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9465" cy="36004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 xml:space="preserve">THE BOARD OF DIRECTORS UNANIMOUSLY RECOMMENDS THAT YOU VOTE </w:t>
      </w:r>
      <w:r>
        <w:rPr>
          <w:rFonts w:ascii="Arial" w:cs="Arial" w:eastAsia="Arial" w:hAnsi="Arial"/>
          <w:sz w:val="14"/>
          <w:szCs w:val="14"/>
          <w:b w:val="1"/>
          <w:bCs w:val="1"/>
          <w:color w:val="29378D"/>
        </w:rPr>
        <w:t>“FOR”</w:t>
      </w:r>
      <w:r>
        <w:rPr>
          <w:rFonts w:ascii="Arial" w:cs="Arial" w:eastAsia="Arial" w:hAnsi="Arial"/>
          <w:sz w:val="14"/>
          <w:szCs w:val="14"/>
          <w:b w:val="1"/>
          <w:bCs w:val="1"/>
          <w:color w:val="auto"/>
        </w:rPr>
        <w:t xml:space="preserve">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171450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firstLine="8"/>
        <w:spacing w:after="0" w:line="245" w:lineRule="auto"/>
        <w:tabs>
          <w:tab w:leader="none" w:pos="103" w:val="left"/>
        </w:tabs>
        <w:numPr>
          <w:ilvl w:val="0"/>
          <w:numId w:val="177"/>
        </w:numPr>
        <w:rPr>
          <w:rFonts w:ascii="Arial" w:cs="Arial" w:eastAsia="Arial" w:hAnsi="Arial"/>
          <w:sz w:val="21"/>
          <w:szCs w:val="21"/>
          <w:color w:val="auto"/>
          <w:vertAlign w:val="superscript"/>
        </w:rPr>
      </w:pPr>
      <w:r>
        <w:rPr>
          <w:rFonts w:ascii="Arial" w:cs="Arial" w:eastAsia="Arial" w:hAnsi="Arial"/>
          <w:sz w:val="16"/>
          <w:szCs w:val="16"/>
          <w:color w:val="auto"/>
        </w:rPr>
        <w:t>Information about awards granted under the 2011 Plan in fiscal year 2023 to the Named Executive Officers can be found under the “Grants of Plan-Based Awards” table on page 73 of this Proxy Statement. Information regarding grants in fiscal year 2023 to non-employee directors can be found under the “Director Compensation” table on page 47 of this Proxy Statement, as well as a discussion of annual equity grants to each non-employee director pursuant to The Northrop Grumman Equity Grant Program for Non-Employee Directors.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97</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0" w:name="page101"/>
    <w:bookmarkEnd w:id="100"/>
    <w:p>
      <w:pPr>
        <w:spacing w:after="0"/>
        <w:rPr>
          <w:sz w:val="20"/>
          <w:szCs w:val="20"/>
          <w:color w:val="auto"/>
        </w:rPr>
      </w:pPr>
      <w:r>
        <w:rPr>
          <w:rFonts w:ascii="Arial" w:cs="Arial" w:eastAsia="Arial" w:hAnsi="Arial"/>
          <w:sz w:val="43"/>
          <w:szCs w:val="43"/>
          <w:b w:val="1"/>
          <w:bCs w:val="1"/>
          <w:color w:val="29378D"/>
        </w:rPr>
        <w:t>Proposal 6: Shareholder Proposal</w:t>
      </w:r>
    </w:p>
    <w:p>
      <w:pPr>
        <w:spacing w:after="0" w:line="200" w:lineRule="exact"/>
        <w:rPr>
          <w:sz w:val="20"/>
          <w:szCs w:val="20"/>
          <w:color w:val="auto"/>
        </w:rPr>
      </w:pPr>
    </w:p>
    <w:p>
      <w:pPr>
        <w:spacing w:after="0" w:line="26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School Sisters of Notre Dame Cooperative Investment Fund, 8410 Charles Valley Court, Suite F, Baltimore, MD 21204, a beneficial owner of common stock of the Company with a value of at least $2,000, has stated its intent to present a proposal at the Annual Meeting. The proposal and supporting statement, for which the Board of Directors accepts no responsibility, is set forth below. The Board of Directors opposes the shareholder proposal for the reasons stated below.</w:t>
      </w:r>
    </w:p>
    <w:p>
      <w:pPr>
        <w:spacing w:after="0" w:line="179" w:lineRule="exact"/>
        <w:rPr>
          <w:sz w:val="20"/>
          <w:szCs w:val="20"/>
          <w:color w:val="auto"/>
        </w:rPr>
      </w:pPr>
    </w:p>
    <w:p>
      <w:pPr>
        <w:ind w:right="180"/>
        <w:spacing w:after="0" w:line="281" w:lineRule="auto"/>
        <w:rPr>
          <w:sz w:val="20"/>
          <w:szCs w:val="20"/>
          <w:color w:val="auto"/>
        </w:rPr>
      </w:pPr>
      <w:r>
        <w:rPr>
          <w:rFonts w:ascii="Arial" w:cs="Arial" w:eastAsia="Arial" w:hAnsi="Arial"/>
          <w:sz w:val="32"/>
          <w:szCs w:val="32"/>
          <w:b w:val="1"/>
          <w:bCs w:val="1"/>
          <w:color w:val="auto"/>
        </w:rPr>
        <w:t>Proposal 6: Shareholder Proposal to Annually Conduct an Evaluation and Issue a Report Describing the Alignment of the Company’s Political Activities with Its Human Rights Policy</w:t>
      </w:r>
    </w:p>
    <w:p>
      <w:pPr>
        <w:spacing w:after="0" w:line="236"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Shareholders request the Board of Directors annually conduct an evaluation and issue a public report, at reasonable cost and omitting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describing the alignment of its political activities (including direct and indirect lobbying and political and electioneering expenditures) with its Human Rights Policy. The report should list and explain instances of misalignment, and state whether and how the identified incongruencies have or will be addressed.</w:t>
      </w:r>
    </w:p>
    <w:p>
      <w:pPr>
        <w:spacing w:after="0" w:line="60" w:lineRule="exact"/>
        <w:rPr>
          <w:sz w:val="20"/>
          <w:szCs w:val="20"/>
          <w:color w:val="auto"/>
        </w:rPr>
      </w:pPr>
    </w:p>
    <w:p>
      <w:pPr>
        <w:ind w:right="160"/>
        <w:spacing w:after="0" w:line="23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Northrop Grumman (Northrop), in its Human Rights Policy, states its “deep respect for individuals and human rights” and recognizes the UN</w:t>
      </w:r>
      <w:r>
        <w:rPr>
          <w:rFonts w:ascii="Arial" w:cs="Arial" w:eastAsia="Arial" w:hAnsi="Arial"/>
          <w:sz w:val="16"/>
          <w:szCs w:val="16"/>
          <w:b w:val="1"/>
          <w:bCs w:val="1"/>
          <w:color w:val="auto"/>
        </w:rPr>
        <w:t xml:space="preserve"> </w:t>
      </w:r>
      <w:r>
        <w:rPr>
          <w:rFonts w:ascii="Arial" w:cs="Arial" w:eastAsia="Arial" w:hAnsi="Arial"/>
          <w:sz w:val="16"/>
          <w:szCs w:val="16"/>
          <w:color w:val="auto"/>
        </w:rPr>
        <w:t>Guiding Principles on Business and Human Rights as important guidance for companies to meet their human rights responsibilities. However, Northrop’s political activities suggest it actively lobbies, makes political contributions, and otherwise pushes for government sales of its defense products and services to customers linked to irremediable human rights impacts, especially in conflict-affected and high-risk areas.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Engaging in political activities misaligned with its Human Rights Policy presents material legal, reputational, regulatory, and litigation risks to the Company.</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Shareholders lack sufficient disclosure to analyze whether there is alignment with the Company’s stated policies.</w:t>
      </w:r>
    </w:p>
    <w:p>
      <w:pPr>
        <w:spacing w:after="0" w:line="86" w:lineRule="exact"/>
        <w:rPr>
          <w:sz w:val="20"/>
          <w:szCs w:val="20"/>
          <w:color w:val="auto"/>
        </w:rPr>
      </w:pPr>
    </w:p>
    <w:p>
      <w:pPr>
        <w:ind w:right="100"/>
        <w:spacing w:after="0" w:line="220" w:lineRule="auto"/>
        <w:rPr>
          <w:sz w:val="20"/>
          <w:szCs w:val="20"/>
          <w:color w:val="auto"/>
        </w:rPr>
      </w:pPr>
      <w:r>
        <w:rPr>
          <w:rFonts w:ascii="Arial" w:cs="Arial" w:eastAsia="Arial" w:hAnsi="Arial"/>
          <w:sz w:val="16"/>
          <w:szCs w:val="16"/>
          <w:color w:val="auto"/>
        </w:rPr>
        <w:t>Northrop has high-risk business activities in the areas of controversial arms trade, military training, nuclear weapons, and border militarization.</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Investors lack assurance Northrop’s political activities are not encouraging sales of products that present significant human rights risks. In October 2023, Northrop’s CEO stated Northrop is “working closely” with its customers, of which the US government is the largest, to “navigate the fiscal pressures they see to ensure our programs remain well supported.”</w:t>
      </w:r>
      <w:r>
        <w:rPr>
          <w:rFonts w:ascii="Arial" w:cs="Arial" w:eastAsia="Arial" w:hAnsi="Arial"/>
          <w:sz w:val="21"/>
          <w:szCs w:val="21"/>
          <w:color w:val="auto"/>
          <w:vertAlign w:val="superscript"/>
        </w:rPr>
        <w:t>4</w:t>
      </w:r>
      <w:r>
        <w:rPr>
          <w:rFonts w:ascii="Arial" w:cs="Arial" w:eastAsia="Arial" w:hAnsi="Arial"/>
          <w:sz w:val="16"/>
          <w:szCs w:val="16"/>
          <w:color w:val="auto"/>
        </w:rPr>
        <w:t xml:space="preserve"> Northrop’s influence can be seen in its $13.3 billion nuclear missile contract awarded in 2020 by the Air Force.</w:t>
      </w:r>
      <w:r>
        <w:rPr>
          <w:rFonts w:ascii="Arial" w:cs="Arial" w:eastAsia="Arial" w:hAnsi="Arial"/>
          <w:sz w:val="21"/>
          <w:szCs w:val="21"/>
          <w:color w:val="auto"/>
          <w:vertAlign w:val="superscript"/>
        </w:rPr>
        <w:t>5</w:t>
      </w:r>
      <w:r>
        <w:rPr>
          <w:rFonts w:ascii="Arial" w:cs="Arial" w:eastAsia="Arial" w:hAnsi="Arial"/>
          <w:sz w:val="16"/>
          <w:szCs w:val="16"/>
          <w:color w:val="auto"/>
        </w:rPr>
        <w:t xml:space="preserve"> Nuclear weapons are illegal under international law due to their indiscriminate and disproportionate impacts on civilians.</w:t>
      </w:r>
      <w:r>
        <w:rPr>
          <w:rFonts w:ascii="Arial" w:cs="Arial" w:eastAsia="Arial" w:hAnsi="Arial"/>
          <w:sz w:val="21"/>
          <w:szCs w:val="21"/>
          <w:color w:val="auto"/>
          <w:vertAlign w:val="superscript"/>
        </w:rPr>
        <w:t>6</w:t>
      </w:r>
      <w:r>
        <w:rPr>
          <w:rFonts w:ascii="Arial" w:cs="Arial" w:eastAsia="Arial" w:hAnsi="Arial"/>
          <w:sz w:val="16"/>
          <w:szCs w:val="16"/>
          <w:color w:val="auto"/>
        </w:rPr>
        <w:t xml:space="preserve"> Before the contract was approved, Northrop lobbied against an amendment which would have required the Pentagon explore alternatives to these missiles.</w:t>
      </w:r>
      <w:r>
        <w:rPr>
          <w:rFonts w:ascii="Arial" w:cs="Arial" w:eastAsia="Arial" w:hAnsi="Arial"/>
          <w:sz w:val="21"/>
          <w:szCs w:val="21"/>
          <w:color w:val="auto"/>
          <w:vertAlign w:val="superscript"/>
        </w:rPr>
        <w:t>7</w:t>
      </w:r>
      <w:r>
        <w:rPr>
          <w:rFonts w:ascii="Arial" w:cs="Arial" w:eastAsia="Arial" w:hAnsi="Arial"/>
          <w:sz w:val="16"/>
          <w:szCs w:val="16"/>
          <w:color w:val="auto"/>
        </w:rPr>
        <w:t xml:space="preserve"> The Company currently has $81 billion in outstanding nuclear contracts.</w:t>
      </w:r>
      <w:r>
        <w:rPr>
          <w:rFonts w:ascii="Arial" w:cs="Arial" w:eastAsia="Arial" w:hAnsi="Arial"/>
          <w:sz w:val="21"/>
          <w:szCs w:val="21"/>
          <w:color w:val="auto"/>
          <w:vertAlign w:val="superscript"/>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D2D2D"/>
        </w:rPr>
        <w:t>_________________________________</w:t>
      </w:r>
    </w:p>
    <w:p>
      <w:pPr>
        <w:spacing w:after="0" w:line="38" w:lineRule="exact"/>
        <w:rPr>
          <w:sz w:val="20"/>
          <w:szCs w:val="20"/>
          <w:color w:val="auto"/>
        </w:rPr>
      </w:pPr>
    </w:p>
    <w:p>
      <w:pPr>
        <w:ind w:left="260" w:hanging="252"/>
        <w:spacing w:after="0"/>
        <w:tabs>
          <w:tab w:leader="none" w:pos="260" w:val="left"/>
        </w:tabs>
        <w:numPr>
          <w:ilvl w:val="0"/>
          <w:numId w:val="178"/>
        </w:numPr>
        <w:rPr>
          <w:rFonts w:ascii="Arial" w:cs="Arial" w:eastAsia="Arial" w:hAnsi="Arial"/>
          <w:sz w:val="21"/>
          <w:szCs w:val="21"/>
          <w:color w:val="auto"/>
          <w:vertAlign w:val="superscript"/>
        </w:rPr>
      </w:pPr>
      <w:r>
        <w:rPr>
          <w:rFonts w:ascii="Arial" w:cs="Arial" w:eastAsia="Arial" w:hAnsi="Arial"/>
          <w:sz w:val="14"/>
          <w:szCs w:val="14"/>
          <w:color w:val="auto"/>
        </w:rPr>
        <w:t>https://www.opensecrets.org/news/reports/capitalizing-on-conflict/yemen-case-study</w:t>
      </w:r>
    </w:p>
    <w:p>
      <w:pPr>
        <w:spacing w:after="0" w:line="2" w:lineRule="exact"/>
        <w:rPr>
          <w:sz w:val="20"/>
          <w:szCs w:val="20"/>
          <w:color w:val="auto"/>
        </w:rPr>
      </w:pPr>
    </w:p>
    <w:p>
      <w:pPr>
        <w:ind w:left="260" w:hanging="252"/>
        <w:spacing w:after="0"/>
        <w:tabs>
          <w:tab w:leader="none" w:pos="260" w:val="left"/>
        </w:tabs>
        <w:numPr>
          <w:ilvl w:val="0"/>
          <w:numId w:val="179"/>
        </w:numPr>
        <w:rPr>
          <w:rFonts w:ascii="Arial" w:cs="Arial" w:eastAsia="Arial" w:hAnsi="Arial"/>
          <w:sz w:val="21"/>
          <w:szCs w:val="21"/>
          <w:color w:val="auto"/>
          <w:vertAlign w:val="superscript"/>
        </w:rPr>
      </w:pPr>
      <w:r>
        <w:rPr>
          <w:rFonts w:ascii="Arial" w:cs="Arial" w:eastAsia="Arial" w:hAnsi="Arial"/>
          <w:sz w:val="14"/>
          <w:szCs w:val="14"/>
          <w:color w:val="auto"/>
        </w:rPr>
        <w:t>https://www.sec.gov/Archives/edgar/data/1636143/000121465923005876/b424231px14a6g.htm</w:t>
      </w:r>
    </w:p>
    <w:p>
      <w:pPr>
        <w:spacing w:after="0" w:line="2" w:lineRule="exact"/>
        <w:rPr>
          <w:sz w:val="20"/>
          <w:szCs w:val="20"/>
          <w:color w:val="auto"/>
        </w:rPr>
      </w:pPr>
    </w:p>
    <w:p>
      <w:pPr>
        <w:ind w:left="260" w:hanging="252"/>
        <w:spacing w:after="0"/>
        <w:tabs>
          <w:tab w:leader="none" w:pos="260" w:val="left"/>
        </w:tabs>
        <w:numPr>
          <w:ilvl w:val="0"/>
          <w:numId w:val="180"/>
        </w:numPr>
        <w:rPr>
          <w:rFonts w:ascii="Arial" w:cs="Arial" w:eastAsia="Arial" w:hAnsi="Arial"/>
          <w:sz w:val="21"/>
          <w:szCs w:val="21"/>
          <w:color w:val="auto"/>
          <w:vertAlign w:val="superscript"/>
        </w:rPr>
      </w:pPr>
      <w:r>
        <w:rPr>
          <w:rFonts w:ascii="Arial" w:cs="Arial" w:eastAsia="Arial" w:hAnsi="Arial"/>
          <w:sz w:val="14"/>
          <w:szCs w:val="14"/>
          <w:color w:val="auto"/>
        </w:rPr>
        <w:t>https://investigate.afsc.org/company/northrop-grumman</w:t>
      </w:r>
    </w:p>
    <w:p>
      <w:pPr>
        <w:spacing w:after="0" w:line="2" w:lineRule="exact"/>
        <w:rPr>
          <w:sz w:val="20"/>
          <w:szCs w:val="20"/>
          <w:color w:val="auto"/>
        </w:rPr>
      </w:pPr>
    </w:p>
    <w:p>
      <w:pPr>
        <w:ind w:left="260" w:hanging="252"/>
        <w:spacing w:after="0"/>
        <w:tabs>
          <w:tab w:leader="none" w:pos="260" w:val="left"/>
        </w:tabs>
        <w:numPr>
          <w:ilvl w:val="0"/>
          <w:numId w:val="181"/>
        </w:numPr>
        <w:rPr>
          <w:rFonts w:ascii="Arial" w:cs="Arial" w:eastAsia="Arial" w:hAnsi="Arial"/>
          <w:sz w:val="21"/>
          <w:szCs w:val="21"/>
          <w:color w:val="auto"/>
          <w:vertAlign w:val="superscript"/>
        </w:rPr>
      </w:pPr>
      <w:r>
        <w:rPr>
          <w:rFonts w:ascii="Arial" w:cs="Arial" w:eastAsia="Arial" w:hAnsi="Arial"/>
          <w:sz w:val="14"/>
          <w:szCs w:val="14"/>
          <w:color w:val="auto"/>
        </w:rPr>
        <w:t>https://seekingalpha.com/article/4643929-northrop-grumman-corporation-noc-q3-2023-earnings-call-transcript</w:t>
      </w:r>
    </w:p>
    <w:p>
      <w:pPr>
        <w:spacing w:after="0" w:line="53" w:lineRule="exact"/>
        <w:rPr>
          <w:sz w:val="20"/>
          <w:szCs w:val="20"/>
          <w:color w:val="auto"/>
        </w:rPr>
      </w:pPr>
    </w:p>
    <w:p>
      <w:pPr>
        <w:ind w:left="260" w:right="1220" w:hanging="252"/>
        <w:spacing w:after="0" w:line="218" w:lineRule="auto"/>
        <w:tabs>
          <w:tab w:leader="none" w:pos="248" w:val="left"/>
        </w:tabs>
        <w:numPr>
          <w:ilvl w:val="0"/>
          <w:numId w:val="182"/>
        </w:numPr>
        <w:rPr>
          <w:rFonts w:ascii="Arial" w:cs="Arial" w:eastAsia="Arial" w:hAnsi="Arial"/>
          <w:sz w:val="21"/>
          <w:szCs w:val="21"/>
          <w:color w:val="auto"/>
          <w:vertAlign w:val="superscript"/>
        </w:rPr>
      </w:pPr>
      <w:r>
        <w:rPr>
          <w:rFonts w:ascii="Arial" w:cs="Arial" w:eastAsia="Arial" w:hAnsi="Arial"/>
          <w:sz w:val="14"/>
          <w:szCs w:val="14"/>
          <w:color w:val="auto"/>
        </w:rPr>
        <w:t>https://news.northropgrumman.com/news/releases/northrop-grumman-awarded-contract-to-replace-aging-icbm-system#:~:text=8%2C%202020%20%E2%80%93%20Northrop%20Grumman%20Corporation,Ground%20Based%20Strategic%20Deterrent%20(GBSD)</w:t>
      </w:r>
    </w:p>
    <w:p>
      <w:pPr>
        <w:spacing w:after="0" w:line="2" w:lineRule="exact"/>
        <w:rPr>
          <w:sz w:val="20"/>
          <w:szCs w:val="20"/>
          <w:color w:val="auto"/>
        </w:rPr>
      </w:pPr>
    </w:p>
    <w:p>
      <w:pPr>
        <w:ind w:left="260" w:hanging="252"/>
        <w:spacing w:after="0"/>
        <w:tabs>
          <w:tab w:leader="none" w:pos="260" w:val="left"/>
        </w:tabs>
        <w:numPr>
          <w:ilvl w:val="0"/>
          <w:numId w:val="183"/>
        </w:numPr>
        <w:rPr>
          <w:rFonts w:ascii="Arial" w:cs="Arial" w:eastAsia="Arial" w:hAnsi="Arial"/>
          <w:sz w:val="21"/>
          <w:szCs w:val="21"/>
          <w:color w:val="auto"/>
          <w:vertAlign w:val="superscript"/>
        </w:rPr>
      </w:pPr>
      <w:r>
        <w:rPr>
          <w:rFonts w:ascii="Arial" w:cs="Arial" w:eastAsia="Arial" w:hAnsi="Arial"/>
          <w:sz w:val="14"/>
          <w:szCs w:val="14"/>
          <w:color w:val="auto"/>
        </w:rPr>
        <w:t>https://treaties.un.org/doc/Treaties/2017/07/20170707%2003-42%20PM/Ch_XXVl_9.pdf</w:t>
      </w:r>
    </w:p>
    <w:p>
      <w:pPr>
        <w:spacing w:after="0" w:line="2" w:lineRule="exact"/>
        <w:rPr>
          <w:sz w:val="20"/>
          <w:szCs w:val="20"/>
          <w:color w:val="auto"/>
        </w:rPr>
      </w:pPr>
    </w:p>
    <w:p>
      <w:pPr>
        <w:ind w:left="260" w:hanging="252"/>
        <w:spacing w:after="0"/>
        <w:tabs>
          <w:tab w:leader="none" w:pos="260" w:val="left"/>
        </w:tabs>
        <w:numPr>
          <w:ilvl w:val="0"/>
          <w:numId w:val="184"/>
        </w:numPr>
        <w:rPr>
          <w:rFonts w:ascii="Arial" w:cs="Arial" w:eastAsia="Arial" w:hAnsi="Arial"/>
          <w:sz w:val="21"/>
          <w:szCs w:val="21"/>
          <w:color w:val="auto"/>
          <w:vertAlign w:val="superscript"/>
        </w:rPr>
      </w:pPr>
      <w:r>
        <w:rPr>
          <w:rFonts w:ascii="Arial" w:cs="Arial" w:eastAsia="Arial" w:hAnsi="Arial"/>
          <w:sz w:val="14"/>
          <w:szCs w:val="14"/>
          <w:color w:val="auto"/>
        </w:rPr>
        <w:t>https://www.armscontrol.org/act/2021-05/features/inside-icbm-lobby-special-interests-national-interest</w:t>
      </w:r>
    </w:p>
    <w:p>
      <w:pPr>
        <w:spacing w:after="0" w:line="2" w:lineRule="exact"/>
        <w:rPr>
          <w:sz w:val="20"/>
          <w:szCs w:val="20"/>
          <w:color w:val="auto"/>
        </w:rPr>
      </w:pPr>
    </w:p>
    <w:p>
      <w:pPr>
        <w:ind w:left="260" w:hanging="252"/>
        <w:spacing w:after="0"/>
        <w:tabs>
          <w:tab w:leader="none" w:pos="260" w:val="left"/>
        </w:tabs>
        <w:numPr>
          <w:ilvl w:val="0"/>
          <w:numId w:val="185"/>
        </w:numPr>
        <w:rPr>
          <w:rFonts w:ascii="Arial" w:cs="Arial" w:eastAsia="Arial" w:hAnsi="Arial"/>
          <w:sz w:val="21"/>
          <w:szCs w:val="21"/>
          <w:color w:val="auto"/>
          <w:vertAlign w:val="superscript"/>
        </w:rPr>
      </w:pPr>
      <w:r>
        <w:rPr>
          <w:rFonts w:ascii="Arial" w:cs="Arial" w:eastAsia="Arial" w:hAnsi="Arial"/>
          <w:sz w:val="14"/>
          <w:szCs w:val="14"/>
          <w:color w:val="auto"/>
        </w:rPr>
        <w:t>https://assets.nationbuilder.com/ican/pages/3785/attachments/original/1686495965/ICAN_Spending_Report_2023_sm.pdf?1686495965</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hanging="494"/>
        <w:spacing w:after="0"/>
        <w:tabs>
          <w:tab w:leader="none" w:pos="520" w:val="left"/>
        </w:tabs>
        <w:numPr>
          <w:ilvl w:val="0"/>
          <w:numId w:val="186"/>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4"/>
          <w:szCs w:val="14"/>
          <w:b w:val="1"/>
          <w:bCs w:val="1"/>
          <w:color w:val="auto"/>
        </w:rPr>
        <w:t>Proposal 6: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40"/>
        <w:spacing w:after="0" w:line="209" w:lineRule="auto"/>
        <w:rPr>
          <w:sz w:val="20"/>
          <w:szCs w:val="20"/>
          <w:color w:val="auto"/>
        </w:rPr>
      </w:pPr>
      <w:r>
        <w:rPr>
          <w:rFonts w:ascii="Arial" w:cs="Arial" w:eastAsia="Arial" w:hAnsi="Arial"/>
          <w:sz w:val="16"/>
          <w:szCs w:val="16"/>
          <w:color w:val="auto"/>
        </w:rPr>
        <w:t>In 2022, Northrop spent nearly $11 million on federal lobbying.</w:t>
      </w:r>
      <w:r>
        <w:rPr>
          <w:rFonts w:ascii="Arial" w:cs="Arial" w:eastAsia="Arial" w:hAnsi="Arial"/>
          <w:sz w:val="21"/>
          <w:szCs w:val="21"/>
          <w:color w:val="auto"/>
          <w:vertAlign w:val="superscript"/>
        </w:rPr>
        <w:t>9</w:t>
      </w:r>
      <w:r>
        <w:rPr>
          <w:rFonts w:ascii="Arial" w:cs="Arial" w:eastAsia="Arial" w:hAnsi="Arial"/>
          <w:sz w:val="16"/>
          <w:szCs w:val="16"/>
          <w:color w:val="auto"/>
        </w:rPr>
        <w:t xml:space="preserve"> Investors lack disclosure on these lobbying activities, particularly how they align with the Company’s Human Rights Policy.</w:t>
      </w:r>
      <w:r>
        <w:rPr>
          <w:rFonts w:ascii="Arial" w:cs="Arial" w:eastAsia="Arial" w:hAnsi="Arial"/>
          <w:sz w:val="21"/>
          <w:szCs w:val="21"/>
          <w:color w:val="auto"/>
          <w:vertAlign w:val="superscript"/>
        </w:rPr>
        <w:t>10</w:t>
      </w:r>
      <w:r>
        <w:rPr>
          <w:rFonts w:ascii="Arial" w:cs="Arial" w:eastAsia="Arial" w:hAnsi="Arial"/>
          <w:sz w:val="16"/>
          <w:szCs w:val="16"/>
          <w:color w:val="auto"/>
        </w:rPr>
        <w:t xml:space="preserve"> The UN has criticized the “symbiotic relationship” between governments and defense contractors, “which can cause States to approve arms exports despite genuine human rights risks that should prevent them.”</w:t>
      </w:r>
      <w:r>
        <w:rPr>
          <w:rFonts w:ascii="Arial" w:cs="Arial" w:eastAsia="Arial" w:hAnsi="Arial"/>
          <w:sz w:val="21"/>
          <w:szCs w:val="21"/>
          <w:color w:val="auto"/>
          <w:vertAlign w:val="superscript"/>
        </w:rPr>
        <w:t>11</w:t>
      </w:r>
      <w:r>
        <w:rPr>
          <w:rFonts w:ascii="Arial" w:cs="Arial" w:eastAsia="Arial" w:hAnsi="Arial"/>
          <w:sz w:val="16"/>
          <w:szCs w:val="16"/>
          <w:color w:val="auto"/>
        </w:rPr>
        <w:t xml:space="preserve"> Additionally, Northrop’s significant contributions to think tanks, such as the Center for a New American Security, lack transparency.</w:t>
      </w:r>
      <w:r>
        <w:rPr>
          <w:rFonts w:ascii="Arial" w:cs="Arial" w:eastAsia="Arial" w:hAnsi="Arial"/>
          <w:sz w:val="21"/>
          <w:szCs w:val="21"/>
          <w:color w:val="auto"/>
          <w:vertAlign w:val="superscript"/>
        </w:rPr>
        <w:t>12</w:t>
      </w:r>
      <w:r>
        <w:rPr>
          <w:rFonts w:ascii="Arial" w:cs="Arial" w:eastAsia="Arial" w:hAnsi="Arial"/>
          <w:sz w:val="16"/>
          <w:szCs w:val="16"/>
          <w:color w:val="auto"/>
        </w:rPr>
        <w:t xml:space="preserve"> A recent report published that Northrop donated at least $1.6 million in 2022 to think tanks that cover nuclear weapons.</w:t>
      </w:r>
      <w:r>
        <w:rPr>
          <w:rFonts w:ascii="Arial" w:cs="Arial" w:eastAsia="Arial" w:hAnsi="Arial"/>
          <w:sz w:val="21"/>
          <w:szCs w:val="21"/>
          <w:color w:val="auto"/>
          <w:vertAlign w:val="superscript"/>
        </w:rPr>
        <w:t>13</w:t>
      </w:r>
    </w:p>
    <w:p>
      <w:pPr>
        <w:spacing w:after="0" w:line="29" w:lineRule="exact"/>
        <w:rPr>
          <w:sz w:val="20"/>
          <w:szCs w:val="20"/>
          <w:color w:val="auto"/>
        </w:rPr>
      </w:pPr>
    </w:p>
    <w:p>
      <w:pPr>
        <w:ind w:right="320"/>
        <w:spacing w:after="0" w:line="238" w:lineRule="auto"/>
        <w:rPr>
          <w:sz w:val="20"/>
          <w:szCs w:val="20"/>
          <w:color w:val="auto"/>
        </w:rPr>
      </w:pPr>
      <w:r>
        <w:rPr>
          <w:rFonts w:ascii="Arial" w:cs="Arial" w:eastAsia="Arial" w:hAnsi="Arial"/>
          <w:sz w:val="16"/>
          <w:szCs w:val="16"/>
          <w:color w:val="auto"/>
        </w:rPr>
        <w:t>Although Northrop commits to declining business opportunities with clients, “regardless whether it is legally permissible,” if human rights risks are “unacceptable,”</w:t>
      </w:r>
      <w:r>
        <w:rPr>
          <w:rFonts w:ascii="Arial" w:cs="Arial" w:eastAsia="Arial" w:hAnsi="Arial"/>
          <w:sz w:val="21"/>
          <w:szCs w:val="21"/>
          <w:color w:val="auto"/>
          <w:vertAlign w:val="superscript"/>
        </w:rPr>
        <w:t>14</w:t>
      </w:r>
      <w:r>
        <w:rPr>
          <w:rFonts w:ascii="Arial" w:cs="Arial" w:eastAsia="Arial" w:hAnsi="Arial"/>
          <w:sz w:val="16"/>
          <w:szCs w:val="16"/>
          <w:color w:val="auto"/>
        </w:rPr>
        <w:t xml:space="preserve"> its political activities appear misaligned with its human rights commitments. Establishing clear policies and reporting on misalignment is critical to mitigating material risks that harm shareholder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D2D2D"/>
        </w:rPr>
        <w:t>_________________________________</w:t>
      </w:r>
    </w:p>
    <w:p>
      <w:pPr>
        <w:spacing w:after="0" w:line="24" w:lineRule="exact"/>
        <w:rPr>
          <w:sz w:val="20"/>
          <w:szCs w:val="20"/>
          <w:color w:val="auto"/>
        </w:rPr>
      </w:pPr>
    </w:p>
    <w:p>
      <w:pPr>
        <w:ind w:left="260" w:hanging="252"/>
        <w:spacing w:after="0"/>
        <w:tabs>
          <w:tab w:leader="none" w:pos="260" w:val="left"/>
        </w:tabs>
        <w:numPr>
          <w:ilvl w:val="0"/>
          <w:numId w:val="187"/>
        </w:numPr>
        <w:rPr>
          <w:rFonts w:ascii="Arial" w:cs="Arial" w:eastAsia="Arial" w:hAnsi="Arial"/>
          <w:sz w:val="21"/>
          <w:szCs w:val="21"/>
          <w:color w:val="auto"/>
          <w:vertAlign w:val="superscript"/>
        </w:rPr>
      </w:pPr>
      <w:r>
        <w:rPr>
          <w:rFonts w:ascii="Arial" w:cs="Arial" w:eastAsia="Arial" w:hAnsi="Arial"/>
          <w:sz w:val="14"/>
          <w:szCs w:val="14"/>
          <w:color w:val="auto"/>
        </w:rPr>
        <w:t>https://www.opensecrets.org/orgs/northrop-grumman/summary?id=D000000170</w:t>
      </w:r>
    </w:p>
    <w:p>
      <w:pPr>
        <w:spacing w:after="0" w:line="15" w:lineRule="exact"/>
        <w:rPr>
          <w:sz w:val="20"/>
          <w:szCs w:val="20"/>
          <w:color w:val="auto"/>
        </w:rPr>
      </w:pPr>
    </w:p>
    <w:p>
      <w:pPr>
        <w:ind w:left="240" w:hanging="232"/>
        <w:spacing w:after="0"/>
        <w:tabs>
          <w:tab w:leader="none" w:pos="240" w:val="left"/>
        </w:tabs>
        <w:numPr>
          <w:ilvl w:val="0"/>
          <w:numId w:val="188"/>
        </w:numPr>
        <w:rPr>
          <w:rFonts w:ascii="Arial" w:cs="Arial" w:eastAsia="Arial" w:hAnsi="Arial"/>
          <w:sz w:val="21"/>
          <w:szCs w:val="21"/>
          <w:color w:val="auto"/>
          <w:vertAlign w:val="superscript"/>
        </w:rPr>
      </w:pPr>
      <w:r>
        <w:rPr>
          <w:rFonts w:ascii="Arial" w:cs="Arial" w:eastAsia="Arial" w:hAnsi="Arial"/>
          <w:sz w:val="14"/>
          <w:szCs w:val="14"/>
          <w:color w:val="auto"/>
        </w:rPr>
        <w:t>https://www.opensecrets.org/orgs/northrop-grumman/congressional-committees?id=D000000170</w:t>
      </w:r>
    </w:p>
    <w:p>
      <w:pPr>
        <w:spacing w:after="0" w:line="63" w:lineRule="exact"/>
        <w:rPr>
          <w:rFonts w:ascii="Arial" w:cs="Arial" w:eastAsia="Arial" w:hAnsi="Arial"/>
          <w:sz w:val="21"/>
          <w:szCs w:val="21"/>
          <w:color w:val="auto"/>
          <w:vertAlign w:val="superscript"/>
        </w:rPr>
      </w:pPr>
    </w:p>
    <w:p>
      <w:pPr>
        <w:ind w:left="240" w:hanging="232"/>
        <w:spacing w:after="0" w:line="187" w:lineRule="auto"/>
        <w:tabs>
          <w:tab w:leader="none" w:pos="240" w:val="left"/>
        </w:tabs>
        <w:numPr>
          <w:ilvl w:val="0"/>
          <w:numId w:val="188"/>
        </w:numPr>
        <w:rPr>
          <w:rFonts w:ascii="Arial" w:cs="Arial" w:eastAsia="Arial" w:hAnsi="Arial"/>
          <w:sz w:val="20"/>
          <w:szCs w:val="20"/>
          <w:color w:val="auto"/>
          <w:vertAlign w:val="superscript"/>
        </w:rPr>
      </w:pPr>
      <w:r>
        <w:rPr>
          <w:rFonts w:ascii="Arial" w:cs="Arial" w:eastAsia="Arial" w:hAnsi="Arial"/>
          <w:sz w:val="14"/>
          <w:szCs w:val="14"/>
          <w:color w:val="auto"/>
        </w:rPr>
        <w:t>https://www.ohchr.org/sites/default/files/2022-08/BHR-Arms-sector-info-note.pdf</w:t>
      </w:r>
    </w:p>
    <w:p>
      <w:pPr>
        <w:spacing w:after="0" w:line="67" w:lineRule="exact"/>
        <w:rPr>
          <w:rFonts w:ascii="Arial" w:cs="Arial" w:eastAsia="Arial" w:hAnsi="Arial"/>
          <w:sz w:val="20"/>
          <w:szCs w:val="20"/>
          <w:color w:val="auto"/>
          <w:vertAlign w:val="superscript"/>
        </w:rPr>
      </w:pPr>
    </w:p>
    <w:p>
      <w:pPr>
        <w:ind w:left="240" w:hanging="232"/>
        <w:spacing w:after="0" w:line="183" w:lineRule="auto"/>
        <w:tabs>
          <w:tab w:leader="none" w:pos="240" w:val="left"/>
        </w:tabs>
        <w:numPr>
          <w:ilvl w:val="0"/>
          <w:numId w:val="188"/>
        </w:numPr>
        <w:rPr>
          <w:rFonts w:ascii="Arial" w:cs="Arial" w:eastAsia="Arial" w:hAnsi="Arial"/>
          <w:sz w:val="20"/>
          <w:szCs w:val="20"/>
          <w:color w:val="auto"/>
          <w:vertAlign w:val="superscript"/>
        </w:rPr>
      </w:pPr>
      <w:r>
        <w:rPr>
          <w:rFonts w:ascii="Arial" w:cs="Arial" w:eastAsia="Arial" w:hAnsi="Arial"/>
          <w:sz w:val="14"/>
          <w:szCs w:val="14"/>
          <w:color w:val="auto"/>
        </w:rPr>
        <w:t>https://3ba8a190-62da-4c98-86d2-893079d87083.usrfiles.com/ugd/3ba8a1_c7e3bfc7723d4021b54cbc145ae3f5eb.pdf</w:t>
      </w:r>
    </w:p>
    <w:p>
      <w:pPr>
        <w:spacing w:after="0" w:line="67" w:lineRule="exact"/>
        <w:rPr>
          <w:rFonts w:ascii="Arial" w:cs="Arial" w:eastAsia="Arial" w:hAnsi="Arial"/>
          <w:sz w:val="20"/>
          <w:szCs w:val="20"/>
          <w:color w:val="auto"/>
          <w:vertAlign w:val="superscript"/>
        </w:rPr>
      </w:pPr>
    </w:p>
    <w:p>
      <w:pPr>
        <w:ind w:left="240" w:hanging="232"/>
        <w:spacing w:after="0" w:line="183" w:lineRule="auto"/>
        <w:tabs>
          <w:tab w:leader="none" w:pos="240" w:val="left"/>
        </w:tabs>
        <w:numPr>
          <w:ilvl w:val="0"/>
          <w:numId w:val="188"/>
        </w:numPr>
        <w:rPr>
          <w:rFonts w:ascii="Arial" w:cs="Arial" w:eastAsia="Arial" w:hAnsi="Arial"/>
          <w:sz w:val="20"/>
          <w:szCs w:val="20"/>
          <w:color w:val="auto"/>
          <w:vertAlign w:val="superscript"/>
        </w:rPr>
      </w:pPr>
      <w:r>
        <w:rPr>
          <w:rFonts w:ascii="Arial" w:cs="Arial" w:eastAsia="Arial" w:hAnsi="Arial"/>
          <w:sz w:val="14"/>
          <w:szCs w:val="14"/>
          <w:color w:val="auto"/>
        </w:rPr>
        <w:t>https://assets.nationbuilder.com/ican/pages/3785/attachments/original/1686495965/ICAN_Spending_Report_2023_sm.pdf?1686495965</w:t>
      </w:r>
    </w:p>
    <w:p>
      <w:pPr>
        <w:spacing w:after="0" w:line="67" w:lineRule="exact"/>
        <w:rPr>
          <w:rFonts w:ascii="Arial" w:cs="Arial" w:eastAsia="Arial" w:hAnsi="Arial"/>
          <w:sz w:val="20"/>
          <w:szCs w:val="20"/>
          <w:color w:val="auto"/>
          <w:vertAlign w:val="superscript"/>
        </w:rPr>
      </w:pPr>
    </w:p>
    <w:p>
      <w:pPr>
        <w:ind w:left="240" w:hanging="232"/>
        <w:spacing w:after="0" w:line="183" w:lineRule="auto"/>
        <w:tabs>
          <w:tab w:leader="none" w:pos="240" w:val="left"/>
        </w:tabs>
        <w:numPr>
          <w:ilvl w:val="0"/>
          <w:numId w:val="188"/>
        </w:numPr>
        <w:rPr>
          <w:rFonts w:ascii="Arial" w:cs="Arial" w:eastAsia="Arial" w:hAnsi="Arial"/>
          <w:sz w:val="20"/>
          <w:szCs w:val="20"/>
          <w:color w:val="auto"/>
          <w:vertAlign w:val="superscript"/>
        </w:rPr>
      </w:pPr>
      <w:r>
        <w:rPr>
          <w:rFonts w:ascii="Arial" w:cs="Arial" w:eastAsia="Arial" w:hAnsi="Arial"/>
          <w:sz w:val="14"/>
          <w:szCs w:val="14"/>
          <w:color w:val="auto"/>
        </w:rPr>
        <w:t>https://www.northropgrumman.com/corporate-responsibility/northrop-grumman-human-rights-policy/</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280"/>
        <w:spacing w:after="0"/>
        <w:tabs>
          <w:tab w:leader="none" w:pos="1104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4"/>
          <w:szCs w:val="14"/>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4"/>
          <w:szCs w:val="14"/>
          <w:b w:val="1"/>
          <w:bCs w:val="1"/>
          <w:color w:val="auto"/>
        </w:rPr>
        <w:t>Proposal 6: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 Statement in Opposition to Proposal 6</w:t>
      </w:r>
    </w:p>
    <w:p>
      <w:pPr>
        <w:spacing w:after="0" w:line="14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Board of Directors has carefully considered Proposal 6 and, for the reasons summarized below, unanimously recommends a vote against Proposal 6. The Board has determined that the action requested by the shareholder proposal is neither necessary nor in the best interests of Northrop Grumman or our shareholders.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Introduction</w:t>
      </w:r>
    </w:p>
    <w:p>
      <w:pPr>
        <w:spacing w:after="0" w:line="113"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Proponents again are asking the Board annually to “conduct an evaluation and issue a public report describing the alignment of its political activities … with its Human Rights Policy,” and, in particular, listing “instances of misalignment.” Our shareholders overwhelmingly rejected a similar proposal at our 2023 Annual Meeting with approximately 20% support.</w:t>
      </w:r>
    </w:p>
    <w:p>
      <w:pPr>
        <w:spacing w:after="0" w:line="70"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Proponents continue to suggest that the Company’s political activities are not aligned with, or in support of, the Company’s values and objectives, and that the best way to correct this is for our shareholders to seek an annual report to “list and explain instances of misalignment, and state whether and how the identified incongruencies have or will be addressed.” The Board continues to believe there is no such “misalignment” to evaluate and report.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Northrop Grumman is dedicated to advancing human rights and to transparency to enable shareholders to understand the nature and extent of our efforts.</w:t>
      </w:r>
    </w:p>
    <w:p>
      <w:pPr>
        <w:spacing w:after="0" w:line="113" w:lineRule="exact"/>
        <w:rPr>
          <w:sz w:val="20"/>
          <w:szCs w:val="20"/>
          <w:color w:val="auto"/>
        </w:rPr>
      </w:pPr>
    </w:p>
    <w:p>
      <w:pPr>
        <w:ind w:left="160" w:hanging="152"/>
        <w:spacing w:after="0"/>
        <w:tabs>
          <w:tab w:leader="none" w:pos="160" w:val="left"/>
        </w:tabs>
        <w:numPr>
          <w:ilvl w:val="0"/>
          <w:numId w:val="189"/>
        </w:numPr>
        <w:rPr>
          <w:rFonts w:ascii="Arial" w:cs="Arial" w:eastAsia="Arial" w:hAnsi="Arial"/>
          <w:sz w:val="16"/>
          <w:szCs w:val="16"/>
          <w:color w:val="29378D"/>
        </w:rPr>
      </w:pPr>
      <w:r>
        <w:rPr>
          <w:rFonts w:ascii="Arial" w:cs="Arial" w:eastAsia="Arial" w:hAnsi="Arial"/>
          <w:sz w:val="16"/>
          <w:szCs w:val="16"/>
          <w:color w:val="auto"/>
        </w:rPr>
        <w:t>We are deeply committed to advancing human rights as reflected in our Human Rights Policy</w:t>
      </w:r>
    </w:p>
    <w:p>
      <w:pPr>
        <w:spacing w:after="0" w:line="113" w:lineRule="exact"/>
        <w:rPr>
          <w:rFonts w:ascii="Arial" w:cs="Arial" w:eastAsia="Arial" w:hAnsi="Arial"/>
          <w:sz w:val="16"/>
          <w:szCs w:val="16"/>
          <w:color w:val="29378D"/>
        </w:rPr>
      </w:pPr>
    </w:p>
    <w:p>
      <w:pPr>
        <w:ind w:left="200" w:hanging="192"/>
        <w:spacing w:after="0" w:line="304" w:lineRule="auto"/>
        <w:tabs>
          <w:tab w:leader="none" w:pos="157" w:val="left"/>
        </w:tabs>
        <w:numPr>
          <w:ilvl w:val="0"/>
          <w:numId w:val="189"/>
        </w:numPr>
        <w:rPr>
          <w:rFonts w:ascii="Arial" w:cs="Arial" w:eastAsia="Arial" w:hAnsi="Arial"/>
          <w:sz w:val="16"/>
          <w:szCs w:val="16"/>
          <w:color w:val="29378D"/>
        </w:rPr>
      </w:pPr>
      <w:r>
        <w:rPr>
          <w:rFonts w:ascii="Arial" w:cs="Arial" w:eastAsia="Arial" w:hAnsi="Arial"/>
          <w:sz w:val="16"/>
          <w:szCs w:val="16"/>
          <w:color w:val="auto"/>
        </w:rPr>
        <w:t>We conduct political activities in a manner fully consistent with our values and applicable laws and the Policy Committee of our Board provides oversight of such activities to support long-term, sustainable growth in the interest of our shareholders</w:t>
      </w:r>
    </w:p>
    <w:p>
      <w:pPr>
        <w:spacing w:after="0" w:line="33" w:lineRule="exact"/>
        <w:rPr>
          <w:rFonts w:ascii="Arial" w:cs="Arial" w:eastAsia="Arial" w:hAnsi="Arial"/>
          <w:sz w:val="16"/>
          <w:szCs w:val="16"/>
          <w:color w:val="29378D"/>
        </w:rPr>
      </w:pPr>
    </w:p>
    <w:p>
      <w:pPr>
        <w:ind w:left="200" w:right="700" w:hanging="192"/>
        <w:spacing w:after="0" w:line="304" w:lineRule="auto"/>
        <w:tabs>
          <w:tab w:leader="none" w:pos="157" w:val="left"/>
        </w:tabs>
        <w:numPr>
          <w:ilvl w:val="0"/>
          <w:numId w:val="189"/>
        </w:numPr>
        <w:rPr>
          <w:rFonts w:ascii="Arial" w:cs="Arial" w:eastAsia="Arial" w:hAnsi="Arial"/>
          <w:sz w:val="16"/>
          <w:szCs w:val="16"/>
          <w:color w:val="29378D"/>
        </w:rPr>
      </w:pPr>
      <w:r>
        <w:rPr>
          <w:rFonts w:ascii="Arial" w:cs="Arial" w:eastAsia="Arial" w:hAnsi="Arial"/>
          <w:sz w:val="16"/>
          <w:szCs w:val="16"/>
          <w:color w:val="auto"/>
        </w:rPr>
        <w:t>We support broad transparency, including as it relates to both human rights and our political activities and have a strong track-record of providing transparent disclosure regarding our political activities</w:t>
      </w:r>
    </w:p>
    <w:p>
      <w:pPr>
        <w:spacing w:after="0" w:line="3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Proponents again seem to take issue with the fact that the Company has contracts that support the nuclear triad. We continue to believe these programs are important to our country’s national security, providing a deterrent to would-be aggressors. We believe also that these efforts enhance the safety of our country and allies and help enable the continued success of our Company to the benefit of our shareholders. We do not believe they are misaligned with our commitment to human rights; to the contrary, we believe they are an important deterrent to those who may seek to deny human rights.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believe strongly in advancing human rights and have a robust Human Rights Policy in support of this commitment.</w:t>
      </w:r>
    </w:p>
    <w:p>
      <w:pPr>
        <w:spacing w:after="0" w:line="113"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We have a robust Human Rights Policy that builds on our values and commitment to human rights and details various elements of our approach to protecting and advancing human rights, including:</w:t>
      </w:r>
    </w:p>
    <w:p>
      <w:pPr>
        <w:spacing w:after="0" w:line="61" w:lineRule="exact"/>
        <w:rPr>
          <w:sz w:val="20"/>
          <w:szCs w:val="20"/>
          <w:color w:val="auto"/>
        </w:rPr>
      </w:pPr>
    </w:p>
    <w:p>
      <w:pPr>
        <w:ind w:left="200" w:right="120" w:hanging="192"/>
        <w:spacing w:after="0" w:line="275" w:lineRule="auto"/>
        <w:tabs>
          <w:tab w:leader="none" w:pos="157" w:val="left"/>
        </w:tabs>
        <w:numPr>
          <w:ilvl w:val="0"/>
          <w:numId w:val="190"/>
        </w:numPr>
        <w:rPr>
          <w:rFonts w:ascii="Arial" w:cs="Arial" w:eastAsia="Arial" w:hAnsi="Arial"/>
          <w:sz w:val="16"/>
          <w:szCs w:val="16"/>
          <w:color w:val="29378D"/>
        </w:rPr>
      </w:pPr>
      <w:r>
        <w:rPr>
          <w:rFonts w:ascii="Arial" w:cs="Arial" w:eastAsia="Arial" w:hAnsi="Arial"/>
          <w:sz w:val="16"/>
          <w:szCs w:val="16"/>
          <w:color w:val="auto"/>
        </w:rPr>
        <w:t>Our People: We treat employees, suppliers, partners, customers and competitors with dignity and respect, protecting and progressing their human rights. We respect and embrace differences and believe that differing viewpoints enable us to think more broadly and allow us collectively to better serve our customers and communities.</w:t>
      </w:r>
    </w:p>
    <w:p>
      <w:pPr>
        <w:spacing w:after="0" w:line="56" w:lineRule="exact"/>
        <w:rPr>
          <w:rFonts w:ascii="Arial" w:cs="Arial" w:eastAsia="Arial" w:hAnsi="Arial"/>
          <w:sz w:val="16"/>
          <w:szCs w:val="16"/>
          <w:color w:val="29378D"/>
        </w:rPr>
      </w:pPr>
    </w:p>
    <w:p>
      <w:pPr>
        <w:ind w:left="200" w:right="180" w:hanging="192"/>
        <w:spacing w:after="0" w:line="275" w:lineRule="auto"/>
        <w:tabs>
          <w:tab w:leader="none" w:pos="157" w:val="left"/>
        </w:tabs>
        <w:numPr>
          <w:ilvl w:val="0"/>
          <w:numId w:val="190"/>
        </w:numPr>
        <w:rPr>
          <w:rFonts w:ascii="Arial" w:cs="Arial" w:eastAsia="Arial" w:hAnsi="Arial"/>
          <w:sz w:val="16"/>
          <w:szCs w:val="16"/>
          <w:color w:val="29378D"/>
        </w:rPr>
      </w:pPr>
      <w:r>
        <w:rPr>
          <w:rFonts w:ascii="Arial" w:cs="Arial" w:eastAsia="Arial" w:hAnsi="Arial"/>
          <w:sz w:val="16"/>
          <w:szCs w:val="16"/>
          <w:color w:val="auto"/>
        </w:rPr>
        <w:t>Our Supply Chain: We are committed to high standards of ethical and business conduct as it relates to the procurement of goods and services. We treat our suppliers with respect and integrity. And we require our suppliers to conduct themselves similarly, in a manner consistent with our values and our Standards of Business Conduct for Suppliers and Other Trading Partners.</w:t>
      </w:r>
    </w:p>
    <w:p>
      <w:pPr>
        <w:spacing w:after="0" w:line="56" w:lineRule="exact"/>
        <w:rPr>
          <w:rFonts w:ascii="Arial" w:cs="Arial" w:eastAsia="Arial" w:hAnsi="Arial"/>
          <w:sz w:val="16"/>
          <w:szCs w:val="16"/>
          <w:color w:val="29378D"/>
        </w:rPr>
      </w:pPr>
    </w:p>
    <w:p>
      <w:pPr>
        <w:ind w:left="200" w:right="80" w:hanging="192"/>
        <w:spacing w:after="0" w:line="265" w:lineRule="auto"/>
        <w:tabs>
          <w:tab w:leader="none" w:pos="157" w:val="left"/>
        </w:tabs>
        <w:numPr>
          <w:ilvl w:val="0"/>
          <w:numId w:val="190"/>
        </w:numPr>
        <w:rPr>
          <w:rFonts w:ascii="Arial" w:cs="Arial" w:eastAsia="Arial" w:hAnsi="Arial"/>
          <w:sz w:val="16"/>
          <w:szCs w:val="16"/>
          <w:color w:val="29378D"/>
        </w:rPr>
      </w:pPr>
      <w:r>
        <w:rPr>
          <w:rFonts w:ascii="Arial" w:cs="Arial" w:eastAsia="Arial" w:hAnsi="Arial"/>
          <w:sz w:val="16"/>
          <w:szCs w:val="16"/>
          <w:color w:val="auto"/>
        </w:rPr>
        <w:t>Our Programs and Products: We are committed to high standards of ethical and business conduct as it relates to the development of our products, and to how and where we provide goods and services. We consider potential risks, including risks to human rights at different stages through the life cycle of a product. We are mindful of potential unintended uses of our products. We have robust processes to help ensure the Company does not do business in countries, or sell products to customers, that are not properly approved by the government and consistent with U.S. law and our values.</w:t>
      </w:r>
    </w:p>
    <w:p>
      <w:pPr>
        <w:spacing w:after="0" w:line="78" w:lineRule="exact"/>
        <w:rPr>
          <w:rFonts w:ascii="Arial" w:cs="Arial" w:eastAsia="Arial" w:hAnsi="Arial"/>
          <w:sz w:val="16"/>
          <w:szCs w:val="16"/>
          <w:color w:val="29378D"/>
        </w:rPr>
      </w:pPr>
    </w:p>
    <w:p>
      <w:pPr>
        <w:ind w:left="200" w:hanging="192"/>
        <w:spacing w:after="0" w:line="286" w:lineRule="auto"/>
        <w:tabs>
          <w:tab w:leader="none" w:pos="157" w:val="left"/>
        </w:tabs>
        <w:numPr>
          <w:ilvl w:val="0"/>
          <w:numId w:val="190"/>
        </w:numPr>
        <w:rPr>
          <w:rFonts w:ascii="Arial" w:cs="Arial" w:eastAsia="Arial" w:hAnsi="Arial"/>
          <w:sz w:val="16"/>
          <w:szCs w:val="16"/>
          <w:color w:val="29378D"/>
        </w:rPr>
      </w:pPr>
      <w:r>
        <w:rPr>
          <w:rFonts w:ascii="Arial" w:cs="Arial" w:eastAsia="Arial" w:hAnsi="Arial"/>
          <w:sz w:val="16"/>
          <w:szCs w:val="16"/>
          <w:color w:val="auto"/>
        </w:rPr>
        <w:t>Our Communities: We invest in our communities, including providing funding and support to a wide range of local, national and international causes across the globe.</w:t>
      </w:r>
    </w:p>
    <w:p>
      <w:pPr>
        <w:spacing w:after="0" w:line="47" w:lineRule="exact"/>
        <w:rPr>
          <w:rFonts w:ascii="Arial" w:cs="Arial" w:eastAsia="Arial" w:hAnsi="Arial"/>
          <w:sz w:val="16"/>
          <w:szCs w:val="16"/>
          <w:color w:val="29378D"/>
        </w:rPr>
      </w:pPr>
    </w:p>
    <w:p>
      <w:pPr>
        <w:ind w:left="200" w:hanging="192"/>
        <w:spacing w:after="0" w:line="275" w:lineRule="auto"/>
        <w:tabs>
          <w:tab w:leader="none" w:pos="157" w:val="left"/>
        </w:tabs>
        <w:numPr>
          <w:ilvl w:val="0"/>
          <w:numId w:val="190"/>
        </w:numPr>
        <w:rPr>
          <w:rFonts w:ascii="Arial" w:cs="Arial" w:eastAsia="Arial" w:hAnsi="Arial"/>
          <w:sz w:val="16"/>
          <w:szCs w:val="16"/>
          <w:color w:val="29378D"/>
        </w:rPr>
      </w:pPr>
      <w:r>
        <w:rPr>
          <w:rFonts w:ascii="Arial" w:cs="Arial" w:eastAsia="Arial" w:hAnsi="Arial"/>
          <w:sz w:val="16"/>
          <w:szCs w:val="16"/>
          <w:color w:val="auto"/>
        </w:rPr>
        <w:t>The Environment: We conduct our operations in an environmentally responsible manner, in compliance with all applicable legal requirements and Company-imposed objectives. We establish various specific environmental goals and monitor and report on our progress against them. We are committed to sustainability.</w:t>
      </w:r>
    </w:p>
    <w:p>
      <w:pPr>
        <w:spacing w:after="0" w:line="69" w:lineRule="exact"/>
        <w:rPr>
          <w:rFonts w:ascii="Arial" w:cs="Arial" w:eastAsia="Arial" w:hAnsi="Arial"/>
          <w:sz w:val="16"/>
          <w:szCs w:val="16"/>
          <w:color w:val="29378D"/>
        </w:rPr>
      </w:pPr>
    </w:p>
    <w:p>
      <w:pPr>
        <w:ind w:left="160" w:hanging="152"/>
        <w:spacing w:after="0"/>
        <w:tabs>
          <w:tab w:leader="none" w:pos="160" w:val="left"/>
        </w:tabs>
        <w:numPr>
          <w:ilvl w:val="0"/>
          <w:numId w:val="190"/>
        </w:numPr>
        <w:rPr>
          <w:rFonts w:ascii="Arial" w:cs="Arial" w:eastAsia="Arial" w:hAnsi="Arial"/>
          <w:sz w:val="16"/>
          <w:szCs w:val="16"/>
          <w:color w:val="29378D"/>
        </w:rPr>
      </w:pPr>
      <w:r>
        <w:rPr>
          <w:rFonts w:ascii="Arial" w:cs="Arial" w:eastAsia="Arial" w:hAnsi="Arial"/>
          <w:sz w:val="16"/>
          <w:szCs w:val="16"/>
          <w:color w:val="auto"/>
        </w:rPr>
        <w:t>Our Commitment to Integrity: We are committed to acting with integrity, which lies at the core of our culture.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0" w:hanging="494"/>
        <w:spacing w:after="0"/>
        <w:tabs>
          <w:tab w:leader="none" w:pos="520" w:val="left"/>
        </w:tabs>
        <w:numPr>
          <w:ilvl w:val="0"/>
          <w:numId w:val="191"/>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03" w:name="page104"/>
    <w:bookmarkEnd w:id="103"/>
    <w:p>
      <w:pPr>
        <w:jc w:val="right"/>
        <w:spacing w:after="0"/>
        <w:rPr>
          <w:sz w:val="20"/>
          <w:szCs w:val="20"/>
          <w:color w:val="auto"/>
        </w:rPr>
      </w:pPr>
      <w:r>
        <w:rPr>
          <w:rFonts w:ascii="Arial" w:cs="Arial" w:eastAsia="Arial" w:hAnsi="Arial"/>
          <w:sz w:val="14"/>
          <w:szCs w:val="14"/>
          <w:b w:val="1"/>
          <w:bCs w:val="1"/>
          <w:color w:val="auto"/>
        </w:rPr>
        <w:t>Proposal 6: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are committed to high standards of ethical and business conduct, consistent with our values, including with respect to human rights, in our provision of goods and services to our customers. Our broad portfolio is aligned to support national security priorities in furtherance of the long-term success of our Company to the benefit of our shareholders. We regularly evaluate our portfolio and, from time to time, we may determine that certain opportunities present undue risks to the Company or others, including risks related to human rights concerns, and elect to exit or not pursue certain business in light of such risks. For example, in January 2024 the Company announced that it had completed its production contract and was no longer producing depleted uranium ammunition.</w:t>
      </w:r>
    </w:p>
    <w:p>
      <w:pPr>
        <w:spacing w:after="0" w:line="6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 xml:space="preserve">Our commitment to human rights is also discussed and more fully described in our Human Rights Report which is available on the Investor Relations section of our website at </w:t>
      </w:r>
      <w:r>
        <w:rPr>
          <w:rFonts w:ascii="Arial" w:cs="Arial" w:eastAsia="Arial" w:hAnsi="Arial"/>
          <w:sz w:val="16"/>
          <w:szCs w:val="16"/>
          <w:i w:val="1"/>
          <w:iCs w:val="1"/>
          <w:color w:val="auto"/>
        </w:rPr>
        <w:t>www.northropgrumman.com</w:t>
      </w:r>
      <w:r>
        <w:rPr>
          <w:rFonts w:ascii="Arial" w:cs="Arial" w:eastAsia="Arial" w:hAnsi="Arial"/>
          <w:sz w:val="16"/>
          <w:szCs w:val="16"/>
          <w:color w:val="auto"/>
        </w:rPr>
        <w:t>. The Policy Committee of the Board reviews and provides oversight of the Company’s policies supporting human rights and receives a report at least annually on the Company’s Human Rights Working Group.</w:t>
      </w:r>
    </w:p>
    <w:p>
      <w:pPr>
        <w:spacing w:after="0" w:line="70"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b w:val="1"/>
          <w:bCs w:val="1"/>
          <w:color w:val="auto"/>
        </w:rPr>
        <w:t>Our political activities are in accordance with all applicable laws and our high standards of ethics and integrity; these activities are overseen by the Policy Committee of the Board.</w:t>
      </w:r>
    </w:p>
    <w:p>
      <w:pPr>
        <w:spacing w:after="0" w:line="32"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We engage in the democratic process in various ways, and express views on certain issues of public policy that impact our Company. As noted above, we undertake political activities consistent with all applicable laws, our values and our standards of ethics and integrity both 1) directly, from Company funds, and 2) by our employees, through their contributions to our voluntary, nonpartisan employee political action committee, the Employees of Northrop Grumman Political Action Committee (ENGPAC). Our political activities are managed by the Chief Strategy and Development Officer, who reports directly to the Chief Executive Officer. In addition, the Policy Committee reviews the Company’s government relations strategy and provides oversight of the Company’s policies and practices with respect to political contributions. The Policy Committee, which reviews both the government relations strategy and the Company policies supporting human rights, is best positioned to ensure our activities in both areas are aligned.</w:t>
      </w:r>
    </w:p>
    <w:p>
      <w:pPr>
        <w:spacing w:after="0" w:line="66"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We support transparency, including as it relates to both human rights and our political activities, to enable shareholders and other stakeholders to know what we do.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are committed to transparency into our political activities, and fully comply with all public disclosure requirements. Specifically:</w:t>
      </w:r>
    </w:p>
    <w:p>
      <w:pPr>
        <w:spacing w:after="0" w:line="113" w:lineRule="exact"/>
        <w:rPr>
          <w:sz w:val="20"/>
          <w:szCs w:val="20"/>
          <w:color w:val="auto"/>
        </w:rPr>
      </w:pPr>
    </w:p>
    <w:p>
      <w:pPr>
        <w:ind w:left="200" w:right="380" w:hanging="192"/>
        <w:spacing w:after="0" w:line="304" w:lineRule="auto"/>
        <w:tabs>
          <w:tab w:leader="none" w:pos="157" w:val="left"/>
        </w:tabs>
        <w:numPr>
          <w:ilvl w:val="0"/>
          <w:numId w:val="192"/>
        </w:numPr>
        <w:rPr>
          <w:rFonts w:ascii="Arial" w:cs="Arial" w:eastAsia="Arial" w:hAnsi="Arial"/>
          <w:sz w:val="16"/>
          <w:szCs w:val="16"/>
          <w:color w:val="29378D"/>
        </w:rPr>
      </w:pPr>
      <w:r>
        <w:rPr>
          <w:rFonts w:ascii="Arial" w:cs="Arial" w:eastAsia="Arial" w:hAnsi="Arial"/>
          <w:sz w:val="16"/>
          <w:szCs w:val="16"/>
          <w:color w:val="auto"/>
        </w:rPr>
        <w:t>We provide information and insight into our political activities on our website, and we update this information, including as a result of prior shareholder engagement.</w:t>
      </w:r>
    </w:p>
    <w:p>
      <w:pPr>
        <w:spacing w:after="0" w:line="33" w:lineRule="exact"/>
        <w:rPr>
          <w:rFonts w:ascii="Arial" w:cs="Arial" w:eastAsia="Arial" w:hAnsi="Arial"/>
          <w:sz w:val="16"/>
          <w:szCs w:val="16"/>
          <w:color w:val="29378D"/>
        </w:rPr>
      </w:pPr>
    </w:p>
    <w:p>
      <w:pPr>
        <w:ind w:left="200" w:right="20" w:hanging="192"/>
        <w:spacing w:after="0" w:line="265" w:lineRule="auto"/>
        <w:tabs>
          <w:tab w:leader="none" w:pos="157" w:val="left"/>
        </w:tabs>
        <w:numPr>
          <w:ilvl w:val="0"/>
          <w:numId w:val="192"/>
        </w:numPr>
        <w:rPr>
          <w:rFonts w:ascii="Arial" w:cs="Arial" w:eastAsia="Arial" w:hAnsi="Arial"/>
          <w:sz w:val="16"/>
          <w:szCs w:val="16"/>
          <w:color w:val="29378D"/>
        </w:rPr>
      </w:pPr>
      <w:r>
        <w:rPr>
          <w:rFonts w:ascii="Arial" w:cs="Arial" w:eastAsia="Arial" w:hAnsi="Arial"/>
          <w:sz w:val="16"/>
          <w:szCs w:val="16"/>
          <w:color w:val="auto"/>
        </w:rPr>
        <w:t>We file quarterly activity reports in compliance with the Lobbying Disclosure Act and Honest Leadership and Open Government Act. These reports, which are filed with the Clerk of the U.S. House of Representatives and the Secretary of the U.S. Senate, are posted on the House and Senate websites and are accessible to the public. We file similar reports when required at the state level. Consultants who lobby on behalf of the Company are required to adhere to these disclosure requirements as well.</w:t>
      </w:r>
    </w:p>
    <w:p>
      <w:pPr>
        <w:spacing w:after="0" w:line="78" w:lineRule="exact"/>
        <w:rPr>
          <w:rFonts w:ascii="Arial" w:cs="Arial" w:eastAsia="Arial" w:hAnsi="Arial"/>
          <w:sz w:val="16"/>
          <w:szCs w:val="16"/>
          <w:color w:val="29378D"/>
        </w:rPr>
      </w:pPr>
    </w:p>
    <w:p>
      <w:pPr>
        <w:ind w:left="200" w:right="20" w:hanging="192"/>
        <w:spacing w:after="0" w:line="266" w:lineRule="auto"/>
        <w:tabs>
          <w:tab w:leader="none" w:pos="157" w:val="left"/>
        </w:tabs>
        <w:numPr>
          <w:ilvl w:val="0"/>
          <w:numId w:val="192"/>
        </w:numPr>
        <w:rPr>
          <w:rFonts w:ascii="Arial" w:cs="Arial" w:eastAsia="Arial" w:hAnsi="Arial"/>
          <w:sz w:val="16"/>
          <w:szCs w:val="16"/>
          <w:color w:val="29378D"/>
        </w:rPr>
      </w:pPr>
      <w:r>
        <w:rPr>
          <w:rFonts w:ascii="Arial" w:cs="Arial" w:eastAsia="Arial" w:hAnsi="Arial"/>
          <w:sz w:val="16"/>
          <w:szCs w:val="16"/>
          <w:color w:val="auto"/>
        </w:rPr>
        <w:t>Contributions made by Northrop Grumman employees through ENGPAC are fully and publicly disclosed both through public filings and on our website. We also disclose on our website trade associations to which the Company paid $25,000 or more in annual dues, including the portion of such dues that we understand are used for non-deductible purposes.</w:t>
      </w:r>
    </w:p>
    <w:p>
      <w:pPr>
        <w:spacing w:after="0" w:line="77" w:lineRule="exact"/>
        <w:rPr>
          <w:sz w:val="20"/>
          <w:szCs w:val="20"/>
          <w:color w:val="auto"/>
        </w:rPr>
      </w:pPr>
    </w:p>
    <w:p>
      <w:pPr>
        <w:ind w:right="580"/>
        <w:spacing w:after="0" w:line="296" w:lineRule="auto"/>
        <w:rPr>
          <w:sz w:val="20"/>
          <w:szCs w:val="20"/>
          <w:color w:val="auto"/>
        </w:rPr>
      </w:pPr>
      <w:r>
        <w:rPr>
          <w:rFonts w:ascii="Arial" w:cs="Arial" w:eastAsia="Arial" w:hAnsi="Arial"/>
          <w:sz w:val="16"/>
          <w:szCs w:val="16"/>
          <w:b w:val="1"/>
          <w:bCs w:val="1"/>
          <w:color w:val="auto"/>
        </w:rPr>
        <w:t>We do not believe the action recommended by the proponents will enhance the Company’s ability to advance human rights or improve the Company’s political activities.</w:t>
      </w:r>
    </w:p>
    <w:p>
      <w:pPr>
        <w:spacing w:after="0" w:line="46"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As discussed above, we conduct our political activities consistent and in alignment with our values and our commitment to human rights, supporting the Company and our shareholders. And we continue to support broad transparency into the Company’s human rights program and political expenditures and contributions, and, as noted above, provide detailed information into these expenses. Indeed, we are proud to have been recognized by the Center for Political Accountability (CPA) and the Zicklin Center for Business Ethics Research for our transparency, policies and strong disclosure practices related to political expenditures. The Zicklin Index measures electoral spending transparency among the largest corporations in the U.S. We were one of 18 companies to receive a 100% score in the CPA-Zicklin Index in 2023 and have received a 100% score for the last five years, recognizing our longstanding commitment to transparency.</w:t>
      </w:r>
    </w:p>
    <w:p>
      <w:pPr>
        <w:spacing w:after="0" w:line="6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However, we do not believe it is necessary, practical or constructive to attempt to report specifically on any instances in which the proponents might conclude that a political activity is somehow “misaligned” with their perspective on our Human Rights Policy. We do not believe there would be any instances of misalignment to report, or that such a report would enhance our Human Rights Policy or the effectiveness of the Company’s political activities.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101</w:t>
            </w:r>
          </w:p>
        </w:tc>
      </w:tr>
      <w:tr>
        <w:trPr>
          <w:trHeight w:val="31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color w:val="auto"/>
        </w:rPr>
        <w:t>Proposal 6: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The Board does not believe the shareholder proposal is in the best interest of the Company or its shareholders, and unanimously recommends a vote against the proposal.</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40575" cy="41148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05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 xml:space="preserve">THE BOARD OF DIRECTORS UNANIMOUSLY RECOMMENDS THAT YOU VOTE </w:t>
      </w:r>
      <w:r>
        <w:rPr>
          <w:rFonts w:ascii="Arial" w:cs="Arial" w:eastAsia="Arial" w:hAnsi="Arial"/>
          <w:sz w:val="14"/>
          <w:szCs w:val="14"/>
          <w:b w:val="1"/>
          <w:bCs w:val="1"/>
          <w:color w:val="00249C"/>
        </w:rPr>
        <w:t>“AGAINST”</w:t>
      </w:r>
      <w:r>
        <w:rPr>
          <w:rFonts w:ascii="Arial" w:cs="Arial" w:eastAsia="Arial" w:hAnsi="Arial"/>
          <w:sz w:val="14"/>
          <w:szCs w:val="14"/>
          <w:b w:val="1"/>
          <w:bCs w:val="1"/>
          <w:color w:val="auto"/>
        </w:rPr>
        <w:t xml:space="preserve"> PROPOSAL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0" w:hanging="494"/>
        <w:spacing w:after="0"/>
        <w:tabs>
          <w:tab w:leader="none" w:pos="520" w:val="left"/>
        </w:tabs>
        <w:numPr>
          <w:ilvl w:val="0"/>
          <w:numId w:val="193"/>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38" w:right="519" w:bottom="1440" w:gutter="0" w:footer="0" w:header="0"/>
        </w:sectPr>
      </w:pPr>
    </w:p>
    <w:bookmarkStart w:id="105" w:name="page106"/>
    <w:bookmarkEnd w:id="105"/>
    <w:p>
      <w:pPr>
        <w:spacing w:after="0"/>
        <w:rPr>
          <w:sz w:val="20"/>
          <w:szCs w:val="20"/>
          <w:color w:val="auto"/>
        </w:rPr>
      </w:pPr>
      <w:r>
        <w:rPr>
          <w:rFonts w:ascii="Arial" w:cs="Arial" w:eastAsia="Arial" w:hAnsi="Arial"/>
          <w:sz w:val="43"/>
          <w:szCs w:val="43"/>
          <w:b w:val="1"/>
          <w:bCs w:val="1"/>
          <w:color w:val="29378D"/>
        </w:rPr>
        <w:t>Proposal 7: Shareholder Proposal</w:t>
      </w:r>
    </w:p>
    <w:p>
      <w:pPr>
        <w:spacing w:after="0" w:line="200" w:lineRule="exact"/>
        <w:rPr>
          <w:sz w:val="20"/>
          <w:szCs w:val="20"/>
          <w:color w:val="auto"/>
        </w:rPr>
      </w:pPr>
    </w:p>
    <w:p>
      <w:pPr>
        <w:spacing w:after="0" w:line="26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Mr. John Chevedden, 2215 Nelson Avenue, No. 205, Redondo Beach, California 90278, a beneficial owner of 10 shares of common stock of the Company, the proponent of a shareholder proposal, has stated that he intends to present a proposal at the Annual Meeting. The proposal and supporting statement, for which the Board of Directors accepts no responsibility, is set forth below. The Board of Directors opposes the shareholder proposal for the reasons stated below.</w:t>
      </w:r>
    </w:p>
    <w:p>
      <w:pPr>
        <w:spacing w:after="0" w:line="179" w:lineRule="exact"/>
        <w:rPr>
          <w:sz w:val="20"/>
          <w:szCs w:val="20"/>
          <w:color w:val="auto"/>
        </w:rPr>
      </w:pPr>
    </w:p>
    <w:p>
      <w:pPr>
        <w:ind w:right="280"/>
        <w:spacing w:after="0" w:line="307" w:lineRule="auto"/>
        <w:rPr>
          <w:sz w:val="20"/>
          <w:szCs w:val="20"/>
          <w:color w:val="auto"/>
        </w:rPr>
      </w:pPr>
      <w:r>
        <w:rPr>
          <w:rFonts w:ascii="Arial" w:cs="Arial" w:eastAsia="Arial" w:hAnsi="Arial"/>
          <w:sz w:val="32"/>
          <w:szCs w:val="32"/>
          <w:b w:val="1"/>
          <w:bCs w:val="1"/>
          <w:color w:val="auto"/>
        </w:rPr>
        <w:t>Proposal 7: Shareholder Proposal to Provide for an Independent Board Chair</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Proposal 7 –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166370</wp:posOffset>
            </wp:positionV>
            <wp:extent cx="2451735" cy="45466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45173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40"/>
        <w:spacing w:after="0" w:line="268" w:lineRule="auto"/>
        <w:rPr>
          <w:sz w:val="20"/>
          <w:szCs w:val="20"/>
          <w:color w:val="auto"/>
        </w:rPr>
      </w:pPr>
      <w:r>
        <w:rPr>
          <w:rFonts w:ascii="Arial" w:cs="Arial" w:eastAsia="Arial" w:hAnsi="Arial"/>
          <w:sz w:val="16"/>
          <w:szCs w:val="16"/>
          <w:color w:val="auto"/>
        </w:rPr>
        <w:t>Shareholders request that the Board of Directors adopt an enduring policy, and amend the governing documents as necessary in order that 2 separate people hold the office of the Chairman and the office of the CEO.</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Whenever possible, the Chairman of the Board shall be an Independent Director.</w:t>
      </w:r>
    </w:p>
    <w:p>
      <w:pPr>
        <w:spacing w:after="0" w:line="248" w:lineRule="exact"/>
        <w:rPr>
          <w:sz w:val="20"/>
          <w:szCs w:val="20"/>
          <w:color w:val="auto"/>
        </w:rPr>
      </w:pPr>
    </w:p>
    <w:p>
      <w:pPr>
        <w:ind w:right="540"/>
        <w:spacing w:after="0" w:line="268" w:lineRule="auto"/>
        <w:rPr>
          <w:sz w:val="20"/>
          <w:szCs w:val="20"/>
          <w:color w:val="auto"/>
        </w:rPr>
      </w:pPr>
      <w:r>
        <w:rPr>
          <w:rFonts w:ascii="Arial" w:cs="Arial" w:eastAsia="Arial" w:hAnsi="Arial"/>
          <w:sz w:val="16"/>
          <w:szCs w:val="16"/>
          <w:color w:val="auto"/>
        </w:rPr>
        <w:t>The Board has the discretion to select a Temporary Chairman of the Board who is not an Independent Director to serve while the Board is seeking an Independent Chairman of the Board on an accelerated basis.</w:t>
      </w:r>
    </w:p>
    <w:p>
      <w:pPr>
        <w:spacing w:after="0" w:line="197" w:lineRule="exact"/>
        <w:rPr>
          <w:sz w:val="20"/>
          <w:szCs w:val="20"/>
          <w:color w:val="auto"/>
        </w:rPr>
      </w:pPr>
    </w:p>
    <w:p>
      <w:pPr>
        <w:ind w:right="300"/>
        <w:spacing w:after="0" w:line="268" w:lineRule="auto"/>
        <w:rPr>
          <w:sz w:val="20"/>
          <w:szCs w:val="20"/>
          <w:color w:val="auto"/>
        </w:rPr>
      </w:pPr>
      <w:r>
        <w:rPr>
          <w:rFonts w:ascii="Arial" w:cs="Arial" w:eastAsia="Arial" w:hAnsi="Arial"/>
          <w:sz w:val="16"/>
          <w:szCs w:val="16"/>
          <w:color w:val="auto"/>
        </w:rPr>
        <w:t>It is a best practice to adopt this policy soon. However this policy could be phased in when there is a contract renewal for our current CEO or for the next CEO transition.</w:t>
      </w:r>
    </w:p>
    <w:p>
      <w:pPr>
        <w:spacing w:after="0" w:line="197"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roles of Chairman and CEO are fundamentally different and should be held by 2 directors, a CEO and a Chairman who is completely independent of the CEO and our company. The job of the CEO is to manage the company. The job of the Chairman is to oversee the CEO.</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This proposal is important to Northrop Grumman because Northrop Grumman has given the 2 most important jobs in the Company, CEO and Chairman, to one person. Supposedly to counter balance this concentration of power Northrop Grumman has a so-called lead director, Ms. Madeleine Kleiner.</w:t>
      </w:r>
    </w:p>
    <w:p>
      <w:pPr>
        <w:spacing w:after="0" w:line="183"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Due to the limited information on the qualifications of NOC directors, that applies to all NOC directors, shareholders do not have ample information on whether Ms. Kleiner is qualified.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What can be gleaned from the limited annual meeting proxy information is that Ms. Kleiner does not appear to have had a day job for 16-years or since 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Kleiner was age 56. And the only directorships of note ever involve Jack in the Box and golf.</w:t>
      </w:r>
    </w:p>
    <w:p>
      <w:pPr>
        <w:spacing w:after="0" w:line="219" w:lineRule="exact"/>
        <w:rPr>
          <w:sz w:val="20"/>
          <w:szCs w:val="20"/>
          <w:color w:val="auto"/>
        </w:rPr>
      </w:pPr>
    </w:p>
    <w:p>
      <w:pPr>
        <w:jc w:val="both"/>
        <w:ind w:right="360"/>
        <w:spacing w:after="0" w:line="248" w:lineRule="auto"/>
        <w:rPr>
          <w:sz w:val="20"/>
          <w:szCs w:val="20"/>
          <w:color w:val="auto"/>
        </w:rPr>
      </w:pPr>
      <w:r>
        <w:rPr>
          <w:rFonts w:ascii="Arial" w:cs="Arial" w:eastAsia="Arial" w:hAnsi="Arial"/>
          <w:sz w:val="16"/>
          <w:szCs w:val="16"/>
          <w:color w:val="auto"/>
        </w:rPr>
        <w:t>This proposal topic received more than 39%-support at the 2023 NOC annual meeting. More than 39%-support is significant because it takes a lot more conviction for a shareholder to vote for this proposal ― based on the merits ― than to simply follow the party line from the NOC Board of Directors. The 39%-support is up from 29%-support for this proposal topic at the 2013 NOC annual meeting.</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Please vote yes: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Independent Board Chairman — Proposal 7</w:t>
      </w:r>
    </w:p>
    <w:p>
      <w:pPr>
        <w:sectPr>
          <w:pgSz w:w="11900" w:h="16838" w:orient="portrait"/>
          <w:cols w:equalWidth="0" w:num="1">
            <w:col w:w="11220"/>
          </w:cols>
          <w:pgMar w:left="320" w:top="129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280"/>
        <w:spacing w:after="0"/>
        <w:tabs>
          <w:tab w:leader="none" w:pos="10960" w:val="left"/>
        </w:tabs>
        <w:rPr>
          <w:sz w:val="20"/>
          <w:szCs w:val="20"/>
          <w:color w:val="auto"/>
        </w:rPr>
      </w:pPr>
      <w:r>
        <w:rPr>
          <w:rFonts w:ascii="Arial" w:cs="Arial" w:eastAsia="Arial" w:hAnsi="Arial"/>
          <w:sz w:val="14"/>
          <w:szCs w:val="14"/>
          <w:color w:val="auto"/>
        </w:rPr>
        <w:t>2024 Proxy Statement</w:t>
      </w:r>
      <w:r>
        <w:rPr>
          <w:sz w:val="20"/>
          <w:szCs w:val="20"/>
          <w:color w:val="auto"/>
        </w:rPr>
        <w:tab/>
      </w:r>
      <w:r>
        <w:rPr>
          <w:rFonts w:ascii="Arial" w:cs="Arial" w:eastAsia="Arial" w:hAnsi="Arial"/>
          <w:sz w:val="14"/>
          <w:szCs w:val="14"/>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8" w:right="35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4"/>
          <w:szCs w:val="14"/>
          <w:b w:val="1"/>
          <w:bCs w:val="1"/>
          <w:color w:val="auto"/>
        </w:rPr>
        <w:t>Proposal 7: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 Statement in Opposition to Proposal 7</w:t>
      </w:r>
    </w:p>
    <w:p>
      <w:pPr>
        <w:spacing w:after="0" w:line="28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Board of Directors continues to oppose this proposal. Our shareholders have previously considered similar independent chair proposals and declined to provide majority support to such proposals six times since 2012, most recently at our 2023 Annual Meeting.</w:t>
      </w:r>
    </w:p>
    <w:p>
      <w:pPr>
        <w:spacing w:after="0" w:line="6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Board is committed to strong and effective leadership and governance, including independent oversight, and believes the Company and its shareholders are best served when the Board retains the flexibility to utilize its experience, knowledge and judgment, informed by ongoing input from our shareholders, to determine which director is best suited to serve as Chair and as Lead Independent Director in light of the facts and circumstances at the time. This proposal would deprive the Board of critical flexibility at any given time to determine the most effective leadership structure to serve the interests of the Company and its shareholders, considering the full breadth of circumstances, as discussed below.</w:t>
      </w:r>
    </w:p>
    <w:p>
      <w:pPr>
        <w:spacing w:after="0" w:line="83"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Under our Bylaws and Principles of Corporate Governance, the Board has the authority to determine whether the positions of Chair and Chief Executive Officer should be held by the same or different persons, and re-evaluates and makes this determination at least annually. The Board has the flexibility to consider what is best for the Company and its shareholders, in light of all facts and circumstances known to the Board at the time. The Board has exercised this authority previously both to nominate independent Chairs and to nominate the CEO as Chair, depending on the circumstances and the needs of the Company. For example, the Board selected a director who was not a CEO to serve as Chair during a period of leadership transition in 2019 when Ms. Warden first assumed the role of CEO.</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Board considers a wide range of factors when determining the most effective leadership structure for the Board. These factors include:</w:t>
      </w:r>
    </w:p>
    <w:p>
      <w:pPr>
        <w:spacing w:after="0" w:line="129" w:lineRule="exact"/>
        <w:rPr>
          <w:sz w:val="20"/>
          <w:szCs w:val="20"/>
          <w:color w:val="auto"/>
        </w:rPr>
      </w:pPr>
    </w:p>
    <w:p>
      <w:pPr>
        <w:ind w:left="140" w:hanging="132"/>
        <w:spacing w:after="0"/>
        <w:tabs>
          <w:tab w:leader="none" w:pos="140" w:val="left"/>
        </w:tabs>
        <w:numPr>
          <w:ilvl w:val="0"/>
          <w:numId w:val="194"/>
        </w:numPr>
        <w:rPr>
          <w:rFonts w:ascii="Arial" w:cs="Arial" w:eastAsia="Arial" w:hAnsi="Arial"/>
          <w:sz w:val="22"/>
          <w:szCs w:val="22"/>
          <w:color w:val="29378D"/>
        </w:rPr>
      </w:pPr>
      <w:r>
        <w:rPr>
          <w:rFonts w:ascii="Arial" w:cs="Arial" w:eastAsia="Arial" w:hAnsi="Arial"/>
          <w:sz w:val="16"/>
          <w:szCs w:val="16"/>
          <w:color w:val="auto"/>
        </w:rPr>
        <w:t>the role of the Board and the responsibilities of the Lead Independent Director and the Chair;</w:t>
      </w:r>
    </w:p>
    <w:p>
      <w:pPr>
        <w:spacing w:after="0" w:line="111" w:lineRule="exact"/>
        <w:rPr>
          <w:rFonts w:ascii="Arial" w:cs="Arial" w:eastAsia="Arial" w:hAnsi="Arial"/>
          <w:sz w:val="22"/>
          <w:szCs w:val="22"/>
          <w:color w:val="29378D"/>
        </w:rPr>
      </w:pPr>
    </w:p>
    <w:p>
      <w:pPr>
        <w:ind w:left="140" w:hanging="132"/>
        <w:spacing w:after="0"/>
        <w:tabs>
          <w:tab w:leader="none" w:pos="140" w:val="left"/>
        </w:tabs>
        <w:numPr>
          <w:ilvl w:val="0"/>
          <w:numId w:val="194"/>
        </w:numPr>
        <w:rPr>
          <w:rFonts w:ascii="Arial" w:cs="Arial" w:eastAsia="Arial" w:hAnsi="Arial"/>
          <w:sz w:val="22"/>
          <w:szCs w:val="22"/>
          <w:color w:val="29378D"/>
        </w:rPr>
      </w:pPr>
      <w:r>
        <w:rPr>
          <w:rFonts w:ascii="Arial" w:cs="Arial" w:eastAsia="Arial" w:hAnsi="Arial"/>
          <w:sz w:val="16"/>
          <w:szCs w:val="16"/>
          <w:color w:val="auto"/>
        </w:rPr>
        <w:t>the experience and capabilities of the directors and the management team;</w:t>
      </w:r>
    </w:p>
    <w:p>
      <w:pPr>
        <w:spacing w:after="0" w:line="125" w:lineRule="exact"/>
        <w:rPr>
          <w:rFonts w:ascii="Arial" w:cs="Arial" w:eastAsia="Arial" w:hAnsi="Arial"/>
          <w:sz w:val="22"/>
          <w:szCs w:val="22"/>
          <w:color w:val="29378D"/>
        </w:rPr>
      </w:pPr>
    </w:p>
    <w:p>
      <w:pPr>
        <w:ind w:left="140" w:hanging="132"/>
        <w:spacing w:after="0"/>
        <w:tabs>
          <w:tab w:leader="none" w:pos="140" w:val="left"/>
        </w:tabs>
        <w:numPr>
          <w:ilvl w:val="0"/>
          <w:numId w:val="194"/>
        </w:numPr>
        <w:rPr>
          <w:rFonts w:ascii="Arial" w:cs="Arial" w:eastAsia="Arial" w:hAnsi="Arial"/>
          <w:sz w:val="22"/>
          <w:szCs w:val="22"/>
          <w:color w:val="29378D"/>
        </w:rPr>
      </w:pPr>
      <w:r>
        <w:rPr>
          <w:rFonts w:ascii="Arial" w:cs="Arial" w:eastAsia="Arial" w:hAnsi="Arial"/>
          <w:sz w:val="16"/>
          <w:szCs w:val="16"/>
          <w:color w:val="auto"/>
        </w:rPr>
        <w:t>the strategic and other challenges and opportunities facing the Company, both at the time and in the near future;</w:t>
      </w:r>
    </w:p>
    <w:p>
      <w:pPr>
        <w:spacing w:after="0" w:line="111" w:lineRule="exact"/>
        <w:rPr>
          <w:rFonts w:ascii="Arial" w:cs="Arial" w:eastAsia="Arial" w:hAnsi="Arial"/>
          <w:sz w:val="22"/>
          <w:szCs w:val="22"/>
          <w:color w:val="29378D"/>
        </w:rPr>
      </w:pPr>
    </w:p>
    <w:p>
      <w:pPr>
        <w:ind w:left="140" w:hanging="132"/>
        <w:spacing w:after="0"/>
        <w:tabs>
          <w:tab w:leader="none" w:pos="140" w:val="left"/>
        </w:tabs>
        <w:numPr>
          <w:ilvl w:val="0"/>
          <w:numId w:val="194"/>
        </w:numPr>
        <w:rPr>
          <w:rFonts w:ascii="Arial" w:cs="Arial" w:eastAsia="Arial" w:hAnsi="Arial"/>
          <w:sz w:val="22"/>
          <w:szCs w:val="22"/>
          <w:color w:val="29378D"/>
        </w:rPr>
      </w:pPr>
      <w:r>
        <w:rPr>
          <w:rFonts w:ascii="Arial" w:cs="Arial" w:eastAsia="Arial" w:hAnsi="Arial"/>
          <w:sz w:val="16"/>
          <w:szCs w:val="16"/>
          <w:color w:val="auto"/>
        </w:rPr>
        <w:t>the evolving environment in which we operate and the requirements on management and the Board;</w:t>
      </w:r>
    </w:p>
    <w:p>
      <w:pPr>
        <w:spacing w:after="0" w:line="111" w:lineRule="exact"/>
        <w:rPr>
          <w:rFonts w:ascii="Arial" w:cs="Arial" w:eastAsia="Arial" w:hAnsi="Arial"/>
          <w:sz w:val="22"/>
          <w:szCs w:val="22"/>
          <w:color w:val="29378D"/>
        </w:rPr>
      </w:pPr>
    </w:p>
    <w:p>
      <w:pPr>
        <w:ind w:left="140" w:hanging="132"/>
        <w:spacing w:after="0"/>
        <w:tabs>
          <w:tab w:leader="none" w:pos="140" w:val="left"/>
        </w:tabs>
        <w:numPr>
          <w:ilvl w:val="0"/>
          <w:numId w:val="194"/>
        </w:numPr>
        <w:rPr>
          <w:rFonts w:ascii="Arial" w:cs="Arial" w:eastAsia="Arial" w:hAnsi="Arial"/>
          <w:sz w:val="22"/>
          <w:szCs w:val="22"/>
          <w:color w:val="29378D"/>
        </w:rPr>
      </w:pPr>
      <w:r>
        <w:rPr>
          <w:rFonts w:ascii="Arial" w:cs="Arial" w:eastAsia="Arial" w:hAnsi="Arial"/>
          <w:sz w:val="16"/>
          <w:szCs w:val="16"/>
          <w:color w:val="auto"/>
        </w:rPr>
        <w:t>the security, geopolitical and macroeconomic environments;</w:t>
      </w:r>
    </w:p>
    <w:p>
      <w:pPr>
        <w:spacing w:after="0" w:line="111" w:lineRule="exact"/>
        <w:rPr>
          <w:rFonts w:ascii="Arial" w:cs="Arial" w:eastAsia="Arial" w:hAnsi="Arial"/>
          <w:sz w:val="22"/>
          <w:szCs w:val="22"/>
          <w:color w:val="29378D"/>
        </w:rPr>
      </w:pPr>
    </w:p>
    <w:p>
      <w:pPr>
        <w:ind w:left="140" w:hanging="132"/>
        <w:spacing w:after="0"/>
        <w:tabs>
          <w:tab w:leader="none" w:pos="140" w:val="left"/>
        </w:tabs>
        <w:numPr>
          <w:ilvl w:val="0"/>
          <w:numId w:val="194"/>
        </w:numPr>
        <w:rPr>
          <w:rFonts w:ascii="Arial" w:cs="Arial" w:eastAsia="Arial" w:hAnsi="Arial"/>
          <w:sz w:val="22"/>
          <w:szCs w:val="22"/>
          <w:color w:val="29378D"/>
        </w:rPr>
      </w:pPr>
      <w:r>
        <w:rPr>
          <w:rFonts w:ascii="Arial" w:cs="Arial" w:eastAsia="Arial" w:hAnsi="Arial"/>
          <w:sz w:val="16"/>
          <w:szCs w:val="16"/>
          <w:color w:val="auto"/>
        </w:rPr>
        <w:t>relationships with our largest customers, appropriators and regulators;</w:t>
      </w:r>
    </w:p>
    <w:p>
      <w:pPr>
        <w:spacing w:after="0" w:line="111" w:lineRule="exact"/>
        <w:rPr>
          <w:rFonts w:ascii="Arial" w:cs="Arial" w:eastAsia="Arial" w:hAnsi="Arial"/>
          <w:sz w:val="22"/>
          <w:szCs w:val="22"/>
          <w:color w:val="29378D"/>
        </w:rPr>
      </w:pPr>
    </w:p>
    <w:p>
      <w:pPr>
        <w:ind w:left="140" w:hanging="132"/>
        <w:spacing w:after="0"/>
        <w:tabs>
          <w:tab w:leader="none" w:pos="140" w:val="left"/>
        </w:tabs>
        <w:numPr>
          <w:ilvl w:val="0"/>
          <w:numId w:val="194"/>
        </w:numPr>
        <w:rPr>
          <w:rFonts w:ascii="Arial" w:cs="Arial" w:eastAsia="Arial" w:hAnsi="Arial"/>
          <w:sz w:val="22"/>
          <w:szCs w:val="22"/>
          <w:color w:val="29378D"/>
        </w:rPr>
      </w:pPr>
      <w:r>
        <w:rPr>
          <w:rFonts w:ascii="Arial" w:cs="Arial" w:eastAsia="Arial" w:hAnsi="Arial"/>
          <w:sz w:val="16"/>
          <w:szCs w:val="16"/>
          <w:color w:val="auto"/>
        </w:rPr>
        <w:t>the confidence shareholders have in the Company’s leadership;</w:t>
      </w:r>
    </w:p>
    <w:p>
      <w:pPr>
        <w:spacing w:after="0" w:line="125" w:lineRule="exact"/>
        <w:rPr>
          <w:rFonts w:ascii="Arial" w:cs="Arial" w:eastAsia="Arial" w:hAnsi="Arial"/>
          <w:sz w:val="22"/>
          <w:szCs w:val="22"/>
          <w:color w:val="29378D"/>
        </w:rPr>
      </w:pPr>
    </w:p>
    <w:p>
      <w:pPr>
        <w:ind w:left="140" w:hanging="132"/>
        <w:spacing w:after="0"/>
        <w:tabs>
          <w:tab w:leader="none" w:pos="140" w:val="left"/>
        </w:tabs>
        <w:numPr>
          <w:ilvl w:val="0"/>
          <w:numId w:val="194"/>
        </w:numPr>
        <w:rPr>
          <w:rFonts w:ascii="Arial" w:cs="Arial" w:eastAsia="Arial" w:hAnsi="Arial"/>
          <w:sz w:val="22"/>
          <w:szCs w:val="22"/>
          <w:color w:val="29378D"/>
        </w:rPr>
      </w:pPr>
      <w:r>
        <w:rPr>
          <w:rFonts w:ascii="Arial" w:cs="Arial" w:eastAsia="Arial" w:hAnsi="Arial"/>
          <w:sz w:val="16"/>
          <w:szCs w:val="16"/>
          <w:color w:val="auto"/>
        </w:rPr>
        <w:t>the importance of presenting one leadership voice to our customers in the U.S. and globally; and</w:t>
      </w:r>
    </w:p>
    <w:p>
      <w:pPr>
        <w:spacing w:after="0" w:line="149" w:lineRule="exact"/>
        <w:rPr>
          <w:rFonts w:ascii="Arial" w:cs="Arial" w:eastAsia="Arial" w:hAnsi="Arial"/>
          <w:sz w:val="22"/>
          <w:szCs w:val="22"/>
          <w:color w:val="29378D"/>
        </w:rPr>
      </w:pPr>
    </w:p>
    <w:p>
      <w:pPr>
        <w:ind w:left="200" w:right="660" w:hanging="192"/>
        <w:spacing w:after="0" w:line="229" w:lineRule="auto"/>
        <w:tabs>
          <w:tab w:leader="none" w:pos="135" w:val="left"/>
        </w:tabs>
        <w:numPr>
          <w:ilvl w:val="0"/>
          <w:numId w:val="194"/>
        </w:numPr>
        <w:rPr>
          <w:rFonts w:ascii="Arial" w:cs="Arial" w:eastAsia="Arial" w:hAnsi="Arial"/>
          <w:sz w:val="22"/>
          <w:szCs w:val="22"/>
          <w:color w:val="29378D"/>
        </w:rPr>
      </w:pPr>
      <w:r>
        <w:rPr>
          <w:rFonts w:ascii="Arial" w:cs="Arial" w:eastAsia="Arial" w:hAnsi="Arial"/>
          <w:sz w:val="16"/>
          <w:szCs w:val="16"/>
          <w:color w:val="auto"/>
        </w:rPr>
        <w:t>the importance of promoting a clear, unified strategic vision for the Company, assuring that strategies adopted by the Board are well-positioned for execution by management.</w:t>
      </w:r>
    </w:p>
    <w:p>
      <w:pPr>
        <w:spacing w:after="0" w:line="8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Following the 2023 Annual Meeting in May 2023, the Board again concluded that the Company would be best served by having Ms. Warden, our Chief Executive Officer, continue to serve as Chair and Ms. Kleiner continue to serve as Lead Independent Director. The Board believes this is the most appropriate leadership structure for the Company at this time. Ms. Warden’s deep understanding of the Company (including its risks and opportunities, and our customers), coupled with her broad experience with industry and matters of corporate governance (gained through, for example, her leadership roles with other companies and organizations), enables her to provide strong and effective Board leadership. This leadership structure, coupled with a strong Lead Independent Director, reflects what the Board understands to be both shareholder and customer confidence, and it positions the Company to succeed in today’s rapidly changing environment – with innovation, digital transformation, financial acumen, a global strategy, and a focus on performance, people, technology, culture and long-term value creation for our shareholders. The Company also engages with shareholders on this issue as part of our regular outreach and shareholder engagement efforts.</w:t>
      </w:r>
    </w:p>
    <w:p>
      <w:pPr>
        <w:spacing w:after="0" w:line="8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Our Bylaws and Principles of Corporate Governance require the Board to designate a Lead Independent Director from among them when the Chair is not independent. Ms. Kleiner first assumed this role in December 2022. Having served as a Director since 2008, she is intimately familiar with the Company, the oversight role of the Board, and issues of corporate governance and risk management. She has served on the Audit and Risk Committee, the Compensation and Human Capital Committee and served as Chair of the Nominating and Corporate Governance Committee from 2015 to 2022. During her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 w:hanging="494"/>
        <w:spacing w:after="0"/>
        <w:tabs>
          <w:tab w:leader="none" w:pos="520" w:val="left"/>
        </w:tabs>
        <w:numPr>
          <w:ilvl w:val="0"/>
          <w:numId w:val="195"/>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4"/>
          <w:szCs w:val="14"/>
          <w:b w:val="1"/>
          <w:bCs w:val="1"/>
          <w:color w:val="auto"/>
        </w:rPr>
        <w:t>Proposal 7: Shareholder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tenure as a director, including as Lead Independent Director, Ms. Kleiner has engaged with investors and demonstrated strong leadership skills, independent thinking and a deep understanding of our business and our shareholders’ interests.</w:t>
      </w:r>
    </w:p>
    <w:p>
      <w:pPr>
        <w:spacing w:after="0" w:line="6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Our Principles of Corporate Governance explicitly prescribe a strong role for our Lead Independent Director, describing in detail significant responsibilities with respect to the operation and functioning of the Board and reflecting our commitment to robust corporate governance. Among other roles, the Lead Independent Director is charged with calling, establishing the agenda for, and chairing meetings of, the independent directors, and approves the schedule of Board and committee meetings to assure there is significant opportunity for the Board to consider properly all necessary agenda items. The Lead Independent Director also meets with shareholders, and works closely with the Chair to provide independent oversight and ensure the Board effectively meets its responsibilities. The Lead Independent Director also meets at least annually with each director individually to both review their performance and the performance of the Board as a whole and leads the annual evaluation of the Chair and CEO. Additionally, the Lead Independent Director works closely with the Chair to facilitate succession planning and management development. For a more detailed discussion of the duties of the Lead Independent Director, see "Corporate Governance — Board Leadership Structure — Lead Independent Director” in this Proxy Statement.</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The Board consists entirely of independent directors, other than Ms. Warden, and continues to exercise a strong, independent oversight function (including</w:t>
      </w:r>
    </w:p>
    <w:p>
      <w:pPr>
        <w:spacing w:after="0" w:line="73"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through Board committees which are comprised entirely of independent directors). At each Board meeting, there is a scheduled session of the independent directors, led by the Lead Independent Director (if the Chair is not independent). And, among other roles, the independent directors elect the CEO, approve her or his annual compensation, provide performance feedback and direction, and oversee a robust succession planning process. The Board does not believe the Chair must always be an independent director to ensure that the Board operates effectively to serve the interests of the Company and its shareholders.</w:t>
      </w:r>
    </w:p>
    <w:p>
      <w:pPr>
        <w:spacing w:after="0" w:line="64"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The Board believes that the Company’s balanced and flexible corporate governance structure, including a Lead Independent Director with well-defined, comprehensive and meaningful duties, and strong corporate governance practices, make it not only unnecessary, but ill-advised to adopt a policy that would mandate that the Chair be an independent director. The Board believes that adopting such a rule would deprive the Board of the flexibility to act in the best interest of the Company and its shareholders in selecting the director it believes is best suited to serve as Chair of the Board.</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113"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Approval of this proposal requires that the votes cast “for” the proposal exceed the votes cast “against” the proposal.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40575" cy="41148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05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 xml:space="preserve">THE BOARD OF DIRECTORS UNANIMOUSLY RECOMMENDS THAT YOU VOTE </w:t>
      </w:r>
      <w:r>
        <w:rPr>
          <w:rFonts w:ascii="Arial" w:cs="Arial" w:eastAsia="Arial" w:hAnsi="Arial"/>
          <w:sz w:val="14"/>
          <w:szCs w:val="14"/>
          <w:b w:val="1"/>
          <w:bCs w:val="1"/>
          <w:color w:val="00249C"/>
        </w:rPr>
        <w:t>“AGAINST”</w:t>
      </w:r>
      <w:r>
        <w:rPr>
          <w:rFonts w:ascii="Arial" w:cs="Arial" w:eastAsia="Arial" w:hAnsi="Arial"/>
          <w:sz w:val="14"/>
          <w:szCs w:val="14"/>
          <w:b w:val="1"/>
          <w:bCs w:val="1"/>
          <w:color w:val="auto"/>
        </w:rPr>
        <w:t xml:space="preserve"> PROPOSAL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105</w:t>
            </w:r>
          </w:p>
        </w:tc>
      </w:tr>
      <w:tr>
        <w:trPr>
          <w:trHeight w:val="320"/>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8" w:name="page109"/>
    <w:bookmarkEnd w:id="108"/>
    <w:p>
      <w:pPr>
        <w:ind w:right="1540"/>
        <w:spacing w:after="0" w:line="298" w:lineRule="auto"/>
        <w:rPr>
          <w:sz w:val="20"/>
          <w:szCs w:val="20"/>
          <w:color w:val="auto"/>
        </w:rPr>
      </w:pPr>
      <w:r>
        <w:rPr>
          <w:rFonts w:ascii="Arial" w:cs="Arial" w:eastAsia="Arial" w:hAnsi="Arial"/>
          <w:sz w:val="43"/>
          <w:szCs w:val="43"/>
          <w:b w:val="1"/>
          <w:bCs w:val="1"/>
          <w:color w:val="29378D"/>
        </w:rPr>
        <w:t>Transactions with Related Persons and Control Persons</w:t>
      </w:r>
    </w:p>
    <w:p>
      <w:pPr>
        <w:spacing w:after="0" w:line="24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Related Person Transactions</w:t>
      </w:r>
    </w:p>
    <w:p>
      <w:pPr>
        <w:spacing w:after="0" w:line="148"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 Company has a written policy approved by the Board, for the review, approval and ratification of transactions between our Company and our directors, executive officers and other related persons (Related Person Transactions Policy). A copy of the policy is available on the Investor Relations section of our website (</w:t>
      </w:r>
      <w:r>
        <w:rPr>
          <w:rFonts w:ascii="Arial" w:cs="Arial" w:eastAsia="Arial" w:hAnsi="Arial"/>
          <w:sz w:val="16"/>
          <w:szCs w:val="16"/>
          <w:i w:val="1"/>
          <w:iCs w:val="1"/>
          <w:color w:val="auto"/>
        </w:rPr>
        <w:t>www.northropgrumman.com</w:t>
      </w:r>
      <w:r>
        <w:rPr>
          <w:rFonts w:ascii="Arial" w:cs="Arial" w:eastAsia="Arial" w:hAnsi="Arial"/>
          <w:sz w:val="16"/>
          <w:szCs w:val="16"/>
          <w:color w:val="auto"/>
        </w:rPr>
        <w:t>). The policy provides for related person transactions to be reviewed in advance and approved or ratified, as applicable, by the Board of Directors, the Nominating and Corporate Governance Committee or the Chair of the Nominating and Corporate Governance Committee. A related person transaction may be approved if, after reviewing the relevant facts and circumstances, the reviewing party concludes that approving the related person transaction is in the best interests of the Company and its shareholders.</w:t>
      </w:r>
    </w:p>
    <w:p>
      <w:pPr>
        <w:spacing w:after="0" w:line="6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policy defines a related person transaction as any transaction in which the Company was, is or will be a participant, where the amount involved exceeds $120,000, and in which a related person had, has or is expected to have a direct or indirect material interest. A “related person” includes:</w:t>
      </w:r>
    </w:p>
    <w:p>
      <w:pPr>
        <w:spacing w:after="0" w:line="61" w:lineRule="exact"/>
        <w:rPr>
          <w:sz w:val="20"/>
          <w:szCs w:val="20"/>
          <w:color w:val="auto"/>
        </w:rPr>
      </w:pPr>
    </w:p>
    <w:p>
      <w:pPr>
        <w:ind w:left="140" w:hanging="132"/>
        <w:spacing w:after="0"/>
        <w:tabs>
          <w:tab w:leader="none" w:pos="140" w:val="left"/>
        </w:tabs>
        <w:numPr>
          <w:ilvl w:val="0"/>
          <w:numId w:val="196"/>
        </w:numPr>
        <w:rPr>
          <w:rFonts w:ascii="Arial" w:cs="Arial" w:eastAsia="Arial" w:hAnsi="Arial"/>
          <w:sz w:val="16"/>
          <w:szCs w:val="16"/>
          <w:b w:val="1"/>
          <w:bCs w:val="1"/>
          <w:color w:val="29378D"/>
        </w:rPr>
      </w:pPr>
      <w:r>
        <w:rPr>
          <w:rFonts w:ascii="Arial" w:cs="Arial" w:eastAsia="Arial" w:hAnsi="Arial"/>
          <w:sz w:val="16"/>
          <w:szCs w:val="16"/>
          <w:color w:val="auto"/>
        </w:rPr>
        <w:t>any of our directors, nominees for director or executive officers;</w:t>
      </w:r>
    </w:p>
    <w:p>
      <w:pPr>
        <w:spacing w:after="0" w:line="72" w:lineRule="exact"/>
        <w:rPr>
          <w:rFonts w:ascii="Arial" w:cs="Arial" w:eastAsia="Arial" w:hAnsi="Arial"/>
          <w:sz w:val="16"/>
          <w:szCs w:val="16"/>
          <w:b w:val="1"/>
          <w:bCs w:val="1"/>
          <w:color w:val="29378D"/>
        </w:rPr>
      </w:pPr>
    </w:p>
    <w:p>
      <w:pPr>
        <w:ind w:left="140" w:hanging="132"/>
        <w:spacing w:after="0"/>
        <w:tabs>
          <w:tab w:leader="none" w:pos="140" w:val="left"/>
        </w:tabs>
        <w:numPr>
          <w:ilvl w:val="0"/>
          <w:numId w:val="196"/>
        </w:numPr>
        <w:rPr>
          <w:rFonts w:ascii="Arial" w:cs="Arial" w:eastAsia="Arial" w:hAnsi="Arial"/>
          <w:sz w:val="16"/>
          <w:szCs w:val="16"/>
          <w:b w:val="1"/>
          <w:bCs w:val="1"/>
          <w:color w:val="29378D"/>
        </w:rPr>
      </w:pPr>
      <w:r>
        <w:rPr>
          <w:rFonts w:ascii="Arial" w:cs="Arial" w:eastAsia="Arial" w:hAnsi="Arial"/>
          <w:sz w:val="16"/>
          <w:szCs w:val="16"/>
          <w:color w:val="auto"/>
        </w:rPr>
        <w:t>any person who is known to be the beneficial owner of more than 5% of our common stock; or</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196"/>
        </w:numPr>
        <w:rPr>
          <w:rFonts w:ascii="Arial" w:cs="Arial" w:eastAsia="Arial" w:hAnsi="Arial"/>
          <w:sz w:val="16"/>
          <w:szCs w:val="16"/>
          <w:b w:val="1"/>
          <w:bCs w:val="1"/>
          <w:color w:val="29378D"/>
        </w:rPr>
      </w:pPr>
      <w:r>
        <w:rPr>
          <w:rFonts w:ascii="Arial" w:cs="Arial" w:eastAsia="Arial" w:hAnsi="Arial"/>
          <w:sz w:val="16"/>
          <w:szCs w:val="16"/>
          <w:color w:val="auto"/>
        </w:rPr>
        <w:t>an immediate family member of any such persons.</w:t>
      </w:r>
    </w:p>
    <w:p>
      <w:pPr>
        <w:spacing w:after="0" w:line="127"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Under exceptional circumstances, if a related person transaction has not been approved in advance, the Nominating and Corporate Governance Committee will recommend to the Board of Directors such action as the Nominating and Corporate Governance Committee deems appropriate, including ratification, amendment or termination of the transaction.</w:t>
      </w:r>
    </w:p>
    <w:p>
      <w:pPr>
        <w:spacing w:after="0" w:line="7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policy requires each director and executive officer to complete an annual questionnaire to identify his or her related interests and to notify the Corporate Secretary of any changes in their information.</w:t>
      </w:r>
    </w:p>
    <w:p>
      <w:pPr>
        <w:spacing w:after="0" w:line="4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In the ordinary course of business and in connection with various subcontractor agreements, the Company makes payments to and receives payments from CACI International Inc. The spouse of our Corporate Vice President and Chief Human Resources Officer, Ann Addison, who served as an executive officer for part of 2023, is the President and Chief Executive Officer and a member of the Board of Directors of CACI. In 2023, the Company made payments to CACI of approximately $54.3 million and received payments from CACI of approximately $742.7 thousand.</w:t>
      </w:r>
    </w:p>
    <w:p>
      <w:pPr>
        <w:spacing w:after="0" w:line="60"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State Street Corporation (State Street), acting in various fiduciary capacities, filed a Schedule 13G/A with the SEC reporting that as of December 31, 2023, State Street and certain of its subsidiaries collectively were the beneficial owners of more than 5% of our outstanding common stock. A subsidiary of State Street is the trustee for various Northrop Grumman defined benefit and defined contribution plan trusts. Two other State Street subsidiaries provide investment management services. During 2023, those State Street subsidiaries received approximately $6.4 million for such services, all of which was paid by the plan trusts.</w:t>
      </w:r>
    </w:p>
    <w:p>
      <w:pPr>
        <w:spacing w:after="0" w:line="199"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BlackRock, Inc. (BlackRock) filed a Schedule 13G/A with the SEC reporting that as of December 31, 2023, BlackRock and certain of its subsidiaries collectively were the beneficial owners of more than 5% of our outstanding common stock. A subsidiary of BlackRock provides investment management services for certain assets within various Northrop Grumman defined benefit plan trusts. During 2023, the trusts paid that BlackRock subsidiary approximately $128,000 for such services.</w:t>
      </w: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Indemnification Agreements</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Bylaws require us generally to indemnify our directors and executive officers to the fullest extent permitted by Delaware law. Additionally, as permitted by Delaware law, we have entered into indemnification agreements with each of our directors and elected officers. Under the indemnification agreements, we have agreed to hold harmless and indemnify each indemnitee, generally to the fullest extent permitted by Delaware law, against expenses, liabilities and loss incurred in connection with threatened, pending or completed action, suit or proceeding, whether civil, criminal, administrative or investigative to which the indemnitee is made a party by reason of the fact that the indemnitee is or was a director or officer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0" w:hanging="494"/>
        <w:spacing w:after="0"/>
        <w:tabs>
          <w:tab w:leader="none" w:pos="520" w:val="left"/>
        </w:tabs>
        <w:numPr>
          <w:ilvl w:val="0"/>
          <w:numId w:val="197"/>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4"/>
          <w:szCs w:val="14"/>
          <w:b w:val="1"/>
          <w:bCs w:val="1"/>
          <w:color w:val="auto"/>
        </w:rPr>
        <w:t>Transactions with Related Persons and Control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of the Company or any other entity at our request, provided however, that the indemnitee acted in good faith and in a manner reasonably believed to be in the best interests of our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107</w:t>
            </w:r>
          </w:p>
        </w:tc>
      </w:tr>
      <w:tr>
        <w:trPr>
          <w:trHeight w:val="320"/>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10" w:name="page111"/>
    <w:bookmarkEnd w:id="110"/>
    <w:p>
      <w:pPr>
        <w:spacing w:after="0"/>
        <w:rPr>
          <w:sz w:val="20"/>
          <w:szCs w:val="20"/>
          <w:color w:val="auto"/>
        </w:rPr>
      </w:pPr>
      <w:r>
        <w:rPr>
          <w:rFonts w:ascii="Arial" w:cs="Arial" w:eastAsia="Arial" w:hAnsi="Arial"/>
          <w:sz w:val="43"/>
          <w:szCs w:val="43"/>
          <w:b w:val="1"/>
          <w:bCs w:val="1"/>
          <w:color w:val="29378D"/>
        </w:rPr>
        <w:t>Voting Securities and Principal Holders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Stock Ownership of Certain Beneficial Holders</w:t>
      </w:r>
    </w:p>
    <w:p>
      <w:pPr>
        <w:spacing w:after="0" w:line="14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following entities beneficially owned, to the best of our knowledge, more than five percent of the outstanding common stock as of the dates indicated in the footnotes below. All information shown is based on information reported by the filer on a Schedule 13G filed with the SEC on the dates indicated in the footnotes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3980" w:type="dxa"/>
            <w:vAlign w:val="bottom"/>
          </w:tcPr>
          <w:p>
            <w:pPr>
              <w:jc w:val="right"/>
              <w:spacing w:after="0"/>
              <w:rPr>
                <w:sz w:val="20"/>
                <w:szCs w:val="20"/>
                <w:color w:val="auto"/>
              </w:rPr>
            </w:pPr>
            <w:r>
              <w:rPr>
                <w:rFonts w:ascii="Arial" w:cs="Arial" w:eastAsia="Arial" w:hAnsi="Arial"/>
                <w:sz w:val="13"/>
                <w:szCs w:val="13"/>
                <w:b w:val="1"/>
                <w:bCs w:val="1"/>
                <w:color w:val="auto"/>
              </w:rPr>
              <w:t>Amount and Nature of</w:t>
            </w:r>
          </w:p>
        </w:tc>
        <w:tc>
          <w:tcPr>
            <w:tcW w:w="5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39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Beneficial Ownership of</w:t>
            </w:r>
          </w:p>
        </w:tc>
        <w:tc>
          <w:tcPr>
            <w:tcW w:w="5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5860" w:type="dxa"/>
            <w:vAlign w:val="bottom"/>
          </w:tcPr>
          <w:p>
            <w:pPr>
              <w:spacing w:after="0"/>
              <w:rPr>
                <w:sz w:val="8"/>
                <w:szCs w:val="8"/>
                <w:color w:val="auto"/>
              </w:rPr>
            </w:pPr>
          </w:p>
        </w:tc>
        <w:tc>
          <w:tcPr>
            <w:tcW w:w="39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of Class</w:t>
            </w:r>
          </w:p>
        </w:tc>
        <w:tc>
          <w:tcPr>
            <w:tcW w:w="0" w:type="dxa"/>
            <w:vAlign w:val="bottom"/>
          </w:tcPr>
          <w:p>
            <w:pPr>
              <w:spacing w:after="0"/>
              <w:rPr>
                <w:sz w:val="1"/>
                <w:szCs w:val="1"/>
                <w:color w:val="auto"/>
              </w:rPr>
            </w:pPr>
          </w:p>
        </w:tc>
      </w:tr>
      <w:tr>
        <w:trPr>
          <w:trHeight w:val="77"/>
        </w:trPr>
        <w:tc>
          <w:tcPr>
            <w:tcW w:w="58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and Address of Beneficial Owner</w:t>
            </w:r>
          </w:p>
        </w:tc>
        <w:tc>
          <w:tcPr>
            <w:tcW w:w="39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5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5860" w:type="dxa"/>
            <w:vAlign w:val="bottom"/>
            <w:vMerge w:val="continue"/>
          </w:tcPr>
          <w:p>
            <w:pPr>
              <w:spacing w:after="0"/>
              <w:rPr>
                <w:sz w:val="8"/>
                <w:szCs w:val="8"/>
                <w:color w:val="auto"/>
              </w:rPr>
            </w:pPr>
          </w:p>
        </w:tc>
        <w:tc>
          <w:tcPr>
            <w:tcW w:w="39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5860" w:type="dxa"/>
            <w:vAlign w:val="bottom"/>
            <w:tcBorders>
              <w:bottom w:val="single" w:sz="8" w:color="29378D"/>
            </w:tcBorders>
          </w:tcPr>
          <w:p>
            <w:pPr>
              <w:spacing w:after="0" w:line="20" w:lineRule="exact"/>
              <w:rPr>
                <w:sz w:val="1"/>
                <w:szCs w:val="1"/>
                <w:color w:val="auto"/>
              </w:rPr>
            </w:pPr>
          </w:p>
        </w:tc>
        <w:tc>
          <w:tcPr>
            <w:tcW w:w="3980" w:type="dxa"/>
            <w:vAlign w:val="bottom"/>
            <w:tcBorders>
              <w:bottom w:val="single" w:sz="8" w:color="29378D"/>
            </w:tcBorders>
          </w:tcPr>
          <w:p>
            <w:pPr>
              <w:spacing w:after="0" w:line="20" w:lineRule="exact"/>
              <w:rPr>
                <w:sz w:val="1"/>
                <w:szCs w:val="1"/>
                <w:color w:val="auto"/>
              </w:rPr>
            </w:pPr>
          </w:p>
        </w:tc>
        <w:tc>
          <w:tcPr>
            <w:tcW w:w="520" w:type="dxa"/>
            <w:vAlign w:val="bottom"/>
            <w:tcBorders>
              <w:bottom w:val="single" w:sz="8" w:color="29378D"/>
            </w:tcBorders>
          </w:tcPr>
          <w:p>
            <w:pPr>
              <w:spacing w:after="0" w:line="20" w:lineRule="exact"/>
              <w:rPr>
                <w:sz w:val="1"/>
                <w:szCs w:val="1"/>
                <w:color w:val="auto"/>
              </w:rPr>
            </w:pPr>
          </w:p>
        </w:tc>
        <w:tc>
          <w:tcPr>
            <w:tcW w:w="88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860" w:type="dxa"/>
            <w:vAlign w:val="bottom"/>
          </w:tcPr>
          <w:p>
            <w:pPr>
              <w:ind w:left="20"/>
              <w:spacing w:after="0"/>
              <w:rPr>
                <w:sz w:val="20"/>
                <w:szCs w:val="20"/>
                <w:color w:val="auto"/>
              </w:rPr>
            </w:pPr>
            <w:r>
              <w:rPr>
                <w:rFonts w:ascii="Arial" w:cs="Arial" w:eastAsia="Arial" w:hAnsi="Arial"/>
                <w:sz w:val="16"/>
                <w:szCs w:val="16"/>
                <w:color w:val="auto"/>
              </w:rPr>
              <w:t>State Street Corporation</w:t>
            </w:r>
          </w:p>
        </w:tc>
        <w:tc>
          <w:tcPr>
            <w:tcW w:w="3980" w:type="dxa"/>
            <w:vAlign w:val="bottom"/>
          </w:tcPr>
          <w:p>
            <w:pPr>
              <w:jc w:val="right"/>
              <w:spacing w:after="0"/>
              <w:rPr>
                <w:sz w:val="20"/>
                <w:szCs w:val="20"/>
                <w:color w:val="auto"/>
              </w:rPr>
            </w:pPr>
            <w:r>
              <w:rPr>
                <w:rFonts w:ascii="Arial" w:cs="Arial" w:eastAsia="Arial" w:hAnsi="Arial"/>
                <w:sz w:val="16"/>
                <w:szCs w:val="16"/>
                <w:color w:val="auto"/>
              </w:rPr>
              <w:t>13,860,192</w:t>
            </w:r>
          </w:p>
        </w:tc>
        <w:tc>
          <w:tcPr>
            <w:tcW w:w="520" w:type="dxa"/>
            <w:vAlign w:val="bottom"/>
          </w:tcPr>
          <w:p>
            <w:pPr>
              <w:jc w:val="right"/>
              <w:ind w:right="307"/>
              <w:spacing w:after="0"/>
              <w:rPr>
                <w:sz w:val="20"/>
                <w:szCs w:val="20"/>
                <w:color w:val="auto"/>
              </w:rPr>
            </w:pPr>
            <w:r>
              <w:rPr>
                <w:rFonts w:ascii="Arial" w:cs="Arial" w:eastAsia="Arial" w:hAnsi="Arial"/>
                <w:sz w:val="11"/>
                <w:szCs w:val="11"/>
                <w:color w:val="auto"/>
              </w:rPr>
              <w:t>(1)</w:t>
            </w:r>
          </w:p>
        </w:tc>
        <w:tc>
          <w:tcPr>
            <w:tcW w:w="88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24"/>
        </w:trPr>
        <w:tc>
          <w:tcPr>
            <w:tcW w:w="586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1 Congress Street, Suite 1, Boston, MA 02114</w:t>
            </w:r>
          </w:p>
        </w:tc>
        <w:tc>
          <w:tcPr>
            <w:tcW w:w="3980" w:type="dxa"/>
            <w:vAlign w:val="bottom"/>
            <w:tcBorders>
              <w:bottom w:val="single" w:sz="8" w:color="BCBEC0"/>
            </w:tcBorders>
          </w:tcPr>
          <w:p>
            <w:pPr>
              <w:spacing w:after="0"/>
              <w:rPr>
                <w:sz w:val="19"/>
                <w:szCs w:val="19"/>
                <w:color w:val="auto"/>
              </w:rPr>
            </w:pPr>
          </w:p>
        </w:tc>
        <w:tc>
          <w:tcPr>
            <w:tcW w:w="520" w:type="dxa"/>
            <w:vAlign w:val="bottom"/>
            <w:tcBorders>
              <w:bottom w:val="single" w:sz="8" w:color="BCBEC0"/>
            </w:tcBorders>
          </w:tcPr>
          <w:p>
            <w:pPr>
              <w:spacing w:after="0"/>
              <w:rPr>
                <w:sz w:val="19"/>
                <w:szCs w:val="19"/>
                <w:color w:val="auto"/>
              </w:rPr>
            </w:pPr>
          </w:p>
        </w:tc>
        <w:tc>
          <w:tcPr>
            <w:tcW w:w="88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The Vanguard Group</w:t>
            </w:r>
          </w:p>
        </w:tc>
        <w:tc>
          <w:tcPr>
            <w:tcW w:w="3980" w:type="dxa"/>
            <w:vAlign w:val="bottom"/>
          </w:tcPr>
          <w:p>
            <w:pPr>
              <w:jc w:val="right"/>
              <w:spacing w:after="0"/>
              <w:rPr>
                <w:sz w:val="20"/>
                <w:szCs w:val="20"/>
                <w:color w:val="auto"/>
              </w:rPr>
            </w:pPr>
            <w:r>
              <w:rPr>
                <w:rFonts w:ascii="Arial" w:cs="Arial" w:eastAsia="Arial" w:hAnsi="Arial"/>
                <w:sz w:val="16"/>
                <w:szCs w:val="16"/>
                <w:color w:val="auto"/>
              </w:rPr>
              <w:t>12,107,227</w:t>
            </w:r>
          </w:p>
        </w:tc>
        <w:tc>
          <w:tcPr>
            <w:tcW w:w="520" w:type="dxa"/>
            <w:vAlign w:val="bottom"/>
          </w:tcPr>
          <w:p>
            <w:pPr>
              <w:jc w:val="right"/>
              <w:ind w:right="307"/>
              <w:spacing w:after="0"/>
              <w:rPr>
                <w:sz w:val="20"/>
                <w:szCs w:val="20"/>
                <w:color w:val="auto"/>
              </w:rPr>
            </w:pPr>
            <w:r>
              <w:rPr>
                <w:rFonts w:ascii="Arial" w:cs="Arial" w:eastAsia="Arial" w:hAnsi="Arial"/>
                <w:sz w:val="11"/>
                <w:szCs w:val="11"/>
                <w:color w:val="auto"/>
              </w:rPr>
              <w:t>(2)</w:t>
            </w:r>
          </w:p>
        </w:tc>
        <w:tc>
          <w:tcPr>
            <w:tcW w:w="8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24"/>
        </w:trPr>
        <w:tc>
          <w:tcPr>
            <w:tcW w:w="586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100 Vanguard Blvd., Malvern, PA 19355</w:t>
            </w:r>
          </w:p>
        </w:tc>
        <w:tc>
          <w:tcPr>
            <w:tcW w:w="3980" w:type="dxa"/>
            <w:vAlign w:val="bottom"/>
            <w:tcBorders>
              <w:bottom w:val="single" w:sz="8" w:color="BCBEC0"/>
            </w:tcBorders>
          </w:tcPr>
          <w:p>
            <w:pPr>
              <w:spacing w:after="0"/>
              <w:rPr>
                <w:sz w:val="19"/>
                <w:szCs w:val="19"/>
                <w:color w:val="auto"/>
              </w:rPr>
            </w:pPr>
          </w:p>
        </w:tc>
        <w:tc>
          <w:tcPr>
            <w:tcW w:w="520" w:type="dxa"/>
            <w:vAlign w:val="bottom"/>
            <w:tcBorders>
              <w:bottom w:val="single" w:sz="8" w:color="BCBEC0"/>
            </w:tcBorders>
          </w:tcPr>
          <w:p>
            <w:pPr>
              <w:spacing w:after="0"/>
              <w:rPr>
                <w:sz w:val="19"/>
                <w:szCs w:val="19"/>
                <w:color w:val="auto"/>
              </w:rPr>
            </w:pPr>
          </w:p>
        </w:tc>
        <w:tc>
          <w:tcPr>
            <w:tcW w:w="88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Capital International Investors</w:t>
            </w:r>
          </w:p>
        </w:tc>
        <w:tc>
          <w:tcPr>
            <w:tcW w:w="3980" w:type="dxa"/>
            <w:vAlign w:val="bottom"/>
          </w:tcPr>
          <w:p>
            <w:pPr>
              <w:jc w:val="right"/>
              <w:spacing w:after="0"/>
              <w:rPr>
                <w:sz w:val="20"/>
                <w:szCs w:val="20"/>
                <w:color w:val="auto"/>
              </w:rPr>
            </w:pPr>
            <w:r>
              <w:rPr>
                <w:rFonts w:ascii="Arial" w:cs="Arial" w:eastAsia="Arial" w:hAnsi="Arial"/>
                <w:sz w:val="16"/>
                <w:szCs w:val="16"/>
                <w:color w:val="auto"/>
              </w:rPr>
              <w:t>11,463,371</w:t>
            </w:r>
          </w:p>
        </w:tc>
        <w:tc>
          <w:tcPr>
            <w:tcW w:w="520" w:type="dxa"/>
            <w:vAlign w:val="bottom"/>
          </w:tcPr>
          <w:p>
            <w:pPr>
              <w:jc w:val="right"/>
              <w:ind w:right="307"/>
              <w:spacing w:after="0"/>
              <w:rPr>
                <w:sz w:val="20"/>
                <w:szCs w:val="20"/>
                <w:color w:val="auto"/>
              </w:rPr>
            </w:pPr>
            <w:r>
              <w:rPr>
                <w:rFonts w:ascii="Arial" w:cs="Arial" w:eastAsia="Arial" w:hAnsi="Arial"/>
                <w:sz w:val="11"/>
                <w:szCs w:val="11"/>
                <w:color w:val="auto"/>
              </w:rPr>
              <w:t>(3)</w:t>
            </w:r>
          </w:p>
        </w:tc>
        <w:tc>
          <w:tcPr>
            <w:tcW w:w="8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89"/>
        </w:trPr>
        <w:tc>
          <w:tcPr>
            <w:tcW w:w="5860" w:type="dxa"/>
            <w:vAlign w:val="bottom"/>
          </w:tcPr>
          <w:p>
            <w:pPr>
              <w:ind w:left="20"/>
              <w:spacing w:after="0"/>
              <w:rPr>
                <w:sz w:val="20"/>
                <w:szCs w:val="20"/>
                <w:color w:val="auto"/>
              </w:rPr>
            </w:pPr>
            <w:r>
              <w:rPr>
                <w:rFonts w:ascii="Arial" w:cs="Arial" w:eastAsia="Arial" w:hAnsi="Arial"/>
                <w:sz w:val="16"/>
                <w:szCs w:val="16"/>
                <w:color w:val="auto"/>
              </w:rPr>
              <w:t>333 South Hope Street, 55th Floor,</w:t>
            </w:r>
          </w:p>
        </w:tc>
        <w:tc>
          <w:tcPr>
            <w:tcW w:w="3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86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Los Angeles, CA 90071</w:t>
            </w:r>
          </w:p>
        </w:tc>
        <w:tc>
          <w:tcPr>
            <w:tcW w:w="3980" w:type="dxa"/>
            <w:vAlign w:val="bottom"/>
            <w:tcBorders>
              <w:bottom w:val="single" w:sz="8" w:color="BCBEC0"/>
            </w:tcBorders>
          </w:tcPr>
          <w:p>
            <w:pPr>
              <w:spacing w:after="0"/>
              <w:rPr>
                <w:sz w:val="19"/>
                <w:szCs w:val="19"/>
                <w:color w:val="auto"/>
              </w:rPr>
            </w:pPr>
          </w:p>
        </w:tc>
        <w:tc>
          <w:tcPr>
            <w:tcW w:w="520" w:type="dxa"/>
            <w:vAlign w:val="bottom"/>
            <w:tcBorders>
              <w:bottom w:val="single" w:sz="8" w:color="BCBEC0"/>
            </w:tcBorders>
          </w:tcPr>
          <w:p>
            <w:pPr>
              <w:spacing w:after="0"/>
              <w:rPr>
                <w:sz w:val="19"/>
                <w:szCs w:val="19"/>
                <w:color w:val="auto"/>
              </w:rPr>
            </w:pPr>
          </w:p>
        </w:tc>
        <w:tc>
          <w:tcPr>
            <w:tcW w:w="88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BlackRock, Inc.</w:t>
            </w:r>
          </w:p>
        </w:tc>
        <w:tc>
          <w:tcPr>
            <w:tcW w:w="3980" w:type="dxa"/>
            <w:vAlign w:val="bottom"/>
          </w:tcPr>
          <w:p>
            <w:pPr>
              <w:jc w:val="right"/>
              <w:spacing w:after="0"/>
              <w:rPr>
                <w:sz w:val="20"/>
                <w:szCs w:val="20"/>
                <w:color w:val="auto"/>
              </w:rPr>
            </w:pPr>
            <w:r>
              <w:rPr>
                <w:rFonts w:ascii="Arial" w:cs="Arial" w:eastAsia="Arial" w:hAnsi="Arial"/>
                <w:sz w:val="16"/>
                <w:szCs w:val="16"/>
                <w:color w:val="auto"/>
              </w:rPr>
              <w:t>9,492,177</w:t>
            </w:r>
          </w:p>
        </w:tc>
        <w:tc>
          <w:tcPr>
            <w:tcW w:w="520" w:type="dxa"/>
            <w:vAlign w:val="bottom"/>
          </w:tcPr>
          <w:p>
            <w:pPr>
              <w:jc w:val="right"/>
              <w:ind w:right="307"/>
              <w:spacing w:after="0"/>
              <w:rPr>
                <w:sz w:val="20"/>
                <w:szCs w:val="20"/>
                <w:color w:val="auto"/>
              </w:rPr>
            </w:pPr>
            <w:r>
              <w:rPr>
                <w:rFonts w:ascii="Arial" w:cs="Arial" w:eastAsia="Arial" w:hAnsi="Arial"/>
                <w:sz w:val="11"/>
                <w:szCs w:val="11"/>
                <w:color w:val="auto"/>
              </w:rPr>
              <w:t>(4)</w:t>
            </w:r>
          </w:p>
        </w:tc>
        <w:tc>
          <w:tcPr>
            <w:tcW w:w="88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89"/>
        </w:trPr>
        <w:tc>
          <w:tcPr>
            <w:tcW w:w="5860" w:type="dxa"/>
            <w:vAlign w:val="bottom"/>
          </w:tcPr>
          <w:p>
            <w:pPr>
              <w:ind w:left="20"/>
              <w:spacing w:after="0"/>
              <w:rPr>
                <w:sz w:val="20"/>
                <w:szCs w:val="20"/>
                <w:color w:val="auto"/>
              </w:rPr>
            </w:pPr>
            <w:r>
              <w:rPr>
                <w:rFonts w:ascii="Arial" w:cs="Arial" w:eastAsia="Arial" w:hAnsi="Arial"/>
                <w:sz w:val="16"/>
                <w:szCs w:val="16"/>
                <w:color w:val="auto"/>
              </w:rPr>
              <w:t>50 Hudson Yards</w:t>
            </w:r>
          </w:p>
        </w:tc>
        <w:tc>
          <w:tcPr>
            <w:tcW w:w="3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86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New York, NY 10001</w:t>
            </w:r>
          </w:p>
        </w:tc>
        <w:tc>
          <w:tcPr>
            <w:tcW w:w="3980" w:type="dxa"/>
            <w:vAlign w:val="bottom"/>
            <w:tcBorders>
              <w:bottom w:val="single" w:sz="8" w:color="BCBEC0"/>
            </w:tcBorders>
          </w:tcPr>
          <w:p>
            <w:pPr>
              <w:spacing w:after="0"/>
              <w:rPr>
                <w:sz w:val="19"/>
                <w:szCs w:val="19"/>
                <w:color w:val="auto"/>
              </w:rPr>
            </w:pPr>
          </w:p>
        </w:tc>
        <w:tc>
          <w:tcPr>
            <w:tcW w:w="520" w:type="dxa"/>
            <w:vAlign w:val="bottom"/>
            <w:tcBorders>
              <w:bottom w:val="single" w:sz="8" w:color="BCBEC0"/>
            </w:tcBorders>
          </w:tcPr>
          <w:p>
            <w:pPr>
              <w:spacing w:after="0"/>
              <w:rPr>
                <w:sz w:val="19"/>
                <w:szCs w:val="19"/>
                <w:color w:val="auto"/>
              </w:rPr>
            </w:pPr>
          </w:p>
        </w:tc>
        <w:tc>
          <w:tcPr>
            <w:tcW w:w="88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right="20" w:hanging="252"/>
        <w:spacing w:after="0" w:line="265" w:lineRule="auto"/>
        <w:tabs>
          <w:tab w:leader="none" w:pos="258" w:val="left"/>
        </w:tabs>
        <w:numPr>
          <w:ilvl w:val="0"/>
          <w:numId w:val="198"/>
        </w:numPr>
        <w:rPr>
          <w:rFonts w:ascii="Arial" w:cs="Arial" w:eastAsia="Arial" w:hAnsi="Arial"/>
          <w:sz w:val="14"/>
          <w:szCs w:val="14"/>
          <w:color w:val="auto"/>
        </w:rPr>
      </w:pPr>
      <w:r>
        <w:rPr>
          <w:rFonts w:ascii="Arial" w:cs="Arial" w:eastAsia="Arial" w:hAnsi="Arial"/>
          <w:sz w:val="14"/>
          <w:szCs w:val="14"/>
          <w:color w:val="auto"/>
        </w:rPr>
        <w:t>This information was provided in a Schedule 13G/A jointly filed with the SEC on January 30, 2024 by State Street Corporation (State Street) and State Street’s subsidiaries State Street Bank and Trust Company (State Street Bank) and State Street Global Advisors Trust Company (State Street Global). According to State Street, as of December 31, 2023, it had shared voting power over 11,565,443 shares and shared dispositive power over 13,854,855 shares. According to State Street Bank, as of December 31, 2023, it beneficially owned 8,355,658 shares and had shared voting power over 8,355,658 shares and shared dispositive power over 0 shares. According to State Street Global, as of December 31, 2023, it beneficially owned 11,969,908 shares and had shared voting power over 1,460,684 shares and shared dispositive power over 11,969,408 shares. These totals include 8,355,658 shares held as of December 31, 2023 in the Defined Contribution Plans Master Trust for the Northrop Grumman Savings Plan and the Northrop Grumman Financial Security and Savings Program, for which State Street Bank acts as trustee and State Street Global acts as investment manager.</w:t>
      </w:r>
    </w:p>
    <w:p>
      <w:pPr>
        <w:spacing w:after="0" w:line="38" w:lineRule="exact"/>
        <w:rPr>
          <w:rFonts w:ascii="Arial" w:cs="Arial" w:eastAsia="Arial" w:hAnsi="Arial"/>
          <w:sz w:val="14"/>
          <w:szCs w:val="14"/>
          <w:color w:val="auto"/>
        </w:rPr>
      </w:pPr>
    </w:p>
    <w:p>
      <w:pPr>
        <w:ind w:left="260" w:right="160" w:hanging="252"/>
        <w:spacing w:after="0" w:line="305" w:lineRule="auto"/>
        <w:tabs>
          <w:tab w:leader="none" w:pos="258" w:val="left"/>
        </w:tabs>
        <w:numPr>
          <w:ilvl w:val="0"/>
          <w:numId w:val="198"/>
        </w:numPr>
        <w:rPr>
          <w:rFonts w:ascii="Arial" w:cs="Arial" w:eastAsia="Arial" w:hAnsi="Arial"/>
          <w:sz w:val="14"/>
          <w:szCs w:val="14"/>
          <w:color w:val="auto"/>
        </w:rPr>
      </w:pPr>
      <w:r>
        <w:rPr>
          <w:rFonts w:ascii="Arial" w:cs="Arial" w:eastAsia="Arial" w:hAnsi="Arial"/>
          <w:sz w:val="14"/>
          <w:szCs w:val="14"/>
          <w:color w:val="auto"/>
        </w:rPr>
        <w:t>This information was provided by The Vanguard Group (Vanguard) in a Schedule 13G/A filed with the SEC on February 13, 2024. According to Vanguard, as of December 29, 2023, Vanguard had shared voting power over 163,649 shares, sole dispositive power over 11,537,000 shares and shared dispositive power over 570,227 shares.</w:t>
      </w:r>
    </w:p>
    <w:p>
      <w:pPr>
        <w:spacing w:after="0" w:line="9" w:lineRule="exact"/>
        <w:rPr>
          <w:rFonts w:ascii="Arial" w:cs="Arial" w:eastAsia="Arial" w:hAnsi="Arial"/>
          <w:sz w:val="14"/>
          <w:szCs w:val="14"/>
          <w:color w:val="auto"/>
        </w:rPr>
      </w:pPr>
    </w:p>
    <w:p>
      <w:pPr>
        <w:ind w:left="260" w:right="20" w:hanging="252"/>
        <w:spacing w:after="0" w:line="283" w:lineRule="auto"/>
        <w:tabs>
          <w:tab w:leader="none" w:pos="258" w:val="left"/>
        </w:tabs>
        <w:numPr>
          <w:ilvl w:val="0"/>
          <w:numId w:val="198"/>
        </w:numPr>
        <w:rPr>
          <w:rFonts w:ascii="Arial" w:cs="Arial" w:eastAsia="Arial" w:hAnsi="Arial"/>
          <w:sz w:val="14"/>
          <w:szCs w:val="14"/>
          <w:color w:val="auto"/>
        </w:rPr>
      </w:pPr>
      <w:r>
        <w:rPr>
          <w:rFonts w:ascii="Arial" w:cs="Arial" w:eastAsia="Arial" w:hAnsi="Arial"/>
          <w:sz w:val="14"/>
          <w:szCs w:val="14"/>
          <w:color w:val="auto"/>
        </w:rPr>
        <w:t>This information was provided by Capital International Investors (Capital International), a division of Capital Research and Management Company, in a Schedule 13G/A filed with the SEC on February 9, 2024. According to Capital International, as of December 29, 2023, Capital International had sole voting power over 11,385,526 shares and sole dispositive power over 11,463,371 shares.</w:t>
      </w:r>
    </w:p>
    <w:p>
      <w:pPr>
        <w:spacing w:after="0" w:line="24" w:lineRule="exact"/>
        <w:rPr>
          <w:rFonts w:ascii="Arial" w:cs="Arial" w:eastAsia="Arial" w:hAnsi="Arial"/>
          <w:sz w:val="14"/>
          <w:szCs w:val="14"/>
          <w:color w:val="auto"/>
        </w:rPr>
      </w:pPr>
    </w:p>
    <w:p>
      <w:pPr>
        <w:ind w:left="260" w:right="200" w:hanging="252"/>
        <w:spacing w:after="0" w:line="305" w:lineRule="auto"/>
        <w:tabs>
          <w:tab w:leader="none" w:pos="258" w:val="left"/>
        </w:tabs>
        <w:numPr>
          <w:ilvl w:val="0"/>
          <w:numId w:val="198"/>
        </w:numPr>
        <w:rPr>
          <w:rFonts w:ascii="Arial" w:cs="Arial" w:eastAsia="Arial" w:hAnsi="Arial"/>
          <w:sz w:val="14"/>
          <w:szCs w:val="14"/>
          <w:color w:val="auto"/>
        </w:rPr>
      </w:pPr>
      <w:r>
        <w:rPr>
          <w:rFonts w:ascii="Arial" w:cs="Arial" w:eastAsia="Arial" w:hAnsi="Arial"/>
          <w:sz w:val="14"/>
          <w:szCs w:val="14"/>
          <w:color w:val="auto"/>
        </w:rPr>
        <w:t>This information was provided by BlackRock, Inc. (BlackRock) in a Schedule 13G/A filed with the SEC on January 29, 2024. According to BlackRock, as of December 31, 2023, BlackRock had sole voting power over 8,832,043 shares and sole dispositive power over 9,492,177 shares.</w:t>
      </w:r>
    </w:p>
    <w:p>
      <w:pPr>
        <w:spacing w:after="0" w:line="200" w:lineRule="exact"/>
        <w:rPr>
          <w:sz w:val="20"/>
          <w:szCs w:val="20"/>
          <w:color w:val="auto"/>
        </w:rPr>
      </w:pPr>
    </w:p>
    <w:p>
      <w:pPr>
        <w:spacing w:after="0" w:line="390" w:lineRule="exact"/>
        <w:rPr>
          <w:sz w:val="20"/>
          <w:szCs w:val="20"/>
          <w:color w:val="auto"/>
        </w:rPr>
      </w:pPr>
    </w:p>
    <w:p>
      <w:pPr>
        <w:ind w:left="520" w:hanging="494"/>
        <w:spacing w:after="0"/>
        <w:tabs>
          <w:tab w:leader="none" w:pos="520" w:val="left"/>
        </w:tabs>
        <w:numPr>
          <w:ilvl w:val="0"/>
          <w:numId w:val="199"/>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111" w:name="page112"/>
    <w:bookmarkEnd w:id="111"/>
    <w:p>
      <w:pPr>
        <w:ind w:left="8560"/>
        <w:spacing w:after="0"/>
        <w:rPr>
          <w:sz w:val="20"/>
          <w:szCs w:val="20"/>
          <w:color w:val="auto"/>
        </w:rPr>
      </w:pPr>
      <w:r>
        <w:rPr>
          <w:rFonts w:ascii="Arial" w:cs="Arial" w:eastAsia="Arial" w:hAnsi="Arial"/>
          <w:sz w:val="14"/>
          <w:szCs w:val="14"/>
          <w:b w:val="1"/>
          <w:bCs w:val="1"/>
          <w:color w:val="auto"/>
        </w:rPr>
        <w:t>Voting Securities and Principal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Stock Ownership of Officers and Directors</w:t>
      </w:r>
    </w:p>
    <w:p>
      <w:pPr>
        <w:spacing w:after="0" w:line="148"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following table shows beneficial ownership of our common stock as of March 15, 2024 by each of our current directors, our named executive officers and all directors and executive officers as a group. As of March 15, 2024, there were 148,169,657 shares of our common stock outstanding. None of the persons named below beneficially owns in excess of 1% of our outstanding common stock. Unless otherwise indicated, each individual has sole investment power and sole voting power with respect to the shares owned by such person.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2880" w:type="dxa"/>
            <w:vAlign w:val="bottom"/>
          </w:tcPr>
          <w:p>
            <w:pPr>
              <w:jc w:val="right"/>
              <w:ind w:right="201"/>
              <w:spacing w:after="0"/>
              <w:rPr>
                <w:sz w:val="20"/>
                <w:szCs w:val="20"/>
                <w:color w:val="auto"/>
              </w:rPr>
            </w:pPr>
            <w:r>
              <w:rPr>
                <w:rFonts w:ascii="Arial" w:cs="Arial" w:eastAsia="Arial" w:hAnsi="Arial"/>
                <w:sz w:val="13"/>
                <w:szCs w:val="13"/>
                <w:b w:val="1"/>
                <w:bCs w:val="1"/>
                <w:color w:val="auto"/>
              </w:rPr>
              <w:t>Shares of</w:t>
            </w: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48"/>
        </w:trPr>
        <w:tc>
          <w:tcPr>
            <w:tcW w:w="5800" w:type="dxa"/>
            <w:vAlign w:val="bottom"/>
          </w:tcPr>
          <w:p>
            <w:pPr>
              <w:spacing w:after="0"/>
              <w:rPr>
                <w:sz w:val="12"/>
                <w:szCs w:val="12"/>
                <w:color w:val="auto"/>
              </w:rPr>
            </w:pPr>
          </w:p>
        </w:tc>
        <w:tc>
          <w:tcPr>
            <w:tcW w:w="2880" w:type="dxa"/>
            <w:vAlign w:val="bottom"/>
          </w:tcPr>
          <w:p>
            <w:pPr>
              <w:jc w:val="right"/>
              <w:ind w:right="201"/>
              <w:spacing w:after="0"/>
              <w:rPr>
                <w:sz w:val="20"/>
                <w:szCs w:val="20"/>
                <w:color w:val="auto"/>
              </w:rPr>
            </w:pPr>
            <w:r>
              <w:rPr>
                <w:rFonts w:ascii="Arial" w:cs="Arial" w:eastAsia="Arial" w:hAnsi="Arial"/>
                <w:sz w:val="13"/>
                <w:szCs w:val="13"/>
                <w:b w:val="1"/>
                <w:bCs w:val="1"/>
                <w:color w:val="auto"/>
              </w:rPr>
              <w:t>Common Stock</w:t>
            </w:r>
          </w:p>
        </w:tc>
        <w:tc>
          <w:tcPr>
            <w:tcW w:w="1340" w:type="dxa"/>
            <w:vAlign w:val="bottom"/>
          </w:tcPr>
          <w:p>
            <w:pPr>
              <w:jc w:val="right"/>
              <w:ind w:right="161"/>
              <w:spacing w:after="0"/>
              <w:rPr>
                <w:sz w:val="20"/>
                <w:szCs w:val="20"/>
                <w:color w:val="auto"/>
              </w:rPr>
            </w:pPr>
            <w:r>
              <w:rPr>
                <w:rFonts w:ascii="Arial" w:cs="Arial" w:eastAsia="Arial" w:hAnsi="Arial"/>
                <w:sz w:val="13"/>
                <w:szCs w:val="13"/>
                <w:b w:val="1"/>
                <w:bCs w:val="1"/>
                <w:color w:val="auto"/>
              </w:rPr>
              <w:t>Share</w:t>
            </w: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93"/>
        </w:trPr>
        <w:tc>
          <w:tcPr>
            <w:tcW w:w="5800" w:type="dxa"/>
            <w:vAlign w:val="bottom"/>
            <w:tcBorders>
              <w:bottom w:val="single" w:sz="8" w:color="29378D"/>
            </w:tcBorders>
          </w:tcPr>
          <w:p>
            <w:pPr>
              <w:spacing w:after="0"/>
              <w:rPr>
                <w:sz w:val="16"/>
                <w:szCs w:val="16"/>
                <w:color w:val="auto"/>
              </w:rPr>
            </w:pPr>
          </w:p>
        </w:tc>
        <w:tc>
          <w:tcPr>
            <w:tcW w:w="2880" w:type="dxa"/>
            <w:vAlign w:val="bottom"/>
            <w:tcBorders>
              <w:bottom w:val="single" w:sz="8" w:color="29378D"/>
            </w:tcBorders>
          </w:tcPr>
          <w:p>
            <w:pPr>
              <w:jc w:val="right"/>
              <w:ind w:right="201"/>
              <w:spacing w:after="0"/>
              <w:rPr>
                <w:sz w:val="20"/>
                <w:szCs w:val="20"/>
                <w:color w:val="auto"/>
              </w:rPr>
            </w:pPr>
            <w:r>
              <w:rPr>
                <w:rFonts w:ascii="Arial" w:cs="Arial" w:eastAsia="Arial" w:hAnsi="Arial"/>
                <w:sz w:val="13"/>
                <w:szCs w:val="13"/>
                <w:b w:val="1"/>
                <w:bCs w:val="1"/>
                <w:color w:val="auto"/>
              </w:rPr>
              <w:t>Beneficially Owned</w:t>
            </w:r>
          </w:p>
        </w:tc>
        <w:tc>
          <w:tcPr>
            <w:tcW w:w="1340" w:type="dxa"/>
            <w:vAlign w:val="bottom"/>
            <w:tcBorders>
              <w:bottom w:val="single" w:sz="8" w:color="29378D"/>
            </w:tcBorders>
          </w:tcPr>
          <w:p>
            <w:pPr>
              <w:jc w:val="right"/>
              <w:ind w:right="161"/>
              <w:spacing w:after="0"/>
              <w:rPr>
                <w:sz w:val="20"/>
                <w:szCs w:val="20"/>
                <w:color w:val="auto"/>
              </w:rPr>
            </w:pPr>
            <w:r>
              <w:rPr>
                <w:rFonts w:ascii="Arial" w:cs="Arial" w:eastAsia="Arial" w:hAnsi="Arial"/>
                <w:sz w:val="13"/>
                <w:szCs w:val="13"/>
                <w:b w:val="1"/>
                <w:bCs w:val="1"/>
                <w:color w:val="auto"/>
              </w:rPr>
              <w:t>Equivalents</w:t>
            </w:r>
            <w:r>
              <w:rPr>
                <w:rFonts w:ascii="Arial" w:cs="Arial" w:eastAsia="Arial" w:hAnsi="Arial"/>
                <w:sz w:val="16"/>
                <w:szCs w:val="16"/>
                <w:b w:val="1"/>
                <w:bCs w:val="1"/>
                <w:color w:val="auto"/>
                <w:vertAlign w:val="superscript"/>
              </w:rPr>
              <w:t>(1)</w:t>
            </w:r>
          </w:p>
        </w:tc>
        <w:tc>
          <w:tcPr>
            <w:tcW w:w="900" w:type="dxa"/>
            <w:vAlign w:val="bottom"/>
            <w:tcBorders>
              <w:bottom w:val="single" w:sz="8" w:color="29378D"/>
            </w:tcBorders>
          </w:tcPr>
          <w:p>
            <w:pPr>
              <w:jc w:val="right"/>
              <w:spacing w:after="0"/>
              <w:rPr>
                <w:sz w:val="20"/>
                <w:szCs w:val="20"/>
                <w:color w:val="auto"/>
              </w:rPr>
            </w:pPr>
            <w:r>
              <w:rPr>
                <w:rFonts w:ascii="Arial" w:cs="Arial" w:eastAsia="Arial" w:hAnsi="Arial"/>
                <w:sz w:val="13"/>
                <w:szCs w:val="13"/>
                <w:b w:val="1"/>
                <w:bCs w:val="1"/>
                <w:color w:val="auto"/>
              </w:rPr>
              <w:t>Total</w:t>
            </w:r>
          </w:p>
        </w:tc>
        <w:tc>
          <w:tcPr>
            <w:tcW w:w="320" w:type="dxa"/>
            <w:vAlign w:val="bottom"/>
            <w:tcBorders>
              <w:bottom w:val="single" w:sz="8" w:color="29378D"/>
            </w:tcBorders>
          </w:tcPr>
          <w:p>
            <w:pPr>
              <w:spacing w:after="0"/>
              <w:rPr>
                <w:sz w:val="16"/>
                <w:szCs w:val="16"/>
                <w:color w:val="auto"/>
              </w:rPr>
            </w:pPr>
          </w:p>
        </w:tc>
      </w:tr>
      <w:tr>
        <w:trPr>
          <w:trHeight w:val="208"/>
        </w:trPr>
        <w:tc>
          <w:tcPr>
            <w:tcW w:w="5800" w:type="dxa"/>
            <w:vAlign w:val="bottom"/>
          </w:tcPr>
          <w:p>
            <w:pPr>
              <w:ind w:left="20"/>
              <w:spacing w:after="0"/>
              <w:rPr>
                <w:sz w:val="20"/>
                <w:szCs w:val="20"/>
                <w:color w:val="auto"/>
              </w:rPr>
            </w:pPr>
            <w:r>
              <w:rPr>
                <w:rFonts w:ascii="Arial" w:cs="Arial" w:eastAsia="Arial" w:hAnsi="Arial"/>
                <w:sz w:val="16"/>
                <w:szCs w:val="16"/>
                <w:color w:val="auto"/>
              </w:rPr>
              <w:t>Non-Employee Directors</w:t>
            </w: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8"/>
        </w:trPr>
        <w:tc>
          <w:tcPr>
            <w:tcW w:w="5800" w:type="dxa"/>
            <w:vAlign w:val="bottom"/>
            <w:tcBorders>
              <w:bottom w:val="single" w:sz="8" w:color="BCBEC0"/>
            </w:tcBorders>
          </w:tcPr>
          <w:p>
            <w:pPr>
              <w:spacing w:after="0"/>
              <w:rPr>
                <w:sz w:val="2"/>
                <w:szCs w:val="2"/>
                <w:color w:val="auto"/>
              </w:rPr>
            </w:pPr>
          </w:p>
        </w:tc>
        <w:tc>
          <w:tcPr>
            <w:tcW w:w="2880" w:type="dxa"/>
            <w:vAlign w:val="bottom"/>
            <w:tcBorders>
              <w:bottom w:val="single" w:sz="8" w:color="BCBEC0"/>
            </w:tcBorders>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320" w:type="dxa"/>
            <w:vAlign w:val="bottom"/>
            <w:tcBorders>
              <w:bottom w:val="single" w:sz="8" w:color="BCBEC0"/>
            </w:tcBorders>
          </w:tcPr>
          <w:p>
            <w:pPr>
              <w:spacing w:after="0"/>
              <w:rPr>
                <w:sz w:val="2"/>
                <w:szCs w:val="2"/>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David P. Abney</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1,303</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398</w:t>
            </w:r>
          </w:p>
        </w:tc>
        <w:tc>
          <w:tcPr>
            <w:tcW w:w="900" w:type="dxa"/>
            <w:vAlign w:val="bottom"/>
          </w:tcPr>
          <w:p>
            <w:pPr>
              <w:jc w:val="right"/>
              <w:spacing w:after="0"/>
              <w:rPr>
                <w:sz w:val="20"/>
                <w:szCs w:val="20"/>
                <w:color w:val="auto"/>
              </w:rPr>
            </w:pPr>
            <w:r>
              <w:rPr>
                <w:rFonts w:ascii="Arial" w:cs="Arial" w:eastAsia="Arial" w:hAnsi="Arial"/>
                <w:sz w:val="16"/>
                <w:szCs w:val="16"/>
                <w:color w:val="auto"/>
              </w:rPr>
              <w:t>1,701</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Marianne C. Brown</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9,182</w:t>
            </w:r>
          </w:p>
        </w:tc>
        <w:tc>
          <w:tcPr>
            <w:tcW w:w="900" w:type="dxa"/>
            <w:vAlign w:val="bottom"/>
          </w:tcPr>
          <w:p>
            <w:pPr>
              <w:jc w:val="right"/>
              <w:spacing w:after="0"/>
              <w:rPr>
                <w:sz w:val="20"/>
                <w:szCs w:val="20"/>
                <w:color w:val="auto"/>
              </w:rPr>
            </w:pPr>
            <w:r>
              <w:rPr>
                <w:rFonts w:ascii="Arial" w:cs="Arial" w:eastAsia="Arial" w:hAnsi="Arial"/>
                <w:sz w:val="16"/>
                <w:szCs w:val="16"/>
                <w:color w:val="auto"/>
              </w:rPr>
              <w:t>9,182</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6B6B6"/>
            </w:tcBorders>
          </w:tcPr>
          <w:p>
            <w:pPr>
              <w:spacing w:after="0" w:line="20" w:lineRule="exact"/>
              <w:rPr>
                <w:sz w:val="1"/>
                <w:szCs w:val="1"/>
                <w:color w:val="auto"/>
              </w:rPr>
            </w:pPr>
          </w:p>
        </w:tc>
        <w:tc>
          <w:tcPr>
            <w:tcW w:w="2880" w:type="dxa"/>
            <w:vAlign w:val="bottom"/>
            <w:tcBorders>
              <w:bottom w:val="single" w:sz="8" w:color="B6B6B6"/>
            </w:tcBorders>
          </w:tcPr>
          <w:p>
            <w:pPr>
              <w:spacing w:after="0" w:line="20" w:lineRule="exact"/>
              <w:rPr>
                <w:sz w:val="1"/>
                <w:szCs w:val="1"/>
                <w:color w:val="auto"/>
              </w:rPr>
            </w:pPr>
          </w:p>
        </w:tc>
        <w:tc>
          <w:tcPr>
            <w:tcW w:w="134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Ann M. Fudge</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1,178</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3,783</w:t>
            </w:r>
          </w:p>
        </w:tc>
        <w:tc>
          <w:tcPr>
            <w:tcW w:w="900" w:type="dxa"/>
            <w:vAlign w:val="bottom"/>
          </w:tcPr>
          <w:p>
            <w:pPr>
              <w:jc w:val="right"/>
              <w:spacing w:after="0"/>
              <w:rPr>
                <w:sz w:val="20"/>
                <w:szCs w:val="20"/>
                <w:color w:val="auto"/>
              </w:rPr>
            </w:pPr>
            <w:r>
              <w:rPr>
                <w:rFonts w:ascii="Arial" w:cs="Arial" w:eastAsia="Arial" w:hAnsi="Arial"/>
                <w:sz w:val="16"/>
                <w:szCs w:val="16"/>
                <w:color w:val="auto"/>
              </w:rPr>
              <w:t>4,961</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Madeleine A. Kleiner</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19,894</w:t>
            </w:r>
          </w:p>
        </w:tc>
        <w:tc>
          <w:tcPr>
            <w:tcW w:w="900" w:type="dxa"/>
            <w:vAlign w:val="bottom"/>
          </w:tcPr>
          <w:p>
            <w:pPr>
              <w:jc w:val="right"/>
              <w:spacing w:after="0"/>
              <w:rPr>
                <w:sz w:val="20"/>
                <w:szCs w:val="20"/>
                <w:color w:val="auto"/>
              </w:rPr>
            </w:pPr>
            <w:r>
              <w:rPr>
                <w:rFonts w:ascii="Arial" w:cs="Arial" w:eastAsia="Arial" w:hAnsi="Arial"/>
                <w:sz w:val="16"/>
                <w:szCs w:val="16"/>
                <w:color w:val="auto"/>
              </w:rPr>
              <w:t>19,894</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Arvind Krishna</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886</w:t>
            </w:r>
          </w:p>
        </w:tc>
        <w:tc>
          <w:tcPr>
            <w:tcW w:w="900" w:type="dxa"/>
            <w:vAlign w:val="bottom"/>
          </w:tcPr>
          <w:p>
            <w:pPr>
              <w:jc w:val="right"/>
              <w:spacing w:after="0"/>
              <w:rPr>
                <w:sz w:val="20"/>
                <w:szCs w:val="20"/>
                <w:color w:val="auto"/>
              </w:rPr>
            </w:pPr>
            <w:r>
              <w:rPr>
                <w:rFonts w:ascii="Arial" w:cs="Arial" w:eastAsia="Arial" w:hAnsi="Arial"/>
                <w:sz w:val="16"/>
                <w:szCs w:val="16"/>
                <w:color w:val="auto"/>
              </w:rPr>
              <w:t>886</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Graham N. Robinson</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1,359</w:t>
            </w:r>
          </w:p>
        </w:tc>
        <w:tc>
          <w:tcPr>
            <w:tcW w:w="900" w:type="dxa"/>
            <w:vAlign w:val="bottom"/>
          </w:tcPr>
          <w:p>
            <w:pPr>
              <w:jc w:val="right"/>
              <w:spacing w:after="0"/>
              <w:rPr>
                <w:sz w:val="20"/>
                <w:szCs w:val="20"/>
                <w:color w:val="auto"/>
              </w:rPr>
            </w:pPr>
            <w:r>
              <w:rPr>
                <w:rFonts w:ascii="Arial" w:cs="Arial" w:eastAsia="Arial" w:hAnsi="Arial"/>
                <w:sz w:val="16"/>
                <w:szCs w:val="16"/>
                <w:color w:val="auto"/>
              </w:rPr>
              <w:t>1,359</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Kimberly A. Ross</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468</w:t>
            </w:r>
          </w:p>
        </w:tc>
        <w:tc>
          <w:tcPr>
            <w:tcW w:w="900" w:type="dxa"/>
            <w:vAlign w:val="bottom"/>
          </w:tcPr>
          <w:p>
            <w:pPr>
              <w:jc w:val="right"/>
              <w:spacing w:after="0"/>
              <w:rPr>
                <w:sz w:val="20"/>
                <w:szCs w:val="20"/>
                <w:color w:val="auto"/>
              </w:rPr>
            </w:pPr>
            <w:r>
              <w:rPr>
                <w:rFonts w:ascii="Arial" w:cs="Arial" w:eastAsia="Arial" w:hAnsi="Arial"/>
                <w:sz w:val="16"/>
                <w:szCs w:val="16"/>
                <w:color w:val="auto"/>
              </w:rPr>
              <w:t>468</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Gary Roughead</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10,721</w:t>
            </w:r>
          </w:p>
        </w:tc>
        <w:tc>
          <w:tcPr>
            <w:tcW w:w="900" w:type="dxa"/>
            <w:vAlign w:val="bottom"/>
          </w:tcPr>
          <w:p>
            <w:pPr>
              <w:jc w:val="right"/>
              <w:spacing w:after="0"/>
              <w:rPr>
                <w:sz w:val="20"/>
                <w:szCs w:val="20"/>
                <w:color w:val="auto"/>
              </w:rPr>
            </w:pPr>
            <w:r>
              <w:rPr>
                <w:rFonts w:ascii="Arial" w:cs="Arial" w:eastAsia="Arial" w:hAnsi="Arial"/>
                <w:sz w:val="16"/>
                <w:szCs w:val="16"/>
                <w:color w:val="auto"/>
              </w:rPr>
              <w:t>10,721</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Thomas M. Schoewe</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3,160</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12,044</w:t>
            </w:r>
          </w:p>
        </w:tc>
        <w:tc>
          <w:tcPr>
            <w:tcW w:w="900" w:type="dxa"/>
            <w:vAlign w:val="bottom"/>
          </w:tcPr>
          <w:p>
            <w:pPr>
              <w:jc w:val="right"/>
              <w:spacing w:after="0"/>
              <w:rPr>
                <w:sz w:val="20"/>
                <w:szCs w:val="20"/>
                <w:color w:val="auto"/>
              </w:rPr>
            </w:pPr>
            <w:r>
              <w:rPr>
                <w:rFonts w:ascii="Arial" w:cs="Arial" w:eastAsia="Arial" w:hAnsi="Arial"/>
                <w:sz w:val="16"/>
                <w:szCs w:val="16"/>
                <w:color w:val="auto"/>
              </w:rPr>
              <w:t>15,204</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James S. Turley</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635</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4,813</w:t>
            </w:r>
          </w:p>
        </w:tc>
        <w:tc>
          <w:tcPr>
            <w:tcW w:w="900" w:type="dxa"/>
            <w:vAlign w:val="bottom"/>
          </w:tcPr>
          <w:p>
            <w:pPr>
              <w:jc w:val="right"/>
              <w:spacing w:after="0"/>
              <w:rPr>
                <w:sz w:val="20"/>
                <w:szCs w:val="20"/>
                <w:color w:val="auto"/>
              </w:rPr>
            </w:pPr>
            <w:r>
              <w:rPr>
                <w:rFonts w:ascii="Arial" w:cs="Arial" w:eastAsia="Arial" w:hAnsi="Arial"/>
                <w:sz w:val="16"/>
                <w:szCs w:val="16"/>
                <w:color w:val="auto"/>
              </w:rPr>
              <w:t>5,448</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Mark A. Welsh III</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3,913</w:t>
            </w:r>
          </w:p>
        </w:tc>
        <w:tc>
          <w:tcPr>
            <w:tcW w:w="900" w:type="dxa"/>
            <w:vAlign w:val="bottom"/>
          </w:tcPr>
          <w:p>
            <w:pPr>
              <w:jc w:val="right"/>
              <w:spacing w:after="0"/>
              <w:rPr>
                <w:sz w:val="20"/>
                <w:szCs w:val="20"/>
                <w:color w:val="auto"/>
              </w:rPr>
            </w:pPr>
            <w:r>
              <w:rPr>
                <w:rFonts w:ascii="Arial" w:cs="Arial" w:eastAsia="Arial" w:hAnsi="Arial"/>
                <w:sz w:val="16"/>
                <w:szCs w:val="16"/>
                <w:color w:val="auto"/>
              </w:rPr>
              <w:t>3,913</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Mary A. Winston</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78</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398</w:t>
            </w:r>
          </w:p>
        </w:tc>
        <w:tc>
          <w:tcPr>
            <w:tcW w:w="900" w:type="dxa"/>
            <w:vAlign w:val="bottom"/>
          </w:tcPr>
          <w:p>
            <w:pPr>
              <w:jc w:val="right"/>
              <w:spacing w:after="0"/>
              <w:rPr>
                <w:sz w:val="20"/>
                <w:szCs w:val="20"/>
                <w:color w:val="auto"/>
              </w:rPr>
            </w:pPr>
            <w:r>
              <w:rPr>
                <w:rFonts w:ascii="Arial" w:cs="Arial" w:eastAsia="Arial" w:hAnsi="Arial"/>
                <w:sz w:val="16"/>
                <w:szCs w:val="16"/>
                <w:color w:val="auto"/>
              </w:rPr>
              <w:t>476</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08"/>
        </w:trPr>
        <w:tc>
          <w:tcPr>
            <w:tcW w:w="5800" w:type="dxa"/>
            <w:vAlign w:val="bottom"/>
          </w:tcPr>
          <w:p>
            <w:pPr>
              <w:ind w:left="20"/>
              <w:spacing w:after="0"/>
              <w:rPr>
                <w:sz w:val="20"/>
                <w:szCs w:val="20"/>
                <w:color w:val="auto"/>
              </w:rPr>
            </w:pPr>
            <w:r>
              <w:rPr>
                <w:rFonts w:ascii="Arial" w:cs="Arial" w:eastAsia="Arial" w:hAnsi="Arial"/>
                <w:sz w:val="16"/>
                <w:szCs w:val="16"/>
                <w:color w:val="auto"/>
              </w:rPr>
              <w:t>Named Executive Officers</w:t>
            </w:r>
          </w:p>
        </w:tc>
        <w:tc>
          <w:tcPr>
            <w:tcW w:w="2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8"/>
        </w:trPr>
        <w:tc>
          <w:tcPr>
            <w:tcW w:w="5800" w:type="dxa"/>
            <w:vAlign w:val="bottom"/>
            <w:tcBorders>
              <w:bottom w:val="single" w:sz="8" w:color="BCBEC0"/>
            </w:tcBorders>
          </w:tcPr>
          <w:p>
            <w:pPr>
              <w:spacing w:after="0"/>
              <w:rPr>
                <w:sz w:val="2"/>
                <w:szCs w:val="2"/>
                <w:color w:val="auto"/>
              </w:rPr>
            </w:pPr>
          </w:p>
        </w:tc>
        <w:tc>
          <w:tcPr>
            <w:tcW w:w="2880" w:type="dxa"/>
            <w:vAlign w:val="bottom"/>
            <w:tcBorders>
              <w:bottom w:val="single" w:sz="8" w:color="BCBEC0"/>
            </w:tcBorders>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320" w:type="dxa"/>
            <w:vAlign w:val="bottom"/>
            <w:tcBorders>
              <w:bottom w:val="single" w:sz="8" w:color="BCBEC0"/>
            </w:tcBorders>
          </w:tcPr>
          <w:p>
            <w:pPr>
              <w:spacing w:after="0"/>
              <w:rPr>
                <w:sz w:val="2"/>
                <w:szCs w:val="2"/>
                <w:color w:val="auto"/>
              </w:rPr>
            </w:pPr>
          </w:p>
        </w:tc>
      </w:tr>
      <w:tr>
        <w:trPr>
          <w:trHeight w:val="237"/>
        </w:trPr>
        <w:tc>
          <w:tcPr>
            <w:tcW w:w="5800" w:type="dxa"/>
            <w:vAlign w:val="bottom"/>
            <w:tcBorders>
              <w:bottom w:val="single" w:sz="8" w:color="BCBEC0"/>
            </w:tcBorders>
          </w:tcPr>
          <w:p>
            <w:pPr>
              <w:ind w:left="160"/>
              <w:spacing w:after="0" w:line="237" w:lineRule="exact"/>
              <w:rPr>
                <w:sz w:val="20"/>
                <w:szCs w:val="20"/>
                <w:color w:val="auto"/>
              </w:rPr>
            </w:pPr>
            <w:r>
              <w:rPr>
                <w:rFonts w:ascii="Arial" w:cs="Arial" w:eastAsia="Arial" w:hAnsi="Arial"/>
                <w:sz w:val="16"/>
                <w:szCs w:val="16"/>
                <w:b w:val="1"/>
                <w:bCs w:val="1"/>
                <w:color w:val="29378D"/>
              </w:rPr>
              <w:t>Kathy J. Warden</w:t>
            </w:r>
            <w:r>
              <w:rPr>
                <w:rFonts w:ascii="Arial" w:cs="Arial" w:eastAsia="Arial" w:hAnsi="Arial"/>
                <w:sz w:val="21"/>
                <w:szCs w:val="21"/>
                <w:b w:val="1"/>
                <w:bCs w:val="1"/>
                <w:color w:val="29378D"/>
                <w:vertAlign w:val="superscript"/>
              </w:rPr>
              <w:t>(2)</w:t>
            </w:r>
          </w:p>
        </w:tc>
        <w:tc>
          <w:tcPr>
            <w:tcW w:w="2880" w:type="dxa"/>
            <w:vAlign w:val="bottom"/>
            <w:tcBorders>
              <w:bottom w:val="single" w:sz="8" w:color="BCBEC0"/>
            </w:tcBorders>
          </w:tcPr>
          <w:p>
            <w:pPr>
              <w:jc w:val="right"/>
              <w:ind w:right="261"/>
              <w:spacing w:after="0"/>
              <w:rPr>
                <w:sz w:val="20"/>
                <w:szCs w:val="20"/>
                <w:color w:val="auto"/>
              </w:rPr>
            </w:pPr>
            <w:r>
              <w:rPr>
                <w:rFonts w:ascii="Arial" w:cs="Arial" w:eastAsia="Arial" w:hAnsi="Arial"/>
                <w:sz w:val="16"/>
                <w:szCs w:val="16"/>
                <w:color w:val="auto"/>
              </w:rPr>
              <w:t>194,840</w:t>
            </w:r>
          </w:p>
        </w:tc>
        <w:tc>
          <w:tcPr>
            <w:tcW w:w="1340" w:type="dxa"/>
            <w:vAlign w:val="bottom"/>
            <w:tcBorders>
              <w:bottom w:val="single" w:sz="8" w:color="BCBEC0"/>
            </w:tcBorders>
          </w:tcPr>
          <w:p>
            <w:pPr>
              <w:jc w:val="right"/>
              <w:ind w:right="22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194,840</w:t>
            </w:r>
          </w:p>
        </w:tc>
        <w:tc>
          <w:tcPr>
            <w:tcW w:w="320" w:type="dxa"/>
            <w:vAlign w:val="bottom"/>
            <w:tcBorders>
              <w:bottom w:val="single" w:sz="8" w:color="BCBEC0"/>
            </w:tcBorders>
          </w:tcPr>
          <w:p>
            <w:pPr>
              <w:spacing w:after="0"/>
              <w:rPr>
                <w:sz w:val="20"/>
                <w:szCs w:val="20"/>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David F. Keffer</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16,640</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16,640</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Roshan S. Roeder</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1,576</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108</w:t>
            </w:r>
          </w:p>
        </w:tc>
        <w:tc>
          <w:tcPr>
            <w:tcW w:w="900" w:type="dxa"/>
            <w:vAlign w:val="bottom"/>
          </w:tcPr>
          <w:p>
            <w:pPr>
              <w:jc w:val="right"/>
              <w:spacing w:after="0"/>
              <w:rPr>
                <w:sz w:val="20"/>
                <w:szCs w:val="20"/>
                <w:color w:val="auto"/>
              </w:rPr>
            </w:pPr>
            <w:r>
              <w:rPr>
                <w:rFonts w:ascii="Arial" w:cs="Arial" w:eastAsia="Arial" w:hAnsi="Arial"/>
                <w:sz w:val="16"/>
                <w:szCs w:val="16"/>
                <w:color w:val="auto"/>
              </w:rPr>
              <w:t>1,684</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6B6B6"/>
            </w:tcBorders>
          </w:tcPr>
          <w:p>
            <w:pPr>
              <w:spacing w:after="0" w:line="20" w:lineRule="exact"/>
              <w:rPr>
                <w:sz w:val="1"/>
                <w:szCs w:val="1"/>
                <w:color w:val="auto"/>
              </w:rPr>
            </w:pPr>
          </w:p>
        </w:tc>
        <w:tc>
          <w:tcPr>
            <w:tcW w:w="2880" w:type="dxa"/>
            <w:vAlign w:val="bottom"/>
            <w:tcBorders>
              <w:bottom w:val="single" w:sz="8" w:color="B6B6B6"/>
            </w:tcBorders>
          </w:tcPr>
          <w:p>
            <w:pPr>
              <w:spacing w:after="0" w:line="20" w:lineRule="exact"/>
              <w:rPr>
                <w:sz w:val="1"/>
                <w:szCs w:val="1"/>
                <w:color w:val="auto"/>
              </w:rPr>
            </w:pPr>
          </w:p>
        </w:tc>
        <w:tc>
          <w:tcPr>
            <w:tcW w:w="1340" w:type="dxa"/>
            <w:vAlign w:val="bottom"/>
            <w:tcBorders>
              <w:bottom w:val="single" w:sz="8" w:color="B6B6B6"/>
            </w:tcBorders>
          </w:tcPr>
          <w:p>
            <w:pPr>
              <w:spacing w:after="0" w:line="20" w:lineRule="exact"/>
              <w:rPr>
                <w:sz w:val="1"/>
                <w:szCs w:val="1"/>
                <w:color w:val="auto"/>
              </w:rPr>
            </w:pPr>
          </w:p>
        </w:tc>
        <w:tc>
          <w:tcPr>
            <w:tcW w:w="900" w:type="dxa"/>
            <w:vAlign w:val="bottom"/>
            <w:tcBorders>
              <w:bottom w:val="single" w:sz="8" w:color="B6B6B6"/>
            </w:tcBorders>
          </w:tcPr>
          <w:p>
            <w:pPr>
              <w:spacing w:after="0" w:line="20" w:lineRule="exact"/>
              <w:rPr>
                <w:sz w:val="1"/>
                <w:szCs w:val="1"/>
                <w:color w:val="auto"/>
              </w:rPr>
            </w:pPr>
          </w:p>
        </w:tc>
        <w:tc>
          <w:tcPr>
            <w:tcW w:w="320" w:type="dxa"/>
            <w:vAlign w:val="bottom"/>
            <w:tcBorders>
              <w:bottom w:val="single" w:sz="8" w:color="B6B6B6"/>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Mark A. Caylor</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16,432</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38</w:t>
            </w:r>
          </w:p>
        </w:tc>
        <w:tc>
          <w:tcPr>
            <w:tcW w:w="900" w:type="dxa"/>
            <w:vAlign w:val="bottom"/>
          </w:tcPr>
          <w:p>
            <w:pPr>
              <w:jc w:val="right"/>
              <w:spacing w:after="0"/>
              <w:rPr>
                <w:sz w:val="20"/>
                <w:szCs w:val="20"/>
                <w:color w:val="auto"/>
              </w:rPr>
            </w:pPr>
            <w:r>
              <w:rPr>
                <w:rFonts w:ascii="Arial" w:cs="Arial" w:eastAsia="Arial" w:hAnsi="Arial"/>
                <w:sz w:val="16"/>
                <w:szCs w:val="16"/>
                <w:color w:val="auto"/>
              </w:rPr>
              <w:t>16,470</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16"/>
        </w:trPr>
        <w:tc>
          <w:tcPr>
            <w:tcW w:w="5800" w:type="dxa"/>
            <w:vAlign w:val="bottom"/>
          </w:tcPr>
          <w:p>
            <w:pPr>
              <w:ind w:left="160"/>
              <w:spacing w:after="0"/>
              <w:rPr>
                <w:sz w:val="20"/>
                <w:szCs w:val="20"/>
                <w:color w:val="auto"/>
              </w:rPr>
            </w:pPr>
            <w:r>
              <w:rPr>
                <w:rFonts w:ascii="Arial" w:cs="Arial" w:eastAsia="Arial" w:hAnsi="Arial"/>
                <w:sz w:val="16"/>
                <w:szCs w:val="16"/>
                <w:b w:val="1"/>
                <w:bCs w:val="1"/>
                <w:color w:val="29378D"/>
              </w:rPr>
              <w:t>Thomas H. Jones</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9,533</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9,533</w:t>
            </w:r>
          </w:p>
        </w:tc>
        <w:tc>
          <w:tcPr>
            <w:tcW w:w="320" w:type="dxa"/>
            <w:vAlign w:val="bottom"/>
          </w:tcPr>
          <w:p>
            <w:pPr>
              <w:spacing w:after="0"/>
              <w:rPr>
                <w:sz w:val="18"/>
                <w:szCs w:val="18"/>
                <w:color w:val="auto"/>
              </w:rPr>
            </w:pPr>
          </w:p>
        </w:tc>
      </w:tr>
      <w:tr>
        <w:trPr>
          <w:trHeight w:val="20"/>
        </w:trPr>
        <w:tc>
          <w:tcPr>
            <w:tcW w:w="5800" w:type="dxa"/>
            <w:vAlign w:val="bottom"/>
            <w:tcBorders>
              <w:bottom w:val="single" w:sz="8" w:color="BCBEC0"/>
            </w:tcBorders>
          </w:tcPr>
          <w:p>
            <w:pPr>
              <w:spacing w:after="0" w:line="20" w:lineRule="exact"/>
              <w:rPr>
                <w:sz w:val="1"/>
                <w:szCs w:val="1"/>
                <w:color w:val="auto"/>
              </w:rPr>
            </w:pPr>
          </w:p>
        </w:tc>
        <w:tc>
          <w:tcPr>
            <w:tcW w:w="288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c>
          <w:tcPr>
            <w:tcW w:w="320" w:type="dxa"/>
            <w:vAlign w:val="bottom"/>
            <w:tcBorders>
              <w:bottom w:val="single" w:sz="8" w:color="BCBEC0"/>
            </w:tcBorders>
          </w:tcPr>
          <w:p>
            <w:pPr>
              <w:spacing w:after="0" w:line="20" w:lineRule="exact"/>
              <w:rPr>
                <w:sz w:val="1"/>
                <w:szCs w:val="1"/>
                <w:color w:val="auto"/>
              </w:rPr>
            </w:pPr>
          </w:p>
        </w:tc>
      </w:tr>
      <w:tr>
        <w:trPr>
          <w:trHeight w:val="208"/>
        </w:trPr>
        <w:tc>
          <w:tcPr>
            <w:tcW w:w="5800" w:type="dxa"/>
            <w:vAlign w:val="bottom"/>
          </w:tcPr>
          <w:p>
            <w:pPr>
              <w:ind w:left="20"/>
              <w:spacing w:after="0"/>
              <w:rPr>
                <w:sz w:val="20"/>
                <w:szCs w:val="20"/>
                <w:color w:val="auto"/>
              </w:rPr>
            </w:pPr>
            <w:r>
              <w:rPr>
                <w:rFonts w:ascii="Arial" w:cs="Arial" w:eastAsia="Arial" w:hAnsi="Arial"/>
                <w:sz w:val="16"/>
                <w:szCs w:val="16"/>
                <w:color w:val="auto"/>
              </w:rPr>
              <w:t>Other Executive Officers</w:t>
            </w:r>
          </w:p>
        </w:tc>
        <w:tc>
          <w:tcPr>
            <w:tcW w:w="2880" w:type="dxa"/>
            <w:vAlign w:val="bottom"/>
          </w:tcPr>
          <w:p>
            <w:pPr>
              <w:jc w:val="right"/>
              <w:ind w:right="261"/>
              <w:spacing w:after="0"/>
              <w:rPr>
                <w:sz w:val="20"/>
                <w:szCs w:val="20"/>
                <w:color w:val="auto"/>
              </w:rPr>
            </w:pPr>
            <w:r>
              <w:rPr>
                <w:rFonts w:ascii="Arial" w:cs="Arial" w:eastAsia="Arial" w:hAnsi="Arial"/>
                <w:sz w:val="16"/>
                <w:szCs w:val="16"/>
                <w:color w:val="auto"/>
              </w:rPr>
              <w:t>9,542</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9,542</w:t>
            </w:r>
          </w:p>
        </w:tc>
        <w:tc>
          <w:tcPr>
            <w:tcW w:w="320" w:type="dxa"/>
            <w:vAlign w:val="bottom"/>
          </w:tcPr>
          <w:p>
            <w:pPr>
              <w:spacing w:after="0"/>
              <w:rPr>
                <w:sz w:val="18"/>
                <w:szCs w:val="18"/>
                <w:color w:val="auto"/>
              </w:rPr>
            </w:pPr>
          </w:p>
        </w:tc>
      </w:tr>
      <w:tr>
        <w:trPr>
          <w:trHeight w:val="28"/>
        </w:trPr>
        <w:tc>
          <w:tcPr>
            <w:tcW w:w="5800" w:type="dxa"/>
            <w:vAlign w:val="bottom"/>
            <w:tcBorders>
              <w:bottom w:val="single" w:sz="8" w:color="BCBEC0"/>
            </w:tcBorders>
          </w:tcPr>
          <w:p>
            <w:pPr>
              <w:spacing w:after="0"/>
              <w:rPr>
                <w:sz w:val="2"/>
                <w:szCs w:val="2"/>
                <w:color w:val="auto"/>
              </w:rPr>
            </w:pPr>
          </w:p>
        </w:tc>
        <w:tc>
          <w:tcPr>
            <w:tcW w:w="2880" w:type="dxa"/>
            <w:vAlign w:val="bottom"/>
            <w:tcBorders>
              <w:bottom w:val="single" w:sz="8" w:color="BCBEC0"/>
            </w:tcBorders>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320" w:type="dxa"/>
            <w:vAlign w:val="bottom"/>
            <w:tcBorders>
              <w:bottom w:val="single" w:sz="8" w:color="BCBEC0"/>
            </w:tcBorders>
          </w:tcPr>
          <w:p>
            <w:pPr>
              <w:spacing w:after="0"/>
              <w:rPr>
                <w:sz w:val="2"/>
                <w:szCs w:val="2"/>
                <w:color w:val="auto"/>
              </w:rPr>
            </w:pPr>
          </w:p>
        </w:tc>
      </w:tr>
      <w:tr>
        <w:trPr>
          <w:trHeight w:val="230"/>
        </w:trPr>
        <w:tc>
          <w:tcPr>
            <w:tcW w:w="580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All Directors and Executive Officers as a Group (20 persons)</w:t>
            </w:r>
          </w:p>
        </w:tc>
        <w:tc>
          <w:tcPr>
            <w:tcW w:w="2880" w:type="dxa"/>
            <w:vAlign w:val="bottom"/>
            <w:tcBorders>
              <w:bottom w:val="single" w:sz="8" w:color="BCBEC0"/>
            </w:tcBorders>
          </w:tcPr>
          <w:p>
            <w:pPr>
              <w:jc w:val="right"/>
              <w:ind w:right="261"/>
              <w:spacing w:after="0"/>
              <w:rPr>
                <w:sz w:val="20"/>
                <w:szCs w:val="20"/>
                <w:color w:val="auto"/>
              </w:rPr>
            </w:pPr>
            <w:r>
              <w:rPr>
                <w:rFonts w:ascii="Arial" w:cs="Arial" w:eastAsia="Arial" w:hAnsi="Arial"/>
                <w:sz w:val="16"/>
                <w:szCs w:val="16"/>
                <w:color w:val="auto"/>
              </w:rPr>
              <w:t>254,917</w:t>
            </w:r>
          </w:p>
        </w:tc>
        <w:tc>
          <w:tcPr>
            <w:tcW w:w="1340" w:type="dxa"/>
            <w:vAlign w:val="bottom"/>
            <w:tcBorders>
              <w:bottom w:val="single" w:sz="8" w:color="BCBEC0"/>
            </w:tcBorders>
          </w:tcPr>
          <w:p>
            <w:pPr>
              <w:jc w:val="right"/>
              <w:ind w:right="221"/>
              <w:spacing w:after="0"/>
              <w:rPr>
                <w:sz w:val="20"/>
                <w:szCs w:val="20"/>
                <w:color w:val="auto"/>
              </w:rPr>
            </w:pPr>
            <w:r>
              <w:rPr>
                <w:rFonts w:ascii="Arial" w:cs="Arial" w:eastAsia="Arial" w:hAnsi="Arial"/>
                <w:sz w:val="16"/>
                <w:szCs w:val="16"/>
                <w:color w:val="auto"/>
              </w:rPr>
              <w:t>68,005</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322,922</w:t>
            </w:r>
          </w:p>
        </w:tc>
        <w:tc>
          <w:tcPr>
            <w:tcW w:w="320" w:type="dxa"/>
            <w:vAlign w:val="bottom"/>
            <w:tcBorders>
              <w:bottom w:val="single" w:sz="8" w:color="BCBEC0"/>
            </w:tcBorders>
          </w:tcPr>
          <w:p>
            <w:pPr>
              <w:jc w:val="right"/>
              <w:ind w:right="127"/>
              <w:spacing w:after="0"/>
              <w:rPr>
                <w:sz w:val="20"/>
                <w:szCs w:val="20"/>
                <w:color w:val="auto"/>
              </w:rPr>
            </w:pPr>
            <w:r>
              <w:rPr>
                <w:rFonts w:ascii="Arial" w:cs="Arial" w:eastAsia="Arial" w:hAnsi="Arial"/>
                <w:sz w:val="11"/>
                <w:szCs w:val="11"/>
                <w:color w:val="auto"/>
                <w:w w:val="88"/>
              </w:rPr>
              <w:t>(3)</w:t>
            </w:r>
          </w:p>
        </w:tc>
      </w:tr>
    </w:tbl>
    <w:p>
      <w:pPr>
        <w:spacing w:after="0" w:line="153" w:lineRule="exact"/>
        <w:rPr>
          <w:sz w:val="20"/>
          <w:szCs w:val="20"/>
          <w:color w:val="auto"/>
        </w:rPr>
      </w:pPr>
    </w:p>
    <w:p>
      <w:pPr>
        <w:ind w:left="260" w:hanging="252"/>
        <w:spacing w:after="0" w:line="283" w:lineRule="auto"/>
        <w:tabs>
          <w:tab w:leader="none" w:pos="258" w:val="left"/>
        </w:tabs>
        <w:numPr>
          <w:ilvl w:val="0"/>
          <w:numId w:val="200"/>
        </w:numPr>
        <w:rPr>
          <w:rFonts w:ascii="Arial" w:cs="Arial" w:eastAsia="Arial" w:hAnsi="Arial"/>
          <w:sz w:val="14"/>
          <w:szCs w:val="14"/>
          <w:color w:val="auto"/>
        </w:rPr>
      </w:pPr>
      <w:r>
        <w:rPr>
          <w:rFonts w:ascii="Arial" w:cs="Arial" w:eastAsia="Arial" w:hAnsi="Arial"/>
          <w:sz w:val="14"/>
          <w:szCs w:val="14"/>
          <w:color w:val="auto"/>
        </w:rPr>
        <w:t>Share equivalents for directors represent non-voting deferred stock units acquired under the 2011 Plan, some of which are paid out in shares of common stock at the conclusion of a director-specified deferral period, and others are paid out upon termination of the director’s service on the Board. Certain of the NEOs hold share equivalents with pass-through voting rights in the Northrop Grumman Savings Plan or the Northrop Grumman Financial Security and Savings Program.</w:t>
      </w:r>
    </w:p>
    <w:p>
      <w:pPr>
        <w:spacing w:after="0" w:line="24" w:lineRule="exact"/>
        <w:rPr>
          <w:rFonts w:ascii="Arial" w:cs="Arial" w:eastAsia="Arial" w:hAnsi="Arial"/>
          <w:sz w:val="14"/>
          <w:szCs w:val="14"/>
          <w:color w:val="auto"/>
        </w:rPr>
      </w:pPr>
    </w:p>
    <w:p>
      <w:pPr>
        <w:ind w:left="260" w:hanging="252"/>
        <w:spacing w:after="0"/>
        <w:tabs>
          <w:tab w:leader="none" w:pos="26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Ms. Warden also serves on the Company’s Board of Directors.</w:t>
      </w:r>
    </w:p>
    <w:p>
      <w:pPr>
        <w:spacing w:after="0" w:line="82" w:lineRule="exact"/>
        <w:rPr>
          <w:rFonts w:ascii="Arial" w:cs="Arial" w:eastAsia="Arial" w:hAnsi="Arial"/>
          <w:sz w:val="14"/>
          <w:szCs w:val="14"/>
          <w:color w:val="auto"/>
        </w:rPr>
      </w:pPr>
    </w:p>
    <w:p>
      <w:pPr>
        <w:ind w:left="260" w:hanging="252"/>
        <w:spacing w:after="0"/>
        <w:tabs>
          <w:tab w:leader="none" w:pos="26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Total represents 0.22% of the outstanding common stock as of March 15,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109</w:t>
            </w:r>
          </w:p>
        </w:tc>
      </w:tr>
      <w:tr>
        <w:trPr>
          <w:trHeight w:val="306"/>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12" w:name="page113"/>
    <w:bookmarkEnd w:id="112"/>
    <w:p>
      <w:pPr>
        <w:ind w:right="4920"/>
        <w:spacing w:after="0" w:line="297" w:lineRule="auto"/>
        <w:rPr>
          <w:sz w:val="20"/>
          <w:szCs w:val="20"/>
          <w:color w:val="auto"/>
        </w:rPr>
      </w:pPr>
      <w:r>
        <w:rPr>
          <w:rFonts w:ascii="Arial" w:cs="Arial" w:eastAsia="Arial" w:hAnsi="Arial"/>
          <w:sz w:val="43"/>
          <w:szCs w:val="43"/>
          <w:b w:val="1"/>
          <w:bCs w:val="1"/>
          <w:color w:val="29378D"/>
        </w:rPr>
        <w:t>Questions and Answers About the Annual Meeting</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How do I attend the Annual Meeting?</w:t>
      </w:r>
    </w:p>
    <w:p>
      <w:pPr>
        <w:spacing w:after="0" w:line="104"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 xml:space="preserve">The Annual Meeting will be held exclusively online via live webcast at </w:t>
      </w:r>
      <w:r>
        <w:rPr>
          <w:rFonts w:ascii="Arial" w:cs="Arial" w:eastAsia="Arial" w:hAnsi="Arial"/>
          <w:sz w:val="16"/>
          <w:szCs w:val="16"/>
          <w:i w:val="1"/>
          <w:iCs w:val="1"/>
          <w:color w:val="auto"/>
        </w:rPr>
        <w:t>virtualshareholdermeeting.com/NOC2024</w:t>
      </w:r>
      <w:r>
        <w:rPr>
          <w:rFonts w:ascii="Arial" w:cs="Arial" w:eastAsia="Arial" w:hAnsi="Arial"/>
          <w:sz w:val="16"/>
          <w:szCs w:val="16"/>
          <w:color w:val="auto"/>
        </w:rPr>
        <w:t xml:space="preserve"> on May 15, 2024. To be admitted to the Annual Meeting via the website, shareholders must enter the 16-digit voting control number found on their proxy card, voting instruction form, notice of internet availability of proxy materials, or email notification. You may begin to log into the website beginning at 7:45 AM Eastern Daylight Time. The meeting will begin promptly at 8:00 AM Eastern Daylight Time. If you encounter any technical difficulties, please call the number posted to the online webcast (it will be available starting at 7:45 AM Eastern Daylight Time and remain available for the duration of the meeting). We will disclose additional details about the Annual Meeting or changes to the process on the Investor Relations section of our website (w</w:t>
      </w:r>
      <w:r>
        <w:rPr>
          <w:rFonts w:ascii="Arial" w:cs="Arial" w:eastAsia="Arial" w:hAnsi="Arial"/>
          <w:sz w:val="16"/>
          <w:szCs w:val="16"/>
          <w:i w:val="1"/>
          <w:iCs w:val="1"/>
          <w:color w:val="auto"/>
        </w:rPr>
        <w:t>ww.northropgrumman.com</w:t>
      </w:r>
      <w:r>
        <w:rPr>
          <w:rFonts w:ascii="Arial" w:cs="Arial" w:eastAsia="Arial" w:hAnsi="Arial"/>
          <w:sz w:val="16"/>
          <w:szCs w:val="16"/>
          <w:color w:val="auto"/>
        </w:rPr>
        <w:t>) and/or in a public filing with the Securities and Exchange Commission (SEC), as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Why did I receive a “Notice of Internet Availability of Proxy Materials” but not a full set of proxy materials?</w:t>
      </w:r>
    </w:p>
    <w:p>
      <w:pPr>
        <w:spacing w:after="0" w:line="13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distribute our proxy materials to shareholders via the internet under the “Notice and Access” approach permitted by the rules of the SEC. This approach reduces the environmental impact of the Annual Meeting and our distribution costs, while providing a timely and convenient method of accessing the proxy materials and voting. On April 3, 2024, we mailed a “Notice of Internet Availability of Proxy Materials” to participating shareholders, containing instructions on how to access the proxy materials.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Who is entitled to vote at the Annual Meeting?</w:t>
      </w:r>
    </w:p>
    <w:p>
      <w:pPr>
        <w:spacing w:after="0" w:line="13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You may vote your shares of our common stock if you owned your shares as of the close of business on March 19, 2024 (Record Date). As of the Record Date, there were 148,140,169 shares of our common stock outstanding. You may cast one vote for each share of common stock you hold as of the Record Date on all matters presented.</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How many votes must be present to hold the Annual Meeting?</w:t>
      </w:r>
    </w:p>
    <w:p>
      <w:pPr>
        <w:spacing w:after="0" w:line="13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presence virtually or by proxy of the holders of a majority of the shares entitled to vote at the Annual Meeting will constitute a quorum at the Annual Meeting. Persons returning executed proxy cards will be counted as present for purposes of establishing a quorum even if they abstain from voting on any or all proposals. Shares held by brokers who vote such shares on any proposal and broker non-votes will be counted as present for purposes of establishing a quorum.</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How can I receive a paper copy of the proxy materials?</w:t>
      </w:r>
    </w:p>
    <w:p>
      <w:pPr>
        <w:spacing w:after="0" w:line="13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Instead of mailing a printed copy of this Proxy Statement and accompanying materials to each shareholder of record, we have elected to provide a Notice of Internet Availability of Proxy Materials (Notice) as permitted by the rules of the SEC. The Notice instructs you as to how you may access and review all of the proxy materials and how you may provide your proxy. If you would like to receive a printed or electronic copy of this Proxy Statement and accompanying materials, you must follow the instructions for requesting such materials included in the Notice.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Will I have an opportunity to ask questions before or during the Annual Meeting?</w:t>
      </w:r>
    </w:p>
    <w:p>
      <w:pPr>
        <w:spacing w:after="0" w:line="117"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 xml:space="preserve">Shareholders entitled to vote will be able to submit questions relevant to the business of the meeting during the meeting via </w:t>
      </w:r>
      <w:r>
        <w:rPr>
          <w:rFonts w:ascii="Arial" w:cs="Arial" w:eastAsia="Arial" w:hAnsi="Arial"/>
          <w:sz w:val="16"/>
          <w:szCs w:val="16"/>
          <w:i w:val="1"/>
          <w:iCs w:val="1"/>
          <w:color w:val="auto"/>
        </w:rPr>
        <w:t xml:space="preserve">virtualshareholdermeeting.com/NOC2024 </w:t>
      </w:r>
      <w:r>
        <w:rPr>
          <w:rFonts w:ascii="Arial" w:cs="Arial" w:eastAsia="Arial" w:hAnsi="Arial"/>
          <w:sz w:val="16"/>
          <w:szCs w:val="16"/>
          <w:color w:val="auto"/>
        </w:rPr>
        <w:t>by typing the question into the "Ask a Question" box and clicking “Submit.” In order to ask a question,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shareholders will need to have a valid voting control number. You may also submit a question in advance of the meeting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by logging in with the 16-digit voting control number found on your proxy card, voting instruction form, notice of internet availability of proxy materials, or email notification. Once you are past the login screen, click on “Questions for Management,” type in your question and click “Submit.” All questions should relate to the official business of the meeting, and management and shareholder proposals in particular. Management will seek to answer questions at the relevant time, when the proposal or matter is up for consideration.</w:t>
      </w:r>
    </w:p>
    <w:p>
      <w:pPr>
        <w:spacing w:after="0" w:line="200" w:lineRule="exact"/>
        <w:rPr>
          <w:sz w:val="20"/>
          <w:szCs w:val="20"/>
          <w:color w:val="auto"/>
        </w:rPr>
      </w:pPr>
    </w:p>
    <w:p>
      <w:pPr>
        <w:spacing w:after="0" w:line="375" w:lineRule="exact"/>
        <w:rPr>
          <w:sz w:val="20"/>
          <w:szCs w:val="20"/>
          <w:color w:val="auto"/>
        </w:rPr>
      </w:pPr>
    </w:p>
    <w:p>
      <w:pPr>
        <w:ind w:left="520" w:hanging="494"/>
        <w:spacing w:after="0"/>
        <w:tabs>
          <w:tab w:leader="none" w:pos="520" w:val="left"/>
        </w:tabs>
        <w:numPr>
          <w:ilvl w:val="0"/>
          <w:numId w:val="201"/>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8" w:right="359" w:bottom="1440" w:gutter="0" w:footer="0" w:header="0"/>
        </w:sectPr>
      </w:pPr>
    </w:p>
    <w:bookmarkStart w:id="113" w:name="page114"/>
    <w:bookmarkEnd w:id="113"/>
    <w:p>
      <w:pPr>
        <w:jc w:val="right"/>
        <w:spacing w:after="0"/>
        <w:rPr>
          <w:sz w:val="20"/>
          <w:szCs w:val="20"/>
          <w:color w:val="auto"/>
        </w:rPr>
      </w:pPr>
      <w:r>
        <w:rPr>
          <w:rFonts w:ascii="Arial" w:cs="Arial" w:eastAsia="Arial" w:hAnsi="Arial"/>
          <w:sz w:val="14"/>
          <w:szCs w:val="14"/>
          <w:b w:val="1"/>
          <w:bCs w:val="1"/>
          <w:color w:val="auto"/>
        </w:rPr>
        <w:t>Questions and Answers About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What am I being asked to vote on and what are the Board of Directors’ recommendations?</w:t>
      </w:r>
    </w:p>
    <w:p>
      <w:pPr>
        <w:spacing w:after="0" w:line="131"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following table lists the proposals scheduled to be voted on, the vote required for approval of each proposal and the effect of abstentions and broker non-votes: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Proposal</w:t>
            </w:r>
          </w:p>
        </w:tc>
        <w:tc>
          <w:tcPr>
            <w:tcW w:w="1500" w:type="dxa"/>
            <w:vAlign w:val="bottom"/>
          </w:tcPr>
          <w:p>
            <w:pPr>
              <w:ind w:left="60"/>
              <w:spacing w:after="0"/>
              <w:rPr>
                <w:sz w:val="20"/>
                <w:szCs w:val="20"/>
                <w:color w:val="auto"/>
              </w:rPr>
            </w:pPr>
            <w:r>
              <w:rPr>
                <w:rFonts w:ascii="Arial" w:cs="Arial" w:eastAsia="Arial" w:hAnsi="Arial"/>
                <w:sz w:val="13"/>
                <w:szCs w:val="13"/>
                <w:b w:val="1"/>
                <w:bCs w:val="1"/>
                <w:color w:val="auto"/>
              </w:rPr>
              <w:t>Board</w:t>
            </w:r>
          </w:p>
        </w:tc>
        <w:tc>
          <w:tcPr>
            <w:tcW w:w="1740" w:type="dxa"/>
            <w:vAlign w:val="bottom"/>
          </w:tcPr>
          <w:p>
            <w:pPr>
              <w:ind w:left="360"/>
              <w:spacing w:after="0"/>
              <w:rPr>
                <w:sz w:val="20"/>
                <w:szCs w:val="20"/>
                <w:color w:val="auto"/>
              </w:rPr>
            </w:pPr>
            <w:r>
              <w:rPr>
                <w:rFonts w:ascii="Arial" w:cs="Arial" w:eastAsia="Arial" w:hAnsi="Arial"/>
                <w:sz w:val="13"/>
                <w:szCs w:val="13"/>
                <w:b w:val="1"/>
                <w:bCs w:val="1"/>
                <w:color w:val="auto"/>
              </w:rPr>
              <w:t>Vote</w:t>
            </w:r>
          </w:p>
        </w:tc>
        <w:tc>
          <w:tcPr>
            <w:tcW w:w="126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Abstentions</w:t>
            </w:r>
          </w:p>
        </w:tc>
        <w:tc>
          <w:tcPr>
            <w:tcW w:w="1320" w:type="dxa"/>
            <w:vAlign w:val="bottom"/>
          </w:tcPr>
          <w:p>
            <w:pPr>
              <w:ind w:left="160"/>
              <w:spacing w:after="0"/>
              <w:rPr>
                <w:sz w:val="20"/>
                <w:szCs w:val="20"/>
                <w:color w:val="auto"/>
              </w:rPr>
            </w:pPr>
            <w:r>
              <w:rPr>
                <w:rFonts w:ascii="Arial" w:cs="Arial" w:eastAsia="Arial" w:hAnsi="Arial"/>
                <w:sz w:val="13"/>
                <w:szCs w:val="13"/>
                <w:b w:val="1"/>
                <w:bCs w:val="1"/>
                <w:color w:val="auto"/>
              </w:rPr>
              <w:t>Broker</w:t>
            </w:r>
          </w:p>
        </w:tc>
        <w:tc>
          <w:tcPr>
            <w:tcW w:w="1580" w:type="dxa"/>
            <w:vAlign w:val="bottom"/>
          </w:tcPr>
          <w:p>
            <w:pPr>
              <w:ind w:left="80"/>
              <w:spacing w:after="0"/>
              <w:rPr>
                <w:sz w:val="20"/>
                <w:szCs w:val="20"/>
                <w:color w:val="auto"/>
              </w:rPr>
            </w:pPr>
            <w:r>
              <w:rPr>
                <w:rFonts w:ascii="Arial" w:cs="Arial" w:eastAsia="Arial" w:hAnsi="Arial"/>
                <w:sz w:val="13"/>
                <w:szCs w:val="13"/>
                <w:b w:val="1"/>
                <w:bCs w:val="1"/>
                <w:color w:val="auto"/>
              </w:rPr>
              <w:t>Unmarked</w:t>
            </w:r>
          </w:p>
        </w:tc>
        <w:tc>
          <w:tcPr>
            <w:tcW w:w="0" w:type="dxa"/>
            <w:vAlign w:val="bottom"/>
          </w:tcPr>
          <w:p>
            <w:pPr>
              <w:spacing w:after="0"/>
              <w:rPr>
                <w:sz w:val="1"/>
                <w:szCs w:val="1"/>
                <w:color w:val="auto"/>
              </w:rPr>
            </w:pPr>
          </w:p>
        </w:tc>
      </w:tr>
      <w:tr>
        <w:trPr>
          <w:trHeight w:val="176"/>
        </w:trPr>
        <w:tc>
          <w:tcPr>
            <w:tcW w:w="3840" w:type="dxa"/>
            <w:vAlign w:val="bottom"/>
            <w:tcBorders>
              <w:bottom w:val="single" w:sz="8" w:color="29378D"/>
            </w:tcBorders>
            <w:vMerge w:val="continue"/>
          </w:tcPr>
          <w:p>
            <w:pPr>
              <w:spacing w:after="0"/>
              <w:rPr>
                <w:sz w:val="15"/>
                <w:szCs w:val="15"/>
                <w:color w:val="auto"/>
              </w:rPr>
            </w:pPr>
          </w:p>
        </w:tc>
        <w:tc>
          <w:tcPr>
            <w:tcW w:w="1500" w:type="dxa"/>
            <w:vAlign w:val="bottom"/>
            <w:tcBorders>
              <w:bottom w:val="single" w:sz="8" w:color="29378D"/>
            </w:tcBorders>
          </w:tcPr>
          <w:p>
            <w:pPr>
              <w:ind w:left="60"/>
              <w:spacing w:after="0"/>
              <w:rPr>
                <w:sz w:val="20"/>
                <w:szCs w:val="20"/>
                <w:color w:val="auto"/>
              </w:rPr>
            </w:pPr>
            <w:r>
              <w:rPr>
                <w:rFonts w:ascii="Arial" w:cs="Arial" w:eastAsia="Arial" w:hAnsi="Arial"/>
                <w:sz w:val="13"/>
                <w:szCs w:val="13"/>
                <w:b w:val="1"/>
                <w:bCs w:val="1"/>
                <w:color w:val="auto"/>
              </w:rPr>
              <w:t>Recommendation</w:t>
            </w:r>
          </w:p>
        </w:tc>
        <w:tc>
          <w:tcPr>
            <w:tcW w:w="1740" w:type="dxa"/>
            <w:vAlign w:val="bottom"/>
            <w:tcBorders>
              <w:bottom w:val="single" w:sz="8" w:color="29378D"/>
            </w:tcBorders>
          </w:tcPr>
          <w:p>
            <w:pPr>
              <w:ind w:left="360"/>
              <w:spacing w:after="0"/>
              <w:rPr>
                <w:sz w:val="20"/>
                <w:szCs w:val="20"/>
                <w:color w:val="auto"/>
              </w:rPr>
            </w:pPr>
            <w:r>
              <w:rPr>
                <w:rFonts w:ascii="Arial" w:cs="Arial" w:eastAsia="Arial" w:hAnsi="Arial"/>
                <w:sz w:val="13"/>
                <w:szCs w:val="13"/>
                <w:b w:val="1"/>
                <w:bCs w:val="1"/>
                <w:color w:val="auto"/>
              </w:rPr>
              <w:t>Required</w:t>
            </w:r>
          </w:p>
        </w:tc>
        <w:tc>
          <w:tcPr>
            <w:tcW w:w="1260" w:type="dxa"/>
            <w:vAlign w:val="bottom"/>
            <w:tcBorders>
              <w:bottom w:val="single" w:sz="8" w:color="29378D"/>
            </w:tcBorders>
            <w:vMerge w:val="continue"/>
          </w:tcPr>
          <w:p>
            <w:pPr>
              <w:spacing w:after="0"/>
              <w:rPr>
                <w:sz w:val="15"/>
                <w:szCs w:val="15"/>
                <w:color w:val="auto"/>
              </w:rPr>
            </w:pPr>
          </w:p>
        </w:tc>
        <w:tc>
          <w:tcPr>
            <w:tcW w:w="1320" w:type="dxa"/>
            <w:vAlign w:val="bottom"/>
            <w:tcBorders>
              <w:bottom w:val="single" w:sz="8" w:color="29378D"/>
            </w:tcBorders>
          </w:tcPr>
          <w:p>
            <w:pPr>
              <w:ind w:left="160"/>
              <w:spacing w:after="0"/>
              <w:rPr>
                <w:sz w:val="20"/>
                <w:szCs w:val="20"/>
                <w:color w:val="auto"/>
              </w:rPr>
            </w:pPr>
            <w:r>
              <w:rPr>
                <w:rFonts w:ascii="Arial" w:cs="Arial" w:eastAsia="Arial" w:hAnsi="Arial"/>
                <w:sz w:val="13"/>
                <w:szCs w:val="13"/>
                <w:b w:val="1"/>
                <w:bCs w:val="1"/>
                <w:color w:val="auto"/>
              </w:rPr>
              <w:t>Non-Votes</w:t>
            </w:r>
          </w:p>
        </w:tc>
        <w:tc>
          <w:tcPr>
            <w:tcW w:w="1580" w:type="dxa"/>
            <w:vAlign w:val="bottom"/>
            <w:tcBorders>
              <w:bottom w:val="single" w:sz="8" w:color="29378D"/>
            </w:tcBorders>
          </w:tcPr>
          <w:p>
            <w:pPr>
              <w:ind w:left="80"/>
              <w:spacing w:after="0"/>
              <w:rPr>
                <w:sz w:val="20"/>
                <w:szCs w:val="20"/>
                <w:color w:val="auto"/>
              </w:rPr>
            </w:pPr>
            <w:r>
              <w:rPr>
                <w:rFonts w:ascii="Arial" w:cs="Arial" w:eastAsia="Arial" w:hAnsi="Arial"/>
                <w:sz w:val="13"/>
                <w:szCs w:val="13"/>
                <w:b w:val="1"/>
                <w:bCs w:val="1"/>
                <w:color w:val="auto"/>
              </w:rPr>
              <w:t>Proxy Cards</w:t>
            </w:r>
          </w:p>
        </w:tc>
        <w:tc>
          <w:tcPr>
            <w:tcW w:w="0" w:type="dxa"/>
            <w:vAlign w:val="bottom"/>
          </w:tcPr>
          <w:p>
            <w:pPr>
              <w:spacing w:after="0"/>
              <w:rPr>
                <w:sz w:val="1"/>
                <w:szCs w:val="1"/>
                <w:color w:val="auto"/>
              </w:rPr>
            </w:pPr>
          </w:p>
        </w:tc>
      </w:tr>
      <w:tr>
        <w:trPr>
          <w:trHeight w:val="213"/>
        </w:trPr>
        <w:tc>
          <w:tcPr>
            <w:tcW w:w="3840" w:type="dxa"/>
            <w:vAlign w:val="bottom"/>
          </w:tcPr>
          <w:p>
            <w:pPr>
              <w:ind w:left="20"/>
              <w:spacing w:after="0"/>
              <w:rPr>
                <w:sz w:val="20"/>
                <w:szCs w:val="20"/>
                <w:color w:val="auto"/>
              </w:rPr>
            </w:pPr>
            <w:r>
              <w:rPr>
                <w:rFonts w:ascii="Arial" w:cs="Arial" w:eastAsia="Arial" w:hAnsi="Arial"/>
                <w:sz w:val="16"/>
                <w:szCs w:val="16"/>
                <w:color w:val="auto"/>
              </w:rPr>
              <w:t>Election of Directors</w:t>
            </w:r>
          </w:p>
        </w:tc>
        <w:tc>
          <w:tcPr>
            <w:tcW w:w="1500" w:type="dxa"/>
            <w:vAlign w:val="bottom"/>
          </w:tcPr>
          <w:p>
            <w:pPr>
              <w:ind w:left="60"/>
              <w:spacing w:after="0"/>
              <w:rPr>
                <w:sz w:val="20"/>
                <w:szCs w:val="20"/>
                <w:color w:val="auto"/>
              </w:rPr>
            </w:pPr>
            <w:r>
              <w:rPr>
                <w:rFonts w:ascii="Arial" w:cs="Arial" w:eastAsia="Arial" w:hAnsi="Arial"/>
                <w:sz w:val="16"/>
                <w:szCs w:val="16"/>
                <w:b w:val="1"/>
                <w:bCs w:val="1"/>
                <w:color w:val="29378D"/>
              </w:rPr>
              <w:t>FOR</w:t>
            </w:r>
          </w:p>
        </w:tc>
        <w:tc>
          <w:tcPr>
            <w:tcW w:w="1740" w:type="dxa"/>
            <w:vAlign w:val="bottom"/>
          </w:tcPr>
          <w:p>
            <w:pPr>
              <w:ind w:left="360"/>
              <w:spacing w:after="0"/>
              <w:rPr>
                <w:sz w:val="20"/>
                <w:szCs w:val="20"/>
                <w:color w:val="auto"/>
              </w:rPr>
            </w:pPr>
            <w:r>
              <w:rPr>
                <w:rFonts w:ascii="Arial" w:cs="Arial" w:eastAsia="Arial" w:hAnsi="Arial"/>
                <w:sz w:val="16"/>
                <w:szCs w:val="16"/>
                <w:color w:val="auto"/>
              </w:rPr>
              <w:t>Majority of votes</w:t>
            </w:r>
          </w:p>
        </w:tc>
        <w:tc>
          <w:tcPr>
            <w:tcW w:w="1260" w:type="dxa"/>
            <w:vAlign w:val="bottom"/>
          </w:tcPr>
          <w:p>
            <w:pPr>
              <w:ind w:left="40"/>
              <w:spacing w:after="0"/>
              <w:rPr>
                <w:sz w:val="20"/>
                <w:szCs w:val="20"/>
                <w:color w:val="auto"/>
              </w:rPr>
            </w:pPr>
            <w:r>
              <w:rPr>
                <w:rFonts w:ascii="Arial" w:cs="Arial" w:eastAsia="Arial" w:hAnsi="Arial"/>
                <w:sz w:val="16"/>
                <w:szCs w:val="16"/>
                <w:color w:val="auto"/>
              </w:rPr>
              <w:t>No effect</w:t>
            </w:r>
          </w:p>
        </w:tc>
        <w:tc>
          <w:tcPr>
            <w:tcW w:w="1320" w:type="dxa"/>
            <w:vAlign w:val="bottom"/>
          </w:tcPr>
          <w:p>
            <w:pPr>
              <w:ind w:left="160"/>
              <w:spacing w:after="0"/>
              <w:rPr>
                <w:sz w:val="20"/>
                <w:szCs w:val="20"/>
                <w:color w:val="auto"/>
              </w:rPr>
            </w:pPr>
            <w:r>
              <w:rPr>
                <w:rFonts w:ascii="Arial" w:cs="Arial" w:eastAsia="Arial" w:hAnsi="Arial"/>
                <w:sz w:val="16"/>
                <w:szCs w:val="16"/>
                <w:color w:val="auto"/>
              </w:rPr>
              <w:t>No effect</w:t>
            </w:r>
          </w:p>
        </w:tc>
        <w:tc>
          <w:tcPr>
            <w:tcW w:w="1580" w:type="dxa"/>
            <w:vAlign w:val="bottom"/>
          </w:tcPr>
          <w:p>
            <w:pPr>
              <w:ind w:left="80"/>
              <w:spacing w:after="0"/>
              <w:rPr>
                <w:sz w:val="20"/>
                <w:szCs w:val="20"/>
                <w:color w:val="auto"/>
              </w:rPr>
            </w:pPr>
            <w:r>
              <w:rPr>
                <w:rFonts w:ascii="Arial" w:cs="Arial" w:eastAsia="Arial" w:hAnsi="Arial"/>
                <w:sz w:val="16"/>
                <w:szCs w:val="16"/>
                <w:color w:val="auto"/>
              </w:rPr>
              <w:t>Voted “FOR“</w:t>
            </w:r>
          </w:p>
        </w:tc>
        <w:tc>
          <w:tcPr>
            <w:tcW w:w="0" w:type="dxa"/>
            <w:vAlign w:val="bottom"/>
          </w:tcPr>
          <w:p>
            <w:pPr>
              <w:spacing w:after="0"/>
              <w:rPr>
                <w:sz w:val="1"/>
                <w:szCs w:val="1"/>
                <w:color w:val="auto"/>
              </w:rPr>
            </w:pPr>
          </w:p>
        </w:tc>
      </w:tr>
      <w:tr>
        <w:trPr>
          <w:trHeight w:val="226"/>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29378D"/>
              </w:rPr>
              <w:t>(Proposal 1)</w:t>
            </w:r>
          </w:p>
        </w:tc>
        <w:tc>
          <w:tcPr>
            <w:tcW w:w="1500" w:type="dxa"/>
            <w:vAlign w:val="bottom"/>
            <w:tcBorders>
              <w:bottom w:val="single" w:sz="8" w:color="BCBEC0"/>
            </w:tcBorders>
          </w:tcPr>
          <w:p>
            <w:pPr>
              <w:spacing w:after="0"/>
              <w:rPr>
                <w:sz w:val="19"/>
                <w:szCs w:val="19"/>
                <w:color w:val="auto"/>
              </w:rPr>
            </w:pPr>
          </w:p>
        </w:tc>
        <w:tc>
          <w:tcPr>
            <w:tcW w:w="1740" w:type="dxa"/>
            <w:vAlign w:val="bottom"/>
            <w:tcBorders>
              <w:bottom w:val="single" w:sz="8" w:color="BCBEC0"/>
            </w:tcBorders>
          </w:tcPr>
          <w:p>
            <w:pPr>
              <w:ind w:left="360"/>
              <w:spacing w:after="0"/>
              <w:rPr>
                <w:sz w:val="20"/>
                <w:szCs w:val="20"/>
                <w:color w:val="auto"/>
              </w:rPr>
            </w:pPr>
            <w:r>
              <w:rPr>
                <w:rFonts w:ascii="Arial" w:cs="Arial" w:eastAsia="Arial" w:hAnsi="Arial"/>
                <w:sz w:val="16"/>
                <w:szCs w:val="16"/>
                <w:color w:val="auto"/>
              </w:rPr>
              <w:t>cast</w:t>
            </w:r>
          </w:p>
        </w:tc>
        <w:tc>
          <w:tcPr>
            <w:tcW w:w="1260" w:type="dxa"/>
            <w:vAlign w:val="bottom"/>
            <w:tcBorders>
              <w:bottom w:val="single" w:sz="8" w:color="BCBEC0"/>
            </w:tcBorders>
          </w:tcPr>
          <w:p>
            <w:pPr>
              <w:spacing w:after="0"/>
              <w:rPr>
                <w:sz w:val="19"/>
                <w:szCs w:val="19"/>
                <w:color w:val="auto"/>
              </w:rPr>
            </w:pPr>
          </w:p>
        </w:tc>
        <w:tc>
          <w:tcPr>
            <w:tcW w:w="1320" w:type="dxa"/>
            <w:vAlign w:val="bottom"/>
            <w:tcBorders>
              <w:bottom w:val="single" w:sz="8" w:color="BCBEC0"/>
            </w:tcBorders>
          </w:tcPr>
          <w:p>
            <w:pPr>
              <w:spacing w:after="0"/>
              <w:rPr>
                <w:sz w:val="19"/>
                <w:szCs w:val="19"/>
                <w:color w:val="auto"/>
              </w:rPr>
            </w:pPr>
          </w:p>
        </w:tc>
        <w:tc>
          <w:tcPr>
            <w:tcW w:w="158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40" w:type="dxa"/>
            <w:vAlign w:val="bottom"/>
            <w:gridSpan w:val="2"/>
          </w:tcPr>
          <w:p>
            <w:pPr>
              <w:ind w:left="20"/>
              <w:spacing w:after="0"/>
              <w:rPr>
                <w:sz w:val="20"/>
                <w:szCs w:val="20"/>
                <w:color w:val="auto"/>
              </w:rPr>
            </w:pPr>
            <w:r>
              <w:rPr>
                <w:rFonts w:ascii="Arial" w:cs="Arial" w:eastAsia="Arial" w:hAnsi="Arial"/>
                <w:sz w:val="16"/>
                <w:szCs w:val="16"/>
                <w:color w:val="auto"/>
              </w:rPr>
              <w:t xml:space="preserve">Advisory Vote on Compensation of Named Executive </w:t>
            </w:r>
            <w:r>
              <w:rPr>
                <w:rFonts w:ascii="Arial" w:cs="Arial" w:eastAsia="Arial" w:hAnsi="Arial"/>
                <w:sz w:val="16"/>
                <w:szCs w:val="16"/>
                <w:b w:val="1"/>
                <w:bCs w:val="1"/>
                <w:color w:val="29378D"/>
              </w:rPr>
              <w:t>FOR</w:t>
            </w:r>
          </w:p>
        </w:tc>
        <w:tc>
          <w:tcPr>
            <w:tcW w:w="1740" w:type="dxa"/>
            <w:vAlign w:val="bottom"/>
          </w:tcPr>
          <w:p>
            <w:pPr>
              <w:ind w:left="360"/>
              <w:spacing w:after="0"/>
              <w:rPr>
                <w:sz w:val="20"/>
                <w:szCs w:val="20"/>
                <w:color w:val="auto"/>
              </w:rPr>
            </w:pPr>
            <w:r>
              <w:rPr>
                <w:rFonts w:ascii="Arial" w:cs="Arial" w:eastAsia="Arial" w:hAnsi="Arial"/>
                <w:sz w:val="16"/>
                <w:szCs w:val="16"/>
                <w:color w:val="auto"/>
              </w:rPr>
              <w:t>Majority of votes</w:t>
            </w:r>
          </w:p>
        </w:tc>
        <w:tc>
          <w:tcPr>
            <w:tcW w:w="1260" w:type="dxa"/>
            <w:vAlign w:val="bottom"/>
          </w:tcPr>
          <w:p>
            <w:pPr>
              <w:ind w:left="40"/>
              <w:spacing w:after="0"/>
              <w:rPr>
                <w:sz w:val="20"/>
                <w:szCs w:val="20"/>
                <w:color w:val="auto"/>
              </w:rPr>
            </w:pPr>
            <w:r>
              <w:rPr>
                <w:rFonts w:ascii="Arial" w:cs="Arial" w:eastAsia="Arial" w:hAnsi="Arial"/>
                <w:sz w:val="16"/>
                <w:szCs w:val="16"/>
                <w:color w:val="auto"/>
              </w:rPr>
              <w:t>No effect</w:t>
            </w:r>
          </w:p>
        </w:tc>
        <w:tc>
          <w:tcPr>
            <w:tcW w:w="1320" w:type="dxa"/>
            <w:vAlign w:val="bottom"/>
          </w:tcPr>
          <w:p>
            <w:pPr>
              <w:ind w:left="160"/>
              <w:spacing w:after="0"/>
              <w:rPr>
                <w:sz w:val="20"/>
                <w:szCs w:val="20"/>
                <w:color w:val="auto"/>
              </w:rPr>
            </w:pPr>
            <w:r>
              <w:rPr>
                <w:rFonts w:ascii="Arial" w:cs="Arial" w:eastAsia="Arial" w:hAnsi="Arial"/>
                <w:sz w:val="16"/>
                <w:szCs w:val="16"/>
                <w:color w:val="auto"/>
              </w:rPr>
              <w:t>No effect</w:t>
            </w:r>
          </w:p>
        </w:tc>
        <w:tc>
          <w:tcPr>
            <w:tcW w:w="1580" w:type="dxa"/>
            <w:vAlign w:val="bottom"/>
          </w:tcPr>
          <w:p>
            <w:pPr>
              <w:ind w:left="80"/>
              <w:spacing w:after="0"/>
              <w:rPr>
                <w:sz w:val="20"/>
                <w:szCs w:val="20"/>
                <w:color w:val="auto"/>
              </w:rPr>
            </w:pPr>
            <w:r>
              <w:rPr>
                <w:rFonts w:ascii="Arial" w:cs="Arial" w:eastAsia="Arial" w:hAnsi="Arial"/>
                <w:sz w:val="16"/>
                <w:szCs w:val="16"/>
                <w:color w:val="auto"/>
              </w:rPr>
              <w:t>Voted “FOR“</w:t>
            </w:r>
          </w:p>
        </w:tc>
        <w:tc>
          <w:tcPr>
            <w:tcW w:w="0" w:type="dxa"/>
            <w:vAlign w:val="bottom"/>
          </w:tcPr>
          <w:p>
            <w:pPr>
              <w:spacing w:after="0"/>
              <w:rPr>
                <w:sz w:val="1"/>
                <w:szCs w:val="1"/>
                <w:color w:val="auto"/>
              </w:rPr>
            </w:pPr>
          </w:p>
        </w:tc>
      </w:tr>
      <w:tr>
        <w:trPr>
          <w:trHeight w:val="189"/>
        </w:trPr>
        <w:tc>
          <w:tcPr>
            <w:tcW w:w="3840" w:type="dxa"/>
            <w:vAlign w:val="bottom"/>
          </w:tcPr>
          <w:p>
            <w:pPr>
              <w:ind w:left="20"/>
              <w:spacing w:after="0"/>
              <w:rPr>
                <w:sz w:val="20"/>
                <w:szCs w:val="20"/>
                <w:color w:val="auto"/>
              </w:rPr>
            </w:pPr>
            <w:r>
              <w:rPr>
                <w:rFonts w:ascii="Arial" w:cs="Arial" w:eastAsia="Arial" w:hAnsi="Arial"/>
                <w:sz w:val="16"/>
                <w:szCs w:val="16"/>
                <w:color w:val="auto"/>
              </w:rPr>
              <w:t>Officers</w:t>
            </w:r>
          </w:p>
        </w:tc>
        <w:tc>
          <w:tcPr>
            <w:tcW w:w="1500" w:type="dxa"/>
            <w:vAlign w:val="bottom"/>
          </w:tcPr>
          <w:p>
            <w:pPr>
              <w:spacing w:after="0"/>
              <w:rPr>
                <w:sz w:val="16"/>
                <w:szCs w:val="16"/>
                <w:color w:val="auto"/>
              </w:rPr>
            </w:pPr>
          </w:p>
        </w:tc>
        <w:tc>
          <w:tcPr>
            <w:tcW w:w="1740" w:type="dxa"/>
            <w:vAlign w:val="bottom"/>
          </w:tcPr>
          <w:p>
            <w:pPr>
              <w:ind w:left="360"/>
              <w:spacing w:after="0"/>
              <w:rPr>
                <w:sz w:val="20"/>
                <w:szCs w:val="20"/>
                <w:color w:val="auto"/>
              </w:rPr>
            </w:pPr>
            <w:r>
              <w:rPr>
                <w:rFonts w:ascii="Arial" w:cs="Arial" w:eastAsia="Arial" w:hAnsi="Arial"/>
                <w:sz w:val="16"/>
                <w:szCs w:val="16"/>
                <w:color w:val="auto"/>
              </w:rPr>
              <w:t>cast</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29378D"/>
              </w:rPr>
              <w:t>(Proposal 2)</w:t>
            </w:r>
          </w:p>
        </w:tc>
        <w:tc>
          <w:tcPr>
            <w:tcW w:w="1500" w:type="dxa"/>
            <w:vAlign w:val="bottom"/>
            <w:tcBorders>
              <w:bottom w:val="single" w:sz="8" w:color="BCBEC0"/>
            </w:tcBorders>
          </w:tcPr>
          <w:p>
            <w:pPr>
              <w:spacing w:after="0"/>
              <w:rPr>
                <w:sz w:val="19"/>
                <w:szCs w:val="19"/>
                <w:color w:val="auto"/>
              </w:rPr>
            </w:pPr>
          </w:p>
        </w:tc>
        <w:tc>
          <w:tcPr>
            <w:tcW w:w="1740" w:type="dxa"/>
            <w:vAlign w:val="bottom"/>
            <w:tcBorders>
              <w:bottom w:val="single" w:sz="8" w:color="BCBEC0"/>
            </w:tcBorders>
          </w:tcPr>
          <w:p>
            <w:pPr>
              <w:spacing w:after="0"/>
              <w:rPr>
                <w:sz w:val="19"/>
                <w:szCs w:val="19"/>
                <w:color w:val="auto"/>
              </w:rPr>
            </w:pPr>
          </w:p>
        </w:tc>
        <w:tc>
          <w:tcPr>
            <w:tcW w:w="1260" w:type="dxa"/>
            <w:vAlign w:val="bottom"/>
            <w:tcBorders>
              <w:bottom w:val="single" w:sz="8" w:color="BCBEC0"/>
            </w:tcBorders>
          </w:tcPr>
          <w:p>
            <w:pPr>
              <w:spacing w:after="0"/>
              <w:rPr>
                <w:sz w:val="19"/>
                <w:szCs w:val="19"/>
                <w:color w:val="auto"/>
              </w:rPr>
            </w:pPr>
          </w:p>
        </w:tc>
        <w:tc>
          <w:tcPr>
            <w:tcW w:w="1320" w:type="dxa"/>
            <w:vAlign w:val="bottom"/>
            <w:tcBorders>
              <w:bottom w:val="single" w:sz="8" w:color="BCBEC0"/>
            </w:tcBorders>
          </w:tcPr>
          <w:p>
            <w:pPr>
              <w:spacing w:after="0"/>
              <w:rPr>
                <w:sz w:val="19"/>
                <w:szCs w:val="19"/>
                <w:color w:val="auto"/>
              </w:rPr>
            </w:pPr>
          </w:p>
        </w:tc>
        <w:tc>
          <w:tcPr>
            <w:tcW w:w="158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840" w:type="dxa"/>
            <w:vAlign w:val="bottom"/>
          </w:tcPr>
          <w:p>
            <w:pPr>
              <w:ind w:left="20"/>
              <w:spacing w:after="0"/>
              <w:rPr>
                <w:sz w:val="20"/>
                <w:szCs w:val="20"/>
                <w:color w:val="auto"/>
              </w:rPr>
            </w:pPr>
            <w:r>
              <w:rPr>
                <w:rFonts w:ascii="Arial" w:cs="Arial" w:eastAsia="Arial" w:hAnsi="Arial"/>
                <w:sz w:val="16"/>
                <w:szCs w:val="16"/>
                <w:color w:val="auto"/>
              </w:rPr>
              <w:t>Ratification of Appointment of Independent Auditor</w:t>
            </w:r>
          </w:p>
        </w:tc>
        <w:tc>
          <w:tcPr>
            <w:tcW w:w="1500" w:type="dxa"/>
            <w:vAlign w:val="bottom"/>
          </w:tcPr>
          <w:p>
            <w:pPr>
              <w:ind w:left="60"/>
              <w:spacing w:after="0"/>
              <w:rPr>
                <w:sz w:val="20"/>
                <w:szCs w:val="20"/>
                <w:color w:val="auto"/>
              </w:rPr>
            </w:pPr>
            <w:r>
              <w:rPr>
                <w:rFonts w:ascii="Arial" w:cs="Arial" w:eastAsia="Arial" w:hAnsi="Arial"/>
                <w:sz w:val="16"/>
                <w:szCs w:val="16"/>
                <w:b w:val="1"/>
                <w:bCs w:val="1"/>
                <w:color w:val="29378D"/>
              </w:rPr>
              <w:t>FOR</w:t>
            </w:r>
          </w:p>
        </w:tc>
        <w:tc>
          <w:tcPr>
            <w:tcW w:w="1740" w:type="dxa"/>
            <w:vAlign w:val="bottom"/>
          </w:tcPr>
          <w:p>
            <w:pPr>
              <w:ind w:left="360"/>
              <w:spacing w:after="0"/>
              <w:rPr>
                <w:sz w:val="20"/>
                <w:szCs w:val="20"/>
                <w:color w:val="auto"/>
              </w:rPr>
            </w:pPr>
            <w:r>
              <w:rPr>
                <w:rFonts w:ascii="Arial" w:cs="Arial" w:eastAsia="Arial" w:hAnsi="Arial"/>
                <w:sz w:val="16"/>
                <w:szCs w:val="16"/>
                <w:color w:val="auto"/>
              </w:rPr>
              <w:t>Majority of votes</w:t>
            </w:r>
          </w:p>
        </w:tc>
        <w:tc>
          <w:tcPr>
            <w:tcW w:w="1260" w:type="dxa"/>
            <w:vAlign w:val="bottom"/>
          </w:tcPr>
          <w:p>
            <w:pPr>
              <w:ind w:left="40"/>
              <w:spacing w:after="0"/>
              <w:rPr>
                <w:sz w:val="20"/>
                <w:szCs w:val="20"/>
                <w:color w:val="auto"/>
              </w:rPr>
            </w:pPr>
            <w:r>
              <w:rPr>
                <w:rFonts w:ascii="Arial" w:cs="Arial" w:eastAsia="Arial" w:hAnsi="Arial"/>
                <w:sz w:val="16"/>
                <w:szCs w:val="16"/>
                <w:color w:val="auto"/>
              </w:rPr>
              <w:t>No effect</w:t>
            </w:r>
          </w:p>
        </w:tc>
        <w:tc>
          <w:tcPr>
            <w:tcW w:w="1320" w:type="dxa"/>
            <w:vAlign w:val="bottom"/>
          </w:tcPr>
          <w:p>
            <w:pPr>
              <w:ind w:left="160"/>
              <w:spacing w:after="0"/>
              <w:rPr>
                <w:sz w:val="20"/>
                <w:szCs w:val="20"/>
                <w:color w:val="auto"/>
              </w:rPr>
            </w:pPr>
            <w:r>
              <w:rPr>
                <w:rFonts w:ascii="Arial" w:cs="Arial" w:eastAsia="Arial" w:hAnsi="Arial"/>
                <w:sz w:val="16"/>
                <w:szCs w:val="16"/>
                <w:color w:val="auto"/>
              </w:rPr>
              <w:t>Brokers have</w:t>
            </w:r>
          </w:p>
        </w:tc>
        <w:tc>
          <w:tcPr>
            <w:tcW w:w="1580" w:type="dxa"/>
            <w:vAlign w:val="bottom"/>
          </w:tcPr>
          <w:p>
            <w:pPr>
              <w:ind w:left="80"/>
              <w:spacing w:after="0"/>
              <w:rPr>
                <w:sz w:val="20"/>
                <w:szCs w:val="20"/>
                <w:color w:val="auto"/>
              </w:rPr>
            </w:pPr>
            <w:r>
              <w:rPr>
                <w:rFonts w:ascii="Arial" w:cs="Arial" w:eastAsia="Arial" w:hAnsi="Arial"/>
                <w:sz w:val="16"/>
                <w:szCs w:val="16"/>
                <w:color w:val="auto"/>
              </w:rPr>
              <w:t>Voted “FOR“</w:t>
            </w: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Arial" w:cs="Arial" w:eastAsia="Arial" w:hAnsi="Arial"/>
                <w:sz w:val="16"/>
                <w:szCs w:val="16"/>
                <w:b w:val="1"/>
                <w:bCs w:val="1"/>
                <w:color w:val="29378D"/>
              </w:rPr>
              <w:t>(Proposal 3)</w:t>
            </w:r>
          </w:p>
        </w:tc>
        <w:tc>
          <w:tcPr>
            <w:tcW w:w="1500" w:type="dxa"/>
            <w:vAlign w:val="bottom"/>
          </w:tcPr>
          <w:p>
            <w:pPr>
              <w:spacing w:after="0"/>
              <w:rPr>
                <w:sz w:val="16"/>
                <w:szCs w:val="16"/>
                <w:color w:val="auto"/>
              </w:rPr>
            </w:pPr>
          </w:p>
        </w:tc>
        <w:tc>
          <w:tcPr>
            <w:tcW w:w="1740" w:type="dxa"/>
            <w:vAlign w:val="bottom"/>
          </w:tcPr>
          <w:p>
            <w:pPr>
              <w:ind w:left="360"/>
              <w:spacing w:after="0"/>
              <w:rPr>
                <w:sz w:val="20"/>
                <w:szCs w:val="20"/>
                <w:color w:val="auto"/>
              </w:rPr>
            </w:pPr>
            <w:r>
              <w:rPr>
                <w:rFonts w:ascii="Arial" w:cs="Arial" w:eastAsia="Arial" w:hAnsi="Arial"/>
                <w:sz w:val="16"/>
                <w:szCs w:val="16"/>
                <w:color w:val="auto"/>
              </w:rPr>
              <w:t>cast</w:t>
            </w:r>
          </w:p>
        </w:tc>
        <w:tc>
          <w:tcPr>
            <w:tcW w:w="1260" w:type="dxa"/>
            <w:vAlign w:val="bottom"/>
          </w:tcPr>
          <w:p>
            <w:pPr>
              <w:spacing w:after="0"/>
              <w:rPr>
                <w:sz w:val="16"/>
                <w:szCs w:val="16"/>
                <w:color w:val="auto"/>
              </w:rPr>
            </w:pPr>
          </w:p>
        </w:tc>
        <w:tc>
          <w:tcPr>
            <w:tcW w:w="1320" w:type="dxa"/>
            <w:vAlign w:val="bottom"/>
          </w:tcPr>
          <w:p>
            <w:pPr>
              <w:ind w:left="160"/>
              <w:spacing w:after="0"/>
              <w:rPr>
                <w:sz w:val="20"/>
                <w:szCs w:val="20"/>
                <w:color w:val="auto"/>
              </w:rPr>
            </w:pPr>
            <w:r>
              <w:rPr>
                <w:rFonts w:ascii="Arial" w:cs="Arial" w:eastAsia="Arial" w:hAnsi="Arial"/>
                <w:sz w:val="16"/>
                <w:szCs w:val="16"/>
                <w:color w:val="auto"/>
              </w:rPr>
              <w:t>discretion to</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BCBEC0"/>
            </w:tcBorders>
          </w:tcPr>
          <w:p>
            <w:pPr>
              <w:spacing w:after="0"/>
              <w:rPr>
                <w:sz w:val="19"/>
                <w:szCs w:val="19"/>
                <w:color w:val="auto"/>
              </w:rPr>
            </w:pPr>
          </w:p>
        </w:tc>
        <w:tc>
          <w:tcPr>
            <w:tcW w:w="1500" w:type="dxa"/>
            <w:vAlign w:val="bottom"/>
            <w:tcBorders>
              <w:bottom w:val="single" w:sz="8" w:color="BCBEC0"/>
            </w:tcBorders>
          </w:tcPr>
          <w:p>
            <w:pPr>
              <w:spacing w:after="0"/>
              <w:rPr>
                <w:sz w:val="19"/>
                <w:szCs w:val="19"/>
                <w:color w:val="auto"/>
              </w:rPr>
            </w:pPr>
          </w:p>
        </w:tc>
        <w:tc>
          <w:tcPr>
            <w:tcW w:w="1740" w:type="dxa"/>
            <w:vAlign w:val="bottom"/>
            <w:tcBorders>
              <w:bottom w:val="single" w:sz="8" w:color="BCBEC0"/>
            </w:tcBorders>
          </w:tcPr>
          <w:p>
            <w:pPr>
              <w:spacing w:after="0"/>
              <w:rPr>
                <w:sz w:val="19"/>
                <w:szCs w:val="19"/>
                <w:color w:val="auto"/>
              </w:rPr>
            </w:pPr>
          </w:p>
        </w:tc>
        <w:tc>
          <w:tcPr>
            <w:tcW w:w="1260" w:type="dxa"/>
            <w:vAlign w:val="bottom"/>
            <w:tcBorders>
              <w:bottom w:val="single" w:sz="8" w:color="BCBEC0"/>
            </w:tcBorders>
          </w:tcPr>
          <w:p>
            <w:pPr>
              <w:spacing w:after="0"/>
              <w:rPr>
                <w:sz w:val="19"/>
                <w:szCs w:val="19"/>
                <w:color w:val="auto"/>
              </w:rPr>
            </w:pPr>
          </w:p>
        </w:tc>
        <w:tc>
          <w:tcPr>
            <w:tcW w:w="1320" w:type="dxa"/>
            <w:vAlign w:val="bottom"/>
            <w:tcBorders>
              <w:bottom w:val="single" w:sz="8" w:color="BCBEC0"/>
            </w:tcBorders>
          </w:tcPr>
          <w:p>
            <w:pPr>
              <w:ind w:left="160"/>
              <w:spacing w:after="0"/>
              <w:rPr>
                <w:sz w:val="20"/>
                <w:szCs w:val="20"/>
                <w:color w:val="auto"/>
              </w:rPr>
            </w:pPr>
            <w:r>
              <w:rPr>
                <w:rFonts w:ascii="Arial" w:cs="Arial" w:eastAsia="Arial" w:hAnsi="Arial"/>
                <w:sz w:val="16"/>
                <w:szCs w:val="16"/>
                <w:color w:val="auto"/>
              </w:rPr>
              <w:t>vote</w:t>
            </w:r>
          </w:p>
        </w:tc>
        <w:tc>
          <w:tcPr>
            <w:tcW w:w="158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840" w:type="dxa"/>
            <w:vAlign w:val="bottom"/>
          </w:tcPr>
          <w:p>
            <w:pPr>
              <w:ind w:left="20"/>
              <w:spacing w:after="0"/>
              <w:rPr>
                <w:sz w:val="20"/>
                <w:szCs w:val="20"/>
                <w:color w:val="auto"/>
              </w:rPr>
            </w:pPr>
            <w:r>
              <w:rPr>
                <w:rFonts w:ascii="Arial" w:cs="Arial" w:eastAsia="Arial" w:hAnsi="Arial"/>
                <w:sz w:val="16"/>
                <w:szCs w:val="16"/>
                <w:color w:val="auto"/>
              </w:rPr>
              <w:t>Elimination of Personal Liability of Officers for</w:t>
            </w:r>
          </w:p>
        </w:tc>
        <w:tc>
          <w:tcPr>
            <w:tcW w:w="1500" w:type="dxa"/>
            <w:vAlign w:val="bottom"/>
          </w:tcPr>
          <w:p>
            <w:pPr>
              <w:ind w:left="60"/>
              <w:spacing w:after="0"/>
              <w:rPr>
                <w:sz w:val="20"/>
                <w:szCs w:val="20"/>
                <w:color w:val="auto"/>
              </w:rPr>
            </w:pPr>
            <w:r>
              <w:rPr>
                <w:rFonts w:ascii="Arial" w:cs="Arial" w:eastAsia="Arial" w:hAnsi="Arial"/>
                <w:sz w:val="16"/>
                <w:szCs w:val="16"/>
                <w:b w:val="1"/>
                <w:bCs w:val="1"/>
                <w:color w:val="29378D"/>
              </w:rPr>
              <w:t>FOR</w:t>
            </w:r>
          </w:p>
        </w:tc>
        <w:tc>
          <w:tcPr>
            <w:tcW w:w="1740" w:type="dxa"/>
            <w:vAlign w:val="bottom"/>
          </w:tcPr>
          <w:p>
            <w:pPr>
              <w:ind w:left="360"/>
              <w:spacing w:after="0"/>
              <w:rPr>
                <w:sz w:val="20"/>
                <w:szCs w:val="20"/>
                <w:color w:val="auto"/>
              </w:rPr>
            </w:pPr>
            <w:r>
              <w:rPr>
                <w:rFonts w:ascii="Arial" w:cs="Arial" w:eastAsia="Arial" w:hAnsi="Arial"/>
                <w:sz w:val="16"/>
                <w:szCs w:val="16"/>
                <w:color w:val="auto"/>
              </w:rPr>
              <w:t>Majority of voting</w:t>
            </w:r>
          </w:p>
        </w:tc>
        <w:tc>
          <w:tcPr>
            <w:tcW w:w="1260" w:type="dxa"/>
            <w:vAlign w:val="bottom"/>
          </w:tcPr>
          <w:p>
            <w:pPr>
              <w:ind w:left="40"/>
              <w:spacing w:after="0"/>
              <w:rPr>
                <w:sz w:val="20"/>
                <w:szCs w:val="20"/>
                <w:color w:val="auto"/>
              </w:rPr>
            </w:pPr>
            <w:r>
              <w:rPr>
                <w:rFonts w:ascii="Arial" w:cs="Arial" w:eastAsia="Arial" w:hAnsi="Arial"/>
                <w:sz w:val="16"/>
                <w:szCs w:val="16"/>
                <w:color w:val="auto"/>
              </w:rPr>
              <w:t>Effect of voting</w:t>
            </w:r>
          </w:p>
        </w:tc>
        <w:tc>
          <w:tcPr>
            <w:tcW w:w="1320" w:type="dxa"/>
            <w:vAlign w:val="bottom"/>
          </w:tcPr>
          <w:p>
            <w:pPr>
              <w:ind w:left="160"/>
              <w:spacing w:after="0"/>
              <w:rPr>
                <w:sz w:val="20"/>
                <w:szCs w:val="20"/>
                <w:color w:val="auto"/>
              </w:rPr>
            </w:pPr>
            <w:r>
              <w:rPr>
                <w:rFonts w:ascii="Arial" w:cs="Arial" w:eastAsia="Arial" w:hAnsi="Arial"/>
                <w:sz w:val="16"/>
                <w:szCs w:val="16"/>
                <w:color w:val="auto"/>
              </w:rPr>
              <w:t>Effect of voting</w:t>
            </w:r>
          </w:p>
        </w:tc>
        <w:tc>
          <w:tcPr>
            <w:tcW w:w="1580" w:type="dxa"/>
            <w:vAlign w:val="bottom"/>
          </w:tcPr>
          <w:p>
            <w:pPr>
              <w:ind w:left="80"/>
              <w:spacing w:after="0"/>
              <w:rPr>
                <w:sz w:val="20"/>
                <w:szCs w:val="20"/>
                <w:color w:val="auto"/>
              </w:rPr>
            </w:pPr>
            <w:r>
              <w:rPr>
                <w:rFonts w:ascii="Arial" w:cs="Arial" w:eastAsia="Arial" w:hAnsi="Arial"/>
                <w:sz w:val="16"/>
                <w:szCs w:val="16"/>
                <w:color w:val="auto"/>
              </w:rPr>
              <w:t>Voted “FOR“</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6"/>
                <w:szCs w:val="16"/>
                <w:color w:val="auto"/>
              </w:rPr>
              <w:t>Monetary Damages for Breach of Certain Fiduciary</w:t>
            </w:r>
          </w:p>
        </w:tc>
        <w:tc>
          <w:tcPr>
            <w:tcW w:w="1500" w:type="dxa"/>
            <w:vAlign w:val="bottom"/>
          </w:tcPr>
          <w:p>
            <w:pPr>
              <w:spacing w:after="0"/>
              <w:rPr>
                <w:sz w:val="18"/>
                <w:szCs w:val="18"/>
                <w:color w:val="auto"/>
              </w:rPr>
            </w:pPr>
          </w:p>
        </w:tc>
        <w:tc>
          <w:tcPr>
            <w:tcW w:w="1740" w:type="dxa"/>
            <w:vAlign w:val="bottom"/>
          </w:tcPr>
          <w:p>
            <w:pPr>
              <w:ind w:left="360"/>
              <w:spacing w:after="0"/>
              <w:rPr>
                <w:sz w:val="20"/>
                <w:szCs w:val="20"/>
                <w:color w:val="auto"/>
              </w:rPr>
            </w:pPr>
            <w:r>
              <w:rPr>
                <w:rFonts w:ascii="Arial" w:cs="Arial" w:eastAsia="Arial" w:hAnsi="Arial"/>
                <w:sz w:val="16"/>
                <w:szCs w:val="16"/>
                <w:color w:val="auto"/>
              </w:rPr>
              <w:t>power of</w:t>
            </w:r>
          </w:p>
        </w:tc>
        <w:tc>
          <w:tcPr>
            <w:tcW w:w="1260" w:type="dxa"/>
            <w:vAlign w:val="bottom"/>
          </w:tcPr>
          <w:p>
            <w:pPr>
              <w:ind w:left="40"/>
              <w:spacing w:after="0"/>
              <w:rPr>
                <w:sz w:val="20"/>
                <w:szCs w:val="20"/>
                <w:color w:val="auto"/>
              </w:rPr>
            </w:pPr>
            <w:r>
              <w:rPr>
                <w:rFonts w:ascii="Arial" w:cs="Arial" w:eastAsia="Arial" w:hAnsi="Arial"/>
                <w:sz w:val="16"/>
                <w:szCs w:val="16"/>
                <w:color w:val="auto"/>
              </w:rPr>
              <w:t>"AGAINST"</w:t>
            </w:r>
          </w:p>
        </w:tc>
        <w:tc>
          <w:tcPr>
            <w:tcW w:w="1320" w:type="dxa"/>
            <w:vAlign w:val="bottom"/>
          </w:tcPr>
          <w:p>
            <w:pPr>
              <w:ind w:left="160"/>
              <w:spacing w:after="0"/>
              <w:rPr>
                <w:sz w:val="20"/>
                <w:szCs w:val="20"/>
                <w:color w:val="auto"/>
              </w:rPr>
            </w:pPr>
            <w:r>
              <w:rPr>
                <w:rFonts w:ascii="Arial" w:cs="Arial" w:eastAsia="Arial" w:hAnsi="Arial"/>
                <w:sz w:val="16"/>
                <w:szCs w:val="16"/>
                <w:color w:val="auto"/>
              </w:rPr>
              <w:t>"AGAINST"</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rPr>
                <w:sz w:val="20"/>
                <w:szCs w:val="20"/>
                <w:color w:val="auto"/>
              </w:rPr>
            </w:pPr>
            <w:r>
              <w:rPr>
                <w:rFonts w:ascii="Arial" w:cs="Arial" w:eastAsia="Arial" w:hAnsi="Arial"/>
                <w:sz w:val="16"/>
                <w:szCs w:val="16"/>
                <w:color w:val="auto"/>
              </w:rPr>
              <w:t>Duties as Permitted by Delaware Law</w:t>
            </w:r>
          </w:p>
        </w:tc>
        <w:tc>
          <w:tcPr>
            <w:tcW w:w="1500" w:type="dxa"/>
            <w:vAlign w:val="bottom"/>
          </w:tcPr>
          <w:p>
            <w:pPr>
              <w:spacing w:after="0"/>
              <w:rPr>
                <w:sz w:val="17"/>
                <w:szCs w:val="17"/>
                <w:color w:val="auto"/>
              </w:rPr>
            </w:pPr>
          </w:p>
        </w:tc>
        <w:tc>
          <w:tcPr>
            <w:tcW w:w="1740" w:type="dxa"/>
            <w:vAlign w:val="bottom"/>
          </w:tcPr>
          <w:p>
            <w:pPr>
              <w:ind w:left="360"/>
              <w:spacing w:after="0"/>
              <w:rPr>
                <w:sz w:val="20"/>
                <w:szCs w:val="20"/>
                <w:color w:val="auto"/>
              </w:rPr>
            </w:pPr>
            <w:r>
              <w:rPr>
                <w:rFonts w:ascii="Arial" w:cs="Arial" w:eastAsia="Arial" w:hAnsi="Arial"/>
                <w:sz w:val="16"/>
                <w:szCs w:val="16"/>
                <w:color w:val="auto"/>
              </w:rPr>
              <w:t>outstanding</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20"/>
              <w:spacing w:after="0"/>
              <w:rPr>
                <w:sz w:val="20"/>
                <w:szCs w:val="20"/>
                <w:color w:val="auto"/>
              </w:rPr>
            </w:pPr>
            <w:r>
              <w:rPr>
                <w:rFonts w:ascii="Arial" w:cs="Arial" w:eastAsia="Arial" w:hAnsi="Arial"/>
                <w:sz w:val="16"/>
                <w:szCs w:val="16"/>
                <w:b w:val="1"/>
                <w:bCs w:val="1"/>
                <w:color w:val="29378D"/>
              </w:rPr>
              <w:t>(Proposal 4)</w:t>
            </w:r>
          </w:p>
        </w:tc>
        <w:tc>
          <w:tcPr>
            <w:tcW w:w="1500" w:type="dxa"/>
            <w:vAlign w:val="bottom"/>
          </w:tcPr>
          <w:p>
            <w:pPr>
              <w:spacing w:after="0"/>
              <w:rPr>
                <w:sz w:val="16"/>
                <w:szCs w:val="16"/>
                <w:color w:val="auto"/>
              </w:rPr>
            </w:pPr>
          </w:p>
        </w:tc>
        <w:tc>
          <w:tcPr>
            <w:tcW w:w="1740" w:type="dxa"/>
            <w:vAlign w:val="bottom"/>
          </w:tcPr>
          <w:p>
            <w:pPr>
              <w:ind w:left="360"/>
              <w:spacing w:after="0"/>
              <w:rPr>
                <w:sz w:val="20"/>
                <w:szCs w:val="20"/>
                <w:color w:val="auto"/>
              </w:rPr>
            </w:pPr>
            <w:r>
              <w:rPr>
                <w:rFonts w:ascii="Arial" w:cs="Arial" w:eastAsia="Arial" w:hAnsi="Arial"/>
                <w:sz w:val="16"/>
                <w:szCs w:val="16"/>
                <w:color w:val="auto"/>
              </w:rPr>
              <w:t>shares of common</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40" w:type="dxa"/>
            <w:vAlign w:val="bottom"/>
            <w:tcBorders>
              <w:bottom w:val="single" w:sz="8" w:color="BCBEC0"/>
            </w:tcBorders>
          </w:tcPr>
          <w:p>
            <w:pPr>
              <w:spacing w:after="0"/>
              <w:rPr>
                <w:sz w:val="19"/>
                <w:szCs w:val="19"/>
                <w:color w:val="auto"/>
              </w:rPr>
            </w:pPr>
          </w:p>
        </w:tc>
        <w:tc>
          <w:tcPr>
            <w:tcW w:w="1500" w:type="dxa"/>
            <w:vAlign w:val="bottom"/>
            <w:tcBorders>
              <w:bottom w:val="single" w:sz="8" w:color="BCBEC0"/>
            </w:tcBorders>
          </w:tcPr>
          <w:p>
            <w:pPr>
              <w:spacing w:after="0"/>
              <w:rPr>
                <w:sz w:val="19"/>
                <w:szCs w:val="19"/>
                <w:color w:val="auto"/>
              </w:rPr>
            </w:pPr>
          </w:p>
        </w:tc>
        <w:tc>
          <w:tcPr>
            <w:tcW w:w="1740" w:type="dxa"/>
            <w:vAlign w:val="bottom"/>
            <w:tcBorders>
              <w:bottom w:val="single" w:sz="8" w:color="BCBEC0"/>
            </w:tcBorders>
          </w:tcPr>
          <w:p>
            <w:pPr>
              <w:ind w:left="360"/>
              <w:spacing w:after="0"/>
              <w:rPr>
                <w:sz w:val="20"/>
                <w:szCs w:val="20"/>
                <w:color w:val="auto"/>
              </w:rPr>
            </w:pPr>
            <w:r>
              <w:rPr>
                <w:rFonts w:ascii="Arial" w:cs="Arial" w:eastAsia="Arial" w:hAnsi="Arial"/>
                <w:sz w:val="16"/>
                <w:szCs w:val="16"/>
                <w:color w:val="auto"/>
              </w:rPr>
              <w:t>stock</w:t>
            </w:r>
          </w:p>
        </w:tc>
        <w:tc>
          <w:tcPr>
            <w:tcW w:w="1260" w:type="dxa"/>
            <w:vAlign w:val="bottom"/>
            <w:tcBorders>
              <w:bottom w:val="single" w:sz="8" w:color="BCBEC0"/>
            </w:tcBorders>
          </w:tcPr>
          <w:p>
            <w:pPr>
              <w:spacing w:after="0"/>
              <w:rPr>
                <w:sz w:val="19"/>
                <w:szCs w:val="19"/>
                <w:color w:val="auto"/>
              </w:rPr>
            </w:pPr>
          </w:p>
        </w:tc>
        <w:tc>
          <w:tcPr>
            <w:tcW w:w="1320" w:type="dxa"/>
            <w:vAlign w:val="bottom"/>
            <w:tcBorders>
              <w:bottom w:val="single" w:sz="8" w:color="BCBEC0"/>
            </w:tcBorders>
          </w:tcPr>
          <w:p>
            <w:pPr>
              <w:spacing w:after="0"/>
              <w:rPr>
                <w:sz w:val="19"/>
                <w:szCs w:val="19"/>
                <w:color w:val="auto"/>
              </w:rPr>
            </w:pPr>
          </w:p>
        </w:tc>
        <w:tc>
          <w:tcPr>
            <w:tcW w:w="158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40" w:type="dxa"/>
            <w:vAlign w:val="bottom"/>
          </w:tcPr>
          <w:p>
            <w:pPr>
              <w:ind w:left="20"/>
              <w:spacing w:after="0"/>
              <w:rPr>
                <w:sz w:val="20"/>
                <w:szCs w:val="20"/>
                <w:color w:val="auto"/>
              </w:rPr>
            </w:pPr>
            <w:r>
              <w:rPr>
                <w:rFonts w:ascii="Arial" w:cs="Arial" w:eastAsia="Arial" w:hAnsi="Arial"/>
                <w:sz w:val="16"/>
                <w:szCs w:val="16"/>
                <w:color w:val="auto"/>
              </w:rPr>
              <w:t>Approval of 2024 Long-Term Incentive Stock Plan</w:t>
            </w:r>
          </w:p>
        </w:tc>
        <w:tc>
          <w:tcPr>
            <w:tcW w:w="1500" w:type="dxa"/>
            <w:vAlign w:val="bottom"/>
          </w:tcPr>
          <w:p>
            <w:pPr>
              <w:ind w:left="60"/>
              <w:spacing w:after="0"/>
              <w:rPr>
                <w:sz w:val="20"/>
                <w:szCs w:val="20"/>
                <w:color w:val="auto"/>
              </w:rPr>
            </w:pPr>
            <w:r>
              <w:rPr>
                <w:rFonts w:ascii="Arial" w:cs="Arial" w:eastAsia="Arial" w:hAnsi="Arial"/>
                <w:sz w:val="16"/>
                <w:szCs w:val="16"/>
                <w:b w:val="1"/>
                <w:bCs w:val="1"/>
                <w:color w:val="29378D"/>
              </w:rPr>
              <w:t>FOR</w:t>
            </w:r>
          </w:p>
        </w:tc>
        <w:tc>
          <w:tcPr>
            <w:tcW w:w="1740" w:type="dxa"/>
            <w:vAlign w:val="bottom"/>
          </w:tcPr>
          <w:p>
            <w:pPr>
              <w:ind w:left="360"/>
              <w:spacing w:after="0"/>
              <w:rPr>
                <w:sz w:val="20"/>
                <w:szCs w:val="20"/>
                <w:color w:val="auto"/>
              </w:rPr>
            </w:pPr>
            <w:r>
              <w:rPr>
                <w:rFonts w:ascii="Arial" w:cs="Arial" w:eastAsia="Arial" w:hAnsi="Arial"/>
                <w:sz w:val="16"/>
                <w:szCs w:val="16"/>
                <w:color w:val="auto"/>
              </w:rPr>
              <w:t>Majority of votes</w:t>
            </w:r>
          </w:p>
        </w:tc>
        <w:tc>
          <w:tcPr>
            <w:tcW w:w="1260" w:type="dxa"/>
            <w:vAlign w:val="bottom"/>
          </w:tcPr>
          <w:p>
            <w:pPr>
              <w:ind w:left="40"/>
              <w:spacing w:after="0"/>
              <w:rPr>
                <w:sz w:val="20"/>
                <w:szCs w:val="20"/>
                <w:color w:val="auto"/>
              </w:rPr>
            </w:pPr>
            <w:r>
              <w:rPr>
                <w:rFonts w:ascii="Arial" w:cs="Arial" w:eastAsia="Arial" w:hAnsi="Arial"/>
                <w:sz w:val="16"/>
                <w:szCs w:val="16"/>
                <w:color w:val="auto"/>
              </w:rPr>
              <w:t>No effect</w:t>
            </w:r>
          </w:p>
        </w:tc>
        <w:tc>
          <w:tcPr>
            <w:tcW w:w="1320" w:type="dxa"/>
            <w:vAlign w:val="bottom"/>
          </w:tcPr>
          <w:p>
            <w:pPr>
              <w:ind w:left="160"/>
              <w:spacing w:after="0"/>
              <w:rPr>
                <w:sz w:val="20"/>
                <w:szCs w:val="20"/>
                <w:color w:val="auto"/>
              </w:rPr>
            </w:pPr>
            <w:r>
              <w:rPr>
                <w:rFonts w:ascii="Arial" w:cs="Arial" w:eastAsia="Arial" w:hAnsi="Arial"/>
                <w:sz w:val="16"/>
                <w:szCs w:val="16"/>
                <w:color w:val="auto"/>
              </w:rPr>
              <w:t>No effect</w:t>
            </w:r>
          </w:p>
        </w:tc>
        <w:tc>
          <w:tcPr>
            <w:tcW w:w="1580" w:type="dxa"/>
            <w:vAlign w:val="bottom"/>
          </w:tcPr>
          <w:p>
            <w:pPr>
              <w:ind w:left="80"/>
              <w:spacing w:after="0"/>
              <w:rPr>
                <w:sz w:val="20"/>
                <w:szCs w:val="20"/>
                <w:color w:val="auto"/>
              </w:rPr>
            </w:pPr>
            <w:r>
              <w:rPr>
                <w:rFonts w:ascii="Arial" w:cs="Arial" w:eastAsia="Arial" w:hAnsi="Arial"/>
                <w:sz w:val="16"/>
                <w:szCs w:val="16"/>
                <w:color w:val="auto"/>
              </w:rPr>
              <w:t>Voted “FOR“</w:t>
            </w:r>
          </w:p>
        </w:tc>
        <w:tc>
          <w:tcPr>
            <w:tcW w:w="0" w:type="dxa"/>
            <w:vAlign w:val="bottom"/>
          </w:tcPr>
          <w:p>
            <w:pPr>
              <w:spacing w:after="0"/>
              <w:rPr>
                <w:sz w:val="1"/>
                <w:szCs w:val="1"/>
                <w:color w:val="auto"/>
              </w:rPr>
            </w:pPr>
          </w:p>
        </w:tc>
      </w:tr>
      <w:tr>
        <w:trPr>
          <w:trHeight w:val="226"/>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29378D"/>
              </w:rPr>
              <w:t>(Proposal 5)</w:t>
            </w:r>
          </w:p>
        </w:tc>
        <w:tc>
          <w:tcPr>
            <w:tcW w:w="1500" w:type="dxa"/>
            <w:vAlign w:val="bottom"/>
            <w:tcBorders>
              <w:bottom w:val="single" w:sz="8" w:color="BCBEC0"/>
            </w:tcBorders>
          </w:tcPr>
          <w:p>
            <w:pPr>
              <w:spacing w:after="0"/>
              <w:rPr>
                <w:sz w:val="19"/>
                <w:szCs w:val="19"/>
                <w:color w:val="auto"/>
              </w:rPr>
            </w:pPr>
          </w:p>
        </w:tc>
        <w:tc>
          <w:tcPr>
            <w:tcW w:w="1740" w:type="dxa"/>
            <w:vAlign w:val="bottom"/>
            <w:tcBorders>
              <w:bottom w:val="single" w:sz="8" w:color="BCBEC0"/>
            </w:tcBorders>
          </w:tcPr>
          <w:p>
            <w:pPr>
              <w:ind w:left="360"/>
              <w:spacing w:after="0"/>
              <w:rPr>
                <w:sz w:val="20"/>
                <w:szCs w:val="20"/>
                <w:color w:val="auto"/>
              </w:rPr>
            </w:pPr>
            <w:r>
              <w:rPr>
                <w:rFonts w:ascii="Arial" w:cs="Arial" w:eastAsia="Arial" w:hAnsi="Arial"/>
                <w:sz w:val="16"/>
                <w:szCs w:val="16"/>
                <w:color w:val="auto"/>
              </w:rPr>
              <w:t>cast</w:t>
            </w:r>
          </w:p>
        </w:tc>
        <w:tc>
          <w:tcPr>
            <w:tcW w:w="1260" w:type="dxa"/>
            <w:vAlign w:val="bottom"/>
            <w:tcBorders>
              <w:bottom w:val="single" w:sz="8" w:color="BCBEC0"/>
            </w:tcBorders>
          </w:tcPr>
          <w:p>
            <w:pPr>
              <w:spacing w:after="0"/>
              <w:rPr>
                <w:sz w:val="19"/>
                <w:szCs w:val="19"/>
                <w:color w:val="auto"/>
              </w:rPr>
            </w:pPr>
          </w:p>
        </w:tc>
        <w:tc>
          <w:tcPr>
            <w:tcW w:w="1320" w:type="dxa"/>
            <w:vAlign w:val="bottom"/>
            <w:tcBorders>
              <w:bottom w:val="single" w:sz="8" w:color="BCBEC0"/>
            </w:tcBorders>
          </w:tcPr>
          <w:p>
            <w:pPr>
              <w:spacing w:after="0"/>
              <w:rPr>
                <w:sz w:val="19"/>
                <w:szCs w:val="19"/>
                <w:color w:val="auto"/>
              </w:rPr>
            </w:pPr>
          </w:p>
        </w:tc>
        <w:tc>
          <w:tcPr>
            <w:tcW w:w="158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0"/>
              <w:spacing w:after="0"/>
              <w:rPr>
                <w:sz w:val="20"/>
                <w:szCs w:val="20"/>
                <w:color w:val="auto"/>
              </w:rPr>
            </w:pPr>
            <w:r>
              <w:rPr>
                <w:rFonts w:ascii="Arial" w:cs="Arial" w:eastAsia="Arial" w:hAnsi="Arial"/>
                <w:sz w:val="16"/>
                <w:szCs w:val="16"/>
                <w:color w:val="auto"/>
              </w:rPr>
              <w:t>Shareholder Proposal to Annually Conduct an</w:t>
            </w:r>
          </w:p>
        </w:tc>
        <w:tc>
          <w:tcPr>
            <w:tcW w:w="1500" w:type="dxa"/>
            <w:vAlign w:val="bottom"/>
          </w:tcPr>
          <w:p>
            <w:pPr>
              <w:ind w:left="60"/>
              <w:spacing w:after="0"/>
              <w:rPr>
                <w:sz w:val="20"/>
                <w:szCs w:val="20"/>
                <w:color w:val="auto"/>
              </w:rPr>
            </w:pPr>
            <w:r>
              <w:rPr>
                <w:rFonts w:ascii="Arial" w:cs="Arial" w:eastAsia="Arial" w:hAnsi="Arial"/>
                <w:sz w:val="16"/>
                <w:szCs w:val="16"/>
                <w:b w:val="1"/>
                <w:bCs w:val="1"/>
                <w:color w:val="29378D"/>
              </w:rPr>
              <w:t>AGAINST</w:t>
            </w:r>
          </w:p>
        </w:tc>
        <w:tc>
          <w:tcPr>
            <w:tcW w:w="1740" w:type="dxa"/>
            <w:vAlign w:val="bottom"/>
          </w:tcPr>
          <w:p>
            <w:pPr>
              <w:ind w:left="360"/>
              <w:spacing w:after="0"/>
              <w:rPr>
                <w:sz w:val="20"/>
                <w:szCs w:val="20"/>
                <w:color w:val="auto"/>
              </w:rPr>
            </w:pPr>
            <w:r>
              <w:rPr>
                <w:rFonts w:ascii="Arial" w:cs="Arial" w:eastAsia="Arial" w:hAnsi="Arial"/>
                <w:sz w:val="16"/>
                <w:szCs w:val="16"/>
                <w:color w:val="auto"/>
              </w:rPr>
              <w:t>Majority of votes</w:t>
            </w:r>
          </w:p>
        </w:tc>
        <w:tc>
          <w:tcPr>
            <w:tcW w:w="1260" w:type="dxa"/>
            <w:vAlign w:val="bottom"/>
          </w:tcPr>
          <w:p>
            <w:pPr>
              <w:ind w:left="40"/>
              <w:spacing w:after="0"/>
              <w:rPr>
                <w:sz w:val="20"/>
                <w:szCs w:val="20"/>
                <w:color w:val="auto"/>
              </w:rPr>
            </w:pPr>
            <w:r>
              <w:rPr>
                <w:rFonts w:ascii="Arial" w:cs="Arial" w:eastAsia="Arial" w:hAnsi="Arial"/>
                <w:sz w:val="16"/>
                <w:szCs w:val="16"/>
                <w:color w:val="auto"/>
              </w:rPr>
              <w:t>No effect</w:t>
            </w:r>
          </w:p>
        </w:tc>
        <w:tc>
          <w:tcPr>
            <w:tcW w:w="1320" w:type="dxa"/>
            <w:vAlign w:val="bottom"/>
          </w:tcPr>
          <w:p>
            <w:pPr>
              <w:ind w:left="160"/>
              <w:spacing w:after="0"/>
              <w:rPr>
                <w:sz w:val="20"/>
                <w:szCs w:val="20"/>
                <w:color w:val="auto"/>
              </w:rPr>
            </w:pPr>
            <w:r>
              <w:rPr>
                <w:rFonts w:ascii="Arial" w:cs="Arial" w:eastAsia="Arial" w:hAnsi="Arial"/>
                <w:sz w:val="16"/>
                <w:szCs w:val="16"/>
                <w:color w:val="auto"/>
              </w:rPr>
              <w:t>No effect</w:t>
            </w:r>
          </w:p>
        </w:tc>
        <w:tc>
          <w:tcPr>
            <w:tcW w:w="1580" w:type="dxa"/>
            <w:vAlign w:val="bottom"/>
          </w:tcPr>
          <w:p>
            <w:pPr>
              <w:ind w:left="80"/>
              <w:spacing w:after="0"/>
              <w:rPr>
                <w:sz w:val="20"/>
                <w:szCs w:val="20"/>
                <w:color w:val="auto"/>
              </w:rPr>
            </w:pPr>
            <w:r>
              <w:rPr>
                <w:rFonts w:ascii="Arial" w:cs="Arial" w:eastAsia="Arial" w:hAnsi="Arial"/>
                <w:sz w:val="16"/>
                <w:szCs w:val="16"/>
                <w:color w:val="auto"/>
              </w:rPr>
              <w:t>Voted “AGAINST“</w:t>
            </w:r>
          </w:p>
        </w:tc>
        <w:tc>
          <w:tcPr>
            <w:tcW w:w="0" w:type="dxa"/>
            <w:vAlign w:val="bottom"/>
          </w:tcPr>
          <w:p>
            <w:pPr>
              <w:spacing w:after="0"/>
              <w:rPr>
                <w:sz w:val="1"/>
                <w:szCs w:val="1"/>
                <w:color w:val="auto"/>
              </w:rPr>
            </w:pPr>
          </w:p>
        </w:tc>
      </w:tr>
      <w:tr>
        <w:trPr>
          <w:trHeight w:val="189"/>
        </w:trPr>
        <w:tc>
          <w:tcPr>
            <w:tcW w:w="3840" w:type="dxa"/>
            <w:vAlign w:val="bottom"/>
          </w:tcPr>
          <w:p>
            <w:pPr>
              <w:ind w:left="20"/>
              <w:spacing w:after="0"/>
              <w:rPr>
                <w:sz w:val="20"/>
                <w:szCs w:val="20"/>
                <w:color w:val="auto"/>
              </w:rPr>
            </w:pPr>
            <w:r>
              <w:rPr>
                <w:rFonts w:ascii="Arial" w:cs="Arial" w:eastAsia="Arial" w:hAnsi="Arial"/>
                <w:sz w:val="16"/>
                <w:szCs w:val="16"/>
                <w:color w:val="auto"/>
              </w:rPr>
              <w:t>Evaluation and Issue a Report Describing the</w:t>
            </w:r>
          </w:p>
        </w:tc>
        <w:tc>
          <w:tcPr>
            <w:tcW w:w="1500" w:type="dxa"/>
            <w:vAlign w:val="bottom"/>
          </w:tcPr>
          <w:p>
            <w:pPr>
              <w:spacing w:after="0"/>
              <w:rPr>
                <w:sz w:val="16"/>
                <w:szCs w:val="16"/>
                <w:color w:val="auto"/>
              </w:rPr>
            </w:pPr>
          </w:p>
        </w:tc>
        <w:tc>
          <w:tcPr>
            <w:tcW w:w="1740" w:type="dxa"/>
            <w:vAlign w:val="bottom"/>
          </w:tcPr>
          <w:p>
            <w:pPr>
              <w:ind w:left="360"/>
              <w:spacing w:after="0"/>
              <w:rPr>
                <w:sz w:val="20"/>
                <w:szCs w:val="20"/>
                <w:color w:val="auto"/>
              </w:rPr>
            </w:pPr>
            <w:r>
              <w:rPr>
                <w:rFonts w:ascii="Arial" w:cs="Arial" w:eastAsia="Arial" w:hAnsi="Arial"/>
                <w:sz w:val="16"/>
                <w:szCs w:val="16"/>
                <w:color w:val="auto"/>
              </w:rPr>
              <w:t>cast</w:t>
            </w: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rPr>
                <w:sz w:val="20"/>
                <w:szCs w:val="20"/>
                <w:color w:val="auto"/>
              </w:rPr>
            </w:pPr>
            <w:r>
              <w:rPr>
                <w:rFonts w:ascii="Arial" w:cs="Arial" w:eastAsia="Arial" w:hAnsi="Arial"/>
                <w:sz w:val="16"/>
                <w:szCs w:val="16"/>
                <w:color w:val="auto"/>
              </w:rPr>
              <w:t>Alignment of the Company’s Political Activities With</w:t>
            </w:r>
          </w:p>
        </w:tc>
        <w:tc>
          <w:tcPr>
            <w:tcW w:w="15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840" w:type="dxa"/>
            <w:vAlign w:val="bottom"/>
          </w:tcPr>
          <w:p>
            <w:pPr>
              <w:ind w:left="20"/>
              <w:spacing w:after="0" w:line="175" w:lineRule="exact"/>
              <w:rPr>
                <w:sz w:val="20"/>
                <w:szCs w:val="20"/>
                <w:color w:val="auto"/>
              </w:rPr>
            </w:pPr>
            <w:r>
              <w:rPr>
                <w:rFonts w:ascii="Arial" w:cs="Arial" w:eastAsia="Arial" w:hAnsi="Arial"/>
                <w:sz w:val="16"/>
                <w:szCs w:val="16"/>
                <w:color w:val="auto"/>
              </w:rPr>
              <w:t>Its Human Rights Policy</w:t>
            </w:r>
          </w:p>
        </w:tc>
        <w:tc>
          <w:tcPr>
            <w:tcW w:w="15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29378D"/>
              </w:rPr>
              <w:t>(Proposal 6)</w:t>
            </w:r>
          </w:p>
        </w:tc>
        <w:tc>
          <w:tcPr>
            <w:tcW w:w="1500" w:type="dxa"/>
            <w:vAlign w:val="bottom"/>
            <w:tcBorders>
              <w:bottom w:val="single" w:sz="8" w:color="BCBEC0"/>
            </w:tcBorders>
          </w:tcPr>
          <w:p>
            <w:pPr>
              <w:spacing w:after="0"/>
              <w:rPr>
                <w:sz w:val="19"/>
                <w:szCs w:val="19"/>
                <w:color w:val="auto"/>
              </w:rPr>
            </w:pPr>
          </w:p>
        </w:tc>
        <w:tc>
          <w:tcPr>
            <w:tcW w:w="1740" w:type="dxa"/>
            <w:vAlign w:val="bottom"/>
            <w:tcBorders>
              <w:bottom w:val="single" w:sz="8" w:color="BCBEC0"/>
            </w:tcBorders>
          </w:tcPr>
          <w:p>
            <w:pPr>
              <w:spacing w:after="0"/>
              <w:rPr>
                <w:sz w:val="19"/>
                <w:szCs w:val="19"/>
                <w:color w:val="auto"/>
              </w:rPr>
            </w:pPr>
          </w:p>
        </w:tc>
        <w:tc>
          <w:tcPr>
            <w:tcW w:w="1260" w:type="dxa"/>
            <w:vAlign w:val="bottom"/>
            <w:tcBorders>
              <w:bottom w:val="single" w:sz="8" w:color="BCBEC0"/>
            </w:tcBorders>
          </w:tcPr>
          <w:p>
            <w:pPr>
              <w:spacing w:after="0"/>
              <w:rPr>
                <w:sz w:val="19"/>
                <w:szCs w:val="19"/>
                <w:color w:val="auto"/>
              </w:rPr>
            </w:pPr>
          </w:p>
        </w:tc>
        <w:tc>
          <w:tcPr>
            <w:tcW w:w="1320" w:type="dxa"/>
            <w:vAlign w:val="bottom"/>
            <w:tcBorders>
              <w:bottom w:val="single" w:sz="8" w:color="BCBEC0"/>
            </w:tcBorders>
          </w:tcPr>
          <w:p>
            <w:pPr>
              <w:spacing w:after="0"/>
              <w:rPr>
                <w:sz w:val="19"/>
                <w:szCs w:val="19"/>
                <w:color w:val="auto"/>
              </w:rPr>
            </w:pPr>
          </w:p>
        </w:tc>
        <w:tc>
          <w:tcPr>
            <w:tcW w:w="158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0"/>
              <w:spacing w:after="0"/>
              <w:rPr>
                <w:sz w:val="20"/>
                <w:szCs w:val="20"/>
                <w:color w:val="auto"/>
              </w:rPr>
            </w:pPr>
            <w:r>
              <w:rPr>
                <w:rFonts w:ascii="Arial" w:cs="Arial" w:eastAsia="Arial" w:hAnsi="Arial"/>
                <w:sz w:val="16"/>
                <w:szCs w:val="16"/>
                <w:color w:val="auto"/>
              </w:rPr>
              <w:t>Shareholder Proposal to Provide for an Independent</w:t>
            </w:r>
          </w:p>
        </w:tc>
        <w:tc>
          <w:tcPr>
            <w:tcW w:w="1500" w:type="dxa"/>
            <w:vAlign w:val="bottom"/>
          </w:tcPr>
          <w:p>
            <w:pPr>
              <w:ind w:left="60"/>
              <w:spacing w:after="0"/>
              <w:rPr>
                <w:sz w:val="20"/>
                <w:szCs w:val="20"/>
                <w:color w:val="auto"/>
              </w:rPr>
            </w:pPr>
            <w:r>
              <w:rPr>
                <w:rFonts w:ascii="Arial" w:cs="Arial" w:eastAsia="Arial" w:hAnsi="Arial"/>
                <w:sz w:val="16"/>
                <w:szCs w:val="16"/>
                <w:b w:val="1"/>
                <w:bCs w:val="1"/>
                <w:color w:val="29378D"/>
              </w:rPr>
              <w:t>AGAINST</w:t>
            </w:r>
          </w:p>
        </w:tc>
        <w:tc>
          <w:tcPr>
            <w:tcW w:w="1740" w:type="dxa"/>
            <w:vAlign w:val="bottom"/>
          </w:tcPr>
          <w:p>
            <w:pPr>
              <w:ind w:left="360"/>
              <w:spacing w:after="0"/>
              <w:rPr>
                <w:sz w:val="20"/>
                <w:szCs w:val="20"/>
                <w:color w:val="auto"/>
              </w:rPr>
            </w:pPr>
            <w:r>
              <w:rPr>
                <w:rFonts w:ascii="Arial" w:cs="Arial" w:eastAsia="Arial" w:hAnsi="Arial"/>
                <w:sz w:val="16"/>
                <w:szCs w:val="16"/>
                <w:color w:val="auto"/>
              </w:rPr>
              <w:t>Majority of votes</w:t>
            </w:r>
          </w:p>
        </w:tc>
        <w:tc>
          <w:tcPr>
            <w:tcW w:w="1260" w:type="dxa"/>
            <w:vAlign w:val="bottom"/>
          </w:tcPr>
          <w:p>
            <w:pPr>
              <w:ind w:left="40"/>
              <w:spacing w:after="0"/>
              <w:rPr>
                <w:sz w:val="20"/>
                <w:szCs w:val="20"/>
                <w:color w:val="auto"/>
              </w:rPr>
            </w:pPr>
            <w:r>
              <w:rPr>
                <w:rFonts w:ascii="Arial" w:cs="Arial" w:eastAsia="Arial" w:hAnsi="Arial"/>
                <w:sz w:val="16"/>
                <w:szCs w:val="16"/>
                <w:color w:val="auto"/>
              </w:rPr>
              <w:t>No effect</w:t>
            </w:r>
          </w:p>
        </w:tc>
        <w:tc>
          <w:tcPr>
            <w:tcW w:w="1320" w:type="dxa"/>
            <w:vAlign w:val="bottom"/>
          </w:tcPr>
          <w:p>
            <w:pPr>
              <w:ind w:left="160"/>
              <w:spacing w:after="0"/>
              <w:rPr>
                <w:sz w:val="20"/>
                <w:szCs w:val="20"/>
                <w:color w:val="auto"/>
              </w:rPr>
            </w:pPr>
            <w:r>
              <w:rPr>
                <w:rFonts w:ascii="Arial" w:cs="Arial" w:eastAsia="Arial" w:hAnsi="Arial"/>
                <w:sz w:val="16"/>
                <w:szCs w:val="16"/>
                <w:color w:val="auto"/>
              </w:rPr>
              <w:t>No effect</w:t>
            </w:r>
          </w:p>
        </w:tc>
        <w:tc>
          <w:tcPr>
            <w:tcW w:w="1580" w:type="dxa"/>
            <w:vAlign w:val="bottom"/>
          </w:tcPr>
          <w:p>
            <w:pPr>
              <w:ind w:left="80"/>
              <w:spacing w:after="0"/>
              <w:rPr>
                <w:sz w:val="20"/>
                <w:szCs w:val="20"/>
                <w:color w:val="auto"/>
              </w:rPr>
            </w:pPr>
            <w:r>
              <w:rPr>
                <w:rFonts w:ascii="Arial" w:cs="Arial" w:eastAsia="Arial" w:hAnsi="Arial"/>
                <w:sz w:val="16"/>
                <w:szCs w:val="16"/>
                <w:color w:val="auto"/>
              </w:rPr>
              <w:t>Voted “AGAINST“</w:t>
            </w:r>
          </w:p>
        </w:tc>
        <w:tc>
          <w:tcPr>
            <w:tcW w:w="0" w:type="dxa"/>
            <w:vAlign w:val="bottom"/>
          </w:tcPr>
          <w:p>
            <w:pPr>
              <w:spacing w:after="0"/>
              <w:rPr>
                <w:sz w:val="1"/>
                <w:szCs w:val="1"/>
                <w:color w:val="auto"/>
              </w:rPr>
            </w:pPr>
          </w:p>
        </w:tc>
      </w:tr>
      <w:tr>
        <w:trPr>
          <w:trHeight w:val="175"/>
        </w:trPr>
        <w:tc>
          <w:tcPr>
            <w:tcW w:w="3840" w:type="dxa"/>
            <w:vAlign w:val="bottom"/>
          </w:tcPr>
          <w:p>
            <w:pPr>
              <w:ind w:left="20"/>
              <w:spacing w:after="0" w:line="175" w:lineRule="exact"/>
              <w:rPr>
                <w:sz w:val="20"/>
                <w:szCs w:val="20"/>
                <w:color w:val="auto"/>
              </w:rPr>
            </w:pPr>
            <w:r>
              <w:rPr>
                <w:rFonts w:ascii="Arial" w:cs="Arial" w:eastAsia="Arial" w:hAnsi="Arial"/>
                <w:sz w:val="16"/>
                <w:szCs w:val="16"/>
                <w:color w:val="auto"/>
              </w:rPr>
              <w:t>Board Chair</w:t>
            </w:r>
          </w:p>
        </w:tc>
        <w:tc>
          <w:tcPr>
            <w:tcW w:w="1500" w:type="dxa"/>
            <w:vAlign w:val="bottom"/>
          </w:tcPr>
          <w:p>
            <w:pPr>
              <w:spacing w:after="0"/>
              <w:rPr>
                <w:sz w:val="15"/>
                <w:szCs w:val="15"/>
                <w:color w:val="auto"/>
              </w:rPr>
            </w:pPr>
          </w:p>
        </w:tc>
        <w:tc>
          <w:tcPr>
            <w:tcW w:w="1740" w:type="dxa"/>
            <w:vAlign w:val="bottom"/>
          </w:tcPr>
          <w:p>
            <w:pPr>
              <w:ind w:left="360"/>
              <w:spacing w:after="0" w:line="175" w:lineRule="exact"/>
              <w:rPr>
                <w:sz w:val="20"/>
                <w:szCs w:val="20"/>
                <w:color w:val="auto"/>
              </w:rPr>
            </w:pPr>
            <w:r>
              <w:rPr>
                <w:rFonts w:ascii="Arial" w:cs="Arial" w:eastAsia="Arial" w:hAnsi="Arial"/>
                <w:sz w:val="16"/>
                <w:szCs w:val="16"/>
                <w:color w:val="auto"/>
              </w:rPr>
              <w:t>cast</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6"/>
                <w:szCs w:val="16"/>
                <w:b w:val="1"/>
                <w:bCs w:val="1"/>
                <w:color w:val="29378D"/>
              </w:rPr>
              <w:t>(Proposal 7)</w:t>
            </w:r>
          </w:p>
        </w:tc>
        <w:tc>
          <w:tcPr>
            <w:tcW w:w="1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40" w:type="dxa"/>
            <w:vAlign w:val="bottom"/>
            <w:tcBorders>
              <w:bottom w:val="single" w:sz="8" w:color="BCBEC0"/>
            </w:tcBorders>
          </w:tcPr>
          <w:p>
            <w:pPr>
              <w:spacing w:after="0" w:line="20" w:lineRule="exact"/>
              <w:rPr>
                <w:sz w:val="1"/>
                <w:szCs w:val="1"/>
                <w:color w:val="auto"/>
              </w:rPr>
            </w:pPr>
          </w:p>
        </w:tc>
        <w:tc>
          <w:tcPr>
            <w:tcW w:w="1500" w:type="dxa"/>
            <w:vAlign w:val="bottom"/>
            <w:tcBorders>
              <w:bottom w:val="single" w:sz="8" w:color="BCBEC0"/>
            </w:tcBorders>
          </w:tcPr>
          <w:p>
            <w:pPr>
              <w:spacing w:after="0" w:line="20" w:lineRule="exact"/>
              <w:rPr>
                <w:sz w:val="1"/>
                <w:szCs w:val="1"/>
                <w:color w:val="auto"/>
              </w:rPr>
            </w:pPr>
          </w:p>
        </w:tc>
        <w:tc>
          <w:tcPr>
            <w:tcW w:w="1740" w:type="dxa"/>
            <w:vAlign w:val="bottom"/>
            <w:tcBorders>
              <w:bottom w:val="single" w:sz="8" w:color="BCBEC0"/>
            </w:tcBorders>
          </w:tcPr>
          <w:p>
            <w:pPr>
              <w:spacing w:after="0" w:line="20" w:lineRule="exact"/>
              <w:rPr>
                <w:sz w:val="1"/>
                <w:szCs w:val="1"/>
                <w:color w:val="auto"/>
              </w:rPr>
            </w:pPr>
          </w:p>
        </w:tc>
        <w:tc>
          <w:tcPr>
            <w:tcW w:w="1260" w:type="dxa"/>
            <w:vAlign w:val="bottom"/>
            <w:tcBorders>
              <w:bottom w:val="single" w:sz="8" w:color="BCBEC0"/>
            </w:tcBorders>
          </w:tcPr>
          <w:p>
            <w:pPr>
              <w:spacing w:after="0" w:line="20" w:lineRule="exact"/>
              <w:rPr>
                <w:sz w:val="1"/>
                <w:szCs w:val="1"/>
                <w:color w:val="auto"/>
              </w:rPr>
            </w:pPr>
          </w:p>
        </w:tc>
        <w:tc>
          <w:tcPr>
            <w:tcW w:w="1320" w:type="dxa"/>
            <w:vAlign w:val="bottom"/>
            <w:tcBorders>
              <w:bottom w:val="single" w:sz="8" w:color="BCBEC0"/>
            </w:tcBorders>
          </w:tcPr>
          <w:p>
            <w:pPr>
              <w:spacing w:after="0" w:line="20" w:lineRule="exact"/>
              <w:rPr>
                <w:sz w:val="1"/>
                <w:szCs w:val="1"/>
                <w:color w:val="auto"/>
              </w:rPr>
            </w:pPr>
          </w:p>
        </w:tc>
        <w:tc>
          <w:tcPr>
            <w:tcW w:w="15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What is a broker non-vote?</w:t>
      </w:r>
    </w:p>
    <w:p>
      <w:pPr>
        <w:spacing w:after="0" w:line="117"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auto"/>
        </w:rPr>
        <w:t>Brokers who hold shares of common stock for the accounts of their clients may vote these shares either as directed by their clients or in their own discretion if permitted by the stock exchanges or other organizations of which they are members. Members of the New York Stock Exchange (NYSE) are permitted to vote their clients’ proxies in their own discretion on certain matters if the clients have not furnished voting instructions within ten days of the meeting.</w:t>
      </w:r>
    </w:p>
    <w:p>
      <w:pPr>
        <w:spacing w:after="0" w:line="1"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However, NYSE Rule 452 defines various matters as “non-routine,” and brokers who have not received instructions from their clients do not have discretion to vote their client’s shares on such “non-routine” matters, resulting in a “broker non-vote.”</w:t>
      </w:r>
    </w:p>
    <w:p>
      <w:pPr>
        <w:spacing w:after="0" w:line="5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If you are a beneficial owner whose shares are held of record by a broker, your broker has discretionary voting authority under NYSE rules to vote your shares, without instructions from you, on the ratification of the appointment of Deloitte &amp; Touche LLP as independent auditor. However, your broker does not have discretionary authority to vote your shares, without instructions from you, on the election of directors, the advisory vote to approve the compensation of our NEOs, the management proposals to eliminate personal liability of officers for monetary damages for breach of certain fiduciary duties and to approve the 2024 Long-Term Incentive Stock Plan or the shareholder proposals, in which case a broker non-vote will occur and your shares will not be voted on these matters.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How do I vote my shares if they are registered directly in my name?</w:t>
      </w:r>
    </w:p>
    <w:p>
      <w:pPr>
        <w:spacing w:after="0" w:line="131"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If your shares are registered directly in your name with our transfer agent, Computershare Trust Company, N.A. (Computershare), you are considered the “registered shareholder” of those shares, and you may vote by proxy prior to the Annual Meeting, as discussed below, or you may vote online during the Annual Meeting. Shares represented by a properly executed proxy will be voted at the Annual Meeting in accordance with the shareholder’s instructions. If no instructions are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111</w:t>
            </w:r>
          </w:p>
        </w:tc>
      </w:tr>
      <w:tr>
        <w:trPr>
          <w:trHeight w:val="306"/>
        </w:trPr>
        <w:tc>
          <w:tcPr>
            <w:tcW w:w="10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b w:val="1"/>
          <w:bCs w:val="1"/>
          <w:color w:val="auto"/>
        </w:rPr>
        <w:t>Questions and Answers About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 xml:space="preserve">given, the shares will be voted according to the recommendations of the Board. Registered shareholders may go to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to view this Proxy Statement and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3854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385445"/>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40" w:type="dxa"/>
            <w:vAlign w:val="bottom"/>
          </w:tcPr>
          <w:p>
            <w:pPr>
              <w:spacing w:after="0"/>
              <w:rPr>
                <w:sz w:val="16"/>
                <w:szCs w:val="16"/>
                <w:color w:val="auto"/>
              </w:rPr>
            </w:pPr>
          </w:p>
        </w:tc>
        <w:tc>
          <w:tcPr>
            <w:tcW w:w="8800" w:type="dxa"/>
            <w:vAlign w:val="bottom"/>
          </w:tcPr>
          <w:p>
            <w:pPr>
              <w:ind w:left="300"/>
              <w:spacing w:after="0"/>
              <w:rPr>
                <w:sz w:val="20"/>
                <w:szCs w:val="20"/>
                <w:color w:val="auto"/>
              </w:rPr>
            </w:pPr>
            <w:r>
              <w:rPr>
                <w:rFonts w:ascii="Arial" w:cs="Arial" w:eastAsia="Arial" w:hAnsi="Arial"/>
                <w:sz w:val="16"/>
                <w:szCs w:val="16"/>
                <w:color w:val="auto"/>
              </w:rPr>
              <w:t>Registered shareholders may vote on the internet, as well as view the documents, by logging on to</w:t>
            </w:r>
          </w:p>
        </w:tc>
        <w:tc>
          <w:tcPr>
            <w:tcW w:w="0" w:type="dxa"/>
            <w:vAlign w:val="bottom"/>
          </w:tcPr>
          <w:p>
            <w:pPr>
              <w:spacing w:after="0"/>
              <w:rPr>
                <w:sz w:val="1"/>
                <w:szCs w:val="1"/>
                <w:color w:val="auto"/>
              </w:rPr>
            </w:pPr>
          </w:p>
        </w:tc>
      </w:tr>
      <w:tr>
        <w:trPr>
          <w:trHeight w:val="203"/>
        </w:trPr>
        <w:tc>
          <w:tcPr>
            <w:tcW w:w="2440" w:type="dxa"/>
            <w:vAlign w:val="bottom"/>
          </w:tcPr>
          <w:p>
            <w:pPr>
              <w:ind w:left="1040"/>
              <w:spacing w:after="0"/>
              <w:rPr>
                <w:sz w:val="20"/>
                <w:szCs w:val="20"/>
                <w:color w:val="auto"/>
              </w:rPr>
            </w:pPr>
            <w:r>
              <w:rPr>
                <w:rFonts w:ascii="Arial" w:cs="Arial" w:eastAsia="Arial" w:hAnsi="Arial"/>
                <w:sz w:val="14"/>
                <w:szCs w:val="14"/>
                <w:b w:val="1"/>
                <w:bCs w:val="1"/>
                <w:color w:val="29378D"/>
              </w:rPr>
              <w:t>BY INTERNET</w:t>
            </w:r>
          </w:p>
        </w:tc>
        <w:tc>
          <w:tcPr>
            <w:tcW w:w="8800" w:type="dxa"/>
            <w:vAlign w:val="bottom"/>
          </w:tcPr>
          <w:p>
            <w:pPr>
              <w:ind w:left="300"/>
              <w:spacing w:after="0"/>
              <w:rPr>
                <w:sz w:val="20"/>
                <w:szCs w:val="20"/>
                <w:color w:val="auto"/>
              </w:rPr>
            </w:pPr>
            <w:r>
              <w:rPr>
                <w:rFonts w:ascii="Arial" w:cs="Arial" w:eastAsia="Arial" w:hAnsi="Arial"/>
                <w:sz w:val="16"/>
                <w:szCs w:val="16"/>
                <w:i w:val="1"/>
                <w:iCs w:val="1"/>
                <w:color w:val="auto"/>
              </w:rPr>
              <w:t xml:space="preserve">www.proxyvote.com </w:t>
            </w:r>
            <w:r>
              <w:rPr>
                <w:rFonts w:ascii="Arial" w:cs="Arial" w:eastAsia="Arial" w:hAnsi="Arial"/>
                <w:sz w:val="16"/>
                <w:szCs w:val="16"/>
                <w:color w:val="auto"/>
              </w:rPr>
              <w:t>and following the instructions given. You will need the control number included in your proxy card,</w:t>
            </w:r>
          </w:p>
        </w:tc>
        <w:tc>
          <w:tcPr>
            <w:tcW w:w="0" w:type="dxa"/>
            <w:vAlign w:val="bottom"/>
          </w:tcPr>
          <w:p>
            <w:pPr>
              <w:spacing w:after="0"/>
              <w:rPr>
                <w:sz w:val="1"/>
                <w:szCs w:val="1"/>
                <w:color w:val="auto"/>
              </w:rPr>
            </w:pPr>
          </w:p>
        </w:tc>
      </w:tr>
      <w:tr>
        <w:trPr>
          <w:trHeight w:val="215"/>
        </w:trPr>
        <w:tc>
          <w:tcPr>
            <w:tcW w:w="244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6"/>
                <w:szCs w:val="16"/>
                <w:color w:val="auto"/>
              </w:rPr>
              <w:t>voting instruction form or notice.</w:t>
            </w:r>
          </w:p>
        </w:tc>
        <w:tc>
          <w:tcPr>
            <w:tcW w:w="0" w:type="dxa"/>
            <w:vAlign w:val="bottom"/>
          </w:tcPr>
          <w:p>
            <w:pPr>
              <w:spacing w:after="0"/>
              <w:rPr>
                <w:sz w:val="1"/>
                <w:szCs w:val="1"/>
                <w:color w:val="auto"/>
              </w:rPr>
            </w:pPr>
          </w:p>
        </w:tc>
      </w:tr>
      <w:tr>
        <w:trPr>
          <w:trHeight w:val="43"/>
        </w:trPr>
        <w:tc>
          <w:tcPr>
            <w:tcW w:w="2440" w:type="dxa"/>
            <w:vAlign w:val="bottom"/>
            <w:tcBorders>
              <w:bottom w:val="single" w:sz="8" w:color="BCBEC0"/>
            </w:tcBorders>
          </w:tcPr>
          <w:p>
            <w:pPr>
              <w:spacing w:after="0"/>
              <w:rPr>
                <w:sz w:val="3"/>
                <w:szCs w:val="3"/>
                <w:color w:val="auto"/>
              </w:rPr>
            </w:pPr>
          </w:p>
        </w:tc>
        <w:tc>
          <w:tcPr>
            <w:tcW w:w="880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2440" w:type="dxa"/>
            <w:vAlign w:val="bottom"/>
            <w:vMerge w:val="restart"/>
          </w:tcPr>
          <w:p>
            <w:pPr>
              <w:ind w:left="1040"/>
              <w:spacing w:after="0"/>
              <w:rPr>
                <w:sz w:val="20"/>
                <w:szCs w:val="20"/>
                <w:color w:val="auto"/>
              </w:rPr>
            </w:pPr>
            <w:r>
              <w:rPr>
                <w:rFonts w:ascii="Arial" w:cs="Arial" w:eastAsia="Arial" w:hAnsi="Arial"/>
                <w:sz w:val="14"/>
                <w:szCs w:val="14"/>
                <w:b w:val="1"/>
                <w:bCs w:val="1"/>
                <w:color w:val="29378D"/>
              </w:rPr>
              <w:t>BY TELEPHONE</w:t>
            </w:r>
          </w:p>
        </w:tc>
        <w:tc>
          <w:tcPr>
            <w:tcW w:w="8800" w:type="dxa"/>
            <w:vAlign w:val="bottom"/>
          </w:tcPr>
          <w:p>
            <w:pPr>
              <w:ind w:left="300"/>
              <w:spacing w:after="0"/>
              <w:rPr>
                <w:sz w:val="20"/>
                <w:szCs w:val="20"/>
                <w:color w:val="auto"/>
              </w:rPr>
            </w:pPr>
            <w:r>
              <w:rPr>
                <w:rFonts w:ascii="Arial" w:cs="Arial" w:eastAsia="Arial" w:hAnsi="Arial"/>
                <w:sz w:val="16"/>
                <w:szCs w:val="16"/>
                <w:color w:val="auto"/>
              </w:rPr>
              <w:t>Registered shareholders may vote by calling 800-690-6903 (toll-free) with a touch-tone telephone and following the</w:t>
            </w:r>
          </w:p>
        </w:tc>
        <w:tc>
          <w:tcPr>
            <w:tcW w:w="0" w:type="dxa"/>
            <w:vAlign w:val="bottom"/>
          </w:tcPr>
          <w:p>
            <w:pPr>
              <w:spacing w:after="0"/>
              <w:rPr>
                <w:sz w:val="1"/>
                <w:szCs w:val="1"/>
                <w:color w:val="auto"/>
              </w:rPr>
            </w:pPr>
          </w:p>
        </w:tc>
      </w:tr>
      <w:tr>
        <w:trPr>
          <w:trHeight w:val="134"/>
        </w:trPr>
        <w:tc>
          <w:tcPr>
            <w:tcW w:w="2440" w:type="dxa"/>
            <w:vAlign w:val="bottom"/>
            <w:vMerge w:val="continue"/>
          </w:tcPr>
          <w:p>
            <w:pPr>
              <w:spacing w:after="0"/>
              <w:rPr>
                <w:sz w:val="11"/>
                <w:szCs w:val="11"/>
                <w:color w:val="auto"/>
              </w:rPr>
            </w:pPr>
          </w:p>
        </w:tc>
        <w:tc>
          <w:tcPr>
            <w:tcW w:w="8800" w:type="dxa"/>
            <w:vAlign w:val="bottom"/>
            <w:vMerge w:val="restart"/>
          </w:tcPr>
          <w:p>
            <w:pPr>
              <w:ind w:left="300"/>
              <w:spacing w:after="0"/>
              <w:rPr>
                <w:sz w:val="20"/>
                <w:szCs w:val="20"/>
                <w:color w:val="auto"/>
              </w:rPr>
            </w:pPr>
            <w:r>
              <w:rPr>
                <w:rFonts w:ascii="Arial" w:cs="Arial" w:eastAsia="Arial" w:hAnsi="Arial"/>
                <w:sz w:val="16"/>
                <w:szCs w:val="16"/>
                <w:color w:val="auto"/>
              </w:rPr>
              <w:t>recorded instructions. You will need the control number included in your proxy card, voting instruction form or notice.</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8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440" w:type="dxa"/>
            <w:vAlign w:val="bottom"/>
            <w:tcBorders>
              <w:bottom w:val="single" w:sz="8" w:color="BCBEC0"/>
            </w:tcBorders>
          </w:tcPr>
          <w:p>
            <w:pPr>
              <w:spacing w:after="0"/>
              <w:rPr>
                <w:sz w:val="13"/>
                <w:szCs w:val="13"/>
                <w:color w:val="auto"/>
              </w:rPr>
            </w:pPr>
          </w:p>
        </w:tc>
        <w:tc>
          <w:tcPr>
            <w:tcW w:w="8800" w:type="dxa"/>
            <w:vAlign w:val="bottom"/>
            <w:tcBorders>
              <w:bottom w:val="single" w:sz="8" w:color="BCBEC0"/>
            </w:tcBorders>
          </w:tcPr>
          <w:p>
            <w:pPr>
              <w:spacing w:after="0"/>
              <w:rPr>
                <w:sz w:val="13"/>
                <w:szCs w:val="13"/>
                <w:color w:val="auto"/>
              </w:rPr>
            </w:pPr>
          </w:p>
        </w:tc>
        <w:tc>
          <w:tcPr>
            <w:tcW w:w="0" w:type="dxa"/>
            <w:vAlign w:val="bottom"/>
          </w:tcPr>
          <w:p>
            <w:pPr>
              <w:spacing w:after="0"/>
              <w:rPr>
                <w:sz w:val="1"/>
                <w:szCs w:val="1"/>
                <w:color w:val="auto"/>
              </w:rPr>
            </w:pPr>
          </w:p>
        </w:tc>
      </w:tr>
      <w:tr>
        <w:trPr>
          <w:trHeight w:val="410"/>
        </w:trPr>
        <w:tc>
          <w:tcPr>
            <w:tcW w:w="2440" w:type="dxa"/>
            <w:vAlign w:val="bottom"/>
          </w:tcPr>
          <w:p>
            <w:pPr>
              <w:ind w:left="1040"/>
              <w:spacing w:after="0"/>
              <w:rPr>
                <w:sz w:val="20"/>
                <w:szCs w:val="20"/>
                <w:color w:val="auto"/>
              </w:rPr>
            </w:pPr>
            <w:r>
              <w:rPr>
                <w:rFonts w:ascii="Arial" w:cs="Arial" w:eastAsia="Arial" w:hAnsi="Arial"/>
                <w:sz w:val="14"/>
                <w:szCs w:val="14"/>
                <w:b w:val="1"/>
                <w:bCs w:val="1"/>
                <w:color w:val="29378D"/>
              </w:rPr>
              <w:t>BY QR CODE</w:t>
            </w:r>
          </w:p>
        </w:tc>
        <w:tc>
          <w:tcPr>
            <w:tcW w:w="8800" w:type="dxa"/>
            <w:vAlign w:val="bottom"/>
          </w:tcPr>
          <w:p>
            <w:pPr>
              <w:ind w:left="300"/>
              <w:spacing w:after="0"/>
              <w:rPr>
                <w:sz w:val="20"/>
                <w:szCs w:val="20"/>
                <w:color w:val="auto"/>
              </w:rPr>
            </w:pPr>
            <w:r>
              <w:rPr>
                <w:rFonts w:ascii="Arial" w:cs="Arial" w:eastAsia="Arial" w:hAnsi="Arial"/>
                <w:sz w:val="16"/>
                <w:szCs w:val="16"/>
                <w:color w:val="auto"/>
              </w:rPr>
              <w:t>Registered shareholders may vote by scanning the QR code on their proxy card or notice with their mobile device.</w:t>
            </w:r>
          </w:p>
        </w:tc>
        <w:tc>
          <w:tcPr>
            <w:tcW w:w="0" w:type="dxa"/>
            <w:vAlign w:val="bottom"/>
          </w:tcPr>
          <w:p>
            <w:pPr>
              <w:spacing w:after="0"/>
              <w:rPr>
                <w:sz w:val="1"/>
                <w:szCs w:val="1"/>
                <w:color w:val="auto"/>
              </w:rPr>
            </w:pPr>
          </w:p>
        </w:tc>
      </w:tr>
      <w:tr>
        <w:trPr>
          <w:trHeight w:val="218"/>
        </w:trPr>
        <w:tc>
          <w:tcPr>
            <w:tcW w:w="2440" w:type="dxa"/>
            <w:vAlign w:val="bottom"/>
            <w:tcBorders>
              <w:bottom w:val="single" w:sz="8" w:color="BCBEC0"/>
            </w:tcBorders>
          </w:tcPr>
          <w:p>
            <w:pPr>
              <w:spacing w:after="0"/>
              <w:rPr>
                <w:sz w:val="18"/>
                <w:szCs w:val="18"/>
                <w:color w:val="auto"/>
              </w:rPr>
            </w:pPr>
          </w:p>
        </w:tc>
        <w:tc>
          <w:tcPr>
            <w:tcW w:w="88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40" w:type="dxa"/>
            <w:vAlign w:val="bottom"/>
          </w:tcPr>
          <w:p>
            <w:pPr>
              <w:spacing w:after="0"/>
              <w:rPr>
                <w:sz w:val="19"/>
                <w:szCs w:val="19"/>
                <w:color w:val="auto"/>
              </w:rPr>
            </w:pPr>
          </w:p>
        </w:tc>
        <w:tc>
          <w:tcPr>
            <w:tcW w:w="8800" w:type="dxa"/>
            <w:vAlign w:val="bottom"/>
          </w:tcPr>
          <w:p>
            <w:pPr>
              <w:ind w:left="300"/>
              <w:spacing w:after="0"/>
              <w:rPr>
                <w:sz w:val="20"/>
                <w:szCs w:val="20"/>
                <w:color w:val="auto"/>
              </w:rPr>
            </w:pPr>
            <w:r>
              <w:rPr>
                <w:rFonts w:ascii="Arial" w:cs="Arial" w:eastAsia="Arial" w:hAnsi="Arial"/>
                <w:sz w:val="16"/>
                <w:szCs w:val="16"/>
                <w:color w:val="auto"/>
              </w:rPr>
              <w:t>Registered shareholders must request a paper copy of the proxy materials to receive a proxy card and may vote by</w:t>
            </w:r>
          </w:p>
        </w:tc>
        <w:tc>
          <w:tcPr>
            <w:tcW w:w="0" w:type="dxa"/>
            <w:vAlign w:val="bottom"/>
          </w:tcPr>
          <w:p>
            <w:pPr>
              <w:spacing w:after="0"/>
              <w:rPr>
                <w:sz w:val="1"/>
                <w:szCs w:val="1"/>
                <w:color w:val="auto"/>
              </w:rPr>
            </w:pPr>
          </w:p>
        </w:tc>
      </w:tr>
      <w:tr>
        <w:trPr>
          <w:trHeight w:val="203"/>
        </w:trPr>
        <w:tc>
          <w:tcPr>
            <w:tcW w:w="2440" w:type="dxa"/>
            <w:vAlign w:val="bottom"/>
          </w:tcPr>
          <w:p>
            <w:pPr>
              <w:ind w:left="1040"/>
              <w:spacing w:after="0"/>
              <w:rPr>
                <w:sz w:val="20"/>
                <w:szCs w:val="20"/>
                <w:color w:val="auto"/>
              </w:rPr>
            </w:pPr>
            <w:r>
              <w:rPr>
                <w:rFonts w:ascii="Arial" w:cs="Arial" w:eastAsia="Arial" w:hAnsi="Arial"/>
                <w:sz w:val="14"/>
                <w:szCs w:val="14"/>
                <w:b w:val="1"/>
                <w:bCs w:val="1"/>
                <w:color w:val="29378D"/>
              </w:rPr>
              <w:t>BY MAIL</w:t>
            </w:r>
          </w:p>
        </w:tc>
        <w:tc>
          <w:tcPr>
            <w:tcW w:w="8800" w:type="dxa"/>
            <w:vAlign w:val="bottom"/>
          </w:tcPr>
          <w:p>
            <w:pPr>
              <w:ind w:left="300"/>
              <w:spacing w:after="0"/>
              <w:rPr>
                <w:sz w:val="20"/>
                <w:szCs w:val="20"/>
                <w:color w:val="auto"/>
              </w:rPr>
            </w:pPr>
            <w:r>
              <w:rPr>
                <w:rFonts w:ascii="Arial" w:cs="Arial" w:eastAsia="Arial" w:hAnsi="Arial"/>
                <w:sz w:val="16"/>
                <w:szCs w:val="16"/>
                <w:color w:val="auto"/>
              </w:rPr>
              <w:t>marking the voting instructions on the proxy card and following the instructions given for mailing. A paper copy of the</w:t>
            </w:r>
          </w:p>
        </w:tc>
        <w:tc>
          <w:tcPr>
            <w:tcW w:w="0" w:type="dxa"/>
            <w:vAlign w:val="bottom"/>
          </w:tcPr>
          <w:p>
            <w:pPr>
              <w:spacing w:after="0"/>
              <w:rPr>
                <w:sz w:val="1"/>
                <w:szCs w:val="1"/>
                <w:color w:val="auto"/>
              </w:rPr>
            </w:pPr>
          </w:p>
        </w:tc>
      </w:tr>
      <w:tr>
        <w:trPr>
          <w:trHeight w:val="215"/>
        </w:trPr>
        <w:tc>
          <w:tcPr>
            <w:tcW w:w="244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6"/>
                <w:szCs w:val="16"/>
                <w:color w:val="auto"/>
              </w:rPr>
              <w:t xml:space="preserve">proxy materials may be obtained by logging on to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and following the instructions given.</w:t>
            </w:r>
          </w:p>
        </w:tc>
        <w:tc>
          <w:tcPr>
            <w:tcW w:w="0" w:type="dxa"/>
            <w:vAlign w:val="bottom"/>
          </w:tcPr>
          <w:p>
            <w:pPr>
              <w:spacing w:after="0"/>
              <w:rPr>
                <w:sz w:val="1"/>
                <w:szCs w:val="1"/>
                <w:color w:val="auto"/>
              </w:rPr>
            </w:pPr>
          </w:p>
        </w:tc>
      </w:tr>
      <w:tr>
        <w:trPr>
          <w:trHeight w:val="43"/>
        </w:trPr>
        <w:tc>
          <w:tcPr>
            <w:tcW w:w="2440" w:type="dxa"/>
            <w:vAlign w:val="bottom"/>
            <w:tcBorders>
              <w:bottom w:val="single" w:sz="8" w:color="BCBEC0"/>
            </w:tcBorders>
          </w:tcPr>
          <w:p>
            <w:pPr>
              <w:spacing w:after="0"/>
              <w:rPr>
                <w:sz w:val="3"/>
                <w:szCs w:val="3"/>
                <w:color w:val="auto"/>
              </w:rPr>
            </w:pPr>
          </w:p>
        </w:tc>
        <w:tc>
          <w:tcPr>
            <w:tcW w:w="880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-1294130</wp:posOffset>
            </wp:positionV>
            <wp:extent cx="377190" cy="178308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77190" cy="1783080"/>
                    </a:xfrm>
                    <a:prstGeom prst="rect">
                      <a:avLst/>
                    </a:prstGeom>
                    <a:noFill/>
                  </pic:spPr>
                </pic:pic>
              </a:graphicData>
            </a:graphic>
          </wp:anchor>
        </w:drawing>
      </w:r>
    </w:p>
    <w:p>
      <w:pPr>
        <w:spacing w:after="0" w:line="101" w:lineRule="exact"/>
        <w:rPr>
          <w:sz w:val="20"/>
          <w:szCs w:val="20"/>
          <w:color w:val="auto"/>
        </w:rPr>
      </w:pPr>
    </w:p>
    <w:p>
      <w:pPr>
        <w:ind w:left="1040" w:right="240" w:firstLine="1701"/>
        <w:spacing w:after="0" w:line="180" w:lineRule="auto"/>
        <w:rPr>
          <w:sz w:val="20"/>
          <w:szCs w:val="20"/>
          <w:color w:val="auto"/>
        </w:rPr>
      </w:pPr>
      <w:r>
        <w:rPr>
          <w:rFonts w:ascii="Arial" w:cs="Arial" w:eastAsia="Arial" w:hAnsi="Arial"/>
          <w:sz w:val="13"/>
          <w:szCs w:val="13"/>
          <w:color w:val="auto"/>
        </w:rPr>
        <w:t xml:space="preserve">Registered shareholders may vote during the Annual Meeting online at </w:t>
      </w:r>
      <w:r>
        <w:rPr>
          <w:rFonts w:ascii="Arial" w:cs="Arial" w:eastAsia="Arial" w:hAnsi="Arial"/>
          <w:sz w:val="13"/>
          <w:szCs w:val="13"/>
          <w:i w:val="1"/>
          <w:iCs w:val="1"/>
          <w:color w:val="auto"/>
        </w:rPr>
        <w:t>virtualshareholdermeeting.com/NOC2024</w:t>
      </w:r>
      <w:r>
        <w:rPr>
          <w:rFonts w:ascii="Arial" w:cs="Arial" w:eastAsia="Arial" w:hAnsi="Arial"/>
          <w:sz w:val="13"/>
          <w:szCs w:val="13"/>
          <w:color w:val="auto"/>
        </w:rPr>
        <w:t xml:space="preserve">. If </w:t>
      </w:r>
      <w:r>
        <w:rPr>
          <w:rFonts w:ascii="Arial" w:cs="Arial" w:eastAsia="Arial" w:hAnsi="Arial"/>
          <w:sz w:val="22"/>
          <w:szCs w:val="22"/>
          <w:b w:val="1"/>
          <w:bCs w:val="1"/>
          <w:color w:val="29378D"/>
          <w:vertAlign w:val="superscript"/>
        </w:rPr>
        <w:t>DURING THE ANNUAL</w:t>
      </w:r>
      <w:r>
        <w:rPr>
          <w:rFonts w:ascii="Arial" w:cs="Arial" w:eastAsia="Arial" w:hAnsi="Arial"/>
          <w:sz w:val="13"/>
          <w:szCs w:val="13"/>
          <w:color w:val="auto"/>
        </w:rPr>
        <w:t xml:space="preserve"> you have already voted online, by telephone, by QR code or by mail, your vote during the Annual Meeting will</w:t>
      </w:r>
    </w:p>
    <w:p>
      <w:pPr>
        <w:ind w:left="1040"/>
        <w:spacing w:after="0" w:line="183" w:lineRule="auto"/>
        <w:rPr>
          <w:sz w:val="20"/>
          <w:szCs w:val="20"/>
          <w:color w:val="auto"/>
        </w:rPr>
      </w:pPr>
      <w:r>
        <w:rPr>
          <w:rFonts w:ascii="Arial" w:cs="Arial" w:eastAsia="Arial" w:hAnsi="Arial"/>
          <w:sz w:val="12"/>
          <w:szCs w:val="12"/>
          <w:b w:val="1"/>
          <w:bCs w:val="1"/>
          <w:color w:val="29378D"/>
        </w:rPr>
        <w:t>MEETING</w:t>
      </w:r>
    </w:p>
    <w:p>
      <w:pPr>
        <w:ind w:left="2740"/>
        <w:spacing w:after="0"/>
        <w:rPr>
          <w:sz w:val="20"/>
          <w:szCs w:val="20"/>
          <w:color w:val="auto"/>
        </w:rPr>
      </w:pPr>
      <w:r>
        <w:rPr>
          <w:rFonts w:ascii="Arial" w:cs="Arial" w:eastAsia="Arial" w:hAnsi="Arial"/>
          <w:sz w:val="16"/>
          <w:szCs w:val="16"/>
          <w:color w:val="auto"/>
        </w:rPr>
        <w:t>supersede your earlier vote.</w:t>
      </w:r>
    </w:p>
    <w:p>
      <w:pPr>
        <w:spacing w:after="0" w:line="327"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If any other matters are properly brought before the Annual Meeting, the proxy card gives discretionary authority to the proxyholders named on the card to vote the shares in their best judgment. A shareholder who executes a proxy may revoke it at any time before its exercise by delivering a written notice of revocation to the Corporate Secretary or by delivering a valid, later-dated proxy, or a later-dated vote by telephone or on the internet, in a timely manner. In addition, a shareholder attending the Annual Meeting may revoke the proxy by voting during the meeting.</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How do I vote my shares if they are held by a bank, broker or other nominee?</w:t>
      </w:r>
    </w:p>
    <w:p>
      <w:pPr>
        <w:spacing w:after="0" w:line="117"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 xml:space="preserve">If your shares are held in a stock brokerage account or by a bank or other nominee (that is, in street name), you are considered the “beneficial owner” of the shares that are registered in the street name. You are able to vote those shares, to attend the Annual Meeting as a shareholder, and to ask questions at the meeting. You will need to instruct the bank, broker or other nominee how to vote these shares using the procedure identified by the bank, broker or other nominee. You should receive voting instruction forms from your bank, broker or other nominee. We expect most banks, brokers and other nominees to enable beneficial owners to provide voting instructions by telephone or on the internet. Beneficial owners may view this Proxy Statement and the Annual Report on the internet by logging on to </w:t>
      </w:r>
      <w:r>
        <w:rPr>
          <w:rFonts w:ascii="Arial" w:cs="Arial" w:eastAsia="Arial" w:hAnsi="Arial"/>
          <w:sz w:val="16"/>
          <w:szCs w:val="16"/>
          <w:i w:val="1"/>
          <w:iCs w:val="1"/>
          <w:color w:val="auto"/>
        </w:rPr>
        <w:t>www.proxyvote.com</w:t>
      </w:r>
      <w:r>
        <w:rPr>
          <w:rFonts w:ascii="Arial" w:cs="Arial" w:eastAsia="Arial" w:hAnsi="Arial"/>
          <w:sz w:val="16"/>
          <w:szCs w:val="16"/>
          <w:color w:val="auto"/>
        </w:rPr>
        <w:t>.</w:t>
      </w:r>
    </w:p>
    <w:p>
      <w:pPr>
        <w:spacing w:after="0" w:line="8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 xml:space="preserve">Beneficial owners who hold shares in “street name” may revoke a proxy or change a vote by submitting a new, later-dated voting instruction form, contacting the bank, broker or other nominee or by voting during the Annual Meeting. If the notice of internet availability of our proxy materials or voting instruction form that you received does not indicate that you may vote your shares through the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website, you should contact your bank, broker, or other nominee (preferably at least five days before the meeting) and obtain your 16-digit control number that will allow you to attend, participate in, and vote at the meeting.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29378D"/>
        </w:rPr>
        <w:t>How do I vote my shares held under a Northrop Grumman savings plan?</w:t>
      </w:r>
    </w:p>
    <w:p>
      <w:pPr>
        <w:spacing w:after="0" w:line="13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If shares are held on an individual’s behalf under any of our savings plans, the proxy will serve to provide confidential instructions to the plan Trustee or Voting Manager who then votes the participant’s shares in accordance with the individual’s instructions. For those participants who do not vote their plan shares, the applicable Trustee or Voting Manager will vote their plan shares in the same proportion as shares held under the plan for which voting directions have been received, unless the Employee Retirement Income Security Act requires a different procedure.</w:t>
      </w:r>
    </w:p>
    <w:p>
      <w:pPr>
        <w:spacing w:after="0" w:line="65"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Savings plan participants may submit their voting instructions by the same methods as registered shareholders (see “How do I vote my shares if they are registered directly in my name?” above) but voting instructions from savings plan participants must be received by the applicable plan Trustee or Voting Manager by 11:59 p.m. Eastern Daylight Time on May 12, 2024 in order to be used by the plan Trustee or Voting Manager to determine the votes cast with respect to plan shares.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hanging="494"/>
        <w:spacing w:after="0"/>
        <w:tabs>
          <w:tab w:leader="none" w:pos="520" w:val="left"/>
        </w:tabs>
        <w:numPr>
          <w:ilvl w:val="0"/>
          <w:numId w:val="202"/>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15" w:name="page116"/>
    <w:bookmarkEnd w:id="115"/>
    <w:p>
      <w:pPr>
        <w:spacing w:after="0"/>
        <w:rPr>
          <w:sz w:val="20"/>
          <w:szCs w:val="20"/>
          <w:color w:val="auto"/>
        </w:rPr>
      </w:pPr>
      <w:r>
        <w:rPr>
          <w:rFonts w:ascii="Arial" w:cs="Arial" w:eastAsia="Arial" w:hAnsi="Arial"/>
          <w:sz w:val="43"/>
          <w:szCs w:val="43"/>
          <w:b w:val="1"/>
          <w:bCs w:val="1"/>
          <w:color w:val="29378D"/>
        </w:rPr>
        <w:t>Miscellaneous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Voting on Other Matters</w:t>
      </w:r>
    </w:p>
    <w:p>
      <w:pPr>
        <w:spacing w:after="0" w:line="14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 xml:space="preserve">We are not aware of any other business to be transacted at the Annual Meeting. Our Bylaws outline procedures, including minimum notice provisions, for shareholder nominations of directors and submission of other shareholder business to be transacted at the Annual Meeting. A copy of the pertinent Bylaw provisions is available on request to the Corporate Secretary, Northrop Grumman Corporation, 2980 Fairview Park Drive, Falls Church, Virginia 22042. Our Bylaws are also available in the Investor Relations section of our website at </w:t>
      </w:r>
      <w:r>
        <w:rPr>
          <w:rFonts w:ascii="Arial" w:cs="Arial" w:eastAsia="Arial" w:hAnsi="Arial"/>
          <w:sz w:val="16"/>
          <w:szCs w:val="16"/>
          <w:i w:val="1"/>
          <w:iCs w:val="1"/>
          <w:color w:val="auto"/>
        </w:rPr>
        <w:t>www.northropgrumman.com</w:t>
      </w:r>
      <w:r>
        <w:rPr>
          <w:rFonts w:ascii="Arial" w:cs="Arial" w:eastAsia="Arial" w:hAnsi="Arial"/>
          <w:sz w:val="16"/>
          <w:szCs w:val="16"/>
          <w:color w:val="auto"/>
        </w:rPr>
        <w:t>. If any other business properly comes before the Annual Meeting, the shares represented by proxies will be voted in accordance with the judgment of the persons authorized to vote them.</w:t>
      </w:r>
    </w:p>
    <w:p>
      <w:pPr>
        <w:spacing w:after="0" w:line="26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Shareholder Proposals for the 2025 Annual Meeting</w:t>
      </w:r>
    </w:p>
    <w:p>
      <w:pPr>
        <w:spacing w:after="0" w:line="14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 xml:space="preserve">Any shareholder who intends to present a proposal at the 2025 Annual Meeting must deliver the proposal to the Corporate Secretary at </w:t>
      </w:r>
      <w:r>
        <w:rPr>
          <w:rFonts w:ascii="Arial" w:cs="Arial" w:eastAsia="Arial" w:hAnsi="Arial"/>
          <w:sz w:val="16"/>
          <w:szCs w:val="16"/>
          <w:b w:val="1"/>
          <w:bCs w:val="1"/>
          <w:i w:val="1"/>
          <w:iCs w:val="1"/>
          <w:color w:val="auto"/>
        </w:rPr>
        <w:t>Northrop Grumman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Corporation, 2980 Fairview Park Drive, Falls Church, Virginia 22042</w:t>
      </w:r>
      <w:r>
        <w:rPr>
          <w:rFonts w:ascii="Arial" w:cs="Arial" w:eastAsia="Arial" w:hAnsi="Arial"/>
          <w:sz w:val="16"/>
          <w:szCs w:val="16"/>
          <w:color w:val="auto"/>
        </w:rPr>
        <w:t>:</w:t>
      </w:r>
    </w:p>
    <w:p>
      <w:pPr>
        <w:spacing w:after="0" w:line="46" w:lineRule="exact"/>
        <w:rPr>
          <w:sz w:val="20"/>
          <w:szCs w:val="20"/>
          <w:color w:val="auto"/>
        </w:rPr>
      </w:pPr>
    </w:p>
    <w:p>
      <w:pPr>
        <w:ind w:left="200" w:right="80" w:hanging="192"/>
        <w:spacing w:after="0" w:line="286" w:lineRule="auto"/>
        <w:tabs>
          <w:tab w:leader="none" w:pos="143" w:val="left"/>
        </w:tabs>
        <w:numPr>
          <w:ilvl w:val="0"/>
          <w:numId w:val="203"/>
        </w:numPr>
        <w:rPr>
          <w:rFonts w:ascii="Arial" w:cs="Arial" w:eastAsia="Arial" w:hAnsi="Arial"/>
          <w:sz w:val="16"/>
          <w:szCs w:val="16"/>
          <w:b w:val="1"/>
          <w:bCs w:val="1"/>
          <w:color w:val="29378D"/>
        </w:rPr>
      </w:pPr>
      <w:r>
        <w:rPr>
          <w:rFonts w:ascii="Arial" w:cs="Arial" w:eastAsia="Arial" w:hAnsi="Arial"/>
          <w:sz w:val="16"/>
          <w:szCs w:val="16"/>
          <w:color w:val="auto"/>
        </w:rPr>
        <w:t>not later than December 4, 2024, if the proposal is submitted for inclusion in the Company’s proxy materials for that meeting pursuant to Rule 14a-8 under the Exchange Act; and</w:t>
      </w:r>
    </w:p>
    <w:p>
      <w:pPr>
        <w:spacing w:after="0" w:line="20" w:lineRule="exact"/>
        <w:rPr>
          <w:rFonts w:ascii="Arial" w:cs="Arial" w:eastAsia="Arial" w:hAnsi="Arial"/>
          <w:sz w:val="16"/>
          <w:szCs w:val="16"/>
          <w:b w:val="1"/>
          <w:bCs w:val="1"/>
          <w:color w:val="29378D"/>
        </w:rPr>
      </w:pPr>
    </w:p>
    <w:p>
      <w:pPr>
        <w:ind w:left="200" w:right="100" w:hanging="192"/>
        <w:spacing w:after="0" w:line="275" w:lineRule="auto"/>
        <w:tabs>
          <w:tab w:leader="none" w:pos="143" w:val="left"/>
        </w:tabs>
        <w:numPr>
          <w:ilvl w:val="0"/>
          <w:numId w:val="203"/>
        </w:numPr>
        <w:rPr>
          <w:rFonts w:ascii="Arial" w:cs="Arial" w:eastAsia="Arial" w:hAnsi="Arial"/>
          <w:sz w:val="16"/>
          <w:szCs w:val="16"/>
          <w:b w:val="1"/>
          <w:bCs w:val="1"/>
          <w:color w:val="00249C"/>
        </w:rPr>
      </w:pPr>
      <w:r>
        <w:rPr>
          <w:rFonts w:ascii="Arial" w:cs="Arial" w:eastAsia="Arial" w:hAnsi="Arial"/>
          <w:sz w:val="16"/>
          <w:szCs w:val="16"/>
          <w:color w:val="auto"/>
        </w:rPr>
        <w:t>not earlier than December 4, 2024 and not later than January 3, 2025, if the proposal is submitted pursuant to the Bylaws, but not pursuant to Rule 14a-8, in which case we are not required to include the proposal in our proxy materials. If the 2025 Annual Meeting is convened more than 30 days prior to or delayed by more than 30 days after the one-year anniversary of the Annual Meeting, our Bylaws provide different notice requirements.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Any shareholder who wishes to introduce a proposal should review our Bylaws and applicable proxy rules of the SEC.</w:t>
      </w:r>
    </w:p>
    <w:p>
      <w:pPr>
        <w:spacing w:after="0" w:line="313" w:lineRule="exact"/>
        <w:rPr>
          <w:sz w:val="20"/>
          <w:szCs w:val="20"/>
          <w:color w:val="auto"/>
        </w:rPr>
      </w:pPr>
    </w:p>
    <w:p>
      <w:pPr>
        <w:ind w:right="960"/>
        <w:spacing w:after="0" w:line="295" w:lineRule="auto"/>
        <w:rPr>
          <w:sz w:val="20"/>
          <w:szCs w:val="20"/>
          <w:color w:val="auto"/>
        </w:rPr>
      </w:pPr>
      <w:r>
        <w:rPr>
          <w:rFonts w:ascii="Arial" w:cs="Arial" w:eastAsia="Arial" w:hAnsi="Arial"/>
          <w:sz w:val="32"/>
          <w:szCs w:val="32"/>
          <w:b w:val="1"/>
          <w:bCs w:val="1"/>
          <w:color w:val="auto"/>
        </w:rPr>
        <w:t>Shareholder Nominations for Director Elections at the 2025 Annual Meeting</w:t>
      </w:r>
    </w:p>
    <w:p>
      <w:pPr>
        <w:spacing w:after="0" w:line="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 xml:space="preserve">Any shareholder who intends to nominate a person for election as a director at the 2025 Annual Meeting must deliver a notice of such nomination (along with certain other information required by our Bylaws) to the Corporate Secretary at </w:t>
      </w:r>
      <w:r>
        <w:rPr>
          <w:rFonts w:ascii="Arial" w:cs="Arial" w:eastAsia="Arial" w:hAnsi="Arial"/>
          <w:sz w:val="16"/>
          <w:szCs w:val="16"/>
          <w:b w:val="1"/>
          <w:bCs w:val="1"/>
          <w:i w:val="1"/>
          <w:iCs w:val="1"/>
          <w:color w:val="auto"/>
        </w:rPr>
        <w:t>Northrop Grumman Corporation, 2980 Fairview Park Drive, Falls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Church, Virginia 22042</w:t>
      </w:r>
      <w:r>
        <w:rPr>
          <w:rFonts w:ascii="Arial" w:cs="Arial" w:eastAsia="Arial" w:hAnsi="Arial"/>
          <w:sz w:val="16"/>
          <w:szCs w:val="16"/>
          <w:color w:val="auto"/>
        </w:rPr>
        <w:t>:</w:t>
      </w:r>
    </w:p>
    <w:p>
      <w:pPr>
        <w:spacing w:after="0" w:line="97" w:lineRule="exact"/>
        <w:rPr>
          <w:sz w:val="20"/>
          <w:szCs w:val="20"/>
          <w:color w:val="auto"/>
        </w:rPr>
      </w:pPr>
    </w:p>
    <w:p>
      <w:pPr>
        <w:jc w:val="both"/>
        <w:ind w:left="200" w:right="140" w:hanging="192"/>
        <w:spacing w:after="0" w:line="275" w:lineRule="auto"/>
        <w:tabs>
          <w:tab w:leader="none" w:pos="143" w:val="left"/>
        </w:tabs>
        <w:numPr>
          <w:ilvl w:val="0"/>
          <w:numId w:val="204"/>
        </w:numPr>
        <w:rPr>
          <w:rFonts w:ascii="Arial" w:cs="Arial" w:eastAsia="Arial" w:hAnsi="Arial"/>
          <w:sz w:val="16"/>
          <w:szCs w:val="16"/>
          <w:b w:val="1"/>
          <w:bCs w:val="1"/>
          <w:color w:val="29378D"/>
        </w:rPr>
      </w:pPr>
      <w:r>
        <w:rPr>
          <w:rFonts w:ascii="Arial" w:cs="Arial" w:eastAsia="Arial" w:hAnsi="Arial"/>
          <w:sz w:val="16"/>
          <w:szCs w:val="16"/>
          <w:color w:val="auto"/>
        </w:rPr>
        <w:t>not earlier than November 4, 2024 and not later than December 4, 2024, if the nomination is submitted for inclusion in the Company’s proxy materials for that meeting pursuant to the Company’s proxy access provision, as set forth in our Bylaws, which nomination and supporting materials must comply with the requirements in our Bylaws; and</w:t>
      </w:r>
    </w:p>
    <w:p>
      <w:pPr>
        <w:spacing w:after="0" w:line="29" w:lineRule="exact"/>
        <w:rPr>
          <w:rFonts w:ascii="Arial" w:cs="Arial" w:eastAsia="Arial" w:hAnsi="Arial"/>
          <w:sz w:val="16"/>
          <w:szCs w:val="16"/>
          <w:b w:val="1"/>
          <w:bCs w:val="1"/>
          <w:color w:val="29378D"/>
        </w:rPr>
      </w:pPr>
    </w:p>
    <w:p>
      <w:pPr>
        <w:ind w:left="200" w:right="100" w:hanging="192"/>
        <w:spacing w:after="0" w:line="265" w:lineRule="auto"/>
        <w:tabs>
          <w:tab w:leader="none" w:pos="143" w:val="left"/>
        </w:tabs>
        <w:numPr>
          <w:ilvl w:val="0"/>
          <w:numId w:val="204"/>
        </w:numPr>
        <w:rPr>
          <w:rFonts w:ascii="Arial" w:cs="Arial" w:eastAsia="Arial" w:hAnsi="Arial"/>
          <w:sz w:val="16"/>
          <w:szCs w:val="16"/>
          <w:b w:val="1"/>
          <w:bCs w:val="1"/>
          <w:color w:val="29378D"/>
        </w:rPr>
      </w:pPr>
      <w:r>
        <w:rPr>
          <w:rFonts w:ascii="Arial" w:cs="Arial" w:eastAsia="Arial" w:hAnsi="Arial"/>
          <w:sz w:val="16"/>
          <w:szCs w:val="16"/>
          <w:color w:val="auto"/>
        </w:rPr>
        <w:t>not earlier than December 4, 2024 and not later than January 3, 2025, if the nomination is submitted pursuant to the Bylaws, but not pursuant to our proxy access provision, in which case we are not required to include the nomination in our proxy materials (except as may be required in our proxy card pursuant to Rule 14a-19). If the 2025 Annual Meeting is convened more than 30 days prior to or delayed by more than 30 days after the one-year anniversary of the Annual Meeting, our Bylaws provide different notice requirements.</w:t>
      </w:r>
    </w:p>
    <w:p>
      <w:pPr>
        <w:spacing w:after="0" w:line="6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Any shareholder who wishes to nominate a person for election as a director should review our Bylaws. In addition, shareholders who intend to solicit proxies in reliance on the SEC’s universal proxy rule for director nominees submitted under the advance notice requirements of our Bylaws must comply with the additional requirements of Rule 14a-19, including delivery of written notice that sets forth all information required by Rule 14a-19(b) under the Exchange Act.</w:t>
      </w: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Householding Information</w:t>
      </w:r>
    </w:p>
    <w:p>
      <w:pPr>
        <w:spacing w:after="0" w:line="14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This means that only one copy of the Notice of Internet Availability of Proxy Materials may have been sent to multiple shareholders in a household. We will promptly deliver a separate copy to a shareholder upon written or oral request to the Corporate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113</w:t>
            </w:r>
          </w:p>
        </w:tc>
      </w:tr>
      <w:tr>
        <w:trPr>
          <w:trHeight w:val="306"/>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b w:val="1"/>
          <w:bCs w:val="1"/>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Secretary at the following address and phone number: </w:t>
      </w:r>
      <w:r>
        <w:rPr>
          <w:rFonts w:ascii="Arial" w:cs="Arial" w:eastAsia="Arial" w:hAnsi="Arial"/>
          <w:sz w:val="16"/>
          <w:szCs w:val="16"/>
          <w:b w:val="1"/>
          <w:bCs w:val="1"/>
          <w:i w:val="1"/>
          <w:iCs w:val="1"/>
          <w:color w:val="auto"/>
        </w:rPr>
        <w:t>Northrop Grumman Corporation, 2980 Fairview Park Drive, Falls Church, Virginia 22042,</w:t>
      </w:r>
    </w:p>
    <w:p>
      <w:pPr>
        <w:spacing w:after="0" w:line="21" w:lineRule="exact"/>
        <w:rPr>
          <w:sz w:val="20"/>
          <w:szCs w:val="20"/>
          <w:color w:val="auto"/>
        </w:rPr>
      </w:pPr>
    </w:p>
    <w:p>
      <w:pPr>
        <w:ind w:firstLine="8"/>
        <w:spacing w:after="0" w:line="264" w:lineRule="auto"/>
        <w:tabs>
          <w:tab w:leader="none" w:pos="423" w:val="left"/>
        </w:tabs>
        <w:numPr>
          <w:ilvl w:val="0"/>
          <w:numId w:val="20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280-2900</w:t>
      </w:r>
      <w:r>
        <w:rPr>
          <w:rFonts w:ascii="Arial" w:cs="Arial" w:eastAsia="Arial" w:hAnsi="Arial"/>
          <w:sz w:val="16"/>
          <w:szCs w:val="16"/>
          <w:color w:val="auto"/>
        </w:rPr>
        <w:t>. To receive separate copies of the notice in the future, or if a shareholder is receiving multiple copies and would like to receive only one copy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household, the shareholder should contact his or her bank, broker or other nominee record holder, or may contact the Corporate Secretary at the above address or phone number.</w:t>
      </w: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Cost of Soliciting Proxies</w:t>
      </w:r>
    </w:p>
    <w:p>
      <w:pPr>
        <w:spacing w:after="0" w:line="13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will pay all costs of soliciting proxies. We have made arrangements with brokerage houses and other custodians, nominees and fiduciaries to make proxy materials available to beneficial owners. We will, upon request, reimburse them for reasonable expenses incurred. We have retained D.F. King &amp; Co., Inc. of New York at an estimated fee of $22,500, plus reasonable disbursements to solicit proxies on our behalf. Our officers, directors and regular employees may solicit proxies personally, by means of materials prepared for shareholders and employee-shareholders or by telephone or other methods to the extent deemed appropriate by the Board.</w:t>
      </w:r>
    </w:p>
    <w:p>
      <w:pPr>
        <w:spacing w:after="0" w:line="64"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No additional compensation will be paid to such individuals for this activity. The extent to which this solicitation will be necessary will depend upon how promptly proxies are received. We therefore urge shareholders to give voting instructions without delay.</w:t>
      </w:r>
    </w:p>
    <w:p>
      <w:pPr>
        <w:spacing w:after="0" w:line="23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Available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You may obtain a copy of the following corporate governance materials on the Investor Relations section of our website (</w:t>
      </w:r>
      <w:r>
        <w:rPr>
          <w:rFonts w:ascii="Arial" w:cs="Arial" w:eastAsia="Arial" w:hAnsi="Arial"/>
          <w:sz w:val="16"/>
          <w:szCs w:val="16"/>
          <w:i w:val="1"/>
          <w:iCs w:val="1"/>
          <w:color w:val="auto"/>
        </w:rPr>
        <w:t>www.northropgrumman.com</w:t>
      </w:r>
      <w:r>
        <w:rPr>
          <w:rFonts w:ascii="Arial" w:cs="Arial" w:eastAsia="Arial" w:hAnsi="Arial"/>
          <w:sz w:val="16"/>
          <w:szCs w:val="16"/>
          <w:color w:val="auto"/>
        </w:rPr>
        <w:t>)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Corporate Governance:</w:t>
      </w:r>
    </w:p>
    <w:p>
      <w:pPr>
        <w:spacing w:after="0" w:line="111" w:lineRule="exact"/>
        <w:rPr>
          <w:sz w:val="20"/>
          <w:szCs w:val="20"/>
          <w:color w:val="auto"/>
        </w:rPr>
      </w:pPr>
    </w:p>
    <w:p>
      <w:pPr>
        <w:ind w:left="140" w:hanging="132"/>
        <w:spacing w:after="0"/>
        <w:tabs>
          <w:tab w:leader="none" w:pos="140" w:val="left"/>
        </w:tabs>
        <w:numPr>
          <w:ilvl w:val="0"/>
          <w:numId w:val="206"/>
        </w:numPr>
        <w:rPr>
          <w:rFonts w:ascii="Arial" w:cs="Arial" w:eastAsia="Arial" w:hAnsi="Arial"/>
          <w:sz w:val="16"/>
          <w:szCs w:val="16"/>
          <w:b w:val="1"/>
          <w:bCs w:val="1"/>
          <w:color w:val="29378D"/>
        </w:rPr>
      </w:pPr>
      <w:r>
        <w:rPr>
          <w:rFonts w:ascii="Arial" w:cs="Arial" w:eastAsia="Arial" w:hAnsi="Arial"/>
          <w:sz w:val="16"/>
          <w:szCs w:val="16"/>
          <w:color w:val="auto"/>
        </w:rPr>
        <w:t>Bylaws;</w:t>
      </w:r>
    </w:p>
    <w:p>
      <w:pPr>
        <w:spacing w:after="0" w:line="72" w:lineRule="exact"/>
        <w:rPr>
          <w:rFonts w:ascii="Arial" w:cs="Arial" w:eastAsia="Arial" w:hAnsi="Arial"/>
          <w:sz w:val="16"/>
          <w:szCs w:val="16"/>
          <w:b w:val="1"/>
          <w:bCs w:val="1"/>
          <w:color w:val="29378D"/>
        </w:rPr>
      </w:pPr>
    </w:p>
    <w:p>
      <w:pPr>
        <w:ind w:left="140" w:hanging="132"/>
        <w:spacing w:after="0"/>
        <w:tabs>
          <w:tab w:leader="none" w:pos="140" w:val="left"/>
        </w:tabs>
        <w:numPr>
          <w:ilvl w:val="0"/>
          <w:numId w:val="206"/>
        </w:numPr>
        <w:rPr>
          <w:rFonts w:ascii="Arial" w:cs="Arial" w:eastAsia="Arial" w:hAnsi="Arial"/>
          <w:sz w:val="16"/>
          <w:szCs w:val="16"/>
          <w:b w:val="1"/>
          <w:bCs w:val="1"/>
          <w:color w:val="29378D"/>
        </w:rPr>
      </w:pPr>
      <w:r>
        <w:rPr>
          <w:rFonts w:ascii="Arial" w:cs="Arial" w:eastAsia="Arial" w:hAnsi="Arial"/>
          <w:sz w:val="16"/>
          <w:szCs w:val="16"/>
          <w:color w:val="auto"/>
        </w:rPr>
        <w:t>Principles of Corporate Governance;</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206"/>
        </w:numPr>
        <w:rPr>
          <w:rFonts w:ascii="Arial" w:cs="Arial" w:eastAsia="Arial" w:hAnsi="Arial"/>
          <w:sz w:val="16"/>
          <w:szCs w:val="16"/>
          <w:b w:val="1"/>
          <w:bCs w:val="1"/>
          <w:color w:val="29378D"/>
        </w:rPr>
      </w:pPr>
      <w:r>
        <w:rPr>
          <w:rFonts w:ascii="Arial" w:cs="Arial" w:eastAsia="Arial" w:hAnsi="Arial"/>
          <w:sz w:val="16"/>
          <w:szCs w:val="16"/>
          <w:color w:val="auto"/>
        </w:rPr>
        <w:t>Standards of Business Conduct;</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206"/>
        </w:numPr>
        <w:rPr>
          <w:rFonts w:ascii="Arial" w:cs="Arial" w:eastAsia="Arial" w:hAnsi="Arial"/>
          <w:sz w:val="16"/>
          <w:szCs w:val="16"/>
          <w:b w:val="1"/>
          <w:bCs w:val="1"/>
          <w:color w:val="29378D"/>
        </w:rPr>
      </w:pPr>
      <w:r>
        <w:rPr>
          <w:rFonts w:ascii="Arial" w:cs="Arial" w:eastAsia="Arial" w:hAnsi="Arial"/>
          <w:sz w:val="16"/>
          <w:szCs w:val="16"/>
          <w:color w:val="auto"/>
        </w:rPr>
        <w:t>Policy and Procedure Regarding Company Transactions with Related Persons; and</w:t>
      </w:r>
    </w:p>
    <w:p>
      <w:pPr>
        <w:spacing w:after="0" w:line="86" w:lineRule="exact"/>
        <w:rPr>
          <w:rFonts w:ascii="Arial" w:cs="Arial" w:eastAsia="Arial" w:hAnsi="Arial"/>
          <w:sz w:val="16"/>
          <w:szCs w:val="16"/>
          <w:b w:val="1"/>
          <w:bCs w:val="1"/>
          <w:color w:val="29378D"/>
        </w:rPr>
      </w:pPr>
    </w:p>
    <w:p>
      <w:pPr>
        <w:ind w:left="140" w:hanging="132"/>
        <w:spacing w:after="0"/>
        <w:tabs>
          <w:tab w:leader="none" w:pos="140" w:val="left"/>
        </w:tabs>
        <w:numPr>
          <w:ilvl w:val="0"/>
          <w:numId w:val="206"/>
        </w:numPr>
        <w:rPr>
          <w:rFonts w:ascii="Arial" w:cs="Arial" w:eastAsia="Arial" w:hAnsi="Arial"/>
          <w:sz w:val="16"/>
          <w:szCs w:val="16"/>
          <w:b w:val="1"/>
          <w:bCs w:val="1"/>
          <w:color w:val="29378D"/>
        </w:rPr>
      </w:pPr>
      <w:r>
        <w:rPr>
          <w:rFonts w:ascii="Arial" w:cs="Arial" w:eastAsia="Arial" w:hAnsi="Arial"/>
          <w:sz w:val="16"/>
          <w:szCs w:val="16"/>
          <w:color w:val="auto"/>
        </w:rPr>
        <w:t>Board Committee Charters.</w:t>
      </w:r>
    </w:p>
    <w:p>
      <w:pPr>
        <w:spacing w:after="0" w:line="113" w:lineRule="exact"/>
        <w:rPr>
          <w:sz w:val="20"/>
          <w:szCs w:val="20"/>
          <w:color w:val="auto"/>
        </w:rPr>
      </w:pPr>
    </w:p>
    <w:p>
      <w:pPr>
        <w:ind w:right="380"/>
        <w:spacing w:after="0" w:line="296" w:lineRule="auto"/>
        <w:rPr>
          <w:sz w:val="20"/>
          <w:szCs w:val="20"/>
          <w:color w:val="auto"/>
        </w:rPr>
      </w:pPr>
      <w:r>
        <w:rPr>
          <w:rFonts w:ascii="Arial" w:cs="Arial" w:eastAsia="Arial" w:hAnsi="Arial"/>
          <w:sz w:val="16"/>
          <w:szCs w:val="16"/>
          <w:color w:val="auto"/>
        </w:rPr>
        <w:t xml:space="preserve">Copies of these documents are also available without charge to any shareholder upon written request to the Corporate Secretary, </w:t>
      </w:r>
      <w:r>
        <w:rPr>
          <w:rFonts w:ascii="Arial" w:cs="Arial" w:eastAsia="Arial" w:hAnsi="Arial"/>
          <w:sz w:val="16"/>
          <w:szCs w:val="16"/>
          <w:b w:val="1"/>
          <w:bCs w:val="1"/>
          <w:color w:val="auto"/>
        </w:rPr>
        <w:t>Northrop Grumman</w:t>
      </w:r>
      <w:r>
        <w:rPr>
          <w:rFonts w:ascii="Arial" w:cs="Arial" w:eastAsia="Arial" w:hAnsi="Arial"/>
          <w:sz w:val="16"/>
          <w:szCs w:val="16"/>
          <w:color w:val="auto"/>
        </w:rPr>
        <w:t xml:space="preserve"> </w:t>
      </w:r>
      <w:r>
        <w:rPr>
          <w:rFonts w:ascii="Arial" w:cs="Arial" w:eastAsia="Arial" w:hAnsi="Arial"/>
          <w:sz w:val="16"/>
          <w:szCs w:val="16"/>
          <w:b w:val="1"/>
          <w:bCs w:val="1"/>
          <w:color w:val="auto"/>
        </w:rPr>
        <w:t>Corporation, 2980 Fairview Park Drive, Falls Church, Virginia 22042</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disclose amendments to provisions of our Standards of Business Conduct by posting amendments on our website.</w:t>
      </w:r>
    </w:p>
    <w:p>
      <w:pPr>
        <w:spacing w:after="0" w:line="3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Incorporation by Reference</w:t>
      </w:r>
    </w:p>
    <w:p>
      <w:pPr>
        <w:spacing w:after="0" w:line="148"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In accordance with SEC rules, notwithstanding anything to the contrary set forth in any of our previous or future filings under the Securities Act of 1933, as amended, or the Exchange Act that might incorporate this Proxy Statement or future filings made by the Company under those statutes, the information included under the section entitled “Compensation and Human Capital Committee Report” and those portions of the information included under the section entitled “Audit and Risk Committee Report” required by the SEC’s rules to be included therein, shall not be deemed to be “soliciting material” nor shall the information included under the section entitled “Compensation of Directors - Stock Ownership Requirements and Anti-Hedging and Pledging Policy,” the information included under the section entitled “Compensation and Human Capital Committee Report,” or those portions of the information included under the section entitled “Audit and Risk Committee Report” required by the SEC’s rules to be included therein, be “filed” with the SEC or, along with the information included under the section entitled ”Pay Versus Performance,” be deemed incorporated by reference into any of those prior filings or into any future filings made by the Company under those statutes, except to the extent we specifically incorporate these items by reference.</w:t>
      </w:r>
    </w:p>
    <w:p>
      <w:pPr>
        <w:spacing w:after="0" w:line="69"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Web links throughout this document are provided for convenience only, and the content on the referenced websites does not constitute a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0" w:hanging="494"/>
        <w:spacing w:after="0"/>
        <w:tabs>
          <w:tab w:leader="none" w:pos="520" w:val="left"/>
        </w:tabs>
        <w:numPr>
          <w:ilvl w:val="0"/>
          <w:numId w:val="207"/>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17" w:name="page118"/>
    <w:bookmarkEnd w:id="117"/>
    <w:p>
      <w:pPr>
        <w:ind w:left="10260"/>
        <w:spacing w:after="0"/>
        <w:rPr>
          <w:sz w:val="20"/>
          <w:szCs w:val="20"/>
          <w:color w:val="auto"/>
        </w:rPr>
      </w:pPr>
      <w:r>
        <w:rPr>
          <w:rFonts w:ascii="Arial" w:cs="Arial" w:eastAsia="Arial" w:hAnsi="Arial"/>
          <w:sz w:val="14"/>
          <w:szCs w:val="14"/>
          <w:b w:val="1"/>
          <w:bCs w:val="1"/>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Annual Report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April 3, 2024</w:t>
      </w:r>
    </w:p>
    <w:p>
      <w:pPr>
        <w:spacing w:after="0" w:line="113"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NOTICE: THE COMPANY FILED AN ANNUAL REPORT ON FORM 10-K FOR THE YEAR ENDED DECEMBER 31, 2023 ON JANUARY 25, 2024. SHAREHOLDERS OF RECORD ON MARCH 19, 2024 MAY OBTAIN A COPY OF THIS REPORT WITHOUT CHARGE UPON WRITTEN REQUEST TO THE CORPORATE SECRETARY, NORTHROP GRUMMAN CORPORATION, 2980 FAIRVIEW PARK DRIVE, FALLS CHURCH, VIRGINIA 22042.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44450</wp:posOffset>
            </wp:positionV>
            <wp:extent cx="1122680" cy="3600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12268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80"/>
        <w:spacing w:after="0"/>
        <w:rPr>
          <w:sz w:val="20"/>
          <w:szCs w:val="20"/>
          <w:color w:val="auto"/>
        </w:rPr>
      </w:pPr>
      <w:r>
        <w:rPr>
          <w:rFonts w:ascii="Arial" w:cs="Arial" w:eastAsia="Arial" w:hAnsi="Arial"/>
          <w:sz w:val="16"/>
          <w:szCs w:val="16"/>
          <w:b w:val="1"/>
          <w:bCs w:val="1"/>
          <w:color w:val="29378D"/>
        </w:rPr>
        <w:t>Jennifer C. McGarey</w:t>
      </w:r>
    </w:p>
    <w:p>
      <w:pPr>
        <w:spacing w:after="0" w:line="21" w:lineRule="exact"/>
        <w:rPr>
          <w:sz w:val="20"/>
          <w:szCs w:val="20"/>
          <w:color w:val="auto"/>
        </w:rPr>
      </w:pPr>
    </w:p>
    <w:p>
      <w:pPr>
        <w:ind w:left="8380"/>
        <w:spacing w:after="0"/>
        <w:rPr>
          <w:sz w:val="20"/>
          <w:szCs w:val="20"/>
          <w:color w:val="auto"/>
        </w:rPr>
      </w:pPr>
      <w:r>
        <w:rPr>
          <w:rFonts w:ascii="Arial" w:cs="Arial" w:eastAsia="Arial" w:hAnsi="Arial"/>
          <w:sz w:val="16"/>
          <w:szCs w:val="16"/>
          <w:color w:val="auto"/>
        </w:rPr>
        <w:t>Corporate Vice President and Secretary</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115</w:t>
            </w:r>
          </w:p>
        </w:tc>
      </w:tr>
      <w:tr>
        <w:trPr>
          <w:trHeight w:val="320"/>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18" w:name="page119"/>
    <w:bookmarkEnd w:id="118"/>
    <w:p>
      <w:pPr>
        <w:spacing w:after="0"/>
        <w:rPr>
          <w:sz w:val="20"/>
          <w:szCs w:val="20"/>
          <w:color w:val="auto"/>
        </w:rPr>
      </w:pPr>
      <w:r>
        <w:rPr>
          <w:rFonts w:ascii="Arial" w:cs="Arial" w:eastAsia="Arial" w:hAnsi="Arial"/>
          <w:sz w:val="43"/>
          <w:szCs w:val="43"/>
          <w:b w:val="1"/>
          <w:bCs w:val="1"/>
          <w:color w:val="29378D"/>
        </w:rPr>
        <w:t>Appendix A – Use of Non-GAAP Financial Measures</w:t>
      </w:r>
    </w:p>
    <w:p>
      <w:pPr>
        <w:spacing w:after="0" w:line="200" w:lineRule="exact"/>
        <w:rPr>
          <w:sz w:val="20"/>
          <w:szCs w:val="20"/>
          <w:color w:val="auto"/>
        </w:rPr>
      </w:pPr>
    </w:p>
    <w:p>
      <w:pPr>
        <w:spacing w:after="0" w:line="26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This Proxy Statement contains non-GAAP (accounting principles generally accepted in the United States of America) financial measures, as defined by SEC Regulation G and indicated by an asterisk in this Proxy Statement. While we believe investors and other users of our financial statements may find these non-GAAP financial measures useful in evaluating our financial performance and operational trends, they should be considered as supplemental in nature, and therefore, should not be considered in isolation or as a substitute for financial information prepared in accordance with GAAP. Definitions for the non-GAAP financial measures contained in this Proxy Statement are provided below and the reconciliations of non-GAAP financial measures presented in this Proxy Statement are located on pages 119 to 121 of this Appendix A. Other companies, including companies in our industry, may define these measures differently or may utilize different non-GAAP financial measures, limiting the usefulness of those measures for comparative purposes between companies.</w:t>
      </w:r>
    </w:p>
    <w:p>
      <w:pPr>
        <w:spacing w:after="0" w:line="6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Certain non-GAAP financial measures below are used as internal measures for performance-based compensation decisions, as further discussed in the “Key Components of Our Executive Compensation Programs” section of the Compensation Discussion and Analysis. The Compensation and Human Capital Committee has discretion to make adjustments to these measures in instances where the Company’s performance has been impacted by unforeseen or unusual events. For 2023, 2022 and 2021, the Compensation and Human Capital Committee adjusted the calculation of certain measures in order to exclude the impact of certain events or transactions that were not contemplated when the performance metrics were established.</w:t>
      </w:r>
    </w:p>
    <w:p>
      <w:pPr>
        <w:spacing w:after="0" w:line="64" w:lineRule="exact"/>
        <w:rPr>
          <w:sz w:val="20"/>
          <w:szCs w:val="20"/>
          <w:color w:val="auto"/>
        </w:rPr>
      </w:pPr>
    </w:p>
    <w:p>
      <w:pPr>
        <w:spacing w:after="0" w:line="265" w:lineRule="auto"/>
        <w:rPr>
          <w:sz w:val="20"/>
          <w:szCs w:val="20"/>
          <w:color w:val="auto"/>
        </w:rPr>
      </w:pPr>
      <w:r>
        <w:rPr>
          <w:rFonts w:ascii="Arial" w:cs="Arial" w:eastAsia="Arial" w:hAnsi="Arial"/>
          <w:sz w:val="16"/>
          <w:szCs w:val="16"/>
          <w:b w:val="1"/>
          <w:bCs w:val="1"/>
          <w:u w:val="single" w:color="auto"/>
          <w:color w:val="auto"/>
        </w:rPr>
        <w:t>Cash Flow Metrics</w:t>
      </w:r>
      <w:r>
        <w:rPr>
          <w:rFonts w:ascii="Arial" w:cs="Arial" w:eastAsia="Arial" w:hAnsi="Arial"/>
          <w:sz w:val="16"/>
          <w:szCs w:val="16"/>
          <w:color w:val="auto"/>
        </w:rPr>
        <w:t>: We use cash flow metrics as internal measures of financial performance and for performance based compensation decisions. We also</w:t>
      </w:r>
      <w:r>
        <w:rPr>
          <w:rFonts w:ascii="Arial" w:cs="Arial" w:eastAsia="Arial" w:hAnsi="Arial"/>
          <w:sz w:val="16"/>
          <w:szCs w:val="16"/>
          <w:b w:val="1"/>
          <w:bCs w:val="1"/>
          <w:color w:val="auto"/>
        </w:rPr>
        <w:t xml:space="preserve"> </w:t>
      </w:r>
      <w:r>
        <w:rPr>
          <w:rFonts w:ascii="Arial" w:cs="Arial" w:eastAsia="Arial" w:hAnsi="Arial"/>
          <w:sz w:val="16"/>
          <w:szCs w:val="16"/>
          <w:color w:val="auto"/>
        </w:rPr>
        <w:t>use these measures as a key factor in our planning for, and consideration of, acquisitions, payments of dividends and share repurchases. The following cash flow metrics may be useful to investors and other users of our financial statements as a supplemental measure of our cash performance, but should not be considered in isolation, as a measure of residual cash flow available for discretionary purposes, or as an alternative to operating results presented in accordance with GAAP. All cash flow metrics are reconciled below.</w:t>
      </w:r>
    </w:p>
    <w:p>
      <w:pPr>
        <w:spacing w:after="0" w:line="64" w:lineRule="exact"/>
        <w:rPr>
          <w:sz w:val="20"/>
          <w:szCs w:val="20"/>
          <w:color w:val="auto"/>
        </w:rPr>
      </w:pPr>
    </w:p>
    <w:p>
      <w:pPr>
        <w:ind w:left="200" w:right="480"/>
        <w:spacing w:after="0" w:line="286" w:lineRule="auto"/>
        <w:rPr>
          <w:sz w:val="20"/>
          <w:szCs w:val="20"/>
          <w:color w:val="auto"/>
        </w:rPr>
      </w:pPr>
      <w:r>
        <w:rPr>
          <w:rFonts w:ascii="Arial" w:cs="Arial" w:eastAsia="Arial" w:hAnsi="Arial"/>
          <w:sz w:val="16"/>
          <w:szCs w:val="16"/>
          <w:b w:val="1"/>
          <w:bCs w:val="1"/>
          <w:u w:val="single" w:color="auto"/>
          <w:color w:val="auto"/>
        </w:rPr>
        <w:t>Free Cash Flow:</w:t>
      </w:r>
      <w:r>
        <w:rPr>
          <w:rFonts w:ascii="Arial" w:cs="Arial" w:eastAsia="Arial" w:hAnsi="Arial"/>
          <w:sz w:val="16"/>
          <w:szCs w:val="16"/>
          <w:b w:val="1"/>
          <w:bCs w:val="1"/>
          <w:color w:val="auto"/>
        </w:rPr>
        <w:t xml:space="preserve"> </w:t>
      </w:r>
      <w:r>
        <w:rPr>
          <w:rFonts w:ascii="Arial" w:cs="Arial" w:eastAsia="Arial" w:hAnsi="Arial"/>
          <w:sz w:val="16"/>
          <w:szCs w:val="16"/>
          <w:color w:val="auto"/>
        </w:rPr>
        <w:t>Net cash provided by operating activities, less capital expenditures. We use free cash flow as a key factor in our planning for, and</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of, acquisitions, the payment of dividends and stock repurchases.</w:t>
      </w:r>
    </w:p>
    <w:p>
      <w:pPr>
        <w:spacing w:after="0" w:line="61" w:lineRule="exact"/>
        <w:rPr>
          <w:sz w:val="20"/>
          <w:szCs w:val="20"/>
          <w:color w:val="auto"/>
        </w:rPr>
      </w:pPr>
    </w:p>
    <w:p>
      <w:pPr>
        <w:ind w:left="200" w:right="120"/>
        <w:spacing w:after="0" w:line="265" w:lineRule="auto"/>
        <w:rPr>
          <w:sz w:val="20"/>
          <w:szCs w:val="20"/>
          <w:color w:val="auto"/>
        </w:rPr>
      </w:pPr>
      <w:r>
        <w:rPr>
          <w:rFonts w:ascii="Arial" w:cs="Arial" w:eastAsia="Arial" w:hAnsi="Arial"/>
          <w:sz w:val="16"/>
          <w:szCs w:val="16"/>
          <w:b w:val="1"/>
          <w:bCs w:val="1"/>
          <w:u w:val="single" w:color="auto"/>
          <w:color w:val="auto"/>
        </w:rPr>
        <w:t>Adjusted Free Cash Flow (Adjusted FCF)</w:t>
      </w:r>
      <w:r>
        <w:rPr>
          <w:rFonts w:ascii="Arial" w:cs="Arial" w:eastAsia="Arial" w:hAnsi="Arial"/>
          <w:sz w:val="16"/>
          <w:szCs w:val="16"/>
          <w:color w:val="auto"/>
        </w:rPr>
        <w:t>: Net cash provided by operating activities, less capital expenditures, plus proceeds from the sale of</w:t>
      </w:r>
      <w:r>
        <w:rPr>
          <w:rFonts w:ascii="Arial" w:cs="Arial" w:eastAsia="Arial" w:hAnsi="Arial"/>
          <w:sz w:val="16"/>
          <w:szCs w:val="16"/>
          <w:b w:val="1"/>
          <w:bCs w:val="1"/>
          <w:color w:val="auto"/>
        </w:rPr>
        <w:t xml:space="preserve"> </w:t>
      </w:r>
      <w:r>
        <w:rPr>
          <w:rFonts w:ascii="Arial" w:cs="Arial" w:eastAsia="Arial" w:hAnsi="Arial"/>
          <w:sz w:val="16"/>
          <w:szCs w:val="16"/>
          <w:color w:val="auto"/>
        </w:rPr>
        <w:t>equipment to a customer (not otherwise included in net cash provided by or used in operating activities) and the after-tax impact of discretionary pension contributions, if any. Adjusted Free Cash Flow includes proceeds from the sale of equipment to a customer as proceeds were generated in a customer sales transaction. It also includes the after-tax impact of discretionary pension contributions for consistency and comparability of financial performance.</w:t>
      </w:r>
    </w:p>
    <w:p>
      <w:pPr>
        <w:spacing w:after="0" w:line="65" w:lineRule="exact"/>
        <w:rPr>
          <w:sz w:val="20"/>
          <w:szCs w:val="20"/>
          <w:color w:val="auto"/>
        </w:rPr>
      </w:pPr>
    </w:p>
    <w:p>
      <w:pPr>
        <w:ind w:left="200"/>
        <w:spacing w:after="0" w:line="261" w:lineRule="auto"/>
        <w:rPr>
          <w:sz w:val="20"/>
          <w:szCs w:val="20"/>
          <w:color w:val="auto"/>
        </w:rPr>
      </w:pPr>
      <w:r>
        <w:rPr>
          <w:rFonts w:ascii="Arial" w:cs="Arial" w:eastAsia="Arial" w:hAnsi="Arial"/>
          <w:sz w:val="16"/>
          <w:szCs w:val="16"/>
          <w:b w:val="1"/>
          <w:bCs w:val="1"/>
          <w:u w:val="single" w:color="auto"/>
          <w:color w:val="auto"/>
        </w:rPr>
        <w:t>Transaction-Adjusted Free Cash Flow:</w:t>
      </w:r>
      <w:r>
        <w:rPr>
          <w:rFonts w:ascii="Arial" w:cs="Arial" w:eastAsia="Arial" w:hAnsi="Arial"/>
          <w:sz w:val="16"/>
          <w:szCs w:val="16"/>
          <w:b w:val="1"/>
          <w:bCs w:val="1"/>
          <w:color w:val="auto"/>
        </w:rPr>
        <w:t xml:space="preserve"> </w:t>
      </w:r>
      <w:r>
        <w:rPr>
          <w:rFonts w:ascii="Arial" w:cs="Arial" w:eastAsia="Arial" w:hAnsi="Arial"/>
          <w:sz w:val="16"/>
          <w:szCs w:val="16"/>
          <w:color w:val="auto"/>
        </w:rPr>
        <w:t>Net cash provided by operating activities, less capital expenditures, plus proceeds from the sale of equipment to</w:t>
      </w:r>
      <w:r>
        <w:rPr>
          <w:rFonts w:ascii="Arial" w:cs="Arial" w:eastAsia="Arial" w:hAnsi="Arial"/>
          <w:sz w:val="16"/>
          <w:szCs w:val="16"/>
          <w:b w:val="1"/>
          <w:bCs w:val="1"/>
          <w:color w:val="auto"/>
        </w:rPr>
        <w:t xml:space="preserve"> </w:t>
      </w:r>
      <w:r>
        <w:rPr>
          <w:rFonts w:ascii="Arial" w:cs="Arial" w:eastAsia="Arial" w:hAnsi="Arial"/>
          <w:sz w:val="16"/>
          <w:szCs w:val="16"/>
          <w:color w:val="auto"/>
        </w:rPr>
        <w:t>a customer (not otherwise included in net cash provided by or used in operating activities), the after-tax impact of discretionary pension contributions, if any, and cash paid for federal and state taxes and transaction costs associated with the IT services divestiture. Transaction-Adjusted Free Cash Flow includes proceeds from the sale of equipment to a customer as such proceeds were generated in a customer sales transaction. It includes the after-tax impact of discretionary pension contributions and cash paid for federal and state taxes and transaction costs associated with the IT services divestiture for consistency and comparability of financial performance.</w:t>
      </w:r>
    </w:p>
    <w:p>
      <w:pPr>
        <w:spacing w:after="0" w:line="82" w:lineRule="exact"/>
        <w:rPr>
          <w:sz w:val="20"/>
          <w:szCs w:val="20"/>
          <w:color w:val="auto"/>
        </w:rPr>
      </w:pPr>
    </w:p>
    <w:p>
      <w:pPr>
        <w:ind w:left="200" w:right="100"/>
        <w:spacing w:after="0" w:line="286" w:lineRule="auto"/>
        <w:rPr>
          <w:sz w:val="20"/>
          <w:szCs w:val="20"/>
          <w:color w:val="auto"/>
        </w:rPr>
      </w:pPr>
      <w:r>
        <w:rPr>
          <w:rFonts w:ascii="Arial" w:cs="Arial" w:eastAsia="Arial" w:hAnsi="Arial"/>
          <w:sz w:val="16"/>
          <w:szCs w:val="16"/>
          <w:b w:val="1"/>
          <w:bCs w:val="1"/>
          <w:u w:val="single" w:color="auto"/>
          <w:color w:val="auto"/>
        </w:rPr>
        <w:t>Transaction-Adjusted Free Cash Flow Before After-Tax Total Pension Funding</w:t>
      </w:r>
      <w:r>
        <w:rPr>
          <w:rFonts w:ascii="Arial" w:cs="Arial" w:eastAsia="Arial" w:hAnsi="Arial"/>
          <w:sz w:val="16"/>
          <w:szCs w:val="16"/>
          <w:color w:val="auto"/>
        </w:rPr>
        <w:t>: Transaction-Adjusted Free Cash Flow, as defined above, before the</w:t>
      </w:r>
      <w:r>
        <w:rPr>
          <w:rFonts w:ascii="Arial" w:cs="Arial" w:eastAsia="Arial" w:hAnsi="Arial"/>
          <w:sz w:val="16"/>
          <w:szCs w:val="16"/>
          <w:b w:val="1"/>
          <w:bCs w:val="1"/>
          <w:color w:val="auto"/>
        </w:rPr>
        <w:t xml:space="preserve"> </w:t>
      </w:r>
      <w:r>
        <w:rPr>
          <w:rFonts w:ascii="Arial" w:cs="Arial" w:eastAsia="Arial" w:hAnsi="Arial"/>
          <w:sz w:val="16"/>
          <w:szCs w:val="16"/>
          <w:color w:val="auto"/>
        </w:rPr>
        <w:t>after-tax impact of required pension funding, as approved by the Compensation and Human Capital Committee.</w:t>
      </w:r>
    </w:p>
    <w:p>
      <w:pPr>
        <w:spacing w:after="0" w:line="61" w:lineRule="exact"/>
        <w:rPr>
          <w:sz w:val="20"/>
          <w:szCs w:val="20"/>
          <w:color w:val="auto"/>
        </w:rPr>
      </w:pPr>
    </w:p>
    <w:p>
      <w:pPr>
        <w:ind w:left="200" w:right="60"/>
        <w:spacing w:after="0" w:line="258" w:lineRule="auto"/>
        <w:rPr>
          <w:sz w:val="20"/>
          <w:szCs w:val="20"/>
          <w:color w:val="auto"/>
        </w:rPr>
      </w:pPr>
      <w:r>
        <w:rPr>
          <w:rFonts w:ascii="Arial" w:cs="Arial" w:eastAsia="Arial" w:hAnsi="Arial"/>
          <w:sz w:val="16"/>
          <w:szCs w:val="16"/>
          <w:b w:val="1"/>
          <w:bCs w:val="1"/>
          <w:u w:val="single" w:color="auto"/>
          <w:color w:val="auto"/>
        </w:rPr>
        <w:t>Adjusted Cumulative Free Cash Flow (Adjusted Cumulative FCF)</w:t>
      </w:r>
      <w:r>
        <w:rPr>
          <w:rFonts w:ascii="Arial" w:cs="Arial" w:eastAsia="Arial" w:hAnsi="Arial"/>
          <w:sz w:val="16"/>
          <w:szCs w:val="16"/>
          <w:color w:val="auto"/>
        </w:rPr>
        <w:t>: The aggregate Transaction-Adjusted Free Cash Flow Before After-Tax Total</w:t>
      </w:r>
      <w:r>
        <w:rPr>
          <w:rFonts w:ascii="Arial" w:cs="Arial" w:eastAsia="Arial" w:hAnsi="Arial"/>
          <w:sz w:val="16"/>
          <w:szCs w:val="16"/>
          <w:b w:val="1"/>
          <w:bCs w:val="1"/>
          <w:color w:val="auto"/>
        </w:rPr>
        <w:t xml:space="preserve"> </w:t>
      </w:r>
      <w:r>
        <w:rPr>
          <w:rFonts w:ascii="Arial" w:cs="Arial" w:eastAsia="Arial" w:hAnsi="Arial"/>
          <w:sz w:val="16"/>
          <w:szCs w:val="16"/>
          <w:color w:val="auto"/>
        </w:rPr>
        <w:t>Pension Funding, as defined above, over a three-year period and after cash flow adjustments, as approved by the Compensation and Human Capital Committee, to adjust for unanticipated impacts to this measure for each three-year period since initial grant setting. Approved adjustments for the 2021 grant include the impact of plan-based differences in CAS pension reimbursements due to plan asset return experience, unanticipated cash expenditures on a Space Systems program due to international trade restrictions, and federal and state tax impacts associated with the sale of a minority investment in an international business.</w:t>
      </w:r>
    </w:p>
    <w:p>
      <w:pPr>
        <w:spacing w:after="0" w:line="82" w:lineRule="exact"/>
        <w:rPr>
          <w:sz w:val="20"/>
          <w:szCs w:val="20"/>
          <w:color w:val="auto"/>
        </w:rPr>
      </w:pPr>
    </w:p>
    <w:p>
      <w:pPr>
        <w:ind w:left="200" w:right="300"/>
        <w:spacing w:after="0" w:line="286" w:lineRule="auto"/>
        <w:rPr>
          <w:sz w:val="20"/>
          <w:szCs w:val="20"/>
          <w:color w:val="auto"/>
        </w:rPr>
      </w:pPr>
      <w:r>
        <w:rPr>
          <w:rFonts w:ascii="Arial" w:cs="Arial" w:eastAsia="Arial" w:hAnsi="Arial"/>
          <w:sz w:val="16"/>
          <w:szCs w:val="16"/>
          <w:b w:val="1"/>
          <w:bCs w:val="1"/>
          <w:u w:val="single" w:color="auto"/>
          <w:color w:val="auto"/>
        </w:rPr>
        <w:t>Adjusted Cash Flow from Operations</w:t>
      </w:r>
      <w:r>
        <w:rPr>
          <w:rFonts w:ascii="Arial" w:cs="Arial" w:eastAsia="Arial" w:hAnsi="Arial"/>
          <w:sz w:val="16"/>
          <w:szCs w:val="16"/>
          <w:color w:val="auto"/>
        </w:rPr>
        <w:t>: Net cash provided by operating activities, adjusted to include proceeds from sale of equipment to a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(not otherwise included in net cash provided by operating activities) and to exclude</w:t>
      </w:r>
    </w:p>
    <w:p>
      <w:pPr>
        <w:spacing w:after="0" w:line="200" w:lineRule="exact"/>
        <w:rPr>
          <w:sz w:val="20"/>
          <w:szCs w:val="20"/>
          <w:color w:val="auto"/>
        </w:rPr>
      </w:pPr>
    </w:p>
    <w:p>
      <w:pPr>
        <w:spacing w:after="0" w:line="338" w:lineRule="exact"/>
        <w:rPr>
          <w:sz w:val="20"/>
          <w:szCs w:val="20"/>
          <w:color w:val="auto"/>
        </w:rPr>
      </w:pPr>
    </w:p>
    <w:p>
      <w:pPr>
        <w:ind w:left="520" w:hanging="494"/>
        <w:spacing w:after="0"/>
        <w:tabs>
          <w:tab w:leader="none" w:pos="520" w:val="left"/>
        </w:tabs>
        <w:numPr>
          <w:ilvl w:val="0"/>
          <w:numId w:val="208"/>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8" w:right="359" w:bottom="1440" w:gutter="0" w:footer="0" w:header="0"/>
        </w:sectPr>
      </w:pPr>
    </w:p>
    <w:bookmarkStart w:id="119" w:name="page120"/>
    <w:bookmarkEnd w:id="119"/>
    <w:p>
      <w:pPr>
        <w:jc w:val="right"/>
        <w:spacing w:after="0"/>
        <w:rPr>
          <w:sz w:val="20"/>
          <w:szCs w:val="20"/>
          <w:color w:val="auto"/>
        </w:rPr>
      </w:pPr>
      <w:r>
        <w:rPr>
          <w:rFonts w:ascii="Arial" w:cs="Arial" w:eastAsia="Arial" w:hAnsi="Arial"/>
          <w:sz w:val="14"/>
          <w:szCs w:val="14"/>
          <w:b w:val="1"/>
          <w:bCs w:val="1"/>
          <w:color w:val="auto"/>
        </w:rPr>
        <w:t>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0"/>
        <w:spacing w:after="0" w:line="258" w:lineRule="auto"/>
        <w:rPr>
          <w:sz w:val="20"/>
          <w:szCs w:val="20"/>
          <w:color w:val="auto"/>
        </w:rPr>
      </w:pPr>
      <w:r>
        <w:rPr>
          <w:rFonts w:ascii="Arial" w:cs="Arial" w:eastAsia="Arial" w:hAnsi="Arial"/>
          <w:sz w:val="16"/>
          <w:szCs w:val="16"/>
          <w:color w:val="auto"/>
        </w:rPr>
        <w:t>transaction costs as well as federal and state income taxes associated with the IT services divestiture, the after-tax impact of discretionary pension contributions, if any, and other cash flow adjustments as approved by the Compensation and Human Capital Committee. Adjusted Cash Flow from Operations includes proceeds from the sale of equipment to a customer as such proceeds were generated in a customer sales transaction. It excludes the after-tax impact of discretionary pension contributions for consistency and comparability of financial performance. As approved by the Compensation and Human Capital Committee, the 2023 metric has been adjusted to exclude CAS pension recovery, cash received from certain federal and state tax settlements, and the federal and state tax impacts of the sale of a minority investment in an international business. As approved by the Compensation and Human Capital Committee, the 2022 metric has been adjusted to exclude CAS pension recovery, assumptions regarding tax legislation related to research credits at the time of grant setting, unanticipated costs related to a Space Systems program due to international trade restrictions, and certain delayed costs related to the IT services divestiture.</w:t>
      </w:r>
    </w:p>
    <w:p>
      <w:pPr>
        <w:spacing w:after="0" w:line="83"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b w:val="1"/>
          <w:bCs w:val="1"/>
          <w:u w:val="single" w:color="auto"/>
          <w:color w:val="auto"/>
        </w:rPr>
        <w:t>Pension-Adjusted Metrics</w:t>
      </w:r>
      <w:r>
        <w:rPr>
          <w:rFonts w:ascii="Arial" w:cs="Arial" w:eastAsia="Arial" w:hAnsi="Arial"/>
          <w:sz w:val="16"/>
          <w:szCs w:val="16"/>
          <w:color w:val="auto"/>
        </w:rPr>
        <w:t>: For financial statement purposes, we account for our employee pension plans in accordance with GAAP (FAS). However, the</w:t>
      </w:r>
      <w:r>
        <w:rPr>
          <w:rFonts w:ascii="Arial" w:cs="Arial" w:eastAsia="Arial" w:hAnsi="Arial"/>
          <w:sz w:val="16"/>
          <w:szCs w:val="16"/>
          <w:b w:val="1"/>
          <w:bCs w:val="1"/>
          <w:color w:val="auto"/>
        </w:rPr>
        <w:t xml:space="preserve"> </w:t>
      </w:r>
      <w:r>
        <w:rPr>
          <w:rFonts w:ascii="Arial" w:cs="Arial" w:eastAsia="Arial" w:hAnsi="Arial"/>
          <w:sz w:val="16"/>
          <w:szCs w:val="16"/>
          <w:color w:val="auto"/>
        </w:rPr>
        <w:t>cost of these plans is charged to our contracts in accordance with the Federal Acquisition Regulation (FAR) and the related U.S. Government Cost Accounting Standards (CAS) that govern such plans. We use pension-adjusted metrics as internal measures of financial performance and for performance-based compensation decisions.</w:t>
      </w:r>
    </w:p>
    <w:p>
      <w:pPr>
        <w:spacing w:after="0" w:line="65"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The net FAS/CAS operating adjustment referred to below reflects the difference between CAS pension expense included as cost in segment operating income and the service cost component of FAS expense included in total operating income. The total net FAS/CAS pension adjustment referred to below reflects the combined net FAS/CAS operating adjustment and net FAS (non-service) pension benefit. The following pension-adjusted measures may be useful to investors and other users of our financial statements in evaluating our performance based upon the pension costs charged to our contracts. All pension-adjusted metrics are reconciled below.</w:t>
      </w:r>
    </w:p>
    <w:p>
      <w:pPr>
        <w:spacing w:after="0" w:line="64" w:lineRule="exact"/>
        <w:rPr>
          <w:sz w:val="20"/>
          <w:szCs w:val="20"/>
          <w:color w:val="auto"/>
        </w:rPr>
      </w:pPr>
    </w:p>
    <w:p>
      <w:pPr>
        <w:ind w:left="200" w:right="100"/>
        <w:spacing w:after="0" w:line="265" w:lineRule="auto"/>
        <w:rPr>
          <w:sz w:val="20"/>
          <w:szCs w:val="20"/>
          <w:color w:val="auto"/>
        </w:rPr>
      </w:pPr>
      <w:r>
        <w:rPr>
          <w:rFonts w:ascii="Arial" w:cs="Arial" w:eastAsia="Arial" w:hAnsi="Arial"/>
          <w:sz w:val="16"/>
          <w:szCs w:val="16"/>
          <w:b w:val="1"/>
          <w:bCs w:val="1"/>
          <w:u w:val="single" w:color="auto"/>
          <w:color w:val="auto"/>
        </w:rPr>
        <w:t>Pension-Adjusted Operating Income</w:t>
      </w:r>
      <w:r>
        <w:rPr>
          <w:rFonts w:ascii="Arial" w:cs="Arial" w:eastAsia="Arial" w:hAnsi="Arial"/>
          <w:sz w:val="16"/>
          <w:szCs w:val="16"/>
          <w:color w:val="auto"/>
        </w:rPr>
        <w:t>: Operating income before the net FAS/CAS operating adjustment as defined above and excluding unallocated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 tax impacts reflected within unallocated corporate income (expense). As approved by the Compensation and Human Capital Committee, this metric has been adjusted to exclude a charge on the low-rate initial production phase of the B-21 program, Orbital ATK intangible asset amortization and property, plant and equipment (PP&amp;E) step-up depreciation and impacts related to the divestiture of a small international subsidiary.</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6"/>
          <w:szCs w:val="16"/>
          <w:b w:val="1"/>
          <w:bCs w:val="1"/>
          <w:u w:val="single" w:color="auto"/>
          <w:color w:val="auto"/>
        </w:rPr>
        <w:t>Pension-Adjusted Operating Margin (OM) Rate</w:t>
      </w:r>
      <w:r>
        <w:rPr>
          <w:rFonts w:ascii="Arial" w:cs="Arial" w:eastAsia="Arial" w:hAnsi="Arial"/>
          <w:sz w:val="16"/>
          <w:szCs w:val="16"/>
          <w:color w:val="auto"/>
        </w:rPr>
        <w:t>: Pension-Adjusted Operating Income as defined above, divided by sales.</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6"/>
          <w:szCs w:val="16"/>
          <w:b w:val="1"/>
          <w:bCs w:val="1"/>
          <w:u w:val="single" w:color="auto"/>
          <w:color w:val="auto"/>
        </w:rPr>
        <w:t>Segment Operating Income and Segment Operating Margin Rate:</w:t>
      </w:r>
      <w:r>
        <w:rPr>
          <w:rFonts w:ascii="Arial" w:cs="Arial" w:eastAsia="Arial" w:hAnsi="Arial"/>
          <w:sz w:val="16"/>
          <w:szCs w:val="16"/>
          <w:b w:val="1"/>
          <w:bCs w:val="1"/>
          <w:color w:val="auto"/>
        </w:rPr>
        <w:t xml:space="preserve"> </w:t>
      </w:r>
      <w:r>
        <w:rPr>
          <w:rFonts w:ascii="Arial" w:cs="Arial" w:eastAsia="Arial" w:hAnsi="Arial"/>
          <w:sz w:val="16"/>
          <w:szCs w:val="16"/>
          <w:color w:val="auto"/>
        </w:rPr>
        <w:t>Segment Operating Income and Segment Operating Margin Rate (Segment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Income divided by sales)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These measures may be useful to investors and other users of our financial statements as supplemental measures in evaluating the financial performance and operational trends of our sectors. These measures should not be considered in isolation or as alternatives to operating results presented in accordance with GAAP.</w:t>
      </w:r>
    </w:p>
    <w:p>
      <w:pPr>
        <w:spacing w:after="0" w:line="68" w:lineRule="exact"/>
        <w:rPr>
          <w:sz w:val="20"/>
          <w:szCs w:val="20"/>
          <w:color w:val="auto"/>
        </w:rPr>
      </w:pPr>
    </w:p>
    <w:p>
      <w:pPr>
        <w:spacing w:after="0" w:line="304" w:lineRule="auto"/>
        <w:rPr>
          <w:sz w:val="20"/>
          <w:szCs w:val="20"/>
          <w:color w:val="auto"/>
        </w:rPr>
      </w:pPr>
      <w:r>
        <w:rPr>
          <w:rFonts w:ascii="Arial" w:cs="Arial" w:eastAsia="Arial" w:hAnsi="Arial"/>
          <w:sz w:val="16"/>
          <w:szCs w:val="16"/>
          <w:b w:val="1"/>
          <w:bCs w:val="1"/>
          <w:u w:val="single" w:color="auto"/>
          <w:color w:val="auto"/>
        </w:rPr>
        <w:t>Adjusted Segment Operating Income:</w:t>
      </w:r>
      <w:r>
        <w:rPr>
          <w:rFonts w:ascii="Arial" w:cs="Arial" w:eastAsia="Arial" w:hAnsi="Arial"/>
          <w:sz w:val="16"/>
          <w:szCs w:val="16"/>
          <w:b w:val="1"/>
          <w:bCs w:val="1"/>
          <w:color w:val="auto"/>
        </w:rPr>
        <w:t xml:space="preserve"> </w:t>
      </w:r>
      <w:r>
        <w:rPr>
          <w:rFonts w:ascii="Arial" w:cs="Arial" w:eastAsia="Arial" w:hAnsi="Arial"/>
          <w:sz w:val="16"/>
          <w:szCs w:val="16"/>
          <w:color w:val="auto"/>
        </w:rPr>
        <w:t>Segment Operating Income, as defined above, adjusted to exclude a charge on the low-rate initial production phase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B-21 program, as approved by the Compensation and Human Capital Committee.</w:t>
      </w:r>
    </w:p>
    <w:p>
      <w:pPr>
        <w:spacing w:after="0" w:line="33"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b w:val="1"/>
          <w:bCs w:val="1"/>
          <w:u w:val="single" w:color="auto"/>
          <w:color w:val="auto"/>
        </w:rPr>
        <w:t>MTM-Adjusted Net Earnings:</w:t>
      </w:r>
      <w:r>
        <w:rPr>
          <w:rFonts w:ascii="Arial" w:cs="Arial" w:eastAsia="Arial" w:hAnsi="Arial"/>
          <w:sz w:val="16"/>
          <w:szCs w:val="16"/>
          <w:b w:val="1"/>
          <w:bCs w:val="1"/>
          <w:color w:val="auto"/>
        </w:rPr>
        <w:t xml:space="preserve"> </w:t>
      </w:r>
      <w:r>
        <w:rPr>
          <w:rFonts w:ascii="Arial" w:cs="Arial" w:eastAsia="Arial" w:hAnsi="Arial"/>
          <w:sz w:val="16"/>
          <w:szCs w:val="16"/>
          <w:color w:val="auto"/>
        </w:rPr>
        <w:t>Net earnings excluding MTM expense and related tax impacts. This measure may be useful to investors and other users of</w:t>
      </w:r>
      <w:r>
        <w:rPr>
          <w:rFonts w:ascii="Arial" w:cs="Arial" w:eastAsia="Arial" w:hAnsi="Arial"/>
          <w:sz w:val="16"/>
          <w:szCs w:val="16"/>
          <w:b w:val="1"/>
          <w:bCs w:val="1"/>
          <w:color w:val="auto"/>
        </w:rPr>
        <w:t xml:space="preserve"> </w:t>
      </w:r>
      <w:r>
        <w:rPr>
          <w:rFonts w:ascii="Arial" w:cs="Arial" w:eastAsia="Arial" w:hAnsi="Arial"/>
          <w:sz w:val="16"/>
          <w:szCs w:val="16"/>
          <w:color w:val="auto"/>
        </w:rPr>
        <w:t>our financial statements as a supplemental measure in evaluating the Company’s underlying financial performance by presenting the Company’s operating results before the non-operational impact of pension and OPB actuarial gains and losses. This measure is also consistent with how management views the underlying performance of the business as the impact of MTM accounting is not considered in management’s assessment of the Company’s operating performance or in its determination of incentive compensation awards.</w:t>
      </w:r>
    </w:p>
    <w:p>
      <w:pPr>
        <w:spacing w:after="0" w:line="64"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b w:val="1"/>
          <w:bCs w:val="1"/>
          <w:u w:val="single" w:color="auto"/>
          <w:color w:val="auto"/>
        </w:rPr>
        <w:t>MTM-Adjusted EPS:</w:t>
      </w:r>
      <w:r>
        <w:rPr>
          <w:rFonts w:ascii="Arial" w:cs="Arial" w:eastAsia="Arial" w:hAnsi="Arial"/>
          <w:sz w:val="16"/>
          <w:szCs w:val="16"/>
          <w:b w:val="1"/>
          <w:bCs w:val="1"/>
          <w:color w:val="auto"/>
        </w:rPr>
        <w:t xml:space="preserve"> </w:t>
      </w:r>
      <w:r>
        <w:rPr>
          <w:rFonts w:ascii="Arial" w:cs="Arial" w:eastAsia="Arial" w:hAnsi="Arial"/>
          <w:sz w:val="16"/>
          <w:szCs w:val="16"/>
          <w:color w:val="auto"/>
        </w:rPr>
        <w:t>Diluted earnings per share excluding the per share impact of MTM benefit (expense) and related tax impacts. This measure may be</w:t>
      </w:r>
      <w:r>
        <w:rPr>
          <w:rFonts w:ascii="Arial" w:cs="Arial" w:eastAsia="Arial" w:hAnsi="Arial"/>
          <w:sz w:val="16"/>
          <w:szCs w:val="16"/>
          <w:b w:val="1"/>
          <w:bCs w:val="1"/>
          <w:color w:val="auto"/>
        </w:rPr>
        <w:t xml:space="preserve"> </w:t>
      </w:r>
      <w:r>
        <w:rPr>
          <w:rFonts w:ascii="Arial" w:cs="Arial" w:eastAsia="Arial" w:hAnsi="Arial"/>
          <w:sz w:val="16"/>
          <w:szCs w:val="16"/>
          <w:color w:val="auto"/>
        </w:rPr>
        <w:t>useful to investors and other users of our financial statements as a supplemental measure in evaluating the company’s underlying financial performance per share by presenting the company’s diluted earnings per share results before the non-operational impact of pension and OPB actuarial gains and losses.</w:t>
      </w:r>
    </w:p>
    <w:p>
      <w:pPr>
        <w:spacing w:after="0" w:line="56"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b w:val="1"/>
          <w:bCs w:val="1"/>
          <w:u w:val="single" w:color="auto"/>
          <w:color w:val="auto"/>
        </w:rPr>
        <w:t>Transaction-Adjusted Net Earnings</w:t>
      </w:r>
      <w:r>
        <w:rPr>
          <w:rFonts w:ascii="Arial" w:cs="Arial" w:eastAsia="Arial" w:hAnsi="Arial"/>
          <w:sz w:val="16"/>
          <w:szCs w:val="16"/>
          <w:b w:val="1"/>
          <w:bCs w:val="1"/>
          <w:color w:val="auto"/>
        </w:rPr>
        <w:t xml:space="preserve">: </w:t>
      </w:r>
      <w:r>
        <w:rPr>
          <w:rFonts w:ascii="Arial" w:cs="Arial" w:eastAsia="Arial" w:hAnsi="Arial"/>
          <w:sz w:val="16"/>
          <w:szCs w:val="16"/>
          <w:color w:val="auto"/>
        </w:rPr>
        <w:t>Net earnings excluding impacts related to the company’s IT services divestiture, including the gain on sale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associated federal and state income tax expenses, transaction costs, and the make-whole premium for early debt redemption, as well as MTM benefit (expense) and related tax impacts. This measure may be useful to investors and other users of our financial statements as a supplemental measure in evaluating the Company’s underlying financial performance by presenting the Company’s operating results before the non-operational impact of divestiture activity and pension and OPB actuarial gains and losses. This measure is also consistent with how management views the underlying performance of the business as the impact of the IT services divestiture and MTM</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117</w:t>
            </w:r>
          </w:p>
        </w:tc>
      </w:tr>
      <w:tr>
        <w:trPr>
          <w:trHeight w:val="31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b w:val="1"/>
          <w:bCs w:val="1"/>
          <w:color w:val="auto"/>
        </w:rPr>
        <w:t>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accounting is not considered in management’s assessment of the Company’s operating performance or in its determination of incentive compensation awards.</w:t>
      </w:r>
    </w:p>
    <w:p>
      <w:pPr>
        <w:spacing w:after="0" w:line="6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b w:val="1"/>
          <w:bCs w:val="1"/>
          <w:u w:val="single" w:color="auto"/>
          <w:color w:val="auto"/>
        </w:rPr>
        <w:t>Transaction-Adjusted EPS:</w:t>
      </w:r>
      <w:r>
        <w:rPr>
          <w:rFonts w:ascii="Arial" w:cs="Arial" w:eastAsia="Arial" w:hAnsi="Arial"/>
          <w:sz w:val="16"/>
          <w:szCs w:val="16"/>
          <w:b w:val="1"/>
          <w:bCs w:val="1"/>
          <w:color w:val="auto"/>
        </w:rPr>
        <w:t xml:space="preserve"> </w:t>
      </w:r>
      <w:r>
        <w:rPr>
          <w:rFonts w:ascii="Arial" w:cs="Arial" w:eastAsia="Arial" w:hAnsi="Arial"/>
          <w:sz w:val="16"/>
          <w:szCs w:val="16"/>
          <w:color w:val="auto"/>
        </w:rPr>
        <w:t>Diluted earnings per share excluding the per share impacts related to the Company’s IT services divestiture, including the gain</w:t>
      </w:r>
      <w:r>
        <w:rPr>
          <w:rFonts w:ascii="Arial" w:cs="Arial" w:eastAsia="Arial" w:hAnsi="Arial"/>
          <w:sz w:val="16"/>
          <w:szCs w:val="16"/>
          <w:b w:val="1"/>
          <w:bCs w:val="1"/>
          <w:color w:val="auto"/>
        </w:rPr>
        <w:t xml:space="preserve"> </w:t>
      </w:r>
      <w:r>
        <w:rPr>
          <w:rFonts w:ascii="Arial" w:cs="Arial" w:eastAsia="Arial" w:hAnsi="Arial"/>
          <w:sz w:val="16"/>
          <w:szCs w:val="16"/>
          <w:color w:val="auto"/>
        </w:rPr>
        <w:t>on sale of the business, associated federal and state income tax expenses, transaction costs, and the make-whole premium for early debt redemption, as well as MTM benefit (expense) and related tax impacts. This measure may be useful to investors and other users of our financial statements as a supplemental measure in evaluating the Company’s underlying financial performance per share by presenting the Company’s diluted earnings per share results before the non-operational impact of the IT services divestiture and pension and OPB actuarial gains and losses.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u w:val="single" w:color="auto"/>
          <w:color w:val="auto"/>
        </w:rPr>
        <w:t>Operating Return on Net Assets (Operating RONA)</w:t>
      </w:r>
      <w:r>
        <w:rPr>
          <w:rFonts w:ascii="Arial" w:cs="Arial" w:eastAsia="Arial" w:hAnsi="Arial"/>
          <w:sz w:val="16"/>
          <w:szCs w:val="16"/>
          <w:color w:val="auto"/>
        </w:rPr>
        <w:t>: Adjusted Net Operating Profit After-Tax (Adjusted NOPAT), as defined below, divided by the two-year</w:t>
      </w:r>
      <w:r>
        <w:rPr>
          <w:rFonts w:ascii="Arial" w:cs="Arial" w:eastAsia="Arial" w:hAnsi="Arial"/>
          <w:sz w:val="16"/>
          <w:szCs w:val="16"/>
          <w:b w:val="1"/>
          <w:bCs w:val="1"/>
          <w:color w:val="auto"/>
        </w:rPr>
        <w:t xml:space="preserve"> </w:t>
      </w:r>
      <w:r>
        <w:rPr>
          <w:rFonts w:ascii="Arial" w:cs="Arial" w:eastAsia="Arial" w:hAnsi="Arial"/>
          <w:sz w:val="16"/>
          <w:szCs w:val="16"/>
          <w:color w:val="auto"/>
        </w:rPr>
        <w:t>average of net operating assets. Net operating assets are defined as net total current assets, excluding cash and cash equivalents, less total current liabilities, excluding short-term debt, plus net PP&amp;E, adjusted for balance sheet items approved by the Compensation and Human Capital Committee. Approved balance sheet adjustments are comprised of impacts resulting from the charge on the low-rate initial production phase of the B-21 program, adjustments to working capital and net PP&amp;E associated with the IT services business in 2022 and 2023, plan-based differences in net taxes receivable, adjustments to exclude PP&amp;E impacts related to landlord-funded leasehold improvements related to a Space Systems real estate lease and unanticipated costs related to a Space Systems program due to international trade restrictions.</w:t>
      </w:r>
    </w:p>
    <w:p>
      <w:pPr>
        <w:spacing w:after="0" w:line="68"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b w:val="1"/>
          <w:bCs w:val="1"/>
          <w:u w:val="single" w:color="auto"/>
          <w:color w:val="auto"/>
        </w:rPr>
        <w:t>Adjusted Net Operating Profit After-Tax (Adjusted NOPAT)</w:t>
      </w:r>
      <w:r>
        <w:rPr>
          <w:rFonts w:ascii="Arial" w:cs="Arial" w:eastAsia="Arial" w:hAnsi="Arial"/>
          <w:sz w:val="16"/>
          <w:szCs w:val="16"/>
          <w:color w:val="auto"/>
        </w:rPr>
        <w:t>: The after-tax sum of Segment Operating Income, as defined above, adjusted to exclude</w:t>
      </w:r>
      <w:r>
        <w:rPr>
          <w:rFonts w:ascii="Arial" w:cs="Arial" w:eastAsia="Arial" w:hAnsi="Arial"/>
          <w:sz w:val="16"/>
          <w:szCs w:val="16"/>
          <w:b w:val="1"/>
          <w:bCs w:val="1"/>
          <w:color w:val="auto"/>
        </w:rPr>
        <w:t xml:space="preserve"> </w:t>
      </w:r>
      <w:r>
        <w:rPr>
          <w:rFonts w:ascii="Arial" w:cs="Arial" w:eastAsia="Arial" w:hAnsi="Arial"/>
          <w:sz w:val="16"/>
          <w:szCs w:val="16"/>
          <w:color w:val="auto"/>
        </w:rPr>
        <w:t>intercompany eliminations, Orbital ATK intangible asset amortization and PP&amp;E step-up depreciation and other adjustments as approved by the Compensation and Human Capital Committee. Approved adjustments include a charge on the low-rate initial production phase of the B-21 program, unanticipated costs related to a Space Systems program due to international trade restrictions and plan-based differences in CAS reimbursements. Intercompany eliminations are excluded to evaluate the operational performance of the business segments, inclusive of intercompany activity.</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Pension-Adjusted Net Operating Profit After-Tax (Pension-Adjusted NOPAT)</w:t>
      </w:r>
      <w:r>
        <w:rPr>
          <w:rFonts w:ascii="Arial" w:cs="Arial" w:eastAsia="Arial" w:hAnsi="Arial"/>
          <w:sz w:val="16"/>
          <w:szCs w:val="16"/>
          <w:color w:val="auto"/>
        </w:rPr>
        <w:t>: MTM Adjusted Net Earnings, as defined above, adjusted to exclude net</w:t>
      </w:r>
    </w:p>
    <w:p>
      <w:pPr>
        <w:spacing w:after="0" w:line="35"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interest expense, Orbital ATK intangible asset amortization and PP&amp;E step-up depreciation and net FAS/CAS pension adjustment, as defined above, after taxes.</w:t>
      </w:r>
    </w:p>
    <w:p>
      <w:pPr>
        <w:spacing w:after="0" w:line="7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u w:val="single" w:color="auto"/>
          <w:color w:val="auto"/>
        </w:rPr>
        <w:t>Return on Invested Capital (ROIC</w:t>
      </w:r>
      <w:r>
        <w:rPr>
          <w:rFonts w:ascii="Arial" w:cs="Arial" w:eastAsia="Arial" w:hAnsi="Arial"/>
          <w:sz w:val="16"/>
          <w:szCs w:val="16"/>
          <w:b w:val="1"/>
          <w:bCs w:val="1"/>
          <w:color w:val="auto"/>
        </w:rPr>
        <w:t>)</w:t>
      </w:r>
      <w:r>
        <w:rPr>
          <w:rFonts w:ascii="Arial" w:cs="Arial" w:eastAsia="Arial" w:hAnsi="Arial"/>
          <w:sz w:val="16"/>
          <w:szCs w:val="16"/>
          <w:color w:val="auto"/>
        </w:rPr>
        <w:t>: The three-year average of Pension-Adjusted NOPAT, as defined above, divided by the three-year average of invested</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as defined below.</w:t>
      </w:r>
    </w:p>
    <w:p>
      <w:pPr>
        <w:spacing w:after="0" w:line="4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b w:val="1"/>
          <w:bCs w:val="1"/>
          <w:u w:val="single" w:color="auto"/>
          <w:color w:val="auto"/>
        </w:rPr>
        <w:t>Invested Capital</w:t>
      </w:r>
      <w:r>
        <w:rPr>
          <w:rFonts w:ascii="Arial" w:cs="Arial" w:eastAsia="Arial" w:hAnsi="Arial"/>
          <w:sz w:val="16"/>
          <w:szCs w:val="16"/>
          <w:color w:val="auto"/>
        </w:rPr>
        <w:t>: Shareholder’s equity plus total long-term debt, net of cash and cash equivalents. As approved by the Compensation and Human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Invested Capital excludes the impact on retained earnings related to accumulated other comprehensive income (loss) (AOCI/(AOCL), cumulative MTM benefits (expenses) from 2021 onward, and the 2021 IT services divestiture, including the gain on sale of the business, associated federal and state income tax expenses, transaction costs, and the make-whole premium for early debt redemption.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hanging="494"/>
        <w:spacing w:after="0"/>
        <w:tabs>
          <w:tab w:leader="none" w:pos="520" w:val="left"/>
        </w:tabs>
        <w:numPr>
          <w:ilvl w:val="0"/>
          <w:numId w:val="209"/>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21" w:name="page122"/>
    <w:bookmarkEnd w:id="121"/>
    <w:p>
      <w:pPr>
        <w:jc w:val="right"/>
        <w:spacing w:after="0"/>
        <w:rPr>
          <w:sz w:val="20"/>
          <w:szCs w:val="20"/>
          <w:color w:val="auto"/>
        </w:rPr>
      </w:pPr>
      <w:r>
        <w:rPr>
          <w:rFonts w:ascii="Arial" w:cs="Arial" w:eastAsia="Arial" w:hAnsi="Arial"/>
          <w:sz w:val="14"/>
          <w:szCs w:val="14"/>
          <w:b w:val="1"/>
          <w:bCs w:val="1"/>
          <w:color w:val="auto"/>
        </w:rPr>
        <w:t>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Reconciliation of Non-GAAP Financial Measures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Arial" w:cs="Arial" w:eastAsia="Arial" w:hAnsi="Arial"/>
                <w:sz w:val="13"/>
                <w:szCs w:val="13"/>
                <w:b w:val="1"/>
                <w:bCs w:val="1"/>
                <w:color w:val="auto"/>
                <w:w w:val="98"/>
              </w:rPr>
              <w:t>Total Year</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1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w:t>
            </w:r>
          </w:p>
        </w:tc>
        <w:tc>
          <w:tcPr>
            <w:tcW w:w="260" w:type="dxa"/>
            <w:vAlign w:val="bottom"/>
            <w:tcBorders>
              <w:bottom w:val="single" w:sz="8" w:color="29378D"/>
            </w:tcBorders>
          </w:tcPr>
          <w:p>
            <w:pPr>
              <w:spacing w:after="0" w:line="20" w:lineRule="exact"/>
              <w:rPr>
                <w:sz w:val="1"/>
                <w:szCs w:val="1"/>
                <w:color w:val="auto"/>
              </w:rPr>
            </w:pPr>
          </w:p>
        </w:tc>
        <w:tc>
          <w:tcPr>
            <w:tcW w:w="820" w:type="dxa"/>
            <w:vAlign w:val="bottom"/>
            <w:tcBorders>
              <w:bottom w:val="single" w:sz="8" w:color="29378D"/>
            </w:tcBorders>
          </w:tcPr>
          <w:p>
            <w:pPr>
              <w:spacing w:after="0" w:line="20" w:lineRule="exact"/>
              <w:rPr>
                <w:sz w:val="1"/>
                <w:szCs w:val="1"/>
                <w:color w:val="auto"/>
              </w:rPr>
            </w:pPr>
          </w:p>
        </w:tc>
        <w:tc>
          <w:tcPr>
            <w:tcW w:w="140" w:type="dxa"/>
            <w:vAlign w:val="bottom"/>
            <w:tcBorders>
              <w:bottom w:val="single" w:sz="8" w:color="29378D"/>
            </w:tcBorders>
          </w:tcPr>
          <w:p>
            <w:pPr>
              <w:spacing w:after="0" w:line="20" w:lineRule="exact"/>
              <w:rPr>
                <w:sz w:val="1"/>
                <w:szCs w:val="1"/>
                <w:color w:val="auto"/>
              </w:rPr>
            </w:pPr>
          </w:p>
        </w:tc>
        <w:tc>
          <w:tcPr>
            <w:tcW w:w="860" w:type="dxa"/>
            <w:vAlign w:val="bottom"/>
            <w:tcBorders>
              <w:bottom w:val="single" w:sz="8" w:color="29378D"/>
            </w:tcBorders>
          </w:tcPr>
          <w:p>
            <w:pPr>
              <w:spacing w:after="0" w:line="20" w:lineRule="exact"/>
              <w:rPr>
                <w:sz w:val="1"/>
                <w:szCs w:val="1"/>
                <w:color w:val="auto"/>
              </w:rPr>
            </w:pPr>
          </w:p>
        </w:tc>
        <w:tc>
          <w:tcPr>
            <w:tcW w:w="240" w:type="dxa"/>
            <w:vAlign w:val="bottom"/>
            <w:tcBorders>
              <w:bottom w:val="single" w:sz="8" w:color="29378D"/>
            </w:tcBorders>
          </w:tcPr>
          <w:p>
            <w:pPr>
              <w:spacing w:after="0" w:line="20" w:lineRule="exact"/>
              <w:rPr>
                <w:sz w:val="1"/>
                <w:szCs w:val="1"/>
                <w:color w:val="auto"/>
              </w:rPr>
            </w:pPr>
          </w:p>
        </w:tc>
        <w:tc>
          <w:tcPr>
            <w:tcW w:w="78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81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29"/>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5"/>
                <w:szCs w:val="15"/>
                <w:color w:val="auto"/>
              </w:rPr>
            </w:pPr>
          </w:p>
        </w:tc>
        <w:tc>
          <w:tcPr>
            <w:tcW w:w="860" w:type="dxa"/>
            <w:vAlign w:val="bottom"/>
          </w:tcPr>
          <w:p>
            <w:pPr>
              <w:jc w:val="right"/>
              <w:ind w:right="289"/>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2"/>
        </w:trPr>
        <w:tc>
          <w:tcPr>
            <w:tcW w:w="8140" w:type="dxa"/>
            <w:vAlign w:val="bottom"/>
            <w:tcBorders>
              <w:bottom w:val="single" w:sz="8" w:color="29378D"/>
            </w:tcBorders>
          </w:tcPr>
          <w:p>
            <w:pPr>
              <w:spacing w:after="0" w:line="20" w:lineRule="exact"/>
              <w:rPr>
                <w:sz w:val="1"/>
                <w:szCs w:val="1"/>
                <w:color w:val="auto"/>
              </w:rPr>
            </w:pPr>
          </w:p>
        </w:tc>
        <w:tc>
          <w:tcPr>
            <w:tcW w:w="260" w:type="dxa"/>
            <w:vAlign w:val="bottom"/>
            <w:tcBorders>
              <w:bottom w:val="single" w:sz="8" w:color="29378D"/>
            </w:tcBorders>
          </w:tcPr>
          <w:p>
            <w:pPr>
              <w:spacing w:after="0" w:line="20" w:lineRule="exact"/>
              <w:rPr>
                <w:sz w:val="1"/>
                <w:szCs w:val="1"/>
                <w:color w:val="auto"/>
              </w:rPr>
            </w:pPr>
          </w:p>
        </w:tc>
        <w:tc>
          <w:tcPr>
            <w:tcW w:w="820" w:type="dxa"/>
            <w:vAlign w:val="bottom"/>
            <w:tcBorders>
              <w:bottom w:val="single" w:sz="8" w:color="29378D"/>
            </w:tcBorders>
          </w:tcPr>
          <w:p>
            <w:pPr>
              <w:spacing w:after="0" w:line="20" w:lineRule="exact"/>
              <w:rPr>
                <w:sz w:val="1"/>
                <w:szCs w:val="1"/>
                <w:color w:val="auto"/>
              </w:rPr>
            </w:pPr>
          </w:p>
        </w:tc>
        <w:tc>
          <w:tcPr>
            <w:tcW w:w="140" w:type="dxa"/>
            <w:vAlign w:val="bottom"/>
            <w:tcBorders>
              <w:bottom w:val="single" w:sz="8" w:color="29378D"/>
            </w:tcBorders>
          </w:tcPr>
          <w:p>
            <w:pPr>
              <w:spacing w:after="0" w:line="20" w:lineRule="exact"/>
              <w:rPr>
                <w:sz w:val="1"/>
                <w:szCs w:val="1"/>
                <w:color w:val="auto"/>
              </w:rPr>
            </w:pPr>
          </w:p>
        </w:tc>
        <w:tc>
          <w:tcPr>
            <w:tcW w:w="860" w:type="dxa"/>
            <w:vAlign w:val="bottom"/>
            <w:tcBorders>
              <w:bottom w:val="single" w:sz="8" w:color="29378D"/>
            </w:tcBorders>
          </w:tcPr>
          <w:p>
            <w:pPr>
              <w:spacing w:after="0" w:line="20" w:lineRule="exact"/>
              <w:rPr>
                <w:sz w:val="1"/>
                <w:szCs w:val="1"/>
                <w:color w:val="auto"/>
              </w:rPr>
            </w:pPr>
          </w:p>
        </w:tc>
        <w:tc>
          <w:tcPr>
            <w:tcW w:w="240" w:type="dxa"/>
            <w:vAlign w:val="bottom"/>
            <w:tcBorders>
              <w:bottom w:val="single" w:sz="8" w:color="29378D"/>
            </w:tcBorders>
          </w:tcPr>
          <w:p>
            <w:pPr>
              <w:spacing w:after="0" w:line="20" w:lineRule="exact"/>
              <w:rPr>
                <w:sz w:val="1"/>
                <w:szCs w:val="1"/>
                <w:color w:val="auto"/>
              </w:rPr>
            </w:pPr>
          </w:p>
        </w:tc>
        <w:tc>
          <w:tcPr>
            <w:tcW w:w="78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81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Cash Flow Metrics</w:t>
            </w:r>
          </w:p>
        </w:tc>
        <w:tc>
          <w:tcPr>
            <w:tcW w:w="260" w:type="dxa"/>
            <w:vAlign w:val="bottom"/>
            <w:tcBorders>
              <w:bottom w:val="single" w:sz="8" w:color="DBDBDB"/>
            </w:tcBorders>
          </w:tcPr>
          <w:p>
            <w:pPr>
              <w:spacing w:after="0"/>
              <w:rPr>
                <w:sz w:val="18"/>
                <w:szCs w:val="18"/>
                <w:color w:val="auto"/>
              </w:rPr>
            </w:pPr>
          </w:p>
        </w:tc>
        <w:tc>
          <w:tcPr>
            <w:tcW w:w="820" w:type="dxa"/>
            <w:vAlign w:val="bottom"/>
            <w:tcBorders>
              <w:bottom w:val="single" w:sz="8" w:color="DBDBDB"/>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860" w:type="dxa"/>
            <w:vAlign w:val="bottom"/>
            <w:tcBorders>
              <w:bottom w:val="single" w:sz="8" w:color="DBDBDB"/>
            </w:tcBorders>
          </w:tcPr>
          <w:p>
            <w:pPr>
              <w:spacing w:after="0"/>
              <w:rPr>
                <w:sz w:val="18"/>
                <w:szCs w:val="18"/>
                <w:color w:val="auto"/>
              </w:rPr>
            </w:pPr>
          </w:p>
        </w:tc>
        <w:tc>
          <w:tcPr>
            <w:tcW w:w="240" w:type="dxa"/>
            <w:vAlign w:val="bottom"/>
            <w:tcBorders>
              <w:bottom w:val="single" w:sz="8" w:color="DBDBDB"/>
            </w:tcBorders>
          </w:tcPr>
          <w:p>
            <w:pPr>
              <w:spacing w:after="0"/>
              <w:rPr>
                <w:sz w:val="18"/>
                <w:szCs w:val="18"/>
                <w:color w:val="auto"/>
              </w:rPr>
            </w:pPr>
          </w:p>
        </w:tc>
        <w:tc>
          <w:tcPr>
            <w:tcW w:w="780" w:type="dxa"/>
            <w:vAlign w:val="bottom"/>
            <w:tcBorders>
              <w:bottom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140" w:type="dxa"/>
            <w:vAlign w:val="bottom"/>
            <w:tcBorders>
              <w:bottom w:val="single" w:sz="8" w:color="DBDBDB"/>
            </w:tcBorders>
          </w:tcPr>
          <w:p>
            <w:pPr>
              <w:ind w:left="140"/>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BDBDB"/>
            </w:tcBorders>
          </w:tcPr>
          <w:p>
            <w:pPr>
              <w:jc w:val="right"/>
              <w:ind w:right="9"/>
              <w:spacing w:after="0"/>
              <w:rPr>
                <w:sz w:val="20"/>
                <w:szCs w:val="20"/>
                <w:color w:val="auto"/>
              </w:rPr>
            </w:pPr>
            <w:r>
              <w:rPr>
                <w:rFonts w:ascii="Arial" w:cs="Arial" w:eastAsia="Arial" w:hAnsi="Arial"/>
                <w:sz w:val="14"/>
                <w:szCs w:val="14"/>
                <w:b w:val="1"/>
                <w:bCs w:val="1"/>
                <w:color w:val="auto"/>
              </w:rPr>
              <w:t>3,875</w:t>
            </w:r>
          </w:p>
        </w:tc>
        <w:tc>
          <w:tcPr>
            <w:tcW w:w="1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2,901</w:t>
            </w:r>
          </w:p>
        </w:tc>
        <w:tc>
          <w:tcPr>
            <w:tcW w:w="24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3,567</w:t>
            </w:r>
          </w:p>
        </w:tc>
        <w:tc>
          <w:tcPr>
            <w:tcW w:w="0" w:type="dxa"/>
            <w:vAlign w:val="bottom"/>
          </w:tcPr>
          <w:p>
            <w:pPr>
              <w:spacing w:after="0"/>
              <w:rPr>
                <w:sz w:val="1"/>
                <w:szCs w:val="1"/>
                <w:color w:val="auto"/>
              </w:rPr>
            </w:pPr>
          </w:p>
        </w:tc>
      </w:tr>
      <w:tr>
        <w:trPr>
          <w:trHeight w:val="207"/>
        </w:trPr>
        <w:tc>
          <w:tcPr>
            <w:tcW w:w="814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Capital expenditures</w:t>
            </w:r>
          </w:p>
        </w:tc>
        <w:tc>
          <w:tcPr>
            <w:tcW w:w="260" w:type="dxa"/>
            <w:vAlign w:val="bottom"/>
            <w:tcBorders>
              <w:bottom w:val="single" w:sz="8" w:color="BCBEC0"/>
            </w:tcBorders>
          </w:tcPr>
          <w:p>
            <w:pPr>
              <w:spacing w:after="0"/>
              <w:rPr>
                <w:sz w:val="17"/>
                <w:szCs w:val="17"/>
                <w:color w:val="auto"/>
              </w:rPr>
            </w:pPr>
          </w:p>
        </w:tc>
        <w:tc>
          <w:tcPr>
            <w:tcW w:w="82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(1,775)</w:t>
            </w:r>
          </w:p>
        </w:tc>
        <w:tc>
          <w:tcPr>
            <w:tcW w:w="140" w:type="dxa"/>
            <w:vAlign w:val="bottom"/>
            <w:tcBorders>
              <w:bottom w:val="single" w:sz="8" w:color="BCBEC0"/>
            </w:tcBorders>
          </w:tcPr>
          <w:p>
            <w:pPr>
              <w:spacing w:after="0"/>
              <w:rPr>
                <w:sz w:val="17"/>
                <w:szCs w:val="17"/>
                <w:color w:val="auto"/>
              </w:rPr>
            </w:pP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(1,435)</w:t>
            </w:r>
          </w:p>
        </w:tc>
        <w:tc>
          <w:tcPr>
            <w:tcW w:w="240" w:type="dxa"/>
            <w:vAlign w:val="bottom"/>
            <w:tcBorders>
              <w:bottom w:val="single" w:sz="8" w:color="BCBEC0"/>
            </w:tcBorders>
          </w:tcPr>
          <w:p>
            <w:pPr>
              <w:spacing w:after="0"/>
              <w:rPr>
                <w:sz w:val="17"/>
                <w:szCs w:val="17"/>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(1,415)</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Free Cash Flow</w:t>
            </w:r>
          </w:p>
        </w:tc>
        <w:tc>
          <w:tcPr>
            <w:tcW w:w="260" w:type="dxa"/>
            <w:vAlign w:val="bottom"/>
            <w:tcBorders>
              <w:bottom w:val="single" w:sz="8" w:color="BCBE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b w:val="1"/>
                <w:bCs w:val="1"/>
                <w:color w:val="auto"/>
              </w:rPr>
              <w:t>2,100</w:t>
            </w:r>
          </w:p>
        </w:tc>
        <w:tc>
          <w:tcPr>
            <w:tcW w:w="14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1,466</w:t>
            </w:r>
          </w:p>
        </w:tc>
        <w:tc>
          <w:tcPr>
            <w:tcW w:w="24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2,152</w:t>
            </w:r>
          </w:p>
        </w:tc>
        <w:tc>
          <w:tcPr>
            <w:tcW w:w="0" w:type="dxa"/>
            <w:vAlign w:val="bottom"/>
          </w:tcPr>
          <w:p>
            <w:pPr>
              <w:spacing w:after="0"/>
              <w:rPr>
                <w:sz w:val="1"/>
                <w:szCs w:val="1"/>
                <w:color w:val="auto"/>
              </w:rPr>
            </w:pPr>
          </w:p>
        </w:tc>
      </w:tr>
      <w:tr>
        <w:trPr>
          <w:trHeight w:val="206"/>
        </w:trPr>
        <w:tc>
          <w:tcPr>
            <w:tcW w:w="814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Proceeds from sale of equipment to a customer</w:t>
            </w:r>
          </w:p>
        </w:tc>
        <w:tc>
          <w:tcPr>
            <w:tcW w:w="260" w:type="dxa"/>
            <w:vAlign w:val="bottom"/>
            <w:tcBorders>
              <w:bottom w:val="single" w:sz="8" w:color="BCBEC0"/>
            </w:tcBorders>
          </w:tcPr>
          <w:p>
            <w:pPr>
              <w:spacing w:after="0"/>
              <w:rPr>
                <w:sz w:val="17"/>
                <w:szCs w:val="17"/>
                <w:color w:val="auto"/>
              </w:rPr>
            </w:pPr>
          </w:p>
        </w:tc>
        <w:tc>
          <w:tcPr>
            <w:tcW w:w="82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BCBEC0"/>
            </w:tcBorders>
          </w:tcPr>
          <w:p>
            <w:pPr>
              <w:spacing w:after="0"/>
              <w:rPr>
                <w:sz w:val="17"/>
                <w:szCs w:val="17"/>
                <w:color w:val="auto"/>
              </w:rPr>
            </w:pP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155</w:t>
            </w:r>
          </w:p>
        </w:tc>
        <w:tc>
          <w:tcPr>
            <w:tcW w:w="240" w:type="dxa"/>
            <w:vAlign w:val="bottom"/>
            <w:tcBorders>
              <w:bottom w:val="single" w:sz="8" w:color="BCBEC0"/>
            </w:tcBorders>
          </w:tcPr>
          <w:p>
            <w:pPr>
              <w:spacing w:after="0"/>
              <w:rPr>
                <w:sz w:val="17"/>
                <w:szCs w:val="17"/>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Adjusted Free Cash Flow</w:t>
            </w:r>
          </w:p>
        </w:tc>
        <w:tc>
          <w:tcPr>
            <w:tcW w:w="260" w:type="dxa"/>
            <w:vAlign w:val="bottom"/>
            <w:tcBorders>
              <w:bottom w:val="single" w:sz="8" w:color="BCBE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b w:val="1"/>
                <w:bCs w:val="1"/>
                <w:color w:val="auto"/>
              </w:rPr>
              <w:t>2,100</w:t>
            </w:r>
          </w:p>
        </w:tc>
        <w:tc>
          <w:tcPr>
            <w:tcW w:w="14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1,621</w:t>
            </w:r>
          </w:p>
        </w:tc>
        <w:tc>
          <w:tcPr>
            <w:tcW w:w="24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2,236</w:t>
            </w:r>
          </w:p>
        </w:tc>
        <w:tc>
          <w:tcPr>
            <w:tcW w:w="0" w:type="dxa"/>
            <w:vAlign w:val="bottom"/>
          </w:tcPr>
          <w:p>
            <w:pPr>
              <w:spacing w:after="0"/>
              <w:rPr>
                <w:sz w:val="1"/>
                <w:szCs w:val="1"/>
                <w:color w:val="auto"/>
              </w:rPr>
            </w:pPr>
          </w:p>
        </w:tc>
      </w:tr>
      <w:tr>
        <w:trPr>
          <w:trHeight w:val="207"/>
        </w:trPr>
        <w:tc>
          <w:tcPr>
            <w:tcW w:w="814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IT services divestiture transaction costs</w:t>
            </w:r>
          </w:p>
        </w:tc>
        <w:tc>
          <w:tcPr>
            <w:tcW w:w="260" w:type="dxa"/>
            <w:vAlign w:val="bottom"/>
            <w:tcBorders>
              <w:bottom w:val="single" w:sz="8" w:color="BCBEC0"/>
            </w:tcBorders>
          </w:tcPr>
          <w:p>
            <w:pPr>
              <w:spacing w:after="0"/>
              <w:rPr>
                <w:sz w:val="17"/>
                <w:szCs w:val="17"/>
                <w:color w:val="auto"/>
              </w:rPr>
            </w:pPr>
          </w:p>
        </w:tc>
        <w:tc>
          <w:tcPr>
            <w:tcW w:w="82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BCBEC0"/>
            </w:tcBorders>
          </w:tcPr>
          <w:p>
            <w:pPr>
              <w:spacing w:after="0"/>
              <w:rPr>
                <w:sz w:val="17"/>
                <w:szCs w:val="17"/>
                <w:color w:val="auto"/>
              </w:rPr>
            </w:pP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BCBEC0"/>
            </w:tcBorders>
          </w:tcPr>
          <w:p>
            <w:pPr>
              <w:spacing w:after="0"/>
              <w:rPr>
                <w:sz w:val="17"/>
                <w:szCs w:val="17"/>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10"/>
        </w:trPr>
        <w:tc>
          <w:tcPr>
            <w:tcW w:w="814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IT services divestiture federal and state taxes</w:t>
            </w:r>
          </w:p>
        </w:tc>
        <w:tc>
          <w:tcPr>
            <w:tcW w:w="260" w:type="dxa"/>
            <w:vAlign w:val="bottom"/>
            <w:tcBorders>
              <w:bottom w:val="single" w:sz="8" w:color="BCBEC0"/>
            </w:tcBorders>
          </w:tcPr>
          <w:p>
            <w:pPr>
              <w:spacing w:after="0"/>
              <w:rPr>
                <w:sz w:val="18"/>
                <w:szCs w:val="18"/>
                <w:color w:val="auto"/>
              </w:rPr>
            </w:pPr>
          </w:p>
        </w:tc>
        <w:tc>
          <w:tcPr>
            <w:tcW w:w="82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BCBEC0"/>
            </w:tcBorders>
          </w:tcPr>
          <w:p>
            <w:pPr>
              <w:spacing w:after="0"/>
              <w:rPr>
                <w:sz w:val="18"/>
                <w:szCs w:val="18"/>
                <w:color w:val="auto"/>
              </w:rPr>
            </w:pP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Transaction-Adjusted Free Cash Flow</w:t>
            </w:r>
          </w:p>
        </w:tc>
        <w:tc>
          <w:tcPr>
            <w:tcW w:w="260" w:type="dxa"/>
            <w:vAlign w:val="bottom"/>
            <w:tcBorders>
              <w:bottom w:val="single" w:sz="8" w:color="BCBEC0"/>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BCBEC0"/>
            </w:tcBorders>
          </w:tcPr>
          <w:p>
            <w:pPr>
              <w:jc w:val="right"/>
              <w:ind w:right="9"/>
              <w:spacing w:after="0"/>
              <w:rPr>
                <w:sz w:val="20"/>
                <w:szCs w:val="20"/>
                <w:color w:val="auto"/>
              </w:rPr>
            </w:pPr>
            <w:r>
              <w:rPr>
                <w:rFonts w:ascii="Arial" w:cs="Arial" w:eastAsia="Arial" w:hAnsi="Arial"/>
                <w:sz w:val="14"/>
                <w:szCs w:val="14"/>
                <w:b w:val="1"/>
                <w:bCs w:val="1"/>
                <w:color w:val="auto"/>
              </w:rPr>
              <w:t>2,100</w:t>
            </w:r>
          </w:p>
        </w:tc>
        <w:tc>
          <w:tcPr>
            <w:tcW w:w="14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1,621</w:t>
            </w:r>
          </w:p>
        </w:tc>
        <w:tc>
          <w:tcPr>
            <w:tcW w:w="24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3,060</w:t>
            </w:r>
          </w:p>
        </w:tc>
        <w:tc>
          <w:tcPr>
            <w:tcW w:w="0" w:type="dxa"/>
            <w:vAlign w:val="bottom"/>
          </w:tcPr>
          <w:p>
            <w:pPr>
              <w:spacing w:after="0"/>
              <w:rPr>
                <w:sz w:val="1"/>
                <w:szCs w:val="1"/>
                <w:color w:val="auto"/>
              </w:rPr>
            </w:pPr>
          </w:p>
        </w:tc>
      </w:tr>
      <w:tr>
        <w:trPr>
          <w:trHeight w:val="206"/>
        </w:trPr>
        <w:tc>
          <w:tcPr>
            <w:tcW w:w="81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After-tax required pension contributions</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68</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Transaction-Adjusted Free Cash Flow Before After-Tax Total Pension Funding</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2,168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1,689</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3,127</w:t>
            </w:r>
          </w:p>
        </w:tc>
        <w:tc>
          <w:tcPr>
            <w:tcW w:w="0" w:type="dxa"/>
            <w:vAlign w:val="bottom"/>
          </w:tcPr>
          <w:p>
            <w:pPr>
              <w:spacing w:after="0"/>
              <w:rPr>
                <w:sz w:val="1"/>
                <w:szCs w:val="1"/>
                <w:color w:val="auto"/>
              </w:rPr>
            </w:pPr>
          </w:p>
        </w:tc>
      </w:tr>
      <w:tr>
        <w:trPr>
          <w:trHeight w:val="207"/>
        </w:trPr>
        <w:tc>
          <w:tcPr>
            <w:tcW w:w="81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Approved adjustments</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216</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12"/>
        </w:trPr>
        <w:tc>
          <w:tcPr>
            <w:tcW w:w="81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Adjusted Cumulative Free Cash Flow</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7,320</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gridSpan w:val="3"/>
          </w:tcPr>
          <w:p>
            <w:pPr>
              <w:jc w:val="right"/>
              <w:ind w:right="728"/>
              <w:spacing w:after="0"/>
              <w:rPr>
                <w:sz w:val="20"/>
                <w:szCs w:val="20"/>
                <w:color w:val="auto"/>
              </w:rPr>
            </w:pPr>
            <w:r>
              <w:rPr>
                <w:rFonts w:ascii="Arial" w:cs="Arial" w:eastAsia="Arial" w:hAnsi="Arial"/>
                <w:sz w:val="13"/>
                <w:szCs w:val="13"/>
                <w:b w:val="1"/>
                <w:bCs w:val="1"/>
                <w:color w:val="auto"/>
              </w:rPr>
              <w:t>Total Year</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69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w:t>
            </w:r>
          </w:p>
        </w:tc>
        <w:tc>
          <w:tcPr>
            <w:tcW w:w="300" w:type="dxa"/>
            <w:vAlign w:val="bottom"/>
            <w:tcBorders>
              <w:bottom w:val="single" w:sz="8" w:color="29378D"/>
            </w:tcBorders>
          </w:tcPr>
          <w:p>
            <w:pPr>
              <w:spacing w:after="0" w:line="20" w:lineRule="exact"/>
              <w:rPr>
                <w:sz w:val="1"/>
                <w:szCs w:val="1"/>
                <w:color w:val="auto"/>
              </w:rPr>
            </w:pPr>
          </w:p>
        </w:tc>
        <w:tc>
          <w:tcPr>
            <w:tcW w:w="940" w:type="dxa"/>
            <w:vAlign w:val="bottom"/>
            <w:tcBorders>
              <w:bottom w:val="single" w:sz="8" w:color="29378D"/>
            </w:tcBorders>
          </w:tcPr>
          <w:p>
            <w:pPr>
              <w:spacing w:after="0" w:line="20" w:lineRule="exact"/>
              <w:rPr>
                <w:sz w:val="1"/>
                <w:szCs w:val="1"/>
                <w:color w:val="auto"/>
              </w:rPr>
            </w:pPr>
          </w:p>
        </w:tc>
        <w:tc>
          <w:tcPr>
            <w:tcW w:w="940" w:type="dxa"/>
            <w:vAlign w:val="bottom"/>
            <w:tcBorders>
              <w:bottom w:val="single" w:sz="8" w:color="29378D"/>
            </w:tcBorders>
          </w:tcPr>
          <w:p>
            <w:pPr>
              <w:spacing w:after="0" w:line="20" w:lineRule="exact"/>
              <w:rPr>
                <w:sz w:val="1"/>
                <w:szCs w:val="1"/>
                <w:color w:val="auto"/>
              </w:rPr>
            </w:pPr>
          </w:p>
        </w:tc>
        <w:tc>
          <w:tcPr>
            <w:tcW w:w="640" w:type="dxa"/>
            <w:vAlign w:val="bottom"/>
            <w:tcBorders>
              <w:bottom w:val="single" w:sz="8" w:color="29378D"/>
            </w:tcBorders>
          </w:tcPr>
          <w:p>
            <w:pPr>
              <w:spacing w:after="0" w:line="20" w:lineRule="exact"/>
              <w:rPr>
                <w:sz w:val="1"/>
                <w:szCs w:val="1"/>
                <w:color w:val="auto"/>
              </w:rPr>
            </w:pPr>
          </w:p>
        </w:tc>
        <w:tc>
          <w:tcPr>
            <w:tcW w:w="400" w:type="dxa"/>
            <w:vAlign w:val="bottom"/>
            <w:tcBorders>
              <w:bottom w:val="single" w:sz="8" w:color="29378D"/>
            </w:tcBorders>
          </w:tcPr>
          <w:p>
            <w:pPr>
              <w:spacing w:after="0" w:line="20" w:lineRule="exact"/>
              <w:rPr>
                <w:sz w:val="1"/>
                <w:szCs w:val="1"/>
                <w:color w:val="auto"/>
              </w:rPr>
            </w:pPr>
          </w:p>
        </w:tc>
        <w:tc>
          <w:tcPr>
            <w:tcW w:w="1040" w:type="dxa"/>
            <w:vAlign w:val="bottom"/>
            <w:tcBorders>
              <w:bottom w:val="single" w:sz="8" w:color="29378D"/>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6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509"/>
              <w:spacing w:after="0"/>
              <w:rPr>
                <w:sz w:val="20"/>
                <w:szCs w:val="20"/>
                <w:color w:val="auto"/>
              </w:rPr>
            </w:pPr>
            <w:r>
              <w:rPr>
                <w:rFonts w:ascii="Arial" w:cs="Arial" w:eastAsia="Arial" w:hAnsi="Arial"/>
                <w:sz w:val="13"/>
                <w:szCs w:val="13"/>
                <w:b w:val="1"/>
                <w:bCs w:val="1"/>
                <w:color w:val="auto"/>
              </w:rPr>
              <w:t>2023</w:t>
            </w:r>
          </w:p>
        </w:tc>
        <w:tc>
          <w:tcPr>
            <w:tcW w:w="940" w:type="dxa"/>
            <w:vAlign w:val="bottom"/>
          </w:tcPr>
          <w:p>
            <w:pPr>
              <w:jc w:val="right"/>
              <w:ind w:right="370"/>
              <w:spacing w:after="0"/>
              <w:rPr>
                <w:sz w:val="20"/>
                <w:szCs w:val="20"/>
                <w:color w:val="auto"/>
              </w:rPr>
            </w:pPr>
            <w:r>
              <w:rPr>
                <w:rFonts w:ascii="Arial" w:cs="Arial" w:eastAsia="Arial" w:hAnsi="Arial"/>
                <w:sz w:val="13"/>
                <w:szCs w:val="13"/>
                <w:b w:val="1"/>
                <w:bCs w:val="1"/>
                <w:color w:val="auto"/>
              </w:rPr>
              <w:t>2022</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5"/>
                <w:szCs w:val="15"/>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2"/>
        </w:trPr>
        <w:tc>
          <w:tcPr>
            <w:tcW w:w="6980" w:type="dxa"/>
            <w:vAlign w:val="bottom"/>
            <w:tcBorders>
              <w:bottom w:val="single" w:sz="8" w:color="BCBEC0"/>
            </w:tcBorders>
          </w:tcPr>
          <w:p>
            <w:pPr>
              <w:spacing w:after="0" w:line="20" w:lineRule="exact"/>
              <w:rPr>
                <w:sz w:val="1"/>
                <w:szCs w:val="1"/>
                <w:color w:val="auto"/>
              </w:rPr>
            </w:pPr>
          </w:p>
        </w:tc>
        <w:tc>
          <w:tcPr>
            <w:tcW w:w="300" w:type="dxa"/>
            <w:vAlign w:val="bottom"/>
            <w:tcBorders>
              <w:bottom w:val="single" w:sz="8" w:color="29378D"/>
            </w:tcBorders>
          </w:tcPr>
          <w:p>
            <w:pPr>
              <w:spacing w:after="0" w:line="20" w:lineRule="exact"/>
              <w:rPr>
                <w:sz w:val="1"/>
                <w:szCs w:val="1"/>
                <w:color w:val="auto"/>
              </w:rPr>
            </w:pPr>
          </w:p>
        </w:tc>
        <w:tc>
          <w:tcPr>
            <w:tcW w:w="940" w:type="dxa"/>
            <w:vAlign w:val="bottom"/>
            <w:tcBorders>
              <w:bottom w:val="single" w:sz="8" w:color="29378D"/>
            </w:tcBorders>
          </w:tcPr>
          <w:p>
            <w:pPr>
              <w:spacing w:after="0" w:line="20" w:lineRule="exact"/>
              <w:rPr>
                <w:sz w:val="1"/>
                <w:szCs w:val="1"/>
                <w:color w:val="auto"/>
              </w:rPr>
            </w:pPr>
          </w:p>
        </w:tc>
        <w:tc>
          <w:tcPr>
            <w:tcW w:w="940" w:type="dxa"/>
            <w:vAlign w:val="bottom"/>
            <w:tcBorders>
              <w:bottom w:val="single" w:sz="8" w:color="29378D"/>
            </w:tcBorders>
          </w:tcPr>
          <w:p>
            <w:pPr>
              <w:spacing w:after="0" w:line="20" w:lineRule="exact"/>
              <w:rPr>
                <w:sz w:val="1"/>
                <w:szCs w:val="1"/>
                <w:color w:val="auto"/>
              </w:rPr>
            </w:pPr>
          </w:p>
        </w:tc>
        <w:tc>
          <w:tcPr>
            <w:tcW w:w="640" w:type="dxa"/>
            <w:vAlign w:val="bottom"/>
            <w:tcBorders>
              <w:bottom w:val="single" w:sz="8" w:color="29378D"/>
            </w:tcBorders>
          </w:tcPr>
          <w:p>
            <w:pPr>
              <w:spacing w:after="0" w:line="20" w:lineRule="exact"/>
              <w:rPr>
                <w:sz w:val="1"/>
                <w:szCs w:val="1"/>
                <w:color w:val="auto"/>
              </w:rPr>
            </w:pPr>
          </w:p>
        </w:tc>
        <w:tc>
          <w:tcPr>
            <w:tcW w:w="400" w:type="dxa"/>
            <w:vAlign w:val="bottom"/>
            <w:tcBorders>
              <w:bottom w:val="single" w:sz="8" w:color="29378D"/>
            </w:tcBorders>
          </w:tcPr>
          <w:p>
            <w:pPr>
              <w:spacing w:after="0" w:line="20" w:lineRule="exact"/>
              <w:rPr>
                <w:sz w:val="1"/>
                <w:szCs w:val="1"/>
                <w:color w:val="auto"/>
              </w:rPr>
            </w:pPr>
          </w:p>
        </w:tc>
        <w:tc>
          <w:tcPr>
            <w:tcW w:w="540" w:type="dxa"/>
            <w:vAlign w:val="bottom"/>
            <w:tcBorders>
              <w:bottom w:val="single" w:sz="8" w:color="29378D"/>
            </w:tcBorders>
          </w:tcPr>
          <w:p>
            <w:pPr>
              <w:spacing w:after="0" w:line="20" w:lineRule="exact"/>
              <w:rPr>
                <w:sz w:val="1"/>
                <w:szCs w:val="1"/>
                <w:color w:val="auto"/>
              </w:rPr>
            </w:pPr>
          </w:p>
        </w:tc>
        <w:tc>
          <w:tcPr>
            <w:tcW w:w="50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6980" w:type="dxa"/>
            <w:vAlign w:val="bottom"/>
            <w:tcBorders>
              <w:bottom w:val="single" w:sz="8" w:color="BCBEC0"/>
            </w:tcBorders>
          </w:tcPr>
          <w:p>
            <w:pPr>
              <w:ind w:left="120"/>
              <w:spacing w:after="0"/>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tcBorders>
              <w:bottom w:val="single" w:sz="8" w:color="BCBEC0"/>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BCBEC0"/>
            </w:tcBorders>
          </w:tcPr>
          <w:p>
            <w:pPr>
              <w:jc w:val="right"/>
              <w:ind w:right="169"/>
              <w:spacing w:after="0"/>
              <w:rPr>
                <w:sz w:val="20"/>
                <w:szCs w:val="20"/>
                <w:color w:val="auto"/>
              </w:rPr>
            </w:pPr>
            <w:r>
              <w:rPr>
                <w:rFonts w:ascii="Arial" w:cs="Arial" w:eastAsia="Arial" w:hAnsi="Arial"/>
                <w:sz w:val="14"/>
                <w:szCs w:val="14"/>
                <w:b w:val="1"/>
                <w:bCs w:val="1"/>
                <w:color w:val="auto"/>
              </w:rPr>
              <w:t>3,875</w:t>
            </w:r>
          </w:p>
        </w:tc>
        <w:tc>
          <w:tcPr>
            <w:tcW w:w="940" w:type="dxa"/>
            <w:vAlign w:val="bottom"/>
            <w:tcBorders>
              <w:bottom w:val="single" w:sz="8" w:color="BCBEC0"/>
            </w:tcBorders>
          </w:tcPr>
          <w:p>
            <w:pPr>
              <w:jc w:val="right"/>
              <w:ind w:right="50"/>
              <w:spacing w:after="0"/>
              <w:rPr>
                <w:sz w:val="20"/>
                <w:szCs w:val="20"/>
                <w:color w:val="auto"/>
              </w:rPr>
            </w:pPr>
            <w:r>
              <w:rPr>
                <w:rFonts w:ascii="Arial" w:cs="Arial" w:eastAsia="Arial" w:hAnsi="Arial"/>
                <w:sz w:val="14"/>
                <w:szCs w:val="14"/>
                <w:b w:val="1"/>
                <w:bCs w:val="1"/>
                <w:color w:val="auto"/>
              </w:rPr>
              <w:t>2,901</w:t>
            </w:r>
          </w:p>
        </w:tc>
        <w:tc>
          <w:tcPr>
            <w:tcW w:w="1040" w:type="dxa"/>
            <w:vAlign w:val="bottom"/>
            <w:tcBorders>
              <w:bottom w:val="single" w:sz="8" w:color="BCBEC0"/>
            </w:tcBorders>
            <w:gridSpan w:val="2"/>
          </w:tcPr>
          <w:p>
            <w:pPr>
              <w:jc w:val="right"/>
              <w:ind w:right="28"/>
              <w:spacing w:after="0"/>
              <w:rPr>
                <w:sz w:val="20"/>
                <w:szCs w:val="20"/>
                <w:color w:val="auto"/>
              </w:rPr>
            </w:pPr>
            <w:r>
              <w:rPr>
                <w:rFonts w:ascii="Arial" w:cs="Arial" w:eastAsia="Arial" w:hAnsi="Arial"/>
                <w:sz w:val="14"/>
                <w:szCs w:val="14"/>
                <w:b w:val="1"/>
                <w:bCs w:val="1"/>
                <w:color w:val="auto"/>
              </w:rPr>
              <w:t>3,567</w:t>
            </w:r>
          </w:p>
        </w:tc>
        <w:tc>
          <w:tcPr>
            <w:tcW w:w="540" w:type="dxa"/>
            <w:vAlign w:val="bottom"/>
            <w:tcBorders>
              <w:bottom w:val="single" w:sz="8" w:color="BCBEC0"/>
            </w:tcBorders>
          </w:tcPr>
          <w:p>
            <w:pPr>
              <w:spacing w:after="0"/>
              <w:rPr>
                <w:sz w:val="18"/>
                <w:szCs w:val="18"/>
                <w:color w:val="auto"/>
              </w:rPr>
            </w:pPr>
          </w:p>
        </w:tc>
        <w:tc>
          <w:tcPr>
            <w:tcW w:w="5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4,305</w:t>
            </w:r>
          </w:p>
        </w:tc>
        <w:tc>
          <w:tcPr>
            <w:tcW w:w="0" w:type="dxa"/>
            <w:vAlign w:val="bottom"/>
          </w:tcPr>
          <w:p>
            <w:pPr>
              <w:spacing w:after="0"/>
              <w:rPr>
                <w:sz w:val="1"/>
                <w:szCs w:val="1"/>
                <w:color w:val="auto"/>
              </w:rPr>
            </w:pPr>
          </w:p>
        </w:tc>
      </w:tr>
      <w:tr>
        <w:trPr>
          <w:trHeight w:val="207"/>
        </w:trPr>
        <w:tc>
          <w:tcPr>
            <w:tcW w:w="69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Proceeds from sale of equipment to a customer</w:t>
            </w:r>
          </w:p>
        </w:tc>
        <w:tc>
          <w:tcPr>
            <w:tcW w:w="300" w:type="dxa"/>
            <w:vAlign w:val="bottom"/>
            <w:tcBorders>
              <w:bottom w:val="single" w:sz="8" w:color="BCBEC0"/>
            </w:tcBorders>
          </w:tcPr>
          <w:p>
            <w:pPr>
              <w:spacing w:after="0"/>
              <w:rPr>
                <w:sz w:val="17"/>
                <w:szCs w:val="17"/>
                <w:color w:val="auto"/>
              </w:rPr>
            </w:pPr>
          </w:p>
        </w:tc>
        <w:tc>
          <w:tcPr>
            <w:tcW w:w="940" w:type="dxa"/>
            <w:vAlign w:val="bottom"/>
            <w:tcBorders>
              <w:bottom w:val="single" w:sz="8" w:color="BCBEC0"/>
            </w:tcBorders>
          </w:tcPr>
          <w:p>
            <w:pPr>
              <w:jc w:val="right"/>
              <w:ind w:right="1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EC0"/>
            </w:tcBorders>
          </w:tcPr>
          <w:p>
            <w:pPr>
              <w:jc w:val="right"/>
              <w:ind w:right="50"/>
              <w:spacing w:after="0"/>
              <w:rPr>
                <w:sz w:val="20"/>
                <w:szCs w:val="20"/>
                <w:color w:val="auto"/>
              </w:rPr>
            </w:pPr>
            <w:r>
              <w:rPr>
                <w:rFonts w:ascii="Arial" w:cs="Arial" w:eastAsia="Arial" w:hAnsi="Arial"/>
                <w:sz w:val="14"/>
                <w:szCs w:val="14"/>
                <w:color w:val="auto"/>
              </w:rPr>
              <w:t>155</w:t>
            </w:r>
          </w:p>
        </w:tc>
        <w:tc>
          <w:tcPr>
            <w:tcW w:w="1040" w:type="dxa"/>
            <w:vAlign w:val="bottom"/>
            <w:tcBorders>
              <w:bottom w:val="single" w:sz="8" w:color="BCBEC0"/>
            </w:tcBorders>
            <w:gridSpan w:val="2"/>
          </w:tcPr>
          <w:p>
            <w:pPr>
              <w:jc w:val="right"/>
              <w:ind w:right="28"/>
              <w:spacing w:after="0"/>
              <w:rPr>
                <w:sz w:val="20"/>
                <w:szCs w:val="20"/>
                <w:color w:val="auto"/>
              </w:rPr>
            </w:pPr>
            <w:r>
              <w:rPr>
                <w:rFonts w:ascii="Arial" w:cs="Arial" w:eastAsia="Arial" w:hAnsi="Arial"/>
                <w:sz w:val="14"/>
                <w:szCs w:val="14"/>
                <w:color w:val="auto"/>
              </w:rPr>
              <w:t>84</w:t>
            </w:r>
          </w:p>
        </w:tc>
        <w:tc>
          <w:tcPr>
            <w:tcW w:w="540" w:type="dxa"/>
            <w:vAlign w:val="bottom"/>
            <w:tcBorders>
              <w:bottom w:val="single" w:sz="8" w:color="BCBEC0"/>
            </w:tcBorders>
          </w:tcPr>
          <w:p>
            <w:pPr>
              <w:spacing w:after="0"/>
              <w:rPr>
                <w:sz w:val="17"/>
                <w:szCs w:val="17"/>
                <w:color w:val="auto"/>
              </w:rPr>
            </w:pPr>
          </w:p>
        </w:tc>
        <w:tc>
          <w:tcPr>
            <w:tcW w:w="5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IT services divestiture transaction costs</w:t>
            </w:r>
          </w:p>
        </w:tc>
        <w:tc>
          <w:tcPr>
            <w:tcW w:w="30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jc w:val="right"/>
              <w:ind w:right="1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EC0"/>
            </w:tcBorders>
          </w:tcPr>
          <w:p>
            <w:pPr>
              <w:jc w:val="right"/>
              <w:ind w:right="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BCBEC0"/>
            </w:tcBorders>
            <w:gridSpan w:val="2"/>
          </w:tcPr>
          <w:p>
            <w:pPr>
              <w:jc w:val="right"/>
              <w:ind w:right="28"/>
              <w:spacing w:after="0"/>
              <w:rPr>
                <w:sz w:val="20"/>
                <w:szCs w:val="20"/>
                <w:color w:val="auto"/>
              </w:rPr>
            </w:pPr>
            <w:r>
              <w:rPr>
                <w:rFonts w:ascii="Arial" w:cs="Arial" w:eastAsia="Arial" w:hAnsi="Arial"/>
                <w:sz w:val="14"/>
                <w:szCs w:val="14"/>
                <w:color w:val="auto"/>
              </w:rPr>
              <w:t>39</w:t>
            </w:r>
          </w:p>
        </w:tc>
        <w:tc>
          <w:tcPr>
            <w:tcW w:w="540" w:type="dxa"/>
            <w:vAlign w:val="bottom"/>
            <w:tcBorders>
              <w:bottom w:val="single" w:sz="8" w:color="BCBEC0"/>
            </w:tcBorders>
          </w:tcPr>
          <w:p>
            <w:pPr>
              <w:spacing w:after="0"/>
              <w:rPr>
                <w:sz w:val="18"/>
                <w:szCs w:val="18"/>
                <w:color w:val="auto"/>
              </w:rPr>
            </w:pPr>
          </w:p>
        </w:tc>
        <w:tc>
          <w:tcPr>
            <w:tcW w:w="5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13"/>
        </w:trPr>
        <w:tc>
          <w:tcPr>
            <w:tcW w:w="69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IT services divestiture federal and state taxes</w:t>
            </w:r>
          </w:p>
        </w:tc>
        <w:tc>
          <w:tcPr>
            <w:tcW w:w="30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jc w:val="right"/>
              <w:ind w:right="1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EC0"/>
            </w:tcBorders>
          </w:tcPr>
          <w:p>
            <w:pPr>
              <w:jc w:val="right"/>
              <w:ind w:right="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BCBEC0"/>
            </w:tcBorders>
            <w:gridSpan w:val="2"/>
          </w:tcPr>
          <w:p>
            <w:pPr>
              <w:jc w:val="right"/>
              <w:ind w:right="28"/>
              <w:spacing w:after="0"/>
              <w:rPr>
                <w:sz w:val="20"/>
                <w:szCs w:val="20"/>
                <w:color w:val="auto"/>
              </w:rPr>
            </w:pPr>
            <w:r>
              <w:rPr>
                <w:rFonts w:ascii="Arial" w:cs="Arial" w:eastAsia="Arial" w:hAnsi="Arial"/>
                <w:sz w:val="14"/>
                <w:szCs w:val="14"/>
                <w:color w:val="auto"/>
              </w:rPr>
              <w:t>785</w:t>
            </w:r>
          </w:p>
        </w:tc>
        <w:tc>
          <w:tcPr>
            <w:tcW w:w="540" w:type="dxa"/>
            <w:vAlign w:val="bottom"/>
            <w:tcBorders>
              <w:bottom w:val="single" w:sz="8" w:color="BCBEC0"/>
            </w:tcBorders>
          </w:tcPr>
          <w:p>
            <w:pPr>
              <w:spacing w:after="0"/>
              <w:rPr>
                <w:sz w:val="18"/>
                <w:szCs w:val="18"/>
                <w:color w:val="auto"/>
              </w:rPr>
            </w:pPr>
          </w:p>
        </w:tc>
        <w:tc>
          <w:tcPr>
            <w:tcW w:w="5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7"/>
        </w:trPr>
        <w:tc>
          <w:tcPr>
            <w:tcW w:w="69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After-tax discretionary pension contributions</w:t>
            </w:r>
          </w:p>
        </w:tc>
        <w:tc>
          <w:tcPr>
            <w:tcW w:w="300" w:type="dxa"/>
            <w:vAlign w:val="bottom"/>
            <w:tcBorders>
              <w:bottom w:val="single" w:sz="8" w:color="BCBEC0"/>
            </w:tcBorders>
          </w:tcPr>
          <w:p>
            <w:pPr>
              <w:spacing w:after="0"/>
              <w:rPr>
                <w:sz w:val="17"/>
                <w:szCs w:val="17"/>
                <w:color w:val="auto"/>
              </w:rPr>
            </w:pPr>
          </w:p>
        </w:tc>
        <w:tc>
          <w:tcPr>
            <w:tcW w:w="940" w:type="dxa"/>
            <w:vAlign w:val="bottom"/>
            <w:tcBorders>
              <w:bottom w:val="single" w:sz="8" w:color="BCBEC0"/>
            </w:tcBorders>
          </w:tcPr>
          <w:p>
            <w:pPr>
              <w:jc w:val="right"/>
              <w:ind w:right="1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BCBEC0"/>
            </w:tcBorders>
          </w:tcPr>
          <w:p>
            <w:pPr>
              <w:jc w:val="right"/>
              <w:ind w:right="5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BCBEC0"/>
            </w:tcBorders>
          </w:tcPr>
          <w:p>
            <w:pPr>
              <w:spacing w:after="0"/>
              <w:rPr>
                <w:sz w:val="17"/>
                <w:szCs w:val="17"/>
                <w:color w:val="auto"/>
              </w:rPr>
            </w:pPr>
          </w:p>
        </w:tc>
        <w:tc>
          <w:tcPr>
            <w:tcW w:w="400" w:type="dxa"/>
            <w:vAlign w:val="bottom"/>
            <w:tcBorders>
              <w:bottom w:val="single" w:sz="8" w:color="BCBEC0"/>
            </w:tcBorders>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BCBEC0"/>
            </w:tcBorders>
          </w:tcPr>
          <w:p>
            <w:pPr>
              <w:spacing w:after="0"/>
              <w:rPr>
                <w:sz w:val="17"/>
                <w:szCs w:val="17"/>
                <w:color w:val="auto"/>
              </w:rPr>
            </w:pPr>
          </w:p>
        </w:tc>
        <w:tc>
          <w:tcPr>
            <w:tcW w:w="5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213"/>
        </w:trPr>
        <w:tc>
          <w:tcPr>
            <w:tcW w:w="6980" w:type="dxa"/>
            <w:vAlign w:val="bottom"/>
            <w:tcBorders>
              <w:bottom w:val="single" w:sz="8" w:color="BCBEC0"/>
            </w:tcBorders>
          </w:tcPr>
          <w:p>
            <w:pPr>
              <w:ind w:left="120"/>
              <w:spacing w:after="0"/>
              <w:rPr>
                <w:sz w:val="20"/>
                <w:szCs w:val="20"/>
                <w:color w:val="auto"/>
              </w:rPr>
            </w:pPr>
            <w:r>
              <w:rPr>
                <w:rFonts w:ascii="Arial" w:cs="Arial" w:eastAsia="Arial" w:hAnsi="Arial"/>
                <w:sz w:val="14"/>
                <w:szCs w:val="14"/>
                <w:color w:val="auto"/>
              </w:rPr>
              <w:t>Approved cash flow adjustments</w:t>
            </w:r>
          </w:p>
        </w:tc>
        <w:tc>
          <w:tcPr>
            <w:tcW w:w="30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jc w:val="right"/>
              <w:ind w:right="129"/>
              <w:spacing w:after="0"/>
              <w:rPr>
                <w:sz w:val="20"/>
                <w:szCs w:val="20"/>
                <w:color w:val="auto"/>
              </w:rPr>
            </w:pPr>
            <w:r>
              <w:rPr>
                <w:rFonts w:ascii="Arial" w:cs="Arial" w:eastAsia="Arial" w:hAnsi="Arial"/>
                <w:sz w:val="14"/>
                <w:szCs w:val="14"/>
                <w:color w:val="auto"/>
              </w:rPr>
              <w:t>(238)</w:t>
            </w:r>
          </w:p>
        </w:tc>
        <w:tc>
          <w:tcPr>
            <w:tcW w:w="940" w:type="dxa"/>
            <w:vAlign w:val="bottom"/>
            <w:tcBorders>
              <w:bottom w:val="single" w:sz="8" w:color="BCBEC0"/>
            </w:tcBorders>
          </w:tcPr>
          <w:p>
            <w:pPr>
              <w:jc w:val="right"/>
              <w:ind w:right="50"/>
              <w:spacing w:after="0"/>
              <w:rPr>
                <w:sz w:val="20"/>
                <w:szCs w:val="20"/>
                <w:color w:val="auto"/>
              </w:rPr>
            </w:pPr>
            <w:r>
              <w:rPr>
                <w:rFonts w:ascii="Arial" w:cs="Arial" w:eastAsia="Arial" w:hAnsi="Arial"/>
                <w:sz w:val="14"/>
                <w:szCs w:val="14"/>
                <w:color w:val="auto"/>
              </w:rPr>
              <w:t>857</w:t>
            </w:r>
          </w:p>
        </w:tc>
        <w:tc>
          <w:tcPr>
            <w:tcW w:w="640" w:type="dxa"/>
            <w:vAlign w:val="bottom"/>
            <w:tcBorders>
              <w:bottom w:val="single" w:sz="8" w:color="BCBEC0"/>
            </w:tcBorders>
          </w:tcPr>
          <w:p>
            <w:pPr>
              <w:spacing w:after="0"/>
              <w:rPr>
                <w:sz w:val="18"/>
                <w:szCs w:val="18"/>
                <w:color w:val="auto"/>
              </w:rPr>
            </w:pPr>
          </w:p>
        </w:tc>
        <w:tc>
          <w:tcPr>
            <w:tcW w:w="400" w:type="dxa"/>
            <w:vAlign w:val="bottom"/>
            <w:tcBorders>
              <w:bottom w:val="single" w:sz="8" w:color="BCBEC0"/>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BCBEC0"/>
            </w:tcBorders>
          </w:tcPr>
          <w:p>
            <w:pPr>
              <w:spacing w:after="0"/>
              <w:rPr>
                <w:sz w:val="18"/>
                <w:szCs w:val="18"/>
                <w:color w:val="auto"/>
              </w:rPr>
            </w:pPr>
          </w:p>
        </w:tc>
        <w:tc>
          <w:tcPr>
            <w:tcW w:w="5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BCBEC0"/>
            </w:tcBorders>
          </w:tcPr>
          <w:p>
            <w:pPr>
              <w:ind w:left="120"/>
              <w:spacing w:after="0"/>
              <w:rPr>
                <w:sz w:val="20"/>
                <w:szCs w:val="20"/>
                <w:color w:val="auto"/>
              </w:rPr>
            </w:pPr>
            <w:r>
              <w:rPr>
                <w:rFonts w:ascii="Arial" w:cs="Arial" w:eastAsia="Arial" w:hAnsi="Arial"/>
                <w:sz w:val="14"/>
                <w:szCs w:val="14"/>
                <w:b w:val="1"/>
                <w:bCs w:val="1"/>
                <w:color w:val="auto"/>
              </w:rPr>
              <w:t>Adjusted Cash Flow from Operations</w:t>
            </w:r>
          </w:p>
        </w:tc>
        <w:tc>
          <w:tcPr>
            <w:tcW w:w="300" w:type="dxa"/>
            <w:vAlign w:val="bottom"/>
            <w:tcBorders>
              <w:bottom w:val="single" w:sz="8" w:color="BCBEC0"/>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BCBEC0"/>
            </w:tcBorders>
          </w:tcPr>
          <w:p>
            <w:pPr>
              <w:jc w:val="right"/>
              <w:ind w:right="169"/>
              <w:spacing w:after="0"/>
              <w:rPr>
                <w:sz w:val="20"/>
                <w:szCs w:val="20"/>
                <w:color w:val="auto"/>
              </w:rPr>
            </w:pPr>
            <w:r>
              <w:rPr>
                <w:rFonts w:ascii="Arial" w:cs="Arial" w:eastAsia="Arial" w:hAnsi="Arial"/>
                <w:sz w:val="14"/>
                <w:szCs w:val="14"/>
                <w:b w:val="1"/>
                <w:bCs w:val="1"/>
                <w:color w:val="auto"/>
              </w:rPr>
              <w:t>3,637</w:t>
            </w:r>
          </w:p>
        </w:tc>
        <w:tc>
          <w:tcPr>
            <w:tcW w:w="940" w:type="dxa"/>
            <w:vAlign w:val="bottom"/>
            <w:tcBorders>
              <w:bottom w:val="single" w:sz="8" w:color="BCBEC0"/>
            </w:tcBorders>
          </w:tcPr>
          <w:p>
            <w:pPr>
              <w:jc w:val="right"/>
              <w:ind w:right="50"/>
              <w:spacing w:after="0"/>
              <w:rPr>
                <w:sz w:val="20"/>
                <w:szCs w:val="20"/>
                <w:color w:val="auto"/>
              </w:rPr>
            </w:pPr>
            <w:r>
              <w:rPr>
                <w:rFonts w:ascii="Arial" w:cs="Arial" w:eastAsia="Arial" w:hAnsi="Arial"/>
                <w:sz w:val="14"/>
                <w:szCs w:val="14"/>
                <w:b w:val="1"/>
                <w:bCs w:val="1"/>
                <w:color w:val="auto"/>
              </w:rPr>
              <w:t>3,913</w:t>
            </w:r>
          </w:p>
        </w:tc>
        <w:tc>
          <w:tcPr>
            <w:tcW w:w="1040" w:type="dxa"/>
            <w:vAlign w:val="bottom"/>
            <w:tcBorders>
              <w:bottom w:val="single" w:sz="8" w:color="BCBEC0"/>
            </w:tcBorders>
            <w:gridSpan w:val="2"/>
          </w:tcPr>
          <w:p>
            <w:pPr>
              <w:jc w:val="right"/>
              <w:ind w:right="28"/>
              <w:spacing w:after="0"/>
              <w:rPr>
                <w:sz w:val="20"/>
                <w:szCs w:val="20"/>
                <w:color w:val="auto"/>
              </w:rPr>
            </w:pPr>
            <w:r>
              <w:rPr>
                <w:rFonts w:ascii="Arial" w:cs="Arial" w:eastAsia="Arial" w:hAnsi="Arial"/>
                <w:sz w:val="14"/>
                <w:szCs w:val="14"/>
                <w:b w:val="1"/>
                <w:bCs w:val="1"/>
                <w:color w:val="auto"/>
              </w:rPr>
              <w:t>4,475</w:t>
            </w:r>
          </w:p>
        </w:tc>
        <w:tc>
          <w:tcPr>
            <w:tcW w:w="540" w:type="dxa"/>
            <w:vAlign w:val="bottom"/>
            <w:tcBorders>
              <w:bottom w:val="single" w:sz="8" w:color="BCBEC0"/>
            </w:tcBorders>
          </w:tcPr>
          <w:p>
            <w:pPr>
              <w:spacing w:after="0"/>
              <w:rPr>
                <w:sz w:val="18"/>
                <w:szCs w:val="18"/>
                <w:color w:val="auto"/>
              </w:rPr>
            </w:pPr>
          </w:p>
        </w:tc>
        <w:tc>
          <w:tcPr>
            <w:tcW w:w="5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5,135</w:t>
            </w:r>
          </w:p>
        </w:tc>
        <w:tc>
          <w:tcPr>
            <w:tcW w:w="0" w:type="dxa"/>
            <w:vAlign w:val="bottom"/>
          </w:tcPr>
          <w:p>
            <w:pPr>
              <w:spacing w:after="0"/>
              <w:rPr>
                <w:sz w:val="1"/>
                <w:szCs w:val="1"/>
                <w:color w:val="auto"/>
              </w:rPr>
            </w:pPr>
          </w:p>
        </w:tc>
      </w:tr>
      <w:tr>
        <w:trPr>
          <w:trHeight w:val="297"/>
        </w:trPr>
        <w:tc>
          <w:tcPr>
            <w:tcW w:w="6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2"/>
          </w:tcPr>
          <w:p>
            <w:pPr>
              <w:jc w:val="center"/>
              <w:ind w:right="328"/>
              <w:spacing w:after="0"/>
              <w:rPr>
                <w:sz w:val="20"/>
                <w:szCs w:val="20"/>
                <w:color w:val="auto"/>
              </w:rPr>
            </w:pPr>
            <w:r>
              <w:rPr>
                <w:rFonts w:ascii="Arial" w:cs="Arial" w:eastAsia="Arial" w:hAnsi="Arial"/>
                <w:sz w:val="13"/>
                <w:szCs w:val="13"/>
                <w:b w:val="1"/>
                <w:bCs w:val="1"/>
                <w:color w:val="auto"/>
                <w:w w:val="95"/>
              </w:rPr>
              <w:t>Total Year</w:t>
            </w:r>
          </w:p>
        </w:tc>
        <w:tc>
          <w:tcPr>
            <w:tcW w:w="0" w:type="dxa"/>
            <w:vAlign w:val="bottom"/>
          </w:tcPr>
          <w:p>
            <w:pPr>
              <w:spacing w:after="0"/>
              <w:rPr>
                <w:sz w:val="1"/>
                <w:szCs w:val="1"/>
                <w:color w:val="auto"/>
              </w:rPr>
            </w:pPr>
          </w:p>
        </w:tc>
      </w:tr>
      <w:tr>
        <w:trPr>
          <w:trHeight w:val="22"/>
        </w:trPr>
        <w:tc>
          <w:tcPr>
            <w:tcW w:w="69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w:t>
            </w: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bottom w:val="single" w:sz="8" w:color="29378D"/>
            </w:tcBorders>
          </w:tcPr>
          <w:p>
            <w:pPr>
              <w:spacing w:after="0" w:line="20" w:lineRule="exact"/>
              <w:rPr>
                <w:sz w:val="1"/>
                <w:szCs w:val="1"/>
                <w:color w:val="auto"/>
              </w:rPr>
            </w:pPr>
          </w:p>
        </w:tc>
        <w:tc>
          <w:tcPr>
            <w:tcW w:w="540" w:type="dxa"/>
            <w:vAlign w:val="bottom"/>
            <w:tcBorders>
              <w:bottom w:val="single" w:sz="8" w:color="29378D"/>
            </w:tcBorders>
          </w:tcPr>
          <w:p>
            <w:pPr>
              <w:spacing w:after="0" w:line="20" w:lineRule="exact"/>
              <w:rPr>
                <w:sz w:val="1"/>
                <w:szCs w:val="1"/>
                <w:color w:val="auto"/>
              </w:rPr>
            </w:pPr>
          </w:p>
        </w:tc>
        <w:tc>
          <w:tcPr>
            <w:tcW w:w="50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6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jc w:val="right"/>
              <w:ind w:right="13"/>
              <w:spacing w:after="0"/>
              <w:rPr>
                <w:sz w:val="20"/>
                <w:szCs w:val="20"/>
                <w:color w:val="auto"/>
              </w:rPr>
            </w:pPr>
            <w:r>
              <w:rPr>
                <w:rFonts w:ascii="Arial" w:cs="Arial" w:eastAsia="Arial" w:hAnsi="Arial"/>
                <w:sz w:val="13"/>
                <w:szCs w:val="13"/>
                <w:b w:val="1"/>
                <w:bCs w:val="1"/>
                <w:color w:val="auto"/>
              </w:rPr>
              <w:t>2023</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980" w:type="dxa"/>
            <w:vAlign w:val="bottom"/>
            <w:tcBorders>
              <w:bottom w:val="single" w:sz="8" w:color="29378D"/>
            </w:tcBorders>
          </w:tcPr>
          <w:p>
            <w:pPr>
              <w:spacing w:after="0" w:line="20" w:lineRule="exact"/>
              <w:rPr>
                <w:sz w:val="1"/>
                <w:szCs w:val="1"/>
                <w:color w:val="auto"/>
              </w:rPr>
            </w:pPr>
          </w:p>
        </w:tc>
        <w:tc>
          <w:tcPr>
            <w:tcW w:w="300" w:type="dxa"/>
            <w:vAlign w:val="bottom"/>
            <w:tcBorders>
              <w:bottom w:val="single" w:sz="8" w:color="29378D"/>
            </w:tcBorders>
          </w:tcPr>
          <w:p>
            <w:pPr>
              <w:spacing w:after="0" w:line="20" w:lineRule="exact"/>
              <w:rPr>
                <w:sz w:val="1"/>
                <w:szCs w:val="1"/>
                <w:color w:val="auto"/>
              </w:rPr>
            </w:pPr>
          </w:p>
        </w:tc>
        <w:tc>
          <w:tcPr>
            <w:tcW w:w="940" w:type="dxa"/>
            <w:vAlign w:val="bottom"/>
            <w:tcBorders>
              <w:bottom w:val="single" w:sz="8" w:color="29378D"/>
            </w:tcBorders>
          </w:tcPr>
          <w:p>
            <w:pPr>
              <w:spacing w:after="0" w:line="20" w:lineRule="exact"/>
              <w:rPr>
                <w:sz w:val="1"/>
                <w:szCs w:val="1"/>
                <w:color w:val="auto"/>
              </w:rPr>
            </w:pPr>
          </w:p>
        </w:tc>
        <w:tc>
          <w:tcPr>
            <w:tcW w:w="940" w:type="dxa"/>
            <w:vAlign w:val="bottom"/>
            <w:tcBorders>
              <w:bottom w:val="single" w:sz="8" w:color="29378D"/>
            </w:tcBorders>
          </w:tcPr>
          <w:p>
            <w:pPr>
              <w:spacing w:after="0" w:line="20" w:lineRule="exact"/>
              <w:rPr>
                <w:sz w:val="1"/>
                <w:szCs w:val="1"/>
                <w:color w:val="auto"/>
              </w:rPr>
            </w:pPr>
          </w:p>
        </w:tc>
        <w:tc>
          <w:tcPr>
            <w:tcW w:w="640" w:type="dxa"/>
            <w:vAlign w:val="bottom"/>
            <w:tcBorders>
              <w:bottom w:val="single" w:sz="8" w:color="29378D"/>
            </w:tcBorders>
          </w:tcPr>
          <w:p>
            <w:pPr>
              <w:spacing w:after="0" w:line="20" w:lineRule="exact"/>
              <w:rPr>
                <w:sz w:val="1"/>
                <w:szCs w:val="1"/>
                <w:color w:val="auto"/>
              </w:rPr>
            </w:pPr>
          </w:p>
        </w:tc>
        <w:tc>
          <w:tcPr>
            <w:tcW w:w="400" w:type="dxa"/>
            <w:vAlign w:val="bottom"/>
            <w:tcBorders>
              <w:bottom w:val="single" w:sz="8" w:color="29378D"/>
            </w:tcBorders>
          </w:tcPr>
          <w:p>
            <w:pPr>
              <w:spacing w:after="0" w:line="20" w:lineRule="exact"/>
              <w:rPr>
                <w:sz w:val="1"/>
                <w:szCs w:val="1"/>
                <w:color w:val="auto"/>
              </w:rPr>
            </w:pPr>
          </w:p>
        </w:tc>
        <w:tc>
          <w:tcPr>
            <w:tcW w:w="540" w:type="dxa"/>
            <w:vAlign w:val="bottom"/>
            <w:tcBorders>
              <w:bottom w:val="single" w:sz="8" w:color="29378D"/>
            </w:tcBorders>
          </w:tcPr>
          <w:p>
            <w:pPr>
              <w:spacing w:after="0" w:line="20" w:lineRule="exact"/>
              <w:rPr>
                <w:sz w:val="1"/>
                <w:szCs w:val="1"/>
                <w:color w:val="auto"/>
              </w:rPr>
            </w:pPr>
          </w:p>
        </w:tc>
        <w:tc>
          <w:tcPr>
            <w:tcW w:w="50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698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Pension-Adjusted Metrics</w:t>
            </w:r>
          </w:p>
        </w:tc>
        <w:tc>
          <w:tcPr>
            <w:tcW w:w="30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spacing w:after="0"/>
              <w:rPr>
                <w:sz w:val="18"/>
                <w:szCs w:val="18"/>
                <w:color w:val="auto"/>
              </w:rPr>
            </w:pPr>
          </w:p>
        </w:tc>
        <w:tc>
          <w:tcPr>
            <w:tcW w:w="640" w:type="dxa"/>
            <w:vAlign w:val="bottom"/>
            <w:tcBorders>
              <w:bottom w:val="single" w:sz="8" w:color="BCBEC0"/>
            </w:tcBorders>
          </w:tcPr>
          <w:p>
            <w:pPr>
              <w:spacing w:after="0"/>
              <w:rPr>
                <w:sz w:val="18"/>
                <w:szCs w:val="18"/>
                <w:color w:val="auto"/>
              </w:rPr>
            </w:pPr>
          </w:p>
        </w:tc>
        <w:tc>
          <w:tcPr>
            <w:tcW w:w="400" w:type="dxa"/>
            <w:vAlign w:val="bottom"/>
            <w:tcBorders>
              <w:bottom w:val="single" w:sz="8" w:color="BCBEC0"/>
            </w:tcBorders>
          </w:tcPr>
          <w:p>
            <w:pPr>
              <w:spacing w:after="0"/>
              <w:rPr>
                <w:sz w:val="18"/>
                <w:szCs w:val="18"/>
                <w:color w:val="auto"/>
              </w:rPr>
            </w:pPr>
          </w:p>
        </w:tc>
        <w:tc>
          <w:tcPr>
            <w:tcW w:w="540" w:type="dxa"/>
            <w:vAlign w:val="bottom"/>
            <w:tcBorders>
              <w:bottom w:val="single" w:sz="8" w:color="BCBEC0"/>
            </w:tcBorders>
          </w:tcPr>
          <w:p>
            <w:pPr>
              <w:spacing w:after="0"/>
              <w:rPr>
                <w:sz w:val="18"/>
                <w:szCs w:val="18"/>
                <w:color w:val="auto"/>
              </w:rPr>
            </w:pPr>
          </w:p>
        </w:tc>
        <w:tc>
          <w:tcPr>
            <w:tcW w:w="5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Operating income</w:t>
            </w:r>
          </w:p>
        </w:tc>
        <w:tc>
          <w:tcPr>
            <w:tcW w:w="30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spacing w:after="0"/>
              <w:rPr>
                <w:sz w:val="18"/>
                <w:szCs w:val="18"/>
                <w:color w:val="auto"/>
              </w:rPr>
            </w:pPr>
          </w:p>
        </w:tc>
        <w:tc>
          <w:tcPr>
            <w:tcW w:w="1040" w:type="dxa"/>
            <w:vAlign w:val="bottom"/>
            <w:tcBorders>
              <w:bottom w:val="single" w:sz="8" w:color="BCBEC0"/>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BCBEC0"/>
            </w:tcBorders>
            <w:gridSpan w:val="2"/>
          </w:tcPr>
          <w:p>
            <w:pPr>
              <w:jc w:val="right"/>
              <w:ind w:right="108"/>
              <w:spacing w:after="0"/>
              <w:rPr>
                <w:sz w:val="20"/>
                <w:szCs w:val="20"/>
                <w:color w:val="auto"/>
              </w:rPr>
            </w:pPr>
            <w:r>
              <w:rPr>
                <w:rFonts w:ascii="Arial" w:cs="Arial" w:eastAsia="Arial" w:hAnsi="Arial"/>
                <w:sz w:val="14"/>
                <w:szCs w:val="14"/>
                <w:b w:val="1"/>
                <w:bCs w:val="1"/>
                <w:color w:val="auto"/>
              </w:rPr>
              <w:t>2,537</w:t>
            </w:r>
          </w:p>
        </w:tc>
        <w:tc>
          <w:tcPr>
            <w:tcW w:w="0" w:type="dxa"/>
            <w:vAlign w:val="bottom"/>
          </w:tcPr>
          <w:p>
            <w:pPr>
              <w:spacing w:after="0"/>
              <w:rPr>
                <w:sz w:val="1"/>
                <w:szCs w:val="1"/>
                <w:color w:val="auto"/>
              </w:rPr>
            </w:pPr>
          </w:p>
        </w:tc>
      </w:tr>
      <w:tr>
        <w:trPr>
          <w:trHeight w:val="207"/>
        </w:trPr>
        <w:tc>
          <w:tcPr>
            <w:tcW w:w="69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Net FAS/CAS operating adjustment</w:t>
            </w:r>
          </w:p>
        </w:tc>
        <w:tc>
          <w:tcPr>
            <w:tcW w:w="300" w:type="dxa"/>
            <w:vAlign w:val="bottom"/>
            <w:tcBorders>
              <w:bottom w:val="single" w:sz="8" w:color="BCBEC0"/>
            </w:tcBorders>
          </w:tcPr>
          <w:p>
            <w:pPr>
              <w:spacing w:after="0"/>
              <w:rPr>
                <w:sz w:val="17"/>
                <w:szCs w:val="17"/>
                <w:color w:val="auto"/>
              </w:rPr>
            </w:pPr>
          </w:p>
        </w:tc>
        <w:tc>
          <w:tcPr>
            <w:tcW w:w="940" w:type="dxa"/>
            <w:vAlign w:val="bottom"/>
            <w:tcBorders>
              <w:bottom w:val="single" w:sz="8" w:color="BCBEC0"/>
            </w:tcBorders>
          </w:tcPr>
          <w:p>
            <w:pPr>
              <w:spacing w:after="0"/>
              <w:rPr>
                <w:sz w:val="17"/>
                <w:szCs w:val="17"/>
                <w:color w:val="auto"/>
              </w:rPr>
            </w:pPr>
          </w:p>
        </w:tc>
        <w:tc>
          <w:tcPr>
            <w:tcW w:w="940" w:type="dxa"/>
            <w:vAlign w:val="bottom"/>
            <w:tcBorders>
              <w:bottom w:val="single" w:sz="8" w:color="BCBEC0"/>
            </w:tcBorders>
          </w:tcPr>
          <w:p>
            <w:pPr>
              <w:spacing w:after="0"/>
              <w:rPr>
                <w:sz w:val="17"/>
                <w:szCs w:val="17"/>
                <w:color w:val="auto"/>
              </w:rPr>
            </w:pPr>
          </w:p>
        </w:tc>
        <w:tc>
          <w:tcPr>
            <w:tcW w:w="640" w:type="dxa"/>
            <w:vAlign w:val="bottom"/>
            <w:tcBorders>
              <w:bottom w:val="single" w:sz="8" w:color="BCBEC0"/>
            </w:tcBorders>
          </w:tcPr>
          <w:p>
            <w:pPr>
              <w:spacing w:after="0"/>
              <w:rPr>
                <w:sz w:val="17"/>
                <w:szCs w:val="17"/>
                <w:color w:val="auto"/>
              </w:rPr>
            </w:pPr>
          </w:p>
        </w:tc>
        <w:tc>
          <w:tcPr>
            <w:tcW w:w="400" w:type="dxa"/>
            <w:vAlign w:val="bottom"/>
            <w:tcBorders>
              <w:bottom w:val="single" w:sz="8" w:color="BCBEC0"/>
            </w:tcBorders>
          </w:tcPr>
          <w:p>
            <w:pPr>
              <w:spacing w:after="0"/>
              <w:rPr>
                <w:sz w:val="17"/>
                <w:szCs w:val="17"/>
                <w:color w:val="auto"/>
              </w:rPr>
            </w:pPr>
          </w:p>
        </w:tc>
        <w:tc>
          <w:tcPr>
            <w:tcW w:w="540" w:type="dxa"/>
            <w:vAlign w:val="bottom"/>
            <w:tcBorders>
              <w:bottom w:val="single" w:sz="8" w:color="BCBEC0"/>
            </w:tcBorders>
          </w:tcPr>
          <w:p>
            <w:pPr>
              <w:spacing w:after="0"/>
              <w:rPr>
                <w:sz w:val="17"/>
                <w:szCs w:val="17"/>
                <w:color w:val="auto"/>
              </w:rPr>
            </w:pPr>
          </w:p>
        </w:tc>
        <w:tc>
          <w:tcPr>
            <w:tcW w:w="500" w:type="dxa"/>
            <w:vAlign w:val="bottom"/>
            <w:tcBorders>
              <w:bottom w:val="single" w:sz="8" w:color="BCBEC0"/>
            </w:tcBorders>
          </w:tcPr>
          <w:p>
            <w:pPr>
              <w:jc w:val="right"/>
              <w:ind w:right="10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9"/>
        </w:trPr>
        <w:tc>
          <w:tcPr>
            <w:tcW w:w="69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Unallocated state tax impacts reflected within unallocated income (expense)</w:t>
            </w:r>
          </w:p>
        </w:tc>
        <w:tc>
          <w:tcPr>
            <w:tcW w:w="30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spacing w:after="0"/>
              <w:rPr>
                <w:sz w:val="18"/>
                <w:szCs w:val="18"/>
                <w:color w:val="auto"/>
              </w:rPr>
            </w:pPr>
          </w:p>
        </w:tc>
        <w:tc>
          <w:tcPr>
            <w:tcW w:w="640" w:type="dxa"/>
            <w:vAlign w:val="bottom"/>
            <w:tcBorders>
              <w:bottom w:val="single" w:sz="8" w:color="BCBEC0"/>
            </w:tcBorders>
          </w:tcPr>
          <w:p>
            <w:pPr>
              <w:spacing w:after="0"/>
              <w:rPr>
                <w:sz w:val="18"/>
                <w:szCs w:val="18"/>
                <w:color w:val="auto"/>
              </w:rPr>
            </w:pPr>
          </w:p>
        </w:tc>
        <w:tc>
          <w:tcPr>
            <w:tcW w:w="400" w:type="dxa"/>
            <w:vAlign w:val="bottom"/>
            <w:tcBorders>
              <w:bottom w:val="single" w:sz="8" w:color="BCBEC0"/>
            </w:tcBorders>
          </w:tcPr>
          <w:p>
            <w:pPr>
              <w:spacing w:after="0"/>
              <w:rPr>
                <w:sz w:val="18"/>
                <w:szCs w:val="18"/>
                <w:color w:val="auto"/>
              </w:rPr>
            </w:pPr>
          </w:p>
        </w:tc>
        <w:tc>
          <w:tcPr>
            <w:tcW w:w="540" w:type="dxa"/>
            <w:vAlign w:val="bottom"/>
            <w:tcBorders>
              <w:bottom w:val="single" w:sz="8" w:color="BCBEC0"/>
            </w:tcBorders>
          </w:tcPr>
          <w:p>
            <w:pPr>
              <w:spacing w:after="0"/>
              <w:rPr>
                <w:sz w:val="18"/>
                <w:szCs w:val="18"/>
                <w:color w:val="auto"/>
              </w:rPr>
            </w:pPr>
          </w:p>
        </w:tc>
        <w:tc>
          <w:tcPr>
            <w:tcW w:w="50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Approved operating income adjustments</w:t>
            </w:r>
          </w:p>
        </w:tc>
        <w:tc>
          <w:tcPr>
            <w:tcW w:w="30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spacing w:after="0"/>
              <w:rPr>
                <w:sz w:val="18"/>
                <w:szCs w:val="18"/>
                <w:color w:val="auto"/>
              </w:rPr>
            </w:pPr>
          </w:p>
        </w:tc>
        <w:tc>
          <w:tcPr>
            <w:tcW w:w="640" w:type="dxa"/>
            <w:vAlign w:val="bottom"/>
            <w:tcBorders>
              <w:bottom w:val="single" w:sz="8" w:color="BCBEC0"/>
            </w:tcBorders>
          </w:tcPr>
          <w:p>
            <w:pPr>
              <w:spacing w:after="0"/>
              <w:rPr>
                <w:sz w:val="18"/>
                <w:szCs w:val="18"/>
                <w:color w:val="auto"/>
              </w:rPr>
            </w:pPr>
          </w:p>
        </w:tc>
        <w:tc>
          <w:tcPr>
            <w:tcW w:w="400" w:type="dxa"/>
            <w:vAlign w:val="bottom"/>
            <w:tcBorders>
              <w:bottom w:val="single" w:sz="8" w:color="BCBEC0"/>
            </w:tcBorders>
          </w:tcPr>
          <w:p>
            <w:pPr>
              <w:spacing w:after="0"/>
              <w:rPr>
                <w:sz w:val="18"/>
                <w:szCs w:val="18"/>
                <w:color w:val="auto"/>
              </w:rPr>
            </w:pPr>
          </w:p>
        </w:tc>
        <w:tc>
          <w:tcPr>
            <w:tcW w:w="1040" w:type="dxa"/>
            <w:vAlign w:val="bottom"/>
            <w:tcBorders>
              <w:bottom w:val="single" w:sz="8" w:color="BCBEC0"/>
            </w:tcBorders>
            <w:gridSpan w:val="2"/>
          </w:tcPr>
          <w:p>
            <w:pPr>
              <w:jc w:val="right"/>
              <w:ind w:right="108"/>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213"/>
        </w:trPr>
        <w:tc>
          <w:tcPr>
            <w:tcW w:w="69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Pension-Adjusted Operating Income</w:t>
            </w:r>
          </w:p>
        </w:tc>
        <w:tc>
          <w:tcPr>
            <w:tcW w:w="30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spacing w:after="0"/>
              <w:rPr>
                <w:sz w:val="18"/>
                <w:szCs w:val="18"/>
                <w:color w:val="auto"/>
              </w:rPr>
            </w:pPr>
          </w:p>
        </w:tc>
        <w:tc>
          <w:tcPr>
            <w:tcW w:w="940" w:type="dxa"/>
            <w:vAlign w:val="bottom"/>
            <w:tcBorders>
              <w:bottom w:val="single" w:sz="8" w:color="BCBEC0"/>
            </w:tcBorders>
          </w:tcPr>
          <w:p>
            <w:pPr>
              <w:spacing w:after="0"/>
              <w:rPr>
                <w:sz w:val="18"/>
                <w:szCs w:val="18"/>
                <w:color w:val="auto"/>
              </w:rPr>
            </w:pPr>
          </w:p>
        </w:tc>
        <w:tc>
          <w:tcPr>
            <w:tcW w:w="1040" w:type="dxa"/>
            <w:vAlign w:val="bottom"/>
            <w:tcBorders>
              <w:bottom w:val="single" w:sz="8" w:color="BCBEC0"/>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BCBEC0"/>
            </w:tcBorders>
            <w:gridSpan w:val="2"/>
          </w:tcPr>
          <w:p>
            <w:pPr>
              <w:jc w:val="right"/>
              <w:ind w:right="108"/>
              <w:spacing w:after="0"/>
              <w:rPr>
                <w:sz w:val="20"/>
                <w:szCs w:val="20"/>
                <w:color w:val="auto"/>
              </w:rPr>
            </w:pPr>
            <w:r>
              <w:rPr>
                <w:rFonts w:ascii="Arial" w:cs="Arial" w:eastAsia="Arial" w:hAnsi="Arial"/>
                <w:sz w:val="14"/>
                <w:szCs w:val="14"/>
                <w:b w:val="1"/>
                <w:bCs w:val="1"/>
                <w:color w:val="auto"/>
              </w:rPr>
              <w:t>4,093</w:t>
            </w:r>
          </w:p>
        </w:tc>
        <w:tc>
          <w:tcPr>
            <w:tcW w:w="0" w:type="dxa"/>
            <w:vAlign w:val="bottom"/>
          </w:tcPr>
          <w:p>
            <w:pPr>
              <w:spacing w:after="0"/>
              <w:rPr>
                <w:sz w:val="1"/>
                <w:szCs w:val="1"/>
                <w:color w:val="auto"/>
              </w:rPr>
            </w:pPr>
          </w:p>
        </w:tc>
      </w:tr>
      <w:tr>
        <w:trPr>
          <w:trHeight w:val="206"/>
        </w:trPr>
        <w:tc>
          <w:tcPr>
            <w:tcW w:w="6980" w:type="dxa"/>
            <w:vAlign w:val="bottom"/>
            <w:tcBorders>
              <w:bottom w:val="single" w:sz="8" w:color="D1D3D4"/>
            </w:tcBorders>
          </w:tcPr>
          <w:p>
            <w:pPr>
              <w:ind w:left="140"/>
              <w:spacing w:after="0"/>
              <w:rPr>
                <w:sz w:val="20"/>
                <w:szCs w:val="20"/>
                <w:color w:val="auto"/>
              </w:rPr>
            </w:pPr>
            <w:r>
              <w:rPr>
                <w:rFonts w:ascii="Arial" w:cs="Arial" w:eastAsia="Arial" w:hAnsi="Arial"/>
                <w:sz w:val="14"/>
                <w:szCs w:val="14"/>
                <w:i w:val="1"/>
                <w:iCs w:val="1"/>
                <w:color w:val="auto"/>
              </w:rPr>
              <w:t>Pension-Adjusted OM Rate</w:t>
            </w:r>
          </w:p>
        </w:tc>
        <w:tc>
          <w:tcPr>
            <w:tcW w:w="300" w:type="dxa"/>
            <w:vAlign w:val="bottom"/>
            <w:tcBorders>
              <w:bottom w:val="single" w:sz="8" w:color="D1D3D4"/>
            </w:tcBorders>
          </w:tcPr>
          <w:p>
            <w:pPr>
              <w:spacing w:after="0"/>
              <w:rPr>
                <w:sz w:val="17"/>
                <w:szCs w:val="17"/>
                <w:color w:val="auto"/>
              </w:rPr>
            </w:pPr>
          </w:p>
        </w:tc>
        <w:tc>
          <w:tcPr>
            <w:tcW w:w="940" w:type="dxa"/>
            <w:vAlign w:val="bottom"/>
            <w:tcBorders>
              <w:bottom w:val="single" w:sz="8" w:color="D1D3D4"/>
            </w:tcBorders>
          </w:tcPr>
          <w:p>
            <w:pPr>
              <w:spacing w:after="0"/>
              <w:rPr>
                <w:sz w:val="17"/>
                <w:szCs w:val="17"/>
                <w:color w:val="auto"/>
              </w:rPr>
            </w:pPr>
          </w:p>
        </w:tc>
        <w:tc>
          <w:tcPr>
            <w:tcW w:w="940" w:type="dxa"/>
            <w:vAlign w:val="bottom"/>
            <w:tcBorders>
              <w:bottom w:val="single" w:sz="8" w:color="D1D3D4"/>
            </w:tcBorders>
          </w:tcPr>
          <w:p>
            <w:pPr>
              <w:spacing w:after="0"/>
              <w:rPr>
                <w:sz w:val="17"/>
                <w:szCs w:val="17"/>
                <w:color w:val="auto"/>
              </w:rPr>
            </w:pPr>
          </w:p>
        </w:tc>
        <w:tc>
          <w:tcPr>
            <w:tcW w:w="640" w:type="dxa"/>
            <w:vAlign w:val="bottom"/>
            <w:tcBorders>
              <w:bottom w:val="single" w:sz="8" w:color="D1D3D4"/>
            </w:tcBorders>
          </w:tcPr>
          <w:p>
            <w:pPr>
              <w:spacing w:after="0"/>
              <w:rPr>
                <w:sz w:val="17"/>
                <w:szCs w:val="17"/>
                <w:color w:val="auto"/>
              </w:rPr>
            </w:pPr>
          </w:p>
        </w:tc>
        <w:tc>
          <w:tcPr>
            <w:tcW w:w="400" w:type="dxa"/>
            <w:vAlign w:val="bottom"/>
            <w:tcBorders>
              <w:bottom w:val="single" w:sz="8" w:color="D1D3D4"/>
            </w:tcBorders>
          </w:tcPr>
          <w:p>
            <w:pPr>
              <w:spacing w:after="0"/>
              <w:rPr>
                <w:sz w:val="17"/>
                <w:szCs w:val="17"/>
                <w:color w:val="auto"/>
              </w:rPr>
            </w:pPr>
          </w:p>
        </w:tc>
        <w:tc>
          <w:tcPr>
            <w:tcW w:w="540" w:type="dxa"/>
            <w:vAlign w:val="bottom"/>
            <w:tcBorders>
              <w:bottom w:val="single" w:sz="8" w:color="D1D3D4"/>
            </w:tcBorders>
          </w:tcPr>
          <w:p>
            <w:pPr>
              <w:spacing w:after="0"/>
              <w:rPr>
                <w:sz w:val="17"/>
                <w:szCs w:val="17"/>
                <w:color w:val="auto"/>
              </w:rPr>
            </w:pPr>
          </w:p>
        </w:tc>
        <w:tc>
          <w:tcPr>
            <w:tcW w:w="500" w:type="dxa"/>
            <w:vAlign w:val="bottom"/>
            <w:tcBorders>
              <w:bottom w:val="single" w:sz="8" w:color="D1D3D4"/>
            </w:tcBorders>
          </w:tcPr>
          <w:p>
            <w:pPr>
              <w:jc w:val="right"/>
              <w:spacing w:after="0"/>
              <w:rPr>
                <w:sz w:val="20"/>
                <w:szCs w:val="20"/>
                <w:color w:val="auto"/>
              </w:rPr>
            </w:pPr>
            <w:r>
              <w:rPr>
                <w:rFonts w:ascii="Arial" w:cs="Arial" w:eastAsia="Arial" w:hAnsi="Arial"/>
                <w:sz w:val="14"/>
                <w:szCs w:val="14"/>
                <w:i w:val="1"/>
                <w:iCs w:val="1"/>
                <w:color w:val="auto"/>
              </w:rPr>
              <w:t>10.4 %</w:t>
            </w:r>
          </w:p>
        </w:tc>
        <w:tc>
          <w:tcPr>
            <w:tcW w:w="0" w:type="dxa"/>
            <w:vAlign w:val="bottom"/>
          </w:tcPr>
          <w:p>
            <w:pPr>
              <w:spacing w:after="0"/>
              <w:rPr>
                <w:sz w:val="1"/>
                <w:szCs w:val="1"/>
                <w:color w:val="auto"/>
              </w:rPr>
            </w:pPr>
          </w:p>
        </w:tc>
      </w:tr>
      <w:tr>
        <w:trPr>
          <w:trHeight w:val="954"/>
        </w:trPr>
        <w:tc>
          <w:tcPr>
            <w:tcW w:w="6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80" w:type="dxa"/>
            <w:vAlign w:val="bottom"/>
            <w:gridSpan w:val="3"/>
          </w:tcPr>
          <w:p>
            <w:pPr>
              <w:ind w:left="120"/>
              <w:spacing w:after="0"/>
              <w:rPr>
                <w:sz w:val="20"/>
                <w:szCs w:val="20"/>
                <w:color w:val="auto"/>
              </w:rPr>
            </w:pPr>
            <w:r>
              <w:rPr>
                <w:rFonts w:ascii="Arial" w:cs="Arial" w:eastAsia="Arial" w:hAnsi="Arial"/>
                <w:sz w:val="14"/>
                <w:szCs w:val="14"/>
                <w:color w:val="auto"/>
              </w:rPr>
              <w:t>2024 Proxy Statement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0" w:type="dxa"/>
            <w:vAlign w:val="bottom"/>
          </w:tcPr>
          <w:p>
            <w:pPr>
              <w:spacing w:after="0"/>
              <w:rPr>
                <w:sz w:val="1"/>
                <w:szCs w:val="1"/>
                <w:color w:val="auto"/>
              </w:rPr>
            </w:pPr>
          </w:p>
        </w:tc>
      </w:tr>
      <w:tr>
        <w:trPr>
          <w:trHeight w:val="319"/>
        </w:trPr>
        <w:tc>
          <w:tcPr>
            <w:tcW w:w="6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b w:val="1"/>
          <w:bCs w:val="1"/>
          <w:color w:val="auto"/>
        </w:rPr>
        <w:t>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center"/>
              <w:ind w:right="149"/>
              <w:spacing w:after="0"/>
              <w:rPr>
                <w:sz w:val="20"/>
                <w:szCs w:val="20"/>
                <w:color w:val="auto"/>
              </w:rPr>
            </w:pPr>
            <w:r>
              <w:rPr>
                <w:rFonts w:ascii="Arial" w:cs="Arial" w:eastAsia="Arial" w:hAnsi="Arial"/>
                <w:sz w:val="13"/>
                <w:szCs w:val="13"/>
                <w:b w:val="1"/>
                <w:bCs w:val="1"/>
                <w:color w:val="auto"/>
                <w:w w:val="95"/>
              </w:rPr>
              <w:t>Total Year</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w:t>
            </w:r>
          </w:p>
        </w:tc>
        <w:tc>
          <w:tcPr>
            <w:tcW w:w="160" w:type="dxa"/>
            <w:vAlign w:val="bottom"/>
            <w:tcBorders>
              <w:bottom w:val="single" w:sz="8" w:color="29378D"/>
            </w:tcBorders>
          </w:tcPr>
          <w:p>
            <w:pPr>
              <w:spacing w:after="0" w:line="20" w:lineRule="exact"/>
              <w:rPr>
                <w:sz w:val="1"/>
                <w:szCs w:val="1"/>
                <w:color w:val="auto"/>
              </w:rPr>
            </w:pPr>
          </w:p>
        </w:tc>
        <w:tc>
          <w:tcPr>
            <w:tcW w:w="300" w:type="dxa"/>
            <w:vAlign w:val="bottom"/>
            <w:tcBorders>
              <w:bottom w:val="single" w:sz="8" w:color="29378D"/>
            </w:tcBorders>
          </w:tcPr>
          <w:p>
            <w:pPr>
              <w:spacing w:after="0" w:line="20" w:lineRule="exact"/>
              <w:rPr>
                <w:sz w:val="1"/>
                <w:szCs w:val="1"/>
                <w:color w:val="auto"/>
              </w:rPr>
            </w:pPr>
          </w:p>
        </w:tc>
        <w:tc>
          <w:tcPr>
            <w:tcW w:w="880" w:type="dxa"/>
            <w:vAlign w:val="bottom"/>
            <w:tcBorders>
              <w:bottom w:val="single" w:sz="8" w:color="29378D"/>
            </w:tcBorders>
          </w:tcPr>
          <w:p>
            <w:pPr>
              <w:spacing w:after="0" w:line="20" w:lineRule="exact"/>
              <w:rPr>
                <w:sz w:val="1"/>
                <w:szCs w:val="1"/>
                <w:color w:val="auto"/>
              </w:rPr>
            </w:pPr>
          </w:p>
        </w:tc>
        <w:tc>
          <w:tcPr>
            <w:tcW w:w="28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420" w:type="dxa"/>
            <w:vAlign w:val="bottom"/>
            <w:tcBorders>
              <w:bottom w:val="single" w:sz="8" w:color="29378D"/>
            </w:tcBorders>
          </w:tcPr>
          <w:p>
            <w:pPr>
              <w:spacing w:after="0" w:line="20" w:lineRule="exact"/>
              <w:rPr>
                <w:sz w:val="1"/>
                <w:szCs w:val="1"/>
                <w:color w:val="auto"/>
              </w:rPr>
            </w:pPr>
          </w:p>
        </w:tc>
        <w:tc>
          <w:tcPr>
            <w:tcW w:w="780" w:type="dxa"/>
            <w:vAlign w:val="bottom"/>
            <w:tcBorders>
              <w:bottom w:val="single" w:sz="8" w:color="29378D"/>
            </w:tcBorders>
          </w:tcPr>
          <w:p>
            <w:pPr>
              <w:spacing w:after="0" w:line="20" w:lineRule="exact"/>
              <w:rPr>
                <w:sz w:val="1"/>
                <w:szCs w:val="1"/>
                <w:color w:val="auto"/>
              </w:rPr>
            </w:pPr>
          </w:p>
        </w:tc>
        <w:tc>
          <w:tcPr>
            <w:tcW w:w="20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73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489"/>
              <w:spacing w:after="0"/>
              <w:rPr>
                <w:sz w:val="20"/>
                <w:szCs w:val="20"/>
                <w:color w:val="auto"/>
              </w:rPr>
            </w:pPr>
            <w:r>
              <w:rPr>
                <w:rFonts w:ascii="Arial" w:cs="Arial" w:eastAsia="Arial" w:hAnsi="Arial"/>
                <w:sz w:val="13"/>
                <w:szCs w:val="13"/>
                <w:b w:val="1"/>
                <w:bCs w:val="1"/>
                <w:color w:val="auto"/>
              </w:rPr>
              <w:t>2023</w:t>
            </w:r>
          </w:p>
        </w:tc>
        <w:tc>
          <w:tcPr>
            <w:tcW w:w="280" w:type="dxa"/>
            <w:vAlign w:val="bottom"/>
          </w:tcPr>
          <w:p>
            <w:pPr>
              <w:spacing w:after="0"/>
              <w:rPr>
                <w:sz w:val="15"/>
                <w:szCs w:val="15"/>
                <w:color w:val="auto"/>
              </w:rPr>
            </w:pPr>
          </w:p>
        </w:tc>
        <w:tc>
          <w:tcPr>
            <w:tcW w:w="900" w:type="dxa"/>
            <w:vAlign w:val="bottom"/>
          </w:tcPr>
          <w:p>
            <w:pPr>
              <w:jc w:val="center"/>
              <w:ind w:right="149"/>
              <w:spacing w:after="0"/>
              <w:rPr>
                <w:sz w:val="20"/>
                <w:szCs w:val="20"/>
                <w:color w:val="auto"/>
              </w:rPr>
            </w:pPr>
            <w:r>
              <w:rPr>
                <w:rFonts w:ascii="Arial" w:cs="Arial" w:eastAsia="Arial" w:hAnsi="Arial"/>
                <w:sz w:val="13"/>
                <w:szCs w:val="13"/>
                <w:b w:val="1"/>
                <w:bCs w:val="1"/>
                <w:color w:val="auto"/>
                <w:w w:val="96"/>
              </w:rPr>
              <w:t>2022</w:t>
            </w:r>
          </w:p>
        </w:tc>
        <w:tc>
          <w:tcPr>
            <w:tcW w:w="420" w:type="dxa"/>
            <w:vAlign w:val="bottom"/>
          </w:tcPr>
          <w:p>
            <w:pPr>
              <w:spacing w:after="0"/>
              <w:rPr>
                <w:sz w:val="15"/>
                <w:szCs w:val="15"/>
                <w:color w:val="auto"/>
              </w:rPr>
            </w:pPr>
          </w:p>
        </w:tc>
        <w:tc>
          <w:tcPr>
            <w:tcW w:w="780" w:type="dxa"/>
            <w:vAlign w:val="bottom"/>
          </w:tcPr>
          <w:p>
            <w:pPr>
              <w:jc w:val="right"/>
              <w:ind w:right="249"/>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320" w:type="dxa"/>
            <w:vAlign w:val="bottom"/>
            <w:tcBorders>
              <w:bottom w:val="single" w:sz="8" w:color="29378D"/>
            </w:tcBorders>
          </w:tcPr>
          <w:p>
            <w:pPr>
              <w:spacing w:after="0" w:line="20" w:lineRule="exact"/>
              <w:rPr>
                <w:sz w:val="1"/>
                <w:szCs w:val="1"/>
                <w:color w:val="auto"/>
              </w:rPr>
            </w:pPr>
          </w:p>
        </w:tc>
        <w:tc>
          <w:tcPr>
            <w:tcW w:w="160" w:type="dxa"/>
            <w:vAlign w:val="bottom"/>
            <w:tcBorders>
              <w:bottom w:val="single" w:sz="8" w:color="29378D"/>
            </w:tcBorders>
          </w:tcPr>
          <w:p>
            <w:pPr>
              <w:spacing w:after="0" w:line="20" w:lineRule="exact"/>
              <w:rPr>
                <w:sz w:val="1"/>
                <w:szCs w:val="1"/>
                <w:color w:val="auto"/>
              </w:rPr>
            </w:pPr>
          </w:p>
        </w:tc>
        <w:tc>
          <w:tcPr>
            <w:tcW w:w="300" w:type="dxa"/>
            <w:vAlign w:val="bottom"/>
            <w:tcBorders>
              <w:bottom w:val="single" w:sz="8" w:color="29378D"/>
            </w:tcBorders>
          </w:tcPr>
          <w:p>
            <w:pPr>
              <w:spacing w:after="0" w:line="20" w:lineRule="exact"/>
              <w:rPr>
                <w:sz w:val="1"/>
                <w:szCs w:val="1"/>
                <w:color w:val="auto"/>
              </w:rPr>
            </w:pPr>
          </w:p>
        </w:tc>
        <w:tc>
          <w:tcPr>
            <w:tcW w:w="880" w:type="dxa"/>
            <w:vAlign w:val="bottom"/>
            <w:tcBorders>
              <w:bottom w:val="single" w:sz="8" w:color="29378D"/>
            </w:tcBorders>
          </w:tcPr>
          <w:p>
            <w:pPr>
              <w:spacing w:after="0" w:line="20" w:lineRule="exact"/>
              <w:rPr>
                <w:sz w:val="1"/>
                <w:szCs w:val="1"/>
                <w:color w:val="auto"/>
              </w:rPr>
            </w:pPr>
          </w:p>
        </w:tc>
        <w:tc>
          <w:tcPr>
            <w:tcW w:w="28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420" w:type="dxa"/>
            <w:vAlign w:val="bottom"/>
            <w:tcBorders>
              <w:bottom w:val="single" w:sz="8" w:color="29378D"/>
            </w:tcBorders>
          </w:tcPr>
          <w:p>
            <w:pPr>
              <w:spacing w:after="0" w:line="20" w:lineRule="exact"/>
              <w:rPr>
                <w:sz w:val="1"/>
                <w:szCs w:val="1"/>
                <w:color w:val="auto"/>
              </w:rPr>
            </w:pPr>
          </w:p>
        </w:tc>
        <w:tc>
          <w:tcPr>
            <w:tcW w:w="780" w:type="dxa"/>
            <w:vAlign w:val="bottom"/>
            <w:tcBorders>
              <w:bottom w:val="single" w:sz="8" w:color="29378D"/>
            </w:tcBorders>
          </w:tcPr>
          <w:p>
            <w:pPr>
              <w:spacing w:after="0" w:line="20" w:lineRule="exact"/>
              <w:rPr>
                <w:sz w:val="1"/>
                <w:szCs w:val="1"/>
                <w:color w:val="auto"/>
              </w:rPr>
            </w:pPr>
          </w:p>
        </w:tc>
        <w:tc>
          <w:tcPr>
            <w:tcW w:w="20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Segment Operating Income</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spacing w:after="0"/>
              <w:rPr>
                <w:sz w:val="18"/>
                <w:szCs w:val="18"/>
                <w:color w:val="auto"/>
              </w:rPr>
            </w:pP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spacing w:after="0"/>
              <w:rPr>
                <w:sz w:val="18"/>
                <w:szCs w:val="18"/>
                <w:color w:val="auto"/>
              </w:rPr>
            </w:pP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spacing w:after="0"/>
              <w:rPr>
                <w:sz w:val="18"/>
                <w:szCs w:val="18"/>
                <w:color w:val="auto"/>
              </w:rPr>
            </w:pPr>
          </w:p>
        </w:tc>
        <w:tc>
          <w:tcPr>
            <w:tcW w:w="2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color w:val="242424"/>
              </w:rPr>
              <w:t>Sales</w:t>
            </w:r>
          </w:p>
        </w:tc>
        <w:tc>
          <w:tcPr>
            <w:tcW w:w="460" w:type="dxa"/>
            <w:vAlign w:val="bottom"/>
            <w:tcBorders>
              <w:bottom w:val="single" w:sz="8" w:color="BCBEC0"/>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BCBEC0"/>
            </w:tcBorders>
          </w:tcPr>
          <w:p>
            <w:pPr>
              <w:jc w:val="right"/>
              <w:ind w:right="149"/>
              <w:spacing w:after="0"/>
              <w:rPr>
                <w:sz w:val="20"/>
                <w:szCs w:val="20"/>
                <w:color w:val="auto"/>
              </w:rPr>
            </w:pPr>
            <w:r>
              <w:rPr>
                <w:rFonts w:ascii="Arial" w:cs="Arial" w:eastAsia="Arial" w:hAnsi="Arial"/>
                <w:sz w:val="14"/>
                <w:szCs w:val="14"/>
                <w:color w:val="auto"/>
              </w:rPr>
              <w:t>39,290</w:t>
            </w:r>
          </w:p>
        </w:tc>
        <w:tc>
          <w:tcPr>
            <w:tcW w:w="28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BCBEC0"/>
            </w:tcBorders>
          </w:tcPr>
          <w:p>
            <w:pPr>
              <w:jc w:val="right"/>
              <w:ind w:right="29"/>
              <w:spacing w:after="0"/>
              <w:rPr>
                <w:sz w:val="20"/>
                <w:szCs w:val="20"/>
                <w:color w:val="auto"/>
              </w:rPr>
            </w:pPr>
            <w:r>
              <w:rPr>
                <w:rFonts w:ascii="Arial" w:cs="Arial" w:eastAsia="Arial" w:hAnsi="Arial"/>
                <w:sz w:val="14"/>
                <w:szCs w:val="14"/>
                <w:color w:val="auto"/>
              </w:rPr>
              <w:t>36,602</w:t>
            </w:r>
          </w:p>
        </w:tc>
        <w:tc>
          <w:tcPr>
            <w:tcW w:w="42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BCBEC0"/>
            </w:tcBorders>
            <w:gridSpan w:val="2"/>
          </w:tcPr>
          <w:p>
            <w:pPr>
              <w:jc w:val="right"/>
              <w:ind w:right="180"/>
              <w:spacing w:after="0"/>
              <w:rPr>
                <w:sz w:val="20"/>
                <w:szCs w:val="20"/>
                <w:color w:val="auto"/>
              </w:rPr>
            </w:pPr>
            <w:r>
              <w:rPr>
                <w:rFonts w:ascii="Arial" w:cs="Arial" w:eastAsia="Arial" w:hAnsi="Arial"/>
                <w:sz w:val="14"/>
                <w:szCs w:val="14"/>
                <w:color w:val="auto"/>
              </w:rPr>
              <w:t>35,667</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242424"/>
              </w:rPr>
              <w:t>Operating income</w:t>
            </w:r>
          </w:p>
        </w:tc>
        <w:tc>
          <w:tcPr>
            <w:tcW w:w="460" w:type="dxa"/>
            <w:vAlign w:val="bottom"/>
            <w:tcBorders>
              <w:bottom w:val="single" w:sz="8" w:color="BCBEC0"/>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BCBEC0"/>
            </w:tcBorders>
          </w:tcPr>
          <w:p>
            <w:pPr>
              <w:jc w:val="right"/>
              <w:ind w:right="149"/>
              <w:spacing w:after="0"/>
              <w:rPr>
                <w:sz w:val="20"/>
                <w:szCs w:val="20"/>
                <w:color w:val="auto"/>
              </w:rPr>
            </w:pPr>
            <w:r>
              <w:rPr>
                <w:rFonts w:ascii="Arial" w:cs="Arial" w:eastAsia="Arial" w:hAnsi="Arial"/>
                <w:sz w:val="14"/>
                <w:szCs w:val="14"/>
                <w:b w:val="1"/>
                <w:bCs w:val="1"/>
                <w:color w:val="auto"/>
              </w:rPr>
              <w:t>2,537</w:t>
            </w:r>
          </w:p>
        </w:tc>
        <w:tc>
          <w:tcPr>
            <w:tcW w:w="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ind w:right="29"/>
              <w:spacing w:after="0"/>
              <w:rPr>
                <w:sz w:val="20"/>
                <w:szCs w:val="20"/>
                <w:color w:val="auto"/>
              </w:rPr>
            </w:pPr>
            <w:r>
              <w:rPr>
                <w:rFonts w:ascii="Arial" w:cs="Arial" w:eastAsia="Arial" w:hAnsi="Arial"/>
                <w:sz w:val="14"/>
                <w:szCs w:val="14"/>
                <w:b w:val="1"/>
                <w:bCs w:val="1"/>
                <w:color w:val="auto"/>
              </w:rPr>
              <w:t>3,601</w:t>
            </w:r>
          </w:p>
        </w:tc>
        <w:tc>
          <w:tcPr>
            <w:tcW w:w="42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BCBEC0"/>
            </w:tcBorders>
            <w:gridSpan w:val="2"/>
          </w:tcPr>
          <w:p>
            <w:pPr>
              <w:jc w:val="right"/>
              <w:ind w:right="180"/>
              <w:spacing w:after="0"/>
              <w:rPr>
                <w:sz w:val="20"/>
                <w:szCs w:val="20"/>
                <w:color w:val="auto"/>
              </w:rPr>
            </w:pPr>
            <w:r>
              <w:rPr>
                <w:rFonts w:ascii="Arial" w:cs="Arial" w:eastAsia="Arial" w:hAnsi="Arial"/>
                <w:sz w:val="14"/>
                <w:szCs w:val="14"/>
                <w:b w:val="1"/>
                <w:bCs w:val="1"/>
                <w:color w:val="auto"/>
              </w:rPr>
              <w:t>5,651</w:t>
            </w:r>
          </w:p>
        </w:tc>
        <w:tc>
          <w:tcPr>
            <w:tcW w:w="0" w:type="dxa"/>
            <w:vAlign w:val="bottom"/>
          </w:tcPr>
          <w:p>
            <w:pPr>
              <w:spacing w:after="0"/>
              <w:rPr>
                <w:sz w:val="1"/>
                <w:szCs w:val="1"/>
                <w:color w:val="auto"/>
              </w:rPr>
            </w:pPr>
          </w:p>
        </w:tc>
      </w:tr>
      <w:tr>
        <w:trPr>
          <w:trHeight w:val="247"/>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i w:val="1"/>
                <w:iCs w:val="1"/>
                <w:color w:val="auto"/>
              </w:rPr>
              <w:t>Operating margin rate</w:t>
            </w:r>
          </w:p>
        </w:tc>
        <w:tc>
          <w:tcPr>
            <w:tcW w:w="160" w:type="dxa"/>
            <w:vAlign w:val="bottom"/>
            <w:tcBorders>
              <w:bottom w:val="single" w:sz="8" w:color="BCBEC0"/>
            </w:tcBorders>
          </w:tcPr>
          <w:p>
            <w:pPr>
              <w:spacing w:after="0"/>
              <w:rPr>
                <w:sz w:val="21"/>
                <w:szCs w:val="21"/>
                <w:color w:val="auto"/>
              </w:rPr>
            </w:pPr>
          </w:p>
        </w:tc>
        <w:tc>
          <w:tcPr>
            <w:tcW w:w="300" w:type="dxa"/>
            <w:vAlign w:val="bottom"/>
            <w:tcBorders>
              <w:bottom w:val="single" w:sz="8" w:color="BCBEC0"/>
            </w:tcBorders>
          </w:tcPr>
          <w:p>
            <w:pPr>
              <w:spacing w:after="0"/>
              <w:rPr>
                <w:sz w:val="21"/>
                <w:szCs w:val="21"/>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6.5 %</w:t>
            </w:r>
          </w:p>
        </w:tc>
        <w:tc>
          <w:tcPr>
            <w:tcW w:w="280" w:type="dxa"/>
            <w:vAlign w:val="bottom"/>
            <w:tcBorders>
              <w:bottom w:val="single" w:sz="8" w:color="BCBEC0"/>
            </w:tcBorders>
          </w:tcPr>
          <w:p>
            <w:pPr>
              <w:spacing w:after="0"/>
              <w:rPr>
                <w:sz w:val="21"/>
                <w:szCs w:val="21"/>
                <w:color w:val="auto"/>
              </w:rPr>
            </w:pPr>
          </w:p>
        </w:tc>
        <w:tc>
          <w:tcPr>
            <w:tcW w:w="1320" w:type="dxa"/>
            <w:vAlign w:val="bottom"/>
            <w:tcBorders>
              <w:bottom w:val="single" w:sz="8" w:color="BCBEC0"/>
            </w:tcBorders>
            <w:gridSpan w:val="2"/>
          </w:tcPr>
          <w:p>
            <w:pPr>
              <w:jc w:val="right"/>
              <w:ind w:right="268"/>
              <w:spacing w:after="0"/>
              <w:rPr>
                <w:sz w:val="20"/>
                <w:szCs w:val="20"/>
                <w:color w:val="auto"/>
              </w:rPr>
            </w:pPr>
            <w:r>
              <w:rPr>
                <w:rFonts w:ascii="Arial" w:cs="Arial" w:eastAsia="Arial" w:hAnsi="Arial"/>
                <w:sz w:val="14"/>
                <w:szCs w:val="14"/>
                <w:color w:val="auto"/>
              </w:rPr>
              <w:t>9.8 %</w:t>
            </w:r>
          </w:p>
        </w:tc>
        <w:tc>
          <w:tcPr>
            <w:tcW w:w="980" w:type="dxa"/>
            <w:vAlign w:val="bottom"/>
            <w:tcBorders>
              <w:bottom w:val="single" w:sz="8" w:color="BCBEC0"/>
            </w:tcBorders>
            <w:gridSpan w:val="2"/>
          </w:tcPr>
          <w:p>
            <w:pPr>
              <w:jc w:val="right"/>
              <w:ind w:right="20"/>
              <w:spacing w:after="0"/>
              <w:rPr>
                <w:sz w:val="20"/>
                <w:szCs w:val="20"/>
                <w:color w:val="auto"/>
              </w:rPr>
            </w:pPr>
            <w:r>
              <w:rPr>
                <w:rFonts w:ascii="Arial" w:cs="Arial" w:eastAsia="Arial" w:hAnsi="Arial"/>
                <w:sz w:val="14"/>
                <w:szCs w:val="14"/>
                <w:color w:val="auto"/>
              </w:rPr>
              <w:t>15.8 %</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Reconciliation to Segment Operating Income</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spacing w:after="0"/>
              <w:rPr>
                <w:sz w:val="18"/>
                <w:szCs w:val="18"/>
                <w:color w:val="auto"/>
              </w:rPr>
            </w:pP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spacing w:after="0"/>
              <w:rPr>
                <w:sz w:val="18"/>
                <w:szCs w:val="18"/>
                <w:color w:val="auto"/>
              </w:rPr>
            </w:pP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spacing w:after="0"/>
              <w:rPr>
                <w:sz w:val="18"/>
                <w:szCs w:val="18"/>
                <w:color w:val="auto"/>
              </w:rPr>
            </w:pPr>
          </w:p>
        </w:tc>
        <w:tc>
          <w:tcPr>
            <w:tcW w:w="2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242424"/>
              </w:rPr>
              <w:t>Net FAS/CAS operating adjustment</w:t>
            </w:r>
          </w:p>
        </w:tc>
        <w:tc>
          <w:tcPr>
            <w:tcW w:w="16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880" w:type="dxa"/>
            <w:vAlign w:val="bottom"/>
            <w:tcBorders>
              <w:bottom w:val="single" w:sz="8" w:color="BCBEC0"/>
            </w:tcBorders>
          </w:tcPr>
          <w:p>
            <w:pPr>
              <w:jc w:val="right"/>
              <w:ind w:right="149"/>
              <w:spacing w:after="0"/>
              <w:rPr>
                <w:sz w:val="20"/>
                <w:szCs w:val="20"/>
                <w:color w:val="auto"/>
              </w:rPr>
            </w:pPr>
            <w:r>
              <w:rPr>
                <w:rFonts w:ascii="Arial" w:cs="Arial" w:eastAsia="Arial" w:hAnsi="Arial"/>
                <w:sz w:val="14"/>
                <w:szCs w:val="14"/>
                <w:color w:val="auto"/>
              </w:rPr>
              <w:t>82</w:t>
            </w:r>
          </w:p>
        </w:tc>
        <w:tc>
          <w:tcPr>
            <w:tcW w:w="2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ind w:right="29"/>
              <w:spacing w:after="0"/>
              <w:rPr>
                <w:sz w:val="20"/>
                <w:szCs w:val="20"/>
                <w:color w:val="auto"/>
              </w:rPr>
            </w:pPr>
            <w:r>
              <w:rPr>
                <w:rFonts w:ascii="Arial" w:cs="Arial" w:eastAsia="Arial" w:hAnsi="Arial"/>
                <w:sz w:val="14"/>
                <w:szCs w:val="14"/>
                <w:color w:val="auto"/>
              </w:rPr>
              <w:t>200</w:t>
            </w:r>
          </w:p>
        </w:tc>
        <w:tc>
          <w:tcPr>
            <w:tcW w:w="420" w:type="dxa"/>
            <w:vAlign w:val="bottom"/>
            <w:tcBorders>
              <w:bottom w:val="single" w:sz="8" w:color="BCBEC0"/>
            </w:tcBorders>
          </w:tcPr>
          <w:p>
            <w:pPr>
              <w:spacing w:after="0"/>
              <w:rPr>
                <w:sz w:val="17"/>
                <w:szCs w:val="17"/>
                <w:color w:val="auto"/>
              </w:rPr>
            </w:pPr>
          </w:p>
        </w:tc>
        <w:tc>
          <w:tcPr>
            <w:tcW w:w="980" w:type="dxa"/>
            <w:vAlign w:val="bottom"/>
            <w:tcBorders>
              <w:bottom w:val="single" w:sz="8" w:color="BCBEC0"/>
            </w:tcBorders>
            <w:gridSpan w:val="2"/>
          </w:tcPr>
          <w:p>
            <w:pPr>
              <w:jc w:val="right"/>
              <w:ind w:right="140"/>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242424"/>
              </w:rPr>
              <w:t>Unallocated corporate expense (income)</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jc w:val="right"/>
              <w:ind w:right="149"/>
              <w:spacing w:after="0"/>
              <w:rPr>
                <w:sz w:val="20"/>
                <w:szCs w:val="20"/>
                <w:color w:val="auto"/>
              </w:rPr>
            </w:pPr>
            <w:r>
              <w:rPr>
                <w:rFonts w:ascii="Arial" w:cs="Arial" w:eastAsia="Arial" w:hAnsi="Arial"/>
                <w:sz w:val="14"/>
                <w:szCs w:val="14"/>
                <w:color w:val="auto"/>
              </w:rPr>
              <w:t>141</w:t>
            </w: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ind w:right="29"/>
              <w:spacing w:after="0"/>
              <w:rPr>
                <w:sz w:val="20"/>
                <w:szCs w:val="20"/>
                <w:color w:val="auto"/>
              </w:rPr>
            </w:pPr>
            <w:r>
              <w:rPr>
                <w:rFonts w:ascii="Arial" w:cs="Arial" w:eastAsia="Arial" w:hAnsi="Arial"/>
                <w:sz w:val="14"/>
                <w:szCs w:val="14"/>
                <w:color w:val="auto"/>
              </w:rPr>
              <w:t>452</w:t>
            </w:r>
          </w:p>
        </w:tc>
        <w:tc>
          <w:tcPr>
            <w:tcW w:w="420" w:type="dxa"/>
            <w:vAlign w:val="bottom"/>
            <w:tcBorders>
              <w:bottom w:val="single" w:sz="8" w:color="BCBEC0"/>
            </w:tcBorders>
          </w:tcPr>
          <w:p>
            <w:pPr>
              <w:spacing w:after="0"/>
              <w:rPr>
                <w:sz w:val="18"/>
                <w:szCs w:val="18"/>
                <w:color w:val="auto"/>
              </w:rPr>
            </w:pPr>
          </w:p>
        </w:tc>
        <w:tc>
          <w:tcPr>
            <w:tcW w:w="980" w:type="dxa"/>
            <w:vAlign w:val="bottom"/>
            <w:tcBorders>
              <w:bottom w:val="single" w:sz="8" w:color="BCBEC0"/>
            </w:tcBorders>
            <w:gridSpan w:val="2"/>
          </w:tcPr>
          <w:p>
            <w:pPr>
              <w:jc w:val="right"/>
              <w:ind w:right="140"/>
              <w:spacing w:after="0"/>
              <w:rPr>
                <w:sz w:val="20"/>
                <w:szCs w:val="20"/>
                <w:color w:val="auto"/>
              </w:rPr>
            </w:pPr>
            <w:r>
              <w:rPr>
                <w:rFonts w:ascii="Arial" w:cs="Arial" w:eastAsia="Arial" w:hAnsi="Arial"/>
                <w:sz w:val="14"/>
                <w:szCs w:val="14"/>
                <w:color w:val="auto"/>
              </w:rPr>
              <w:t>(1,304)</w:t>
            </w:r>
          </w:p>
        </w:tc>
        <w:tc>
          <w:tcPr>
            <w:tcW w:w="0" w:type="dxa"/>
            <w:vAlign w:val="bottom"/>
          </w:tcPr>
          <w:p>
            <w:pPr>
              <w:spacing w:after="0"/>
              <w:rPr>
                <w:sz w:val="1"/>
                <w:szCs w:val="1"/>
                <w:color w:val="auto"/>
              </w:rPr>
            </w:pPr>
          </w:p>
        </w:tc>
      </w:tr>
      <w:tr>
        <w:trPr>
          <w:trHeight w:val="213"/>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Segment Operating Income</w:t>
            </w:r>
          </w:p>
        </w:tc>
        <w:tc>
          <w:tcPr>
            <w:tcW w:w="460" w:type="dxa"/>
            <w:vAlign w:val="bottom"/>
            <w:tcBorders>
              <w:bottom w:val="single" w:sz="8" w:color="BCBEC0"/>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BCBEC0"/>
            </w:tcBorders>
          </w:tcPr>
          <w:p>
            <w:pPr>
              <w:jc w:val="right"/>
              <w:ind w:right="149"/>
              <w:spacing w:after="0"/>
              <w:rPr>
                <w:sz w:val="20"/>
                <w:szCs w:val="20"/>
                <w:color w:val="auto"/>
              </w:rPr>
            </w:pPr>
            <w:r>
              <w:rPr>
                <w:rFonts w:ascii="Arial" w:cs="Arial" w:eastAsia="Arial" w:hAnsi="Arial"/>
                <w:sz w:val="14"/>
                <w:szCs w:val="14"/>
                <w:b w:val="1"/>
                <w:bCs w:val="1"/>
                <w:color w:val="auto"/>
              </w:rPr>
              <w:t>2,760</w:t>
            </w:r>
          </w:p>
        </w:tc>
        <w:tc>
          <w:tcPr>
            <w:tcW w:w="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ind w:right="29"/>
              <w:spacing w:after="0"/>
              <w:rPr>
                <w:sz w:val="20"/>
                <w:szCs w:val="20"/>
                <w:color w:val="auto"/>
              </w:rPr>
            </w:pPr>
            <w:r>
              <w:rPr>
                <w:rFonts w:ascii="Arial" w:cs="Arial" w:eastAsia="Arial" w:hAnsi="Arial"/>
                <w:sz w:val="14"/>
                <w:szCs w:val="14"/>
                <w:b w:val="1"/>
                <w:bCs w:val="1"/>
                <w:color w:val="auto"/>
              </w:rPr>
              <w:t>4,253</w:t>
            </w:r>
          </w:p>
        </w:tc>
        <w:tc>
          <w:tcPr>
            <w:tcW w:w="42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BCBEC0"/>
            </w:tcBorders>
            <w:gridSpan w:val="2"/>
          </w:tcPr>
          <w:p>
            <w:pPr>
              <w:jc w:val="right"/>
              <w:ind w:right="180"/>
              <w:spacing w:after="0"/>
              <w:rPr>
                <w:sz w:val="20"/>
                <w:szCs w:val="20"/>
                <w:color w:val="auto"/>
              </w:rPr>
            </w:pPr>
            <w:r>
              <w:rPr>
                <w:rFonts w:ascii="Arial" w:cs="Arial" w:eastAsia="Arial" w:hAnsi="Arial"/>
                <w:sz w:val="14"/>
                <w:szCs w:val="14"/>
                <w:b w:val="1"/>
                <w:bCs w:val="1"/>
                <w:color w:val="auto"/>
              </w:rPr>
              <w:t>4,217</w:t>
            </w:r>
          </w:p>
        </w:tc>
        <w:tc>
          <w:tcPr>
            <w:tcW w:w="0" w:type="dxa"/>
            <w:vAlign w:val="bottom"/>
          </w:tcPr>
          <w:p>
            <w:pPr>
              <w:spacing w:after="0"/>
              <w:rPr>
                <w:sz w:val="1"/>
                <w:szCs w:val="1"/>
                <w:color w:val="auto"/>
              </w:rPr>
            </w:pPr>
          </w:p>
        </w:tc>
      </w:tr>
      <w:tr>
        <w:trPr>
          <w:trHeight w:val="207"/>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i w:val="1"/>
                <w:iCs w:val="1"/>
                <w:color w:val="auto"/>
              </w:rPr>
              <w:t>Segment Operating Margin Rate</w:t>
            </w:r>
          </w:p>
        </w:tc>
        <w:tc>
          <w:tcPr>
            <w:tcW w:w="16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i w:val="1"/>
                <w:iCs w:val="1"/>
                <w:color w:val="auto"/>
              </w:rPr>
              <w:t>7.0 %</w:t>
            </w:r>
          </w:p>
        </w:tc>
        <w:tc>
          <w:tcPr>
            <w:tcW w:w="280" w:type="dxa"/>
            <w:vAlign w:val="bottom"/>
            <w:tcBorders>
              <w:bottom w:val="single" w:sz="8" w:color="BCBEC0"/>
            </w:tcBorders>
          </w:tcPr>
          <w:p>
            <w:pPr>
              <w:spacing w:after="0"/>
              <w:rPr>
                <w:sz w:val="17"/>
                <w:szCs w:val="17"/>
                <w:color w:val="auto"/>
              </w:rPr>
            </w:pPr>
          </w:p>
        </w:tc>
        <w:tc>
          <w:tcPr>
            <w:tcW w:w="1320" w:type="dxa"/>
            <w:vAlign w:val="bottom"/>
            <w:tcBorders>
              <w:bottom w:val="single" w:sz="8" w:color="BCBEC0"/>
            </w:tcBorders>
            <w:gridSpan w:val="2"/>
          </w:tcPr>
          <w:p>
            <w:pPr>
              <w:jc w:val="right"/>
              <w:ind w:right="268"/>
              <w:spacing w:after="0"/>
              <w:rPr>
                <w:sz w:val="20"/>
                <w:szCs w:val="20"/>
                <w:color w:val="auto"/>
              </w:rPr>
            </w:pPr>
            <w:r>
              <w:rPr>
                <w:rFonts w:ascii="Arial" w:cs="Arial" w:eastAsia="Arial" w:hAnsi="Arial"/>
                <w:sz w:val="14"/>
                <w:szCs w:val="14"/>
                <w:i w:val="1"/>
                <w:iCs w:val="1"/>
                <w:color w:val="auto"/>
              </w:rPr>
              <w:t>11.6 %</w:t>
            </w:r>
          </w:p>
        </w:tc>
        <w:tc>
          <w:tcPr>
            <w:tcW w:w="980" w:type="dxa"/>
            <w:vAlign w:val="bottom"/>
            <w:tcBorders>
              <w:bottom w:val="single" w:sz="8" w:color="BCBEC0"/>
            </w:tcBorders>
            <w:gridSpan w:val="2"/>
          </w:tcPr>
          <w:p>
            <w:pPr>
              <w:jc w:val="right"/>
              <w:ind w:right="20"/>
              <w:spacing w:after="0"/>
              <w:rPr>
                <w:sz w:val="20"/>
                <w:szCs w:val="20"/>
                <w:color w:val="auto"/>
              </w:rPr>
            </w:pPr>
            <w:r>
              <w:rPr>
                <w:rFonts w:ascii="Arial" w:cs="Arial" w:eastAsia="Arial" w:hAnsi="Arial"/>
                <w:sz w:val="14"/>
                <w:szCs w:val="14"/>
                <w:i w:val="1"/>
                <w:iCs w:val="1"/>
                <w:color w:val="auto"/>
              </w:rPr>
              <w:t>11.8 %</w:t>
            </w:r>
          </w:p>
        </w:tc>
        <w:tc>
          <w:tcPr>
            <w:tcW w:w="0" w:type="dxa"/>
            <w:vAlign w:val="bottom"/>
          </w:tcPr>
          <w:p>
            <w:pPr>
              <w:spacing w:after="0"/>
              <w:rPr>
                <w:sz w:val="1"/>
                <w:szCs w:val="1"/>
                <w:color w:val="auto"/>
              </w:rPr>
            </w:pPr>
          </w:p>
        </w:tc>
      </w:tr>
      <w:tr>
        <w:trPr>
          <w:trHeight w:val="212"/>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Reconciliation to Adjusted Segment Operating Income</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spacing w:after="0"/>
              <w:rPr>
                <w:sz w:val="18"/>
                <w:szCs w:val="18"/>
                <w:color w:val="auto"/>
              </w:rPr>
            </w:pP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spacing w:after="0"/>
              <w:rPr>
                <w:sz w:val="18"/>
                <w:szCs w:val="18"/>
                <w:color w:val="auto"/>
              </w:rPr>
            </w:pP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spacing w:after="0"/>
              <w:rPr>
                <w:sz w:val="18"/>
                <w:szCs w:val="18"/>
                <w:color w:val="auto"/>
              </w:rPr>
            </w:pPr>
          </w:p>
        </w:tc>
        <w:tc>
          <w:tcPr>
            <w:tcW w:w="2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242424"/>
              </w:rPr>
              <w:t>Approved Segment Operating Income adjustments</w:t>
            </w:r>
          </w:p>
        </w:tc>
        <w:tc>
          <w:tcPr>
            <w:tcW w:w="16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880" w:type="dxa"/>
            <w:vAlign w:val="bottom"/>
            <w:tcBorders>
              <w:bottom w:val="single" w:sz="8" w:color="BCBEC0"/>
            </w:tcBorders>
          </w:tcPr>
          <w:p>
            <w:pPr>
              <w:jc w:val="right"/>
              <w:ind w:right="149"/>
              <w:spacing w:after="0"/>
              <w:rPr>
                <w:sz w:val="20"/>
                <w:szCs w:val="20"/>
                <w:color w:val="auto"/>
              </w:rPr>
            </w:pPr>
            <w:r>
              <w:rPr>
                <w:rFonts w:ascii="Arial" w:cs="Arial" w:eastAsia="Arial" w:hAnsi="Arial"/>
                <w:sz w:val="14"/>
                <w:szCs w:val="14"/>
                <w:color w:val="auto"/>
              </w:rPr>
              <w:t>1,559</w:t>
            </w:r>
          </w:p>
        </w:tc>
        <w:tc>
          <w:tcPr>
            <w:tcW w:w="2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spacing w:after="0"/>
              <w:rPr>
                <w:sz w:val="17"/>
                <w:szCs w:val="17"/>
                <w:color w:val="auto"/>
              </w:rPr>
            </w:pPr>
          </w:p>
        </w:tc>
        <w:tc>
          <w:tcPr>
            <w:tcW w:w="420" w:type="dxa"/>
            <w:vAlign w:val="bottom"/>
            <w:tcBorders>
              <w:bottom w:val="single" w:sz="8" w:color="BCBEC0"/>
            </w:tcBorders>
          </w:tcPr>
          <w:p>
            <w:pPr>
              <w:spacing w:after="0"/>
              <w:rPr>
                <w:sz w:val="17"/>
                <w:szCs w:val="17"/>
                <w:color w:val="auto"/>
              </w:rPr>
            </w:pPr>
          </w:p>
        </w:tc>
        <w:tc>
          <w:tcPr>
            <w:tcW w:w="780" w:type="dxa"/>
            <w:vAlign w:val="bottom"/>
            <w:tcBorders>
              <w:bottom w:val="single" w:sz="8" w:color="BCBEC0"/>
            </w:tcBorders>
          </w:tcPr>
          <w:p>
            <w:pPr>
              <w:spacing w:after="0"/>
              <w:rPr>
                <w:sz w:val="17"/>
                <w:szCs w:val="17"/>
                <w:color w:val="auto"/>
              </w:rPr>
            </w:pPr>
          </w:p>
        </w:tc>
        <w:tc>
          <w:tcPr>
            <w:tcW w:w="200" w:type="dxa"/>
            <w:vAlign w:val="bottom"/>
            <w:tcBorders>
              <w:bottom w:val="single" w:sz="8" w:color="BCBEC0"/>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Adjusted Segment Operating Income</w:t>
            </w:r>
          </w:p>
        </w:tc>
        <w:tc>
          <w:tcPr>
            <w:tcW w:w="460" w:type="dxa"/>
            <w:vAlign w:val="bottom"/>
            <w:tcBorders>
              <w:bottom w:val="single" w:sz="8" w:color="BCBEC0"/>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BCBEC0"/>
            </w:tcBorders>
          </w:tcPr>
          <w:p>
            <w:pPr>
              <w:jc w:val="right"/>
              <w:ind w:right="149"/>
              <w:spacing w:after="0"/>
              <w:rPr>
                <w:sz w:val="20"/>
                <w:szCs w:val="20"/>
                <w:color w:val="auto"/>
              </w:rPr>
            </w:pPr>
            <w:r>
              <w:rPr>
                <w:rFonts w:ascii="Arial" w:cs="Arial" w:eastAsia="Arial" w:hAnsi="Arial"/>
                <w:sz w:val="14"/>
                <w:szCs w:val="14"/>
                <w:b w:val="1"/>
                <w:bCs w:val="1"/>
                <w:color w:val="auto"/>
              </w:rPr>
              <w:t>4,319</w:t>
            </w: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spacing w:after="0"/>
              <w:rPr>
                <w:sz w:val="18"/>
                <w:szCs w:val="18"/>
                <w:color w:val="auto"/>
              </w:rPr>
            </w:pP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spacing w:after="0"/>
              <w:rPr>
                <w:sz w:val="18"/>
                <w:szCs w:val="18"/>
                <w:color w:val="auto"/>
              </w:rPr>
            </w:pPr>
          </w:p>
        </w:tc>
        <w:tc>
          <w:tcPr>
            <w:tcW w:w="2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center"/>
              <w:ind w:right="189"/>
              <w:spacing w:after="0"/>
              <w:rPr>
                <w:sz w:val="20"/>
                <w:szCs w:val="20"/>
                <w:color w:val="auto"/>
              </w:rPr>
            </w:pPr>
            <w:r>
              <w:rPr>
                <w:rFonts w:ascii="Arial" w:cs="Arial" w:eastAsia="Arial" w:hAnsi="Arial"/>
                <w:sz w:val="13"/>
                <w:szCs w:val="13"/>
                <w:b w:val="1"/>
                <w:bCs w:val="1"/>
                <w:color w:val="auto"/>
                <w:w w:val="95"/>
              </w:rPr>
              <w:t>Total Year</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7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 except per share amounts)</w:t>
            </w:r>
          </w:p>
        </w:tc>
        <w:tc>
          <w:tcPr>
            <w:tcW w:w="160" w:type="dxa"/>
            <w:vAlign w:val="bottom"/>
          </w:tcPr>
          <w:p>
            <w:pPr>
              <w:spacing w:after="0" w:line="20" w:lineRule="exact"/>
              <w:rPr>
                <w:sz w:val="1"/>
                <w:szCs w:val="1"/>
                <w:color w:val="auto"/>
              </w:rPr>
            </w:pPr>
          </w:p>
        </w:tc>
        <w:tc>
          <w:tcPr>
            <w:tcW w:w="300" w:type="dxa"/>
            <w:vAlign w:val="bottom"/>
            <w:tcBorders>
              <w:bottom w:val="single" w:sz="8" w:color="29378D"/>
            </w:tcBorders>
          </w:tcPr>
          <w:p>
            <w:pPr>
              <w:spacing w:after="0" w:line="20" w:lineRule="exact"/>
              <w:rPr>
                <w:sz w:val="1"/>
                <w:szCs w:val="1"/>
                <w:color w:val="auto"/>
              </w:rPr>
            </w:pPr>
          </w:p>
        </w:tc>
        <w:tc>
          <w:tcPr>
            <w:tcW w:w="880" w:type="dxa"/>
            <w:vAlign w:val="bottom"/>
            <w:tcBorders>
              <w:bottom w:val="single" w:sz="8" w:color="29378D"/>
            </w:tcBorders>
          </w:tcPr>
          <w:p>
            <w:pPr>
              <w:spacing w:after="0" w:line="20" w:lineRule="exact"/>
              <w:rPr>
                <w:sz w:val="1"/>
                <w:szCs w:val="1"/>
                <w:color w:val="auto"/>
              </w:rPr>
            </w:pPr>
          </w:p>
        </w:tc>
        <w:tc>
          <w:tcPr>
            <w:tcW w:w="28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420" w:type="dxa"/>
            <w:vAlign w:val="bottom"/>
            <w:tcBorders>
              <w:bottom w:val="single" w:sz="8" w:color="29378D"/>
            </w:tcBorders>
          </w:tcPr>
          <w:p>
            <w:pPr>
              <w:spacing w:after="0" w:line="20" w:lineRule="exact"/>
              <w:rPr>
                <w:sz w:val="1"/>
                <w:szCs w:val="1"/>
                <w:color w:val="auto"/>
              </w:rPr>
            </w:pPr>
          </w:p>
        </w:tc>
        <w:tc>
          <w:tcPr>
            <w:tcW w:w="780" w:type="dxa"/>
            <w:vAlign w:val="bottom"/>
            <w:tcBorders>
              <w:bottom w:val="single" w:sz="8" w:color="29378D"/>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73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389"/>
              <w:spacing w:after="0"/>
              <w:rPr>
                <w:sz w:val="20"/>
                <w:szCs w:val="20"/>
                <w:color w:val="auto"/>
              </w:rPr>
            </w:pPr>
            <w:r>
              <w:rPr>
                <w:rFonts w:ascii="Arial" w:cs="Arial" w:eastAsia="Arial" w:hAnsi="Arial"/>
                <w:sz w:val="13"/>
                <w:szCs w:val="13"/>
                <w:b w:val="1"/>
                <w:bCs w:val="1"/>
                <w:color w:val="auto"/>
              </w:rPr>
              <w:t>2023</w:t>
            </w:r>
          </w:p>
        </w:tc>
        <w:tc>
          <w:tcPr>
            <w:tcW w:w="280" w:type="dxa"/>
            <w:vAlign w:val="bottom"/>
          </w:tcPr>
          <w:p>
            <w:pPr>
              <w:spacing w:after="0"/>
              <w:rPr>
                <w:sz w:val="15"/>
                <w:szCs w:val="15"/>
                <w:color w:val="auto"/>
              </w:rPr>
            </w:pPr>
          </w:p>
        </w:tc>
        <w:tc>
          <w:tcPr>
            <w:tcW w:w="900" w:type="dxa"/>
            <w:vAlign w:val="bottom"/>
          </w:tcPr>
          <w:p>
            <w:pPr>
              <w:jc w:val="center"/>
              <w:ind w:right="189"/>
              <w:spacing w:after="0"/>
              <w:rPr>
                <w:sz w:val="20"/>
                <w:szCs w:val="20"/>
                <w:color w:val="auto"/>
              </w:rPr>
            </w:pPr>
            <w:r>
              <w:rPr>
                <w:rFonts w:ascii="Arial" w:cs="Arial" w:eastAsia="Arial" w:hAnsi="Arial"/>
                <w:sz w:val="13"/>
                <w:szCs w:val="13"/>
                <w:b w:val="1"/>
                <w:bCs w:val="1"/>
                <w:color w:val="auto"/>
                <w:w w:val="96"/>
              </w:rPr>
              <w:t>2022</w:t>
            </w:r>
          </w:p>
        </w:tc>
        <w:tc>
          <w:tcPr>
            <w:tcW w:w="420" w:type="dxa"/>
            <w:vAlign w:val="bottom"/>
          </w:tcPr>
          <w:p>
            <w:pPr>
              <w:spacing w:after="0"/>
              <w:rPr>
                <w:sz w:val="15"/>
                <w:szCs w:val="15"/>
                <w:color w:val="auto"/>
              </w:rPr>
            </w:pPr>
          </w:p>
        </w:tc>
        <w:tc>
          <w:tcPr>
            <w:tcW w:w="780" w:type="dxa"/>
            <w:vAlign w:val="bottom"/>
          </w:tcPr>
          <w:p>
            <w:pPr>
              <w:jc w:val="right"/>
              <w:ind w:right="389"/>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320" w:type="dxa"/>
            <w:vAlign w:val="bottom"/>
            <w:tcBorders>
              <w:bottom w:val="single" w:sz="8" w:color="29378D"/>
            </w:tcBorders>
          </w:tcPr>
          <w:p>
            <w:pPr>
              <w:spacing w:after="0" w:line="20" w:lineRule="exact"/>
              <w:rPr>
                <w:sz w:val="1"/>
                <w:szCs w:val="1"/>
                <w:color w:val="auto"/>
              </w:rPr>
            </w:pPr>
          </w:p>
        </w:tc>
        <w:tc>
          <w:tcPr>
            <w:tcW w:w="160" w:type="dxa"/>
            <w:vAlign w:val="bottom"/>
            <w:tcBorders>
              <w:bottom w:val="single" w:sz="8" w:color="29378D"/>
            </w:tcBorders>
          </w:tcPr>
          <w:p>
            <w:pPr>
              <w:spacing w:after="0" w:line="20" w:lineRule="exact"/>
              <w:rPr>
                <w:sz w:val="1"/>
                <w:szCs w:val="1"/>
                <w:color w:val="auto"/>
              </w:rPr>
            </w:pPr>
          </w:p>
        </w:tc>
        <w:tc>
          <w:tcPr>
            <w:tcW w:w="300" w:type="dxa"/>
            <w:vAlign w:val="bottom"/>
            <w:tcBorders>
              <w:bottom w:val="single" w:sz="8" w:color="29378D"/>
            </w:tcBorders>
          </w:tcPr>
          <w:p>
            <w:pPr>
              <w:spacing w:after="0" w:line="20" w:lineRule="exact"/>
              <w:rPr>
                <w:sz w:val="1"/>
                <w:szCs w:val="1"/>
                <w:color w:val="auto"/>
              </w:rPr>
            </w:pPr>
          </w:p>
        </w:tc>
        <w:tc>
          <w:tcPr>
            <w:tcW w:w="880" w:type="dxa"/>
            <w:vAlign w:val="bottom"/>
            <w:tcBorders>
              <w:bottom w:val="single" w:sz="8" w:color="29378D"/>
            </w:tcBorders>
          </w:tcPr>
          <w:p>
            <w:pPr>
              <w:spacing w:after="0" w:line="20" w:lineRule="exact"/>
              <w:rPr>
                <w:sz w:val="1"/>
                <w:szCs w:val="1"/>
                <w:color w:val="auto"/>
              </w:rPr>
            </w:pPr>
          </w:p>
        </w:tc>
        <w:tc>
          <w:tcPr>
            <w:tcW w:w="28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420" w:type="dxa"/>
            <w:vAlign w:val="bottom"/>
            <w:tcBorders>
              <w:bottom w:val="single" w:sz="8" w:color="29378D"/>
            </w:tcBorders>
          </w:tcPr>
          <w:p>
            <w:pPr>
              <w:spacing w:after="0" w:line="20" w:lineRule="exact"/>
              <w:rPr>
                <w:sz w:val="1"/>
                <w:szCs w:val="1"/>
                <w:color w:val="auto"/>
              </w:rPr>
            </w:pPr>
          </w:p>
        </w:tc>
        <w:tc>
          <w:tcPr>
            <w:tcW w:w="780" w:type="dxa"/>
            <w:vAlign w:val="bottom"/>
            <w:tcBorders>
              <w:bottom w:val="single" w:sz="8" w:color="29378D"/>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Transaction-Adjusted Net Earnings and Transaction-Adjusted EPS</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spacing w:after="0"/>
              <w:rPr>
                <w:sz w:val="18"/>
                <w:szCs w:val="18"/>
                <w:color w:val="auto"/>
              </w:rPr>
            </w:pP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spacing w:after="0"/>
              <w:rPr>
                <w:sz w:val="18"/>
                <w:szCs w:val="18"/>
                <w:color w:val="auto"/>
              </w:rPr>
            </w:pP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Net earnings</w:t>
            </w:r>
          </w:p>
        </w:tc>
        <w:tc>
          <w:tcPr>
            <w:tcW w:w="460" w:type="dxa"/>
            <w:vAlign w:val="bottom"/>
            <w:tcBorders>
              <w:bottom w:val="single" w:sz="8" w:color="BCBEC0"/>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2,056</w:t>
            </w:r>
          </w:p>
        </w:tc>
        <w:tc>
          <w:tcPr>
            <w:tcW w:w="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4,896</w:t>
            </w:r>
          </w:p>
        </w:tc>
        <w:tc>
          <w:tcPr>
            <w:tcW w:w="42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7,005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tcBorders>
              <w:bottom w:val="single" w:sz="8" w:color="BCBEC0"/>
            </w:tcBorders>
          </w:tcPr>
          <w:p>
            <w:pPr>
              <w:ind w:left="360"/>
              <w:spacing w:after="0"/>
              <w:rPr>
                <w:sz w:val="20"/>
                <w:szCs w:val="20"/>
                <w:color w:val="auto"/>
              </w:rPr>
            </w:pPr>
            <w:r>
              <w:rPr>
                <w:rFonts w:ascii="Arial" w:cs="Arial" w:eastAsia="Arial" w:hAnsi="Arial"/>
                <w:sz w:val="14"/>
                <w:szCs w:val="14"/>
                <w:color w:val="auto"/>
              </w:rPr>
              <w:t>MTM expense (benefit)</w:t>
            </w:r>
          </w:p>
        </w:tc>
        <w:tc>
          <w:tcPr>
            <w:tcW w:w="16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422</w:t>
            </w:r>
          </w:p>
        </w:tc>
        <w:tc>
          <w:tcPr>
            <w:tcW w:w="2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(1,232)</w:t>
            </w:r>
          </w:p>
        </w:tc>
        <w:tc>
          <w:tcPr>
            <w:tcW w:w="420" w:type="dxa"/>
            <w:vAlign w:val="bottom"/>
            <w:tcBorders>
              <w:bottom w:val="single" w:sz="8" w:color="BCBEC0"/>
            </w:tcBorders>
          </w:tcPr>
          <w:p>
            <w:pPr>
              <w:spacing w:after="0"/>
              <w:rPr>
                <w:sz w:val="17"/>
                <w:szCs w:val="17"/>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(2,355)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BCBEC0"/>
            </w:tcBorders>
          </w:tcPr>
          <w:p>
            <w:pPr>
              <w:ind w:left="360"/>
              <w:spacing w:after="0"/>
              <w:rPr>
                <w:sz w:val="20"/>
                <w:szCs w:val="20"/>
                <w:color w:val="auto"/>
              </w:rPr>
            </w:pPr>
            <w:r>
              <w:rPr>
                <w:rFonts w:ascii="Arial" w:cs="Arial" w:eastAsia="Arial" w:hAnsi="Arial"/>
                <w:sz w:val="14"/>
                <w:szCs w:val="14"/>
                <w:color w:val="auto"/>
              </w:rPr>
              <w:t>MTM-related deferred state tax (benefit) expense</w:t>
            </w:r>
            <w:r>
              <w:rPr>
                <w:rFonts w:ascii="Arial" w:cs="Arial" w:eastAsia="Arial" w:hAnsi="Arial"/>
                <w:sz w:val="18"/>
                <w:szCs w:val="18"/>
                <w:color w:val="auto"/>
                <w:vertAlign w:val="superscript"/>
              </w:rPr>
              <w:t>(1)</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65</w:t>
            </w: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Federal tax (benefit) expense of items above</w:t>
            </w:r>
            <w:r>
              <w:rPr>
                <w:rFonts w:ascii="Arial" w:cs="Arial" w:eastAsia="Arial" w:hAnsi="Arial"/>
                <w:sz w:val="18"/>
                <w:szCs w:val="18"/>
                <w:color w:val="auto"/>
                <w:vertAlign w:val="superscript"/>
              </w:rPr>
              <w:t>(2)</w:t>
            </w: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MTM adjustment, net of tax</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w:t>
            </w: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MTM-Adjusted Net Earnings</w:t>
            </w:r>
          </w:p>
        </w:tc>
        <w:tc>
          <w:tcPr>
            <w:tcW w:w="4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2,372</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3,974</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auto"/>
              </w:rPr>
              <w:t>Gain on sale of business</w:t>
            </w:r>
          </w:p>
        </w:tc>
        <w:tc>
          <w:tcPr>
            <w:tcW w:w="16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EC0"/>
            </w:tcBorders>
          </w:tcPr>
          <w:p>
            <w:pPr>
              <w:spacing w:after="0"/>
              <w:rPr>
                <w:sz w:val="17"/>
                <w:szCs w:val="17"/>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(1,980)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auto"/>
              </w:rPr>
              <w:t>State tax impact</w:t>
            </w:r>
            <w:r>
              <w:rPr>
                <w:rFonts w:ascii="Arial" w:cs="Arial" w:eastAsia="Arial" w:hAnsi="Arial"/>
                <w:sz w:val="18"/>
                <w:szCs w:val="18"/>
                <w:color w:val="auto"/>
                <w:vertAlign w:val="superscript"/>
              </w:rPr>
              <w:t>(3)</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auto"/>
              </w:rPr>
              <w:t>Transaction costs</w:t>
            </w:r>
          </w:p>
        </w:tc>
        <w:tc>
          <w:tcPr>
            <w:tcW w:w="16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EC0"/>
            </w:tcBorders>
          </w:tcPr>
          <w:p>
            <w:pPr>
              <w:spacing w:after="0"/>
              <w:rPr>
                <w:sz w:val="17"/>
                <w:szCs w:val="17"/>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32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auto"/>
              </w:rPr>
              <w:t>Make-whole premium</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Federal tax impact of items above</w:t>
            </w:r>
            <w:r>
              <w:rPr>
                <w:rFonts w:ascii="Arial" w:cs="Arial" w:eastAsia="Arial" w:hAnsi="Arial"/>
                <w:sz w:val="18"/>
                <w:szCs w:val="18"/>
                <w:color w:val="auto"/>
                <w:vertAlign w:val="superscript"/>
              </w:rPr>
              <w:t>(4)</w:t>
            </w: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3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Transaction-adjustment, net of tax</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Transaction-Adjusted Net Earnings</w:t>
            </w:r>
          </w:p>
        </w:tc>
        <w:tc>
          <w:tcPr>
            <w:tcW w:w="460" w:type="dxa"/>
            <w:vAlign w:val="bottom"/>
            <w:tcBorders>
              <w:bottom w:val="single" w:sz="8" w:color="BCBEC0"/>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2,372</w:t>
            </w:r>
          </w:p>
        </w:tc>
        <w:tc>
          <w:tcPr>
            <w:tcW w:w="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3,974</w:t>
            </w:r>
          </w:p>
        </w:tc>
        <w:tc>
          <w:tcPr>
            <w:tcW w:w="42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4,123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Diluted EPS</w:t>
            </w:r>
          </w:p>
        </w:tc>
        <w:tc>
          <w:tcPr>
            <w:tcW w:w="460" w:type="dxa"/>
            <w:vAlign w:val="bottom"/>
            <w:tcBorders>
              <w:bottom w:val="single" w:sz="8" w:color="BCBEC0"/>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13.53</w:t>
            </w:r>
          </w:p>
        </w:tc>
        <w:tc>
          <w:tcPr>
            <w:tcW w:w="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31.47</w:t>
            </w:r>
          </w:p>
        </w:tc>
        <w:tc>
          <w:tcPr>
            <w:tcW w:w="42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43.54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tcBorders>
              <w:bottom w:val="single" w:sz="8" w:color="BCBEC0"/>
            </w:tcBorders>
          </w:tcPr>
          <w:p>
            <w:pPr>
              <w:ind w:left="360"/>
              <w:spacing w:after="0"/>
              <w:rPr>
                <w:sz w:val="20"/>
                <w:szCs w:val="20"/>
                <w:color w:val="auto"/>
              </w:rPr>
            </w:pPr>
            <w:r>
              <w:rPr>
                <w:rFonts w:ascii="Arial" w:cs="Arial" w:eastAsia="Arial" w:hAnsi="Arial"/>
                <w:sz w:val="14"/>
                <w:szCs w:val="14"/>
                <w:color w:val="auto"/>
              </w:rPr>
              <w:t>MTM (benefit) expense per share</w:t>
            </w:r>
          </w:p>
        </w:tc>
        <w:tc>
          <w:tcPr>
            <w:tcW w:w="16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2.78</w:t>
            </w:r>
          </w:p>
        </w:tc>
        <w:tc>
          <w:tcPr>
            <w:tcW w:w="2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(7.92)</w:t>
            </w:r>
          </w:p>
        </w:tc>
        <w:tc>
          <w:tcPr>
            <w:tcW w:w="420" w:type="dxa"/>
            <w:vAlign w:val="bottom"/>
            <w:tcBorders>
              <w:bottom w:val="single" w:sz="8" w:color="BCBEC0"/>
            </w:tcBorders>
          </w:tcPr>
          <w:p>
            <w:pPr>
              <w:spacing w:after="0"/>
              <w:rPr>
                <w:sz w:val="17"/>
                <w:szCs w:val="17"/>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(14.64)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BCBEC0"/>
            </w:tcBorders>
          </w:tcPr>
          <w:p>
            <w:pPr>
              <w:ind w:left="360"/>
              <w:spacing w:after="0"/>
              <w:rPr>
                <w:sz w:val="20"/>
                <w:szCs w:val="20"/>
                <w:color w:val="auto"/>
              </w:rPr>
            </w:pPr>
            <w:r>
              <w:rPr>
                <w:rFonts w:ascii="Arial" w:cs="Arial" w:eastAsia="Arial" w:hAnsi="Arial"/>
                <w:sz w:val="14"/>
                <w:szCs w:val="14"/>
                <w:color w:val="auto"/>
              </w:rPr>
              <w:t>MTM-related deferred state tax expense (benefit)</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per share</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(0.14)</w:t>
            </w: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0.42</w:t>
            </w: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0.77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Federal tax expense (benefit) of items above</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per share</w:t>
            </w: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(0.56)</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MTM adjustment per share, net of tax</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w:t>
            </w: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MTM-Adjusted EPS</w:t>
            </w:r>
          </w:p>
        </w:tc>
        <w:tc>
          <w:tcPr>
            <w:tcW w:w="460" w:type="dxa"/>
            <w:vAlign w:val="bottom"/>
            <w:tcBorders>
              <w:bottom w:val="single" w:sz="8" w:color="BCBEC0"/>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15.61</w:t>
            </w:r>
          </w:p>
        </w:tc>
        <w:tc>
          <w:tcPr>
            <w:tcW w:w="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25.54</w:t>
            </w:r>
          </w:p>
        </w:tc>
        <w:tc>
          <w:tcPr>
            <w:tcW w:w="42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32.59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auto"/>
              </w:rPr>
              <w:t>Gain on sale of business per share</w:t>
            </w:r>
          </w:p>
        </w:tc>
        <w:tc>
          <w:tcPr>
            <w:tcW w:w="16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EC0"/>
            </w:tcBorders>
          </w:tcPr>
          <w:p>
            <w:pPr>
              <w:spacing w:after="0"/>
              <w:rPr>
                <w:sz w:val="17"/>
                <w:szCs w:val="17"/>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(12.31)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auto"/>
              </w:rPr>
              <w:t>State tax</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impact per share</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0.99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auto"/>
              </w:rPr>
              <w:t>Transaction costs per share</w:t>
            </w:r>
          </w:p>
        </w:tc>
        <w:tc>
          <w:tcPr>
            <w:tcW w:w="16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EC0"/>
            </w:tcBorders>
          </w:tcPr>
          <w:p>
            <w:pPr>
              <w:spacing w:after="0"/>
              <w:rPr>
                <w:sz w:val="17"/>
                <w:szCs w:val="17"/>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0.20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auto"/>
              </w:rPr>
              <w:t>Make-whole premium per share</w:t>
            </w:r>
          </w:p>
        </w:tc>
        <w:tc>
          <w:tcPr>
            <w:tcW w:w="160" w:type="dxa"/>
            <w:vAlign w:val="bottom"/>
            <w:tcBorders>
              <w:bottom w:val="single" w:sz="8" w:color="BCBEC0"/>
            </w:tcBorders>
          </w:tcPr>
          <w:p>
            <w:pPr>
              <w:spacing w:after="0"/>
              <w:rPr>
                <w:sz w:val="18"/>
                <w:szCs w:val="18"/>
                <w:color w:val="auto"/>
              </w:rPr>
            </w:pPr>
          </w:p>
        </w:tc>
        <w:tc>
          <w:tcPr>
            <w:tcW w:w="300" w:type="dxa"/>
            <w:vAlign w:val="bottom"/>
            <w:tcBorders>
              <w:bottom w:val="single" w:sz="8" w:color="BCBEC0"/>
            </w:tcBorders>
          </w:tcPr>
          <w:p>
            <w:pPr>
              <w:spacing w:after="0"/>
              <w:rPr>
                <w:sz w:val="18"/>
                <w:szCs w:val="18"/>
                <w:color w:val="auto"/>
              </w:rPr>
            </w:pP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BCBEC0"/>
            </w:tcBorders>
          </w:tcPr>
          <w:p>
            <w:pPr>
              <w:spacing w:after="0"/>
              <w:rPr>
                <w:sz w:val="18"/>
                <w:szCs w:val="18"/>
                <w:color w:val="auto"/>
              </w:rPr>
            </w:pP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0.34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Federal tax benefit of items above</w:t>
            </w:r>
            <w:r>
              <w:rPr>
                <w:rFonts w:ascii="Arial" w:cs="Arial" w:eastAsia="Arial" w:hAnsi="Arial"/>
                <w:sz w:val="18"/>
                <w:szCs w:val="18"/>
                <w:color w:val="auto"/>
                <w:vertAlign w:val="superscript"/>
              </w:rPr>
              <w:t>(4)</w:t>
            </w:r>
            <w:r>
              <w:rPr>
                <w:rFonts w:ascii="Arial" w:cs="Arial" w:eastAsia="Arial" w:hAnsi="Arial"/>
                <w:sz w:val="14"/>
                <w:szCs w:val="14"/>
                <w:color w:val="auto"/>
              </w:rPr>
              <w:t xml:space="preserve"> per share</w:t>
            </w: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3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Transaction-adjustment, net of tax per share</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Transaction-Adjusted EPS</w:t>
            </w:r>
          </w:p>
        </w:tc>
        <w:tc>
          <w:tcPr>
            <w:tcW w:w="460" w:type="dxa"/>
            <w:vAlign w:val="bottom"/>
            <w:tcBorders>
              <w:bottom w:val="single" w:sz="8" w:color="BCBEC0"/>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15.61</w:t>
            </w:r>
          </w:p>
        </w:tc>
        <w:tc>
          <w:tcPr>
            <w:tcW w:w="2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25.54</w:t>
            </w:r>
          </w:p>
        </w:tc>
        <w:tc>
          <w:tcPr>
            <w:tcW w:w="42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25.63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 w:hanging="494"/>
        <w:spacing w:after="0"/>
        <w:tabs>
          <w:tab w:leader="none" w:pos="520" w:val="left"/>
        </w:tabs>
        <w:numPr>
          <w:ilvl w:val="0"/>
          <w:numId w:val="210"/>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3" w:name="page124"/>
    <w:bookmarkEnd w:id="123"/>
    <w:p>
      <w:pPr>
        <w:ind w:left="7700"/>
        <w:spacing w:after="0"/>
        <w:rPr>
          <w:sz w:val="20"/>
          <w:szCs w:val="20"/>
          <w:color w:val="auto"/>
        </w:rPr>
      </w:pPr>
      <w:r>
        <w:rPr>
          <w:rFonts w:ascii="Arial" w:cs="Arial" w:eastAsia="Arial" w:hAnsi="Arial"/>
          <w:sz w:val="14"/>
          <w:szCs w:val="14"/>
          <w:b w:val="1"/>
          <w:bCs w:val="1"/>
          <w:color w:val="auto"/>
        </w:rPr>
        <w:t>Appendix A – Use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gridSpan w:val="2"/>
          </w:tcPr>
          <w:p>
            <w:pPr>
              <w:jc w:val="center"/>
              <w:ind w:left="290"/>
              <w:spacing w:after="0"/>
              <w:rPr>
                <w:sz w:val="20"/>
                <w:szCs w:val="20"/>
                <w:color w:val="auto"/>
              </w:rPr>
            </w:pPr>
            <w:r>
              <w:rPr>
                <w:rFonts w:ascii="Arial" w:cs="Arial" w:eastAsia="Arial" w:hAnsi="Arial"/>
                <w:sz w:val="13"/>
                <w:szCs w:val="13"/>
                <w:b w:val="1"/>
                <w:bCs w:val="1"/>
                <w:color w:val="auto"/>
                <w:w w:val="95"/>
              </w:rPr>
              <w:t>Total Year</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w:t>
            </w:r>
          </w:p>
        </w:tc>
        <w:tc>
          <w:tcPr>
            <w:tcW w:w="540" w:type="dxa"/>
            <w:vAlign w:val="bottom"/>
            <w:tcBorders>
              <w:bottom w:val="single" w:sz="8" w:color="29378D"/>
            </w:tcBorders>
          </w:tcPr>
          <w:p>
            <w:pPr>
              <w:spacing w:after="0" w:line="20" w:lineRule="exact"/>
              <w:rPr>
                <w:sz w:val="1"/>
                <w:szCs w:val="1"/>
                <w:color w:val="auto"/>
              </w:rPr>
            </w:pPr>
          </w:p>
        </w:tc>
        <w:tc>
          <w:tcPr>
            <w:tcW w:w="1140" w:type="dxa"/>
            <w:vAlign w:val="bottom"/>
            <w:tcBorders>
              <w:bottom w:val="single" w:sz="8" w:color="29378D"/>
            </w:tcBorders>
          </w:tcPr>
          <w:p>
            <w:pPr>
              <w:spacing w:after="0" w:line="20" w:lineRule="exact"/>
              <w:rPr>
                <w:sz w:val="1"/>
                <w:szCs w:val="1"/>
                <w:color w:val="auto"/>
              </w:rPr>
            </w:pPr>
          </w:p>
        </w:tc>
        <w:tc>
          <w:tcPr>
            <w:tcW w:w="38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82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jc w:val="center"/>
              <w:ind w:left="670"/>
              <w:spacing w:after="0"/>
              <w:rPr>
                <w:sz w:val="20"/>
                <w:szCs w:val="20"/>
                <w:color w:val="auto"/>
              </w:rPr>
            </w:pPr>
            <w:r>
              <w:rPr>
                <w:rFonts w:ascii="Arial" w:cs="Arial" w:eastAsia="Arial" w:hAnsi="Arial"/>
                <w:sz w:val="13"/>
                <w:szCs w:val="13"/>
                <w:b w:val="1"/>
                <w:bCs w:val="1"/>
                <w:color w:val="auto"/>
                <w:w w:val="96"/>
              </w:rPr>
              <w:t>2023</w:t>
            </w: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280" w:type="dxa"/>
            <w:vAlign w:val="bottom"/>
            <w:tcBorders>
              <w:bottom w:val="single" w:sz="8" w:color="29378D"/>
            </w:tcBorders>
          </w:tcPr>
          <w:p>
            <w:pPr>
              <w:spacing w:after="0" w:line="20" w:lineRule="exact"/>
              <w:rPr>
                <w:sz w:val="1"/>
                <w:szCs w:val="1"/>
                <w:color w:val="auto"/>
              </w:rPr>
            </w:pPr>
          </w:p>
        </w:tc>
        <w:tc>
          <w:tcPr>
            <w:tcW w:w="540" w:type="dxa"/>
            <w:vAlign w:val="bottom"/>
            <w:tcBorders>
              <w:bottom w:val="single" w:sz="8" w:color="29378D"/>
            </w:tcBorders>
          </w:tcPr>
          <w:p>
            <w:pPr>
              <w:spacing w:after="0" w:line="20" w:lineRule="exact"/>
              <w:rPr>
                <w:sz w:val="1"/>
                <w:szCs w:val="1"/>
                <w:color w:val="auto"/>
              </w:rPr>
            </w:pPr>
          </w:p>
        </w:tc>
        <w:tc>
          <w:tcPr>
            <w:tcW w:w="1140" w:type="dxa"/>
            <w:vAlign w:val="bottom"/>
            <w:tcBorders>
              <w:bottom w:val="single" w:sz="8" w:color="29378D"/>
            </w:tcBorders>
          </w:tcPr>
          <w:p>
            <w:pPr>
              <w:spacing w:after="0" w:line="20" w:lineRule="exact"/>
              <w:rPr>
                <w:sz w:val="1"/>
                <w:szCs w:val="1"/>
                <w:color w:val="auto"/>
              </w:rPr>
            </w:pPr>
          </w:p>
        </w:tc>
        <w:tc>
          <w:tcPr>
            <w:tcW w:w="38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828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Operating RONA</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spacing w:after="0"/>
              <w:rPr>
                <w:sz w:val="18"/>
                <w:szCs w:val="18"/>
                <w:color w:val="auto"/>
              </w:rPr>
            </w:pPr>
          </w:p>
        </w:tc>
        <w:tc>
          <w:tcPr>
            <w:tcW w:w="3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Operating Income</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spacing w:after="0"/>
              <w:rPr>
                <w:sz w:val="18"/>
                <w:szCs w:val="18"/>
                <w:color w:val="auto"/>
              </w:rPr>
            </w:pPr>
          </w:p>
        </w:tc>
        <w:tc>
          <w:tcPr>
            <w:tcW w:w="380" w:type="dxa"/>
            <w:vAlign w:val="bottom"/>
            <w:tcBorders>
              <w:bottom w:val="single" w:sz="8" w:color="BCBE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2,537</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242424"/>
              </w:rPr>
              <w:t>Net FAS/CAS operating adjustment</w:t>
            </w:r>
          </w:p>
        </w:tc>
        <w:tc>
          <w:tcPr>
            <w:tcW w:w="540" w:type="dxa"/>
            <w:vAlign w:val="bottom"/>
            <w:tcBorders>
              <w:bottom w:val="single" w:sz="8" w:color="BCBEC0"/>
            </w:tcBorders>
          </w:tcPr>
          <w:p>
            <w:pPr>
              <w:spacing w:after="0"/>
              <w:rPr>
                <w:sz w:val="17"/>
                <w:szCs w:val="17"/>
                <w:color w:val="auto"/>
              </w:rPr>
            </w:pPr>
          </w:p>
        </w:tc>
        <w:tc>
          <w:tcPr>
            <w:tcW w:w="1140" w:type="dxa"/>
            <w:vAlign w:val="bottom"/>
            <w:tcBorders>
              <w:bottom w:val="single" w:sz="8" w:color="BCBEC0"/>
            </w:tcBorders>
          </w:tcPr>
          <w:p>
            <w:pPr>
              <w:spacing w:after="0"/>
              <w:rPr>
                <w:sz w:val="17"/>
                <w:szCs w:val="17"/>
                <w:color w:val="auto"/>
              </w:rPr>
            </w:pPr>
          </w:p>
        </w:tc>
        <w:tc>
          <w:tcPr>
            <w:tcW w:w="3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242424"/>
              </w:rPr>
              <w:t>Unallocated corporate expense</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spacing w:after="0"/>
              <w:rPr>
                <w:sz w:val="18"/>
                <w:szCs w:val="18"/>
                <w:color w:val="auto"/>
              </w:rPr>
            </w:pPr>
          </w:p>
        </w:tc>
        <w:tc>
          <w:tcPr>
            <w:tcW w:w="3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Segment Operating Income</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spacing w:after="0"/>
              <w:rPr>
                <w:sz w:val="18"/>
                <w:szCs w:val="18"/>
                <w:color w:val="auto"/>
              </w:rPr>
            </w:pPr>
          </w:p>
        </w:tc>
        <w:tc>
          <w:tcPr>
            <w:tcW w:w="380" w:type="dxa"/>
            <w:vAlign w:val="bottom"/>
            <w:tcBorders>
              <w:bottom w:val="single" w:sz="8" w:color="BCBE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2,760</w:t>
            </w:r>
          </w:p>
        </w:tc>
        <w:tc>
          <w:tcPr>
            <w:tcW w:w="0" w:type="dxa"/>
            <w:vAlign w:val="bottom"/>
          </w:tcPr>
          <w:p>
            <w:pPr>
              <w:spacing w:after="0"/>
              <w:rPr>
                <w:sz w:val="1"/>
                <w:szCs w:val="1"/>
                <w:color w:val="auto"/>
              </w:rPr>
            </w:pPr>
          </w:p>
        </w:tc>
      </w:tr>
      <w:tr>
        <w:trPr>
          <w:trHeight w:val="206"/>
        </w:trPr>
        <w:tc>
          <w:tcPr>
            <w:tcW w:w="828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242424"/>
              </w:rPr>
              <w:t>Intersegment eliminations</w:t>
            </w:r>
          </w:p>
        </w:tc>
        <w:tc>
          <w:tcPr>
            <w:tcW w:w="540" w:type="dxa"/>
            <w:vAlign w:val="bottom"/>
            <w:tcBorders>
              <w:bottom w:val="single" w:sz="8" w:color="BCBEC0"/>
            </w:tcBorders>
          </w:tcPr>
          <w:p>
            <w:pPr>
              <w:spacing w:after="0"/>
              <w:rPr>
                <w:sz w:val="17"/>
                <w:szCs w:val="17"/>
                <w:color w:val="auto"/>
              </w:rPr>
            </w:pPr>
          </w:p>
        </w:tc>
        <w:tc>
          <w:tcPr>
            <w:tcW w:w="1140" w:type="dxa"/>
            <w:vAlign w:val="bottom"/>
            <w:tcBorders>
              <w:bottom w:val="single" w:sz="8" w:color="BCBEC0"/>
            </w:tcBorders>
          </w:tcPr>
          <w:p>
            <w:pPr>
              <w:spacing w:after="0"/>
              <w:rPr>
                <w:sz w:val="17"/>
                <w:szCs w:val="17"/>
                <w:color w:val="auto"/>
              </w:rPr>
            </w:pPr>
          </w:p>
        </w:tc>
        <w:tc>
          <w:tcPr>
            <w:tcW w:w="3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242424"/>
              </w:rPr>
              <w:t>Orbital ATK intangible asset amortization and PP&amp;E step-up depreciation</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spacing w:after="0"/>
              <w:rPr>
                <w:sz w:val="18"/>
                <w:szCs w:val="18"/>
                <w:color w:val="auto"/>
              </w:rPr>
            </w:pPr>
          </w:p>
        </w:tc>
        <w:tc>
          <w:tcPr>
            <w:tcW w:w="3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9"/>
        </w:trPr>
        <w:tc>
          <w:tcPr>
            <w:tcW w:w="828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242424"/>
              </w:rPr>
              <w:t>Tax effect of items above</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spacing w:after="0"/>
              <w:rPr>
                <w:sz w:val="18"/>
                <w:szCs w:val="18"/>
                <w:color w:val="auto"/>
              </w:rPr>
            </w:pPr>
          </w:p>
        </w:tc>
        <w:tc>
          <w:tcPr>
            <w:tcW w:w="3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BCBEC0"/>
            </w:tcBorders>
          </w:tcPr>
          <w:p>
            <w:pPr>
              <w:ind w:left="240"/>
              <w:spacing w:after="0"/>
              <w:rPr>
                <w:sz w:val="20"/>
                <w:szCs w:val="20"/>
                <w:color w:val="auto"/>
              </w:rPr>
            </w:pPr>
            <w:r>
              <w:rPr>
                <w:rFonts w:ascii="Arial" w:cs="Arial" w:eastAsia="Arial" w:hAnsi="Arial"/>
                <w:sz w:val="14"/>
                <w:szCs w:val="14"/>
                <w:color w:val="242424"/>
              </w:rPr>
              <w:t>Approved NOPAT adjustments</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spacing w:after="0"/>
              <w:rPr>
                <w:sz w:val="18"/>
                <w:szCs w:val="18"/>
                <w:color w:val="auto"/>
              </w:rPr>
            </w:pPr>
          </w:p>
        </w:tc>
        <w:tc>
          <w:tcPr>
            <w:tcW w:w="3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1,313</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Adjusted NOPAT</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spacing w:after="0"/>
              <w:rPr>
                <w:sz w:val="18"/>
                <w:szCs w:val="18"/>
                <w:color w:val="auto"/>
              </w:rPr>
            </w:pPr>
          </w:p>
        </w:tc>
        <w:tc>
          <w:tcPr>
            <w:tcW w:w="380" w:type="dxa"/>
            <w:vAlign w:val="bottom"/>
            <w:tcBorders>
              <w:bottom w:val="single" w:sz="8" w:color="BCBE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3,814</w:t>
            </w:r>
          </w:p>
        </w:tc>
        <w:tc>
          <w:tcPr>
            <w:tcW w:w="0" w:type="dxa"/>
            <w:vAlign w:val="bottom"/>
          </w:tcPr>
          <w:p>
            <w:pPr>
              <w:spacing w:after="0"/>
              <w:rPr>
                <w:sz w:val="1"/>
                <w:szCs w:val="1"/>
                <w:color w:val="auto"/>
              </w:rPr>
            </w:pPr>
          </w:p>
        </w:tc>
      </w:tr>
      <w:tr>
        <w:trPr>
          <w:trHeight w:val="324"/>
        </w:trPr>
        <w:tc>
          <w:tcPr>
            <w:tcW w:w="8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gridSpan w:val="2"/>
          </w:tcPr>
          <w:p>
            <w:pPr>
              <w:jc w:val="center"/>
              <w:ind w:left="290"/>
              <w:spacing w:after="0"/>
              <w:rPr>
                <w:sz w:val="20"/>
                <w:szCs w:val="20"/>
                <w:color w:val="auto"/>
              </w:rPr>
            </w:pPr>
            <w:r>
              <w:rPr>
                <w:rFonts w:ascii="Arial" w:cs="Arial" w:eastAsia="Arial" w:hAnsi="Arial"/>
                <w:sz w:val="13"/>
                <w:szCs w:val="13"/>
                <w:b w:val="1"/>
                <w:bCs w:val="1"/>
                <w:color w:val="auto"/>
                <w:w w:val="98"/>
              </w:rPr>
              <w:t>December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8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w:t>
            </w:r>
          </w:p>
        </w:tc>
        <w:tc>
          <w:tcPr>
            <w:tcW w:w="540" w:type="dxa"/>
            <w:vAlign w:val="bottom"/>
            <w:tcBorders>
              <w:bottom w:val="single" w:sz="8" w:color="29378D"/>
            </w:tcBorders>
          </w:tcPr>
          <w:p>
            <w:pPr>
              <w:spacing w:after="0" w:line="20" w:lineRule="exact"/>
              <w:rPr>
                <w:sz w:val="1"/>
                <w:szCs w:val="1"/>
                <w:color w:val="auto"/>
              </w:rPr>
            </w:pPr>
          </w:p>
        </w:tc>
        <w:tc>
          <w:tcPr>
            <w:tcW w:w="1140" w:type="dxa"/>
            <w:vAlign w:val="bottom"/>
            <w:tcBorders>
              <w:bottom w:val="single" w:sz="8" w:color="29378D"/>
            </w:tcBorders>
          </w:tcPr>
          <w:p>
            <w:pPr>
              <w:spacing w:after="0" w:line="20" w:lineRule="exact"/>
              <w:rPr>
                <w:sz w:val="1"/>
                <w:szCs w:val="1"/>
                <w:color w:val="auto"/>
              </w:rPr>
            </w:pPr>
          </w:p>
        </w:tc>
        <w:tc>
          <w:tcPr>
            <w:tcW w:w="38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82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jc w:val="right"/>
              <w:ind w:right="550"/>
              <w:spacing w:after="0"/>
              <w:rPr>
                <w:sz w:val="20"/>
                <w:szCs w:val="20"/>
                <w:color w:val="auto"/>
              </w:rPr>
            </w:pPr>
            <w:r>
              <w:rPr>
                <w:rFonts w:ascii="Arial" w:cs="Arial" w:eastAsia="Arial" w:hAnsi="Arial"/>
                <w:sz w:val="13"/>
                <w:szCs w:val="13"/>
                <w:b w:val="1"/>
                <w:bCs w:val="1"/>
                <w:color w:val="auto"/>
              </w:rPr>
              <w:t>2023</w:t>
            </w:r>
          </w:p>
        </w:tc>
        <w:tc>
          <w:tcPr>
            <w:tcW w:w="380" w:type="dxa"/>
            <w:vAlign w:val="bottom"/>
          </w:tcPr>
          <w:p>
            <w:pPr>
              <w:spacing w:after="0"/>
              <w:rPr>
                <w:sz w:val="15"/>
                <w:szCs w:val="15"/>
                <w:color w:val="auto"/>
              </w:rPr>
            </w:pPr>
          </w:p>
        </w:tc>
        <w:tc>
          <w:tcPr>
            <w:tcW w:w="900" w:type="dxa"/>
            <w:vAlign w:val="bottom"/>
          </w:tcPr>
          <w:p>
            <w:pPr>
              <w:jc w:val="right"/>
              <w:ind w:right="348"/>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2"/>
        </w:trPr>
        <w:tc>
          <w:tcPr>
            <w:tcW w:w="8280" w:type="dxa"/>
            <w:vAlign w:val="bottom"/>
            <w:tcBorders>
              <w:bottom w:val="single" w:sz="8" w:color="29378D"/>
            </w:tcBorders>
          </w:tcPr>
          <w:p>
            <w:pPr>
              <w:spacing w:after="0" w:line="20" w:lineRule="exact"/>
              <w:rPr>
                <w:sz w:val="1"/>
                <w:szCs w:val="1"/>
                <w:color w:val="auto"/>
              </w:rPr>
            </w:pPr>
          </w:p>
        </w:tc>
        <w:tc>
          <w:tcPr>
            <w:tcW w:w="540" w:type="dxa"/>
            <w:vAlign w:val="bottom"/>
            <w:tcBorders>
              <w:bottom w:val="single" w:sz="8" w:color="29378D"/>
            </w:tcBorders>
          </w:tcPr>
          <w:p>
            <w:pPr>
              <w:spacing w:after="0" w:line="20" w:lineRule="exact"/>
              <w:rPr>
                <w:sz w:val="1"/>
                <w:szCs w:val="1"/>
                <w:color w:val="auto"/>
              </w:rPr>
            </w:pPr>
          </w:p>
        </w:tc>
        <w:tc>
          <w:tcPr>
            <w:tcW w:w="1140" w:type="dxa"/>
            <w:vAlign w:val="bottom"/>
            <w:tcBorders>
              <w:bottom w:val="single" w:sz="8" w:color="29378D"/>
            </w:tcBorders>
          </w:tcPr>
          <w:p>
            <w:pPr>
              <w:spacing w:after="0" w:line="20" w:lineRule="exact"/>
              <w:rPr>
                <w:sz w:val="1"/>
                <w:szCs w:val="1"/>
                <w:color w:val="auto"/>
              </w:rPr>
            </w:pPr>
          </w:p>
        </w:tc>
        <w:tc>
          <w:tcPr>
            <w:tcW w:w="380" w:type="dxa"/>
            <w:vAlign w:val="bottom"/>
            <w:tcBorders>
              <w:bottom w:val="single" w:sz="8" w:color="29378D"/>
            </w:tcBorders>
          </w:tcPr>
          <w:p>
            <w:pPr>
              <w:spacing w:after="0" w:line="20" w:lineRule="exact"/>
              <w:rPr>
                <w:sz w:val="1"/>
                <w:szCs w:val="1"/>
                <w:color w:val="auto"/>
              </w:rPr>
            </w:pPr>
          </w:p>
        </w:tc>
        <w:tc>
          <w:tcPr>
            <w:tcW w:w="900" w:type="dxa"/>
            <w:vAlign w:val="bottom"/>
            <w:tcBorders>
              <w:bottom w:val="single" w:sz="8" w:color="29378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28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Net Current Assets</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spacing w:after="0"/>
              <w:rPr>
                <w:sz w:val="18"/>
                <w:szCs w:val="18"/>
                <w:color w:val="auto"/>
              </w:rPr>
            </w:pPr>
          </w:p>
        </w:tc>
        <w:tc>
          <w:tcPr>
            <w:tcW w:w="3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Total current assets</w:t>
            </w:r>
          </w:p>
        </w:tc>
        <w:tc>
          <w:tcPr>
            <w:tcW w:w="540" w:type="dxa"/>
            <w:vAlign w:val="bottom"/>
            <w:tcBorders>
              <w:bottom w:val="single" w:sz="8" w:color="BCBEC0"/>
            </w:tcBorders>
          </w:tcPr>
          <w:p>
            <w:pPr>
              <w:spacing w:after="0"/>
              <w:rPr>
                <w:sz w:val="17"/>
                <w:szCs w:val="17"/>
                <w:color w:val="auto"/>
              </w:rPr>
            </w:pPr>
          </w:p>
        </w:tc>
        <w:tc>
          <w:tcPr>
            <w:tcW w:w="114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13,706</w:t>
            </w:r>
          </w:p>
        </w:tc>
        <w:tc>
          <w:tcPr>
            <w:tcW w:w="3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12,488</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Less: Cash</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jc w:val="right"/>
              <w:ind w:right="210"/>
              <w:spacing w:after="0"/>
              <w:rPr>
                <w:sz w:val="20"/>
                <w:szCs w:val="20"/>
                <w:color w:val="auto"/>
              </w:rPr>
            </w:pPr>
            <w:r>
              <w:rPr>
                <w:rFonts w:ascii="Arial" w:cs="Arial" w:eastAsia="Arial" w:hAnsi="Arial"/>
                <w:sz w:val="14"/>
                <w:szCs w:val="14"/>
                <w:color w:val="auto"/>
              </w:rPr>
              <w:t>(3,109)</w:t>
            </w:r>
          </w:p>
        </w:tc>
        <w:tc>
          <w:tcPr>
            <w:tcW w:w="3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(2,577)</w:t>
            </w:r>
          </w:p>
        </w:tc>
        <w:tc>
          <w:tcPr>
            <w:tcW w:w="0" w:type="dxa"/>
            <w:vAlign w:val="bottom"/>
          </w:tcPr>
          <w:p>
            <w:pPr>
              <w:spacing w:after="0"/>
              <w:rPr>
                <w:sz w:val="1"/>
                <w:szCs w:val="1"/>
                <w:color w:val="auto"/>
              </w:rPr>
            </w:pPr>
          </w:p>
        </w:tc>
      </w:tr>
      <w:tr>
        <w:trPr>
          <w:trHeight w:val="212"/>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Adjusted Total Current Assets</w:t>
            </w:r>
          </w:p>
        </w:tc>
        <w:tc>
          <w:tcPr>
            <w:tcW w:w="540" w:type="dxa"/>
            <w:vAlign w:val="bottom"/>
            <w:tcBorders>
              <w:bottom w:val="single" w:sz="8" w:color="BCBE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b w:val="1"/>
                <w:bCs w:val="1"/>
                <w:color w:val="auto"/>
              </w:rPr>
              <w:t>10,597</w:t>
            </w:r>
          </w:p>
        </w:tc>
        <w:tc>
          <w:tcPr>
            <w:tcW w:w="380" w:type="dxa"/>
            <w:vAlign w:val="bottom"/>
            <w:tcBorders>
              <w:bottom w:val="single" w:sz="8" w:color="BCBE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9,911</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Total current liabilities</w:t>
            </w:r>
          </w:p>
        </w:tc>
        <w:tc>
          <w:tcPr>
            <w:tcW w:w="540" w:type="dxa"/>
            <w:vAlign w:val="bottom"/>
            <w:tcBorders>
              <w:bottom w:val="single" w:sz="8" w:color="BCBEC0"/>
            </w:tcBorders>
          </w:tcPr>
          <w:p>
            <w:pPr>
              <w:spacing w:after="0"/>
              <w:rPr>
                <w:sz w:val="17"/>
                <w:szCs w:val="17"/>
                <w:color w:val="auto"/>
              </w:rPr>
            </w:pPr>
          </w:p>
        </w:tc>
        <w:tc>
          <w:tcPr>
            <w:tcW w:w="114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11,942</w:t>
            </w:r>
          </w:p>
        </w:tc>
        <w:tc>
          <w:tcPr>
            <w:tcW w:w="3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11,587</w:t>
            </w:r>
          </w:p>
        </w:tc>
        <w:tc>
          <w:tcPr>
            <w:tcW w:w="0" w:type="dxa"/>
            <w:vAlign w:val="bottom"/>
          </w:tcPr>
          <w:p>
            <w:pPr>
              <w:spacing w:after="0"/>
              <w:rPr>
                <w:sz w:val="1"/>
                <w:szCs w:val="1"/>
                <w:color w:val="auto"/>
              </w:rPr>
            </w:pPr>
          </w:p>
        </w:tc>
      </w:tr>
      <w:tr>
        <w:trPr>
          <w:trHeight w:val="313"/>
        </w:trPr>
        <w:tc>
          <w:tcPr>
            <w:tcW w:w="8280" w:type="dxa"/>
            <w:vAlign w:val="bottom"/>
          </w:tcPr>
          <w:p>
            <w:pPr>
              <w:ind w:left="140"/>
              <w:spacing w:after="0"/>
              <w:rPr>
                <w:sz w:val="20"/>
                <w:szCs w:val="20"/>
                <w:color w:val="auto"/>
              </w:rPr>
            </w:pPr>
            <w:r>
              <w:rPr>
                <w:rFonts w:ascii="Arial" w:cs="Arial" w:eastAsia="Arial" w:hAnsi="Arial"/>
                <w:sz w:val="14"/>
                <w:szCs w:val="14"/>
                <w:color w:val="auto"/>
              </w:rPr>
              <w:t>Less: Current maturity of LTD</w:t>
            </w:r>
          </w:p>
        </w:tc>
        <w:tc>
          <w:tcPr>
            <w:tcW w:w="540" w:type="dxa"/>
            <w:vAlign w:val="bottom"/>
          </w:tcPr>
          <w:p>
            <w:pPr>
              <w:spacing w:after="0"/>
              <w:rPr>
                <w:sz w:val="24"/>
                <w:szCs w:val="24"/>
                <w:color w:val="auto"/>
              </w:rPr>
            </w:pPr>
          </w:p>
        </w:tc>
        <w:tc>
          <w:tcPr>
            <w:tcW w:w="1140" w:type="dxa"/>
            <w:vAlign w:val="bottom"/>
            <w:vMerge w:val="restart"/>
          </w:tcPr>
          <w:p>
            <w:pPr>
              <w:jc w:val="right"/>
              <w:ind w:right="210"/>
              <w:spacing w:after="0"/>
              <w:rPr>
                <w:sz w:val="20"/>
                <w:szCs w:val="20"/>
                <w:color w:val="auto"/>
              </w:rPr>
            </w:pPr>
            <w:r>
              <w:rPr>
                <w:rFonts w:ascii="Arial" w:cs="Arial" w:eastAsia="Arial" w:hAnsi="Arial"/>
                <w:sz w:val="14"/>
                <w:szCs w:val="14"/>
                <w:color w:val="auto"/>
              </w:rPr>
              <w:t>(70)</w:t>
            </w:r>
          </w:p>
        </w:tc>
        <w:tc>
          <w:tcPr>
            <w:tcW w:w="38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(1,072)</w:t>
            </w:r>
          </w:p>
        </w:tc>
        <w:tc>
          <w:tcPr>
            <w:tcW w:w="0" w:type="dxa"/>
            <w:vAlign w:val="bottom"/>
          </w:tcPr>
          <w:p>
            <w:pPr>
              <w:spacing w:after="0"/>
              <w:rPr>
                <w:sz w:val="1"/>
                <w:szCs w:val="1"/>
                <w:color w:val="auto"/>
              </w:rPr>
            </w:pPr>
          </w:p>
        </w:tc>
      </w:tr>
      <w:tr>
        <w:trPr>
          <w:trHeight w:val="126"/>
        </w:trPr>
        <w:tc>
          <w:tcPr>
            <w:tcW w:w="8280" w:type="dxa"/>
            <w:vAlign w:val="bottom"/>
            <w:tcBorders>
              <w:bottom w:val="single" w:sz="8" w:color="BCBEC0"/>
            </w:tcBorders>
          </w:tcPr>
          <w:p>
            <w:pPr>
              <w:spacing w:after="0"/>
              <w:rPr>
                <w:sz w:val="10"/>
                <w:szCs w:val="10"/>
                <w:color w:val="auto"/>
              </w:rPr>
            </w:pPr>
          </w:p>
        </w:tc>
        <w:tc>
          <w:tcPr>
            <w:tcW w:w="540" w:type="dxa"/>
            <w:vAlign w:val="bottom"/>
            <w:tcBorders>
              <w:bottom w:val="single" w:sz="8" w:color="BCBEC0"/>
            </w:tcBorders>
          </w:tcPr>
          <w:p>
            <w:pPr>
              <w:spacing w:after="0"/>
              <w:rPr>
                <w:sz w:val="10"/>
                <w:szCs w:val="10"/>
                <w:color w:val="auto"/>
              </w:rPr>
            </w:pPr>
          </w:p>
        </w:tc>
        <w:tc>
          <w:tcPr>
            <w:tcW w:w="1140" w:type="dxa"/>
            <w:vAlign w:val="bottom"/>
            <w:tcBorders>
              <w:bottom w:val="single" w:sz="8" w:color="BCBEC0"/>
            </w:tcBorders>
            <w:vMerge w:val="continue"/>
          </w:tcPr>
          <w:p>
            <w:pPr>
              <w:spacing w:after="0"/>
              <w:rPr>
                <w:sz w:val="10"/>
                <w:szCs w:val="10"/>
                <w:color w:val="auto"/>
              </w:rPr>
            </w:pPr>
          </w:p>
        </w:tc>
        <w:tc>
          <w:tcPr>
            <w:tcW w:w="380" w:type="dxa"/>
            <w:vAlign w:val="bottom"/>
            <w:tcBorders>
              <w:bottom w:val="single" w:sz="8" w:color="BCBEC0"/>
            </w:tcBorders>
          </w:tcPr>
          <w:p>
            <w:pPr>
              <w:spacing w:after="0"/>
              <w:rPr>
                <w:sz w:val="10"/>
                <w:szCs w:val="10"/>
                <w:color w:val="auto"/>
              </w:rPr>
            </w:pPr>
          </w:p>
        </w:tc>
        <w:tc>
          <w:tcPr>
            <w:tcW w:w="900" w:type="dxa"/>
            <w:vAlign w:val="bottom"/>
            <w:tcBorders>
              <w:bottom w:val="single" w:sz="8" w:color="BCBEC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Adjusted Total Current Liabilities</w:t>
            </w:r>
          </w:p>
        </w:tc>
        <w:tc>
          <w:tcPr>
            <w:tcW w:w="540" w:type="dxa"/>
            <w:vAlign w:val="bottom"/>
            <w:tcBorders>
              <w:bottom w:val="single" w:sz="8" w:color="BCBE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b w:val="1"/>
                <w:bCs w:val="1"/>
                <w:color w:val="auto"/>
              </w:rPr>
              <w:t>11,872</w:t>
            </w:r>
          </w:p>
        </w:tc>
        <w:tc>
          <w:tcPr>
            <w:tcW w:w="380" w:type="dxa"/>
            <w:vAlign w:val="bottom"/>
            <w:tcBorders>
              <w:bottom w:val="single" w:sz="8" w:color="BCBE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10,515</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Adjusted Net Assets</w:t>
            </w:r>
          </w:p>
        </w:tc>
        <w:tc>
          <w:tcPr>
            <w:tcW w:w="540" w:type="dxa"/>
            <w:vAlign w:val="bottom"/>
            <w:tcBorders>
              <w:bottom w:val="single" w:sz="8" w:color="BCBE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CBEC0"/>
            </w:tcBorders>
          </w:tcPr>
          <w:p>
            <w:pPr>
              <w:jc w:val="right"/>
              <w:ind w:right="210"/>
              <w:spacing w:after="0"/>
              <w:rPr>
                <w:sz w:val="20"/>
                <w:szCs w:val="20"/>
                <w:color w:val="auto"/>
              </w:rPr>
            </w:pPr>
            <w:r>
              <w:rPr>
                <w:rFonts w:ascii="Arial" w:cs="Arial" w:eastAsia="Arial" w:hAnsi="Arial"/>
                <w:sz w:val="14"/>
                <w:szCs w:val="14"/>
                <w:b w:val="1"/>
                <w:bCs w:val="1"/>
                <w:color w:val="auto"/>
              </w:rPr>
              <w:t>(1,275)</w:t>
            </w:r>
          </w:p>
        </w:tc>
        <w:tc>
          <w:tcPr>
            <w:tcW w:w="380" w:type="dxa"/>
            <w:vAlign w:val="bottom"/>
            <w:tcBorders>
              <w:bottom w:val="single" w:sz="8" w:color="BCBE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(604)</w:t>
            </w:r>
          </w:p>
        </w:tc>
        <w:tc>
          <w:tcPr>
            <w:tcW w:w="0" w:type="dxa"/>
            <w:vAlign w:val="bottom"/>
          </w:tcPr>
          <w:p>
            <w:pPr>
              <w:spacing w:after="0"/>
              <w:rPr>
                <w:sz w:val="1"/>
                <w:szCs w:val="1"/>
                <w:color w:val="auto"/>
              </w:rPr>
            </w:pPr>
          </w:p>
        </w:tc>
      </w:tr>
      <w:tr>
        <w:trPr>
          <w:trHeight w:val="206"/>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Plus: PPE, net</w:t>
            </w:r>
          </w:p>
        </w:tc>
        <w:tc>
          <w:tcPr>
            <w:tcW w:w="540" w:type="dxa"/>
            <w:vAlign w:val="bottom"/>
            <w:tcBorders>
              <w:bottom w:val="single" w:sz="8" w:color="BCBEC0"/>
            </w:tcBorders>
          </w:tcPr>
          <w:p>
            <w:pPr>
              <w:spacing w:after="0"/>
              <w:rPr>
                <w:sz w:val="17"/>
                <w:szCs w:val="17"/>
                <w:color w:val="auto"/>
              </w:rPr>
            </w:pPr>
          </w:p>
        </w:tc>
        <w:tc>
          <w:tcPr>
            <w:tcW w:w="114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color w:val="auto"/>
              </w:rPr>
              <w:t>9,653</w:t>
            </w:r>
          </w:p>
        </w:tc>
        <w:tc>
          <w:tcPr>
            <w:tcW w:w="3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8,800</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Net Operating Assets</w:t>
            </w:r>
          </w:p>
        </w:tc>
        <w:tc>
          <w:tcPr>
            <w:tcW w:w="540" w:type="dxa"/>
            <w:vAlign w:val="bottom"/>
            <w:tcBorders>
              <w:bottom w:val="single" w:sz="8" w:color="BCBE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b w:val="1"/>
                <w:bCs w:val="1"/>
                <w:color w:val="auto"/>
              </w:rPr>
              <w:t>8,378</w:t>
            </w:r>
          </w:p>
        </w:tc>
        <w:tc>
          <w:tcPr>
            <w:tcW w:w="380" w:type="dxa"/>
            <w:vAlign w:val="bottom"/>
            <w:tcBorders>
              <w:bottom w:val="single" w:sz="8" w:color="BCBE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8,196</w:t>
            </w:r>
          </w:p>
        </w:tc>
        <w:tc>
          <w:tcPr>
            <w:tcW w:w="0" w:type="dxa"/>
            <w:vAlign w:val="bottom"/>
          </w:tcPr>
          <w:p>
            <w:pPr>
              <w:spacing w:after="0"/>
              <w:rPr>
                <w:sz w:val="1"/>
                <w:szCs w:val="1"/>
                <w:color w:val="auto"/>
              </w:rPr>
            </w:pPr>
          </w:p>
        </w:tc>
      </w:tr>
      <w:tr>
        <w:trPr>
          <w:trHeight w:val="206"/>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color w:val="auto"/>
              </w:rPr>
              <w:t>Approved balance sheet adjustments</w:t>
            </w:r>
          </w:p>
        </w:tc>
        <w:tc>
          <w:tcPr>
            <w:tcW w:w="540" w:type="dxa"/>
            <w:vAlign w:val="bottom"/>
            <w:tcBorders>
              <w:bottom w:val="single" w:sz="8" w:color="BCBEC0"/>
            </w:tcBorders>
          </w:tcPr>
          <w:p>
            <w:pPr>
              <w:spacing w:after="0"/>
              <w:rPr>
                <w:sz w:val="17"/>
                <w:szCs w:val="17"/>
                <w:color w:val="auto"/>
              </w:rPr>
            </w:pPr>
          </w:p>
        </w:tc>
        <w:tc>
          <w:tcPr>
            <w:tcW w:w="1140" w:type="dxa"/>
            <w:vAlign w:val="bottom"/>
            <w:tcBorders>
              <w:bottom w:val="single" w:sz="8" w:color="BCBEC0"/>
            </w:tcBorders>
          </w:tcPr>
          <w:p>
            <w:pPr>
              <w:jc w:val="right"/>
              <w:ind w:right="210"/>
              <w:spacing w:after="0"/>
              <w:rPr>
                <w:sz w:val="20"/>
                <w:szCs w:val="20"/>
                <w:color w:val="auto"/>
              </w:rPr>
            </w:pPr>
            <w:r>
              <w:rPr>
                <w:rFonts w:ascii="Arial" w:cs="Arial" w:eastAsia="Arial" w:hAnsi="Arial"/>
                <w:sz w:val="14"/>
                <w:szCs w:val="14"/>
                <w:color w:val="auto"/>
              </w:rPr>
              <w:t>(674)</w:t>
            </w:r>
          </w:p>
        </w:tc>
        <w:tc>
          <w:tcPr>
            <w:tcW w:w="380" w:type="dxa"/>
            <w:vAlign w:val="bottom"/>
            <w:tcBorders>
              <w:bottom w:val="single" w:sz="8" w:color="BCBEC0"/>
            </w:tcBorders>
          </w:tcPr>
          <w:p>
            <w:pPr>
              <w:spacing w:after="0"/>
              <w:rPr>
                <w:sz w:val="17"/>
                <w:szCs w:val="17"/>
                <w:color w:val="auto"/>
              </w:rPr>
            </w:pP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Adjusted Net Operating Assets</w:t>
            </w:r>
          </w:p>
        </w:tc>
        <w:tc>
          <w:tcPr>
            <w:tcW w:w="540" w:type="dxa"/>
            <w:vAlign w:val="bottom"/>
            <w:tcBorders>
              <w:bottom w:val="single" w:sz="8" w:color="BCBE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b w:val="1"/>
                <w:bCs w:val="1"/>
                <w:color w:val="auto"/>
              </w:rPr>
              <w:t>7,704</w:t>
            </w:r>
          </w:p>
        </w:tc>
        <w:tc>
          <w:tcPr>
            <w:tcW w:w="380" w:type="dxa"/>
            <w:vAlign w:val="bottom"/>
            <w:tcBorders>
              <w:bottom w:val="single" w:sz="8" w:color="BCBEC0"/>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7,481</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Average Adjusted Net Operating Assets</w:t>
            </w:r>
          </w:p>
        </w:tc>
        <w:tc>
          <w:tcPr>
            <w:tcW w:w="540" w:type="dxa"/>
            <w:vAlign w:val="bottom"/>
            <w:tcBorders>
              <w:bottom w:val="single" w:sz="8" w:color="BCBEC0"/>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BCBEC0"/>
            </w:tcBorders>
          </w:tcPr>
          <w:p>
            <w:pPr>
              <w:jc w:val="right"/>
              <w:ind w:right="250"/>
              <w:spacing w:after="0"/>
              <w:rPr>
                <w:sz w:val="20"/>
                <w:szCs w:val="20"/>
                <w:color w:val="auto"/>
              </w:rPr>
            </w:pPr>
            <w:r>
              <w:rPr>
                <w:rFonts w:ascii="Arial" w:cs="Arial" w:eastAsia="Arial" w:hAnsi="Arial"/>
                <w:sz w:val="14"/>
                <w:szCs w:val="14"/>
                <w:b w:val="1"/>
                <w:bCs w:val="1"/>
                <w:color w:val="auto"/>
              </w:rPr>
              <w:t>7,593</w:t>
            </w:r>
          </w:p>
        </w:tc>
        <w:tc>
          <w:tcPr>
            <w:tcW w:w="3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Borders>
              <w:bottom w:val="single" w:sz="8" w:color="BCBEC0"/>
            </w:tcBorders>
          </w:tcPr>
          <w:p>
            <w:pPr>
              <w:ind w:left="140"/>
              <w:spacing w:after="0"/>
              <w:rPr>
                <w:sz w:val="20"/>
                <w:szCs w:val="20"/>
                <w:color w:val="auto"/>
              </w:rPr>
            </w:pPr>
            <w:r>
              <w:rPr>
                <w:rFonts w:ascii="Arial" w:cs="Arial" w:eastAsia="Arial" w:hAnsi="Arial"/>
                <w:sz w:val="14"/>
                <w:szCs w:val="14"/>
                <w:b w:val="1"/>
                <w:bCs w:val="1"/>
                <w:color w:val="auto"/>
              </w:rPr>
              <w:t>Operating RONA %</w:t>
            </w:r>
            <w:r>
              <w:rPr>
                <w:rFonts w:ascii="Arial" w:cs="Arial" w:eastAsia="Arial" w:hAnsi="Arial"/>
                <w:sz w:val="18"/>
                <w:szCs w:val="18"/>
                <w:b w:val="1"/>
                <w:bCs w:val="1"/>
                <w:color w:val="auto"/>
                <w:vertAlign w:val="superscript"/>
              </w:rPr>
              <w:t>(5)</w:t>
            </w:r>
          </w:p>
        </w:tc>
        <w:tc>
          <w:tcPr>
            <w:tcW w:w="540" w:type="dxa"/>
            <w:vAlign w:val="bottom"/>
            <w:tcBorders>
              <w:bottom w:val="single" w:sz="8" w:color="BCBEC0"/>
            </w:tcBorders>
          </w:tcPr>
          <w:p>
            <w:pPr>
              <w:spacing w:after="0"/>
              <w:rPr>
                <w:sz w:val="18"/>
                <w:szCs w:val="18"/>
                <w:color w:val="auto"/>
              </w:rPr>
            </w:pPr>
          </w:p>
        </w:tc>
        <w:tc>
          <w:tcPr>
            <w:tcW w:w="1140" w:type="dxa"/>
            <w:vAlign w:val="bottom"/>
            <w:tcBorders>
              <w:bottom w:val="single" w:sz="8" w:color="BCBEC0"/>
            </w:tcBorders>
          </w:tcPr>
          <w:p>
            <w:pPr>
              <w:jc w:val="right"/>
              <w:ind w:right="90"/>
              <w:spacing w:after="0"/>
              <w:rPr>
                <w:sz w:val="20"/>
                <w:szCs w:val="20"/>
                <w:color w:val="auto"/>
              </w:rPr>
            </w:pPr>
            <w:r>
              <w:rPr>
                <w:rFonts w:ascii="Arial" w:cs="Arial" w:eastAsia="Arial" w:hAnsi="Arial"/>
                <w:sz w:val="14"/>
                <w:szCs w:val="14"/>
                <w:color w:val="auto"/>
              </w:rPr>
              <w:t>50.2 %</w:t>
            </w:r>
          </w:p>
        </w:tc>
        <w:tc>
          <w:tcPr>
            <w:tcW w:w="380" w:type="dxa"/>
            <w:vAlign w:val="bottom"/>
            <w:tcBorders>
              <w:bottom w:val="single" w:sz="8" w:color="BCBEC0"/>
            </w:tcBorders>
          </w:tcPr>
          <w:p>
            <w:pPr>
              <w:spacing w:after="0"/>
              <w:rPr>
                <w:sz w:val="18"/>
                <w:szCs w:val="18"/>
                <w:color w:val="auto"/>
              </w:rPr>
            </w:pPr>
          </w:p>
        </w:tc>
        <w:tc>
          <w:tcPr>
            <w:tcW w:w="900" w:type="dxa"/>
            <w:vAlign w:val="bottom"/>
            <w:tcBorders>
              <w:bottom w:val="single" w:sz="8" w:color="BCBEC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60" w:right="400" w:hanging="252"/>
        <w:spacing w:after="0" w:line="305" w:lineRule="auto"/>
        <w:tabs>
          <w:tab w:leader="none" w:pos="258" w:val="left"/>
        </w:tabs>
        <w:numPr>
          <w:ilvl w:val="0"/>
          <w:numId w:val="211"/>
        </w:numPr>
        <w:rPr>
          <w:rFonts w:ascii="Arial" w:cs="Arial" w:eastAsia="Arial" w:hAnsi="Arial"/>
          <w:sz w:val="14"/>
          <w:szCs w:val="14"/>
          <w:color w:val="auto"/>
        </w:rPr>
      </w:pPr>
      <w:r>
        <w:rPr>
          <w:rFonts w:ascii="Arial" w:cs="Arial" w:eastAsia="Arial" w:hAnsi="Arial"/>
          <w:sz w:val="14"/>
          <w:szCs w:val="14"/>
          <w:color w:val="auto"/>
        </w:rPr>
        <w:t>MTM expense is expected to be deductible on our future state tax returns. The deferred state tax benefit was calculated using the Company’s blended state tax rate of 5.25% and included in Unallocated corporate (income) expense within operating income.</w:t>
      </w:r>
    </w:p>
    <w:p>
      <w:pPr>
        <w:spacing w:after="0" w:line="9" w:lineRule="exact"/>
        <w:rPr>
          <w:rFonts w:ascii="Arial" w:cs="Arial" w:eastAsia="Arial" w:hAnsi="Arial"/>
          <w:sz w:val="14"/>
          <w:szCs w:val="14"/>
          <w:color w:val="auto"/>
        </w:rPr>
      </w:pPr>
    </w:p>
    <w:p>
      <w:pPr>
        <w:ind w:left="260" w:right="100" w:hanging="252"/>
        <w:spacing w:after="0" w:line="305" w:lineRule="auto"/>
        <w:tabs>
          <w:tab w:leader="none" w:pos="258" w:val="left"/>
        </w:tabs>
        <w:numPr>
          <w:ilvl w:val="0"/>
          <w:numId w:val="211"/>
        </w:numPr>
        <w:rPr>
          <w:rFonts w:ascii="Arial" w:cs="Arial" w:eastAsia="Arial" w:hAnsi="Arial"/>
          <w:sz w:val="14"/>
          <w:szCs w:val="14"/>
          <w:color w:val="auto"/>
        </w:rPr>
      </w:pPr>
      <w:r>
        <w:rPr>
          <w:rFonts w:ascii="Arial" w:cs="Arial" w:eastAsia="Arial" w:hAnsi="Arial"/>
          <w:sz w:val="14"/>
          <w:szCs w:val="14"/>
          <w:color w:val="auto"/>
        </w:rPr>
        <w:t>The federal tax impact in each period was calculated by subtracting the deferred state tax impact from MTM benefit (expense) and applying the 21 percent federal statutory rate.</w:t>
      </w:r>
    </w:p>
    <w:p>
      <w:pPr>
        <w:spacing w:after="0" w:line="9" w:lineRule="exact"/>
        <w:rPr>
          <w:rFonts w:ascii="Arial" w:cs="Arial" w:eastAsia="Arial" w:hAnsi="Arial"/>
          <w:sz w:val="14"/>
          <w:szCs w:val="14"/>
          <w:color w:val="auto"/>
        </w:rPr>
      </w:pPr>
    </w:p>
    <w:p>
      <w:pPr>
        <w:ind w:left="260" w:hanging="252"/>
        <w:spacing w:after="0"/>
        <w:tabs>
          <w:tab w:leader="none" w:pos="26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The state tax impact includes $62 million of incremental tax expense related to $1.2 billion of nondeductible goodwill in the divested business.</w:t>
      </w:r>
    </w:p>
    <w:p>
      <w:pPr>
        <w:spacing w:after="0" w:line="82" w:lineRule="exact"/>
        <w:rPr>
          <w:rFonts w:ascii="Arial" w:cs="Arial" w:eastAsia="Arial" w:hAnsi="Arial"/>
          <w:sz w:val="14"/>
          <w:szCs w:val="14"/>
          <w:color w:val="auto"/>
        </w:rPr>
      </w:pPr>
    </w:p>
    <w:p>
      <w:pPr>
        <w:ind w:left="260" w:right="60" w:hanging="252"/>
        <w:spacing w:after="0" w:line="305" w:lineRule="auto"/>
        <w:tabs>
          <w:tab w:leader="none" w:pos="258" w:val="left"/>
        </w:tabs>
        <w:numPr>
          <w:ilvl w:val="0"/>
          <w:numId w:val="211"/>
        </w:numPr>
        <w:rPr>
          <w:rFonts w:ascii="Arial" w:cs="Arial" w:eastAsia="Arial" w:hAnsi="Arial"/>
          <w:sz w:val="14"/>
          <w:szCs w:val="14"/>
          <w:color w:val="auto"/>
        </w:rPr>
      </w:pPr>
      <w:r>
        <w:rPr>
          <w:rFonts w:ascii="Arial" w:cs="Arial" w:eastAsia="Arial" w:hAnsi="Arial"/>
          <w:sz w:val="14"/>
          <w:szCs w:val="14"/>
          <w:color w:val="auto"/>
        </w:rPr>
        <w:t>The federal tax impact was calculated by applying the 21 percent federal statutory rate to the adjustment items and includes $250 million of incremental tax expense related to $1.2 billion of nondeductible goodwill in the divested business.</w:t>
      </w:r>
    </w:p>
    <w:p>
      <w:pPr>
        <w:spacing w:after="0" w:line="9" w:lineRule="exact"/>
        <w:rPr>
          <w:rFonts w:ascii="Arial" w:cs="Arial" w:eastAsia="Arial" w:hAnsi="Arial"/>
          <w:sz w:val="14"/>
          <w:szCs w:val="14"/>
          <w:color w:val="auto"/>
        </w:rPr>
      </w:pPr>
    </w:p>
    <w:p>
      <w:pPr>
        <w:ind w:left="260" w:hanging="252"/>
        <w:spacing w:after="0"/>
        <w:tabs>
          <w:tab w:leader="none" w:pos="26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Operating RONA % is calculated as Adjusted NOPAT divided by the two-year average of Adjusted Net Operating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121</w:t>
            </w:r>
          </w:p>
        </w:tc>
      </w:tr>
      <w:tr>
        <w:trPr>
          <w:trHeight w:val="320"/>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4" w:name="page125"/>
    <w:bookmarkEnd w:id="124"/>
    <w:p>
      <w:pPr>
        <w:ind w:right="180"/>
        <w:spacing w:after="0" w:line="297" w:lineRule="auto"/>
        <w:rPr>
          <w:sz w:val="20"/>
          <w:szCs w:val="20"/>
          <w:color w:val="auto"/>
        </w:rPr>
      </w:pPr>
      <w:r>
        <w:rPr>
          <w:rFonts w:ascii="Arial" w:cs="Arial" w:eastAsia="Arial" w:hAnsi="Arial"/>
          <w:sz w:val="43"/>
          <w:szCs w:val="43"/>
          <w:b w:val="1"/>
          <w:bCs w:val="1"/>
          <w:color w:val="29378D"/>
        </w:rPr>
        <w:t>Appendix B – Summary Description of the 2024 Long-Term Incentive Stock Plan</w:t>
      </w:r>
    </w:p>
    <w:p>
      <w:pPr>
        <w:spacing w:after="0" w:line="7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Key features of the 2024 Plan are described below. This description is qualified in its entirety by the full text of the 2024 Plan, which is attached as Exhibit B to this Proxy Statement.</w:t>
      </w:r>
    </w:p>
    <w:p>
      <w:pPr>
        <w:spacing w:after="0" w:line="183" w:lineRule="exact"/>
        <w:rPr>
          <w:sz w:val="20"/>
          <w:szCs w:val="20"/>
          <w:color w:val="auto"/>
        </w:rPr>
      </w:pPr>
    </w:p>
    <w:p>
      <w:pPr>
        <w:ind w:right="440"/>
        <w:spacing w:after="0" w:line="251" w:lineRule="auto"/>
        <w:rPr>
          <w:sz w:val="20"/>
          <w:szCs w:val="20"/>
          <w:color w:val="auto"/>
        </w:rPr>
      </w:pPr>
      <w:r>
        <w:rPr>
          <w:rFonts w:ascii="Arial" w:cs="Arial" w:eastAsia="Arial" w:hAnsi="Arial"/>
          <w:sz w:val="16"/>
          <w:szCs w:val="16"/>
          <w:b w:val="1"/>
          <w:bCs w:val="1"/>
          <w:color w:val="auto"/>
        </w:rPr>
        <w:t>Purpose</w:t>
      </w:r>
      <w:r>
        <w:rPr>
          <w:rFonts w:ascii="Arial" w:cs="Arial" w:eastAsia="Arial" w:hAnsi="Arial"/>
          <w:sz w:val="16"/>
          <w:szCs w:val="16"/>
          <w:color w:val="auto"/>
        </w:rPr>
        <w:t>. The purpose of the 2024 Plan is to promote the long-term success of our Company and to increase shareholder value by providing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and selected employees with incentives to create excellent performance and to continue to serve our Company and its subsidiaries.</w:t>
      </w:r>
    </w:p>
    <w:p>
      <w:pPr>
        <w:spacing w:after="0" w:line="196" w:lineRule="exact"/>
        <w:rPr>
          <w:sz w:val="20"/>
          <w:szCs w:val="20"/>
          <w:color w:val="auto"/>
        </w:rPr>
      </w:pPr>
    </w:p>
    <w:p>
      <w:pPr>
        <w:ind w:right="220"/>
        <w:spacing w:after="0" w:line="234" w:lineRule="auto"/>
        <w:rPr>
          <w:sz w:val="20"/>
          <w:szCs w:val="20"/>
          <w:color w:val="auto"/>
        </w:rPr>
      </w:pPr>
      <w:r>
        <w:rPr>
          <w:rFonts w:ascii="Arial" w:cs="Arial" w:eastAsia="Arial" w:hAnsi="Arial"/>
          <w:sz w:val="16"/>
          <w:szCs w:val="16"/>
          <w:b w:val="1"/>
          <w:bCs w:val="1"/>
          <w:color w:val="auto"/>
        </w:rPr>
        <w:t>Administration</w:t>
      </w:r>
      <w:r>
        <w:rPr>
          <w:rFonts w:ascii="Arial" w:cs="Arial" w:eastAsia="Arial" w:hAnsi="Arial"/>
          <w:sz w:val="16"/>
          <w:szCs w:val="16"/>
          <w:color w:val="auto"/>
        </w:rPr>
        <w:t>. The Compensation and Human Capital Committee (“Compensation Committee”) will administer the 2024 Plan and may delegate its</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to make grants under the 2024 Plan to one or more committees of directors, provided that transactions in or involving awards intended to be exempt under Rule 16b-3 of the Securities Exchange Act of 1934, as amended, must be duly and timely authorized by the Board or a committee of non-employee directors. Any power of the Compensation Committee may also be exercised by the Board, except as otherwise required by applicable law. The</w:t>
      </w:r>
    </w:p>
    <w:p>
      <w:pPr>
        <w:ind w:right="220"/>
        <w:spacing w:after="0" w:line="220" w:lineRule="auto"/>
        <w:rPr>
          <w:sz w:val="20"/>
          <w:szCs w:val="20"/>
          <w:color w:val="auto"/>
        </w:rPr>
      </w:pPr>
      <w:r>
        <w:rPr>
          <w:rFonts w:ascii="Arial" w:cs="Arial" w:eastAsia="Arial" w:hAnsi="Arial"/>
          <w:sz w:val="16"/>
          <w:szCs w:val="16"/>
          <w:color w:val="auto"/>
        </w:rPr>
        <w:t>appropriate acting body, be it the Board of Directors, the Compensation Committee, or another authorized committee, is referred to in this summary as the “Committee.” The Committee has the full power to interpret and construe the 2024 Plan, to select participants, determine the form of awards and award</w:t>
      </w:r>
    </w:p>
    <w:p>
      <w:pPr>
        <w:spacing w:after="0"/>
        <w:rPr>
          <w:sz w:val="20"/>
          <w:szCs w:val="20"/>
          <w:color w:val="auto"/>
        </w:rPr>
      </w:pPr>
      <w:r>
        <w:rPr>
          <w:rFonts w:ascii="Arial" w:cs="Arial" w:eastAsia="Arial" w:hAnsi="Arial"/>
          <w:sz w:val="16"/>
          <w:szCs w:val="16"/>
          <w:color w:val="auto"/>
        </w:rPr>
        <w:t>agreements, grant awards, and to adopt guidelines and make determinations it may deem necessary or advisable for administration of the 2024 Plan.</w:t>
      </w:r>
    </w:p>
    <w:p>
      <w:pPr>
        <w:spacing w:after="0" w:line="219" w:lineRule="exact"/>
        <w:rPr>
          <w:sz w:val="20"/>
          <w:szCs w:val="20"/>
          <w:color w:val="auto"/>
        </w:rPr>
      </w:pPr>
    </w:p>
    <w:p>
      <w:pPr>
        <w:ind w:right="20"/>
        <w:spacing w:after="0" w:line="235" w:lineRule="auto"/>
        <w:rPr>
          <w:sz w:val="20"/>
          <w:szCs w:val="20"/>
          <w:color w:val="auto"/>
        </w:rPr>
      </w:pPr>
      <w:r>
        <w:rPr>
          <w:rFonts w:ascii="Arial" w:cs="Arial" w:eastAsia="Arial" w:hAnsi="Arial"/>
          <w:sz w:val="16"/>
          <w:szCs w:val="16"/>
          <w:b w:val="1"/>
          <w:bCs w:val="1"/>
          <w:color w:val="auto"/>
        </w:rPr>
        <w:t>No Repricing</w:t>
      </w:r>
      <w:r>
        <w:rPr>
          <w:rFonts w:ascii="Arial" w:cs="Arial" w:eastAsia="Arial" w:hAnsi="Arial"/>
          <w:sz w:val="16"/>
          <w:szCs w:val="16"/>
          <w:color w:val="auto"/>
        </w:rPr>
        <w:t>. Without the approval of our shareholders, the Committee may not (i) amend an outstanding stock option or stock appreciation right (“SAR”) to</w:t>
      </w:r>
      <w:r>
        <w:rPr>
          <w:rFonts w:ascii="Arial" w:cs="Arial" w:eastAsia="Arial" w:hAnsi="Arial"/>
          <w:sz w:val="16"/>
          <w:szCs w:val="16"/>
          <w:b w:val="1"/>
          <w:bCs w:val="1"/>
          <w:color w:val="auto"/>
        </w:rPr>
        <w:t xml:space="preserve"> </w:t>
      </w:r>
      <w:r>
        <w:rPr>
          <w:rFonts w:ascii="Arial" w:cs="Arial" w:eastAsia="Arial" w:hAnsi="Arial"/>
          <w:sz w:val="16"/>
          <w:szCs w:val="16"/>
          <w:color w:val="auto"/>
        </w:rPr>
        <w:t>reduce the exercise price or base price of the award; (ii) cancel, exchange, or surrender an outstanding stock option or SAR in exchange for cash or other awards at any time when the exercise price or base price of the stock option or SAR is above the fair market value of a share of common stock; (iii) cancel,</w:t>
      </w:r>
    </w:p>
    <w:p>
      <w:pPr>
        <w:spacing w:after="0" w:line="2" w:lineRule="exact"/>
        <w:rPr>
          <w:sz w:val="20"/>
          <w:szCs w:val="20"/>
          <w:color w:val="auto"/>
        </w:rPr>
      </w:pPr>
    </w:p>
    <w:p>
      <w:pPr>
        <w:ind w:right="80"/>
        <w:spacing w:after="0" w:line="220" w:lineRule="auto"/>
        <w:rPr>
          <w:sz w:val="20"/>
          <w:szCs w:val="20"/>
          <w:color w:val="auto"/>
        </w:rPr>
      </w:pPr>
      <w:r>
        <w:rPr>
          <w:rFonts w:ascii="Arial" w:cs="Arial" w:eastAsia="Arial" w:hAnsi="Arial"/>
          <w:sz w:val="16"/>
          <w:szCs w:val="16"/>
          <w:color w:val="auto"/>
        </w:rPr>
        <w:t>exchange, or surrender an outstanding stock option or SAR in exchange for an option or SAR with an exercise or base price that is less than the exercise or base price of the original award; or (iv) otherwise take any action that is treated as a “repricing” with respect to such stock option or SAR under generally</w:t>
      </w:r>
    </w:p>
    <w:p>
      <w:pPr>
        <w:spacing w:after="0"/>
        <w:rPr>
          <w:sz w:val="20"/>
          <w:szCs w:val="20"/>
          <w:color w:val="auto"/>
        </w:rPr>
      </w:pPr>
      <w:r>
        <w:rPr>
          <w:rFonts w:ascii="Arial" w:cs="Arial" w:eastAsia="Arial" w:hAnsi="Arial"/>
          <w:sz w:val="16"/>
          <w:szCs w:val="16"/>
          <w:color w:val="auto"/>
        </w:rPr>
        <w:t>accepted accounting principles. (Adjustments to reflect stock splits and similar events will not be considered amendments for this purpose.)</w:t>
      </w:r>
    </w:p>
    <w:p>
      <w:pPr>
        <w:spacing w:after="0" w:line="219" w:lineRule="exact"/>
        <w:rPr>
          <w:sz w:val="20"/>
          <w:szCs w:val="20"/>
          <w:color w:val="auto"/>
        </w:rPr>
      </w:pPr>
    </w:p>
    <w:p>
      <w:pPr>
        <w:ind w:right="280"/>
        <w:spacing w:after="0" w:line="257" w:lineRule="auto"/>
        <w:rPr>
          <w:sz w:val="20"/>
          <w:szCs w:val="20"/>
          <w:color w:val="auto"/>
        </w:rPr>
      </w:pPr>
      <w:r>
        <w:rPr>
          <w:rFonts w:ascii="Arial" w:cs="Arial" w:eastAsia="Arial" w:hAnsi="Arial"/>
          <w:sz w:val="16"/>
          <w:szCs w:val="16"/>
          <w:b w:val="1"/>
          <w:bCs w:val="1"/>
          <w:color w:val="auto"/>
        </w:rPr>
        <w:t>Eligibility</w:t>
      </w:r>
      <w:r>
        <w:rPr>
          <w:rFonts w:ascii="Arial" w:cs="Arial" w:eastAsia="Arial" w:hAnsi="Arial"/>
          <w:sz w:val="16"/>
          <w:szCs w:val="16"/>
          <w:color w:val="auto"/>
        </w:rPr>
        <w:t>. Employees of our Company and its wholly owned subsidiaries and members of the Board of Directors are eligible to receive awards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2024 Plan. As of March 1, 2024, our 217 officers (inclusive of our executive officers), approximately 101,000 other employees and 12 non-employee directors would be considered eligible under the 2024 Plan.</w:t>
      </w:r>
    </w:p>
    <w:p>
      <w:pPr>
        <w:spacing w:after="0" w:line="19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b w:val="1"/>
          <w:bCs w:val="1"/>
          <w:color w:val="auto"/>
        </w:rPr>
        <w:t>Types of Awards</w:t>
      </w:r>
      <w:r>
        <w:rPr>
          <w:rFonts w:ascii="Arial" w:cs="Arial" w:eastAsia="Arial" w:hAnsi="Arial"/>
          <w:sz w:val="16"/>
          <w:szCs w:val="16"/>
          <w:color w:val="auto"/>
        </w:rPr>
        <w:t>. The 2024 Plan authorizes the grant of stock options, SARs, other awards providing for the issuance of or that are denominated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common stock or units of common stock (defined as “Share Awards”), and performance-based awards that are denominated in or may be settled only in cash (defined as “Cash Awards”).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Stock options are rights to purchase shares of common stock at a future date at a specified exercise price. The per share exercise price of an option may not</w:t>
      </w:r>
    </w:p>
    <w:p>
      <w:pPr>
        <w:spacing w:after="0" w:line="8" w:lineRule="exact"/>
        <w:rPr>
          <w:sz w:val="20"/>
          <w:szCs w:val="20"/>
          <w:color w:val="auto"/>
        </w:rPr>
      </w:pPr>
    </w:p>
    <w:p>
      <w:pPr>
        <w:ind w:right="220"/>
        <w:spacing w:after="0" w:line="220" w:lineRule="auto"/>
        <w:rPr>
          <w:sz w:val="20"/>
          <w:szCs w:val="20"/>
          <w:color w:val="auto"/>
        </w:rPr>
      </w:pPr>
      <w:r>
        <w:rPr>
          <w:rFonts w:ascii="Arial" w:cs="Arial" w:eastAsia="Arial" w:hAnsi="Arial"/>
          <w:sz w:val="16"/>
          <w:szCs w:val="16"/>
          <w:color w:val="auto"/>
        </w:rPr>
        <w:t>be less than the fair market value of a share of common stock on the date of grant. The maximum term of an option is ten years from the date of grant. An option may either be an incentive stock option or a nonqualified stock option. Incentive stock option benefits are taxed differently from nonqualified stock</w:t>
      </w:r>
    </w:p>
    <w:p>
      <w:pPr>
        <w:spacing w:after="0" w:line="238" w:lineRule="auto"/>
        <w:rPr>
          <w:sz w:val="20"/>
          <w:szCs w:val="20"/>
          <w:color w:val="auto"/>
        </w:rPr>
      </w:pPr>
      <w:r>
        <w:rPr>
          <w:rFonts w:ascii="Arial" w:cs="Arial" w:eastAsia="Arial" w:hAnsi="Arial"/>
          <w:sz w:val="16"/>
          <w:szCs w:val="16"/>
          <w:color w:val="auto"/>
        </w:rPr>
        <w:t>options, as described under “U.S. Federal Income Tax Treatment of Awards Under the 2024 Plan” in Proposal 5. Incentive stock options are also subject to more restrictive terms and are limited in amount by the Internal Revenue Code and the 2024 Plan. Incentive stock options may only be granted to employees of our Company or our subsidiaries.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 SAR is the right to receive payment of an amount equal to the excess of the fair market value of share of common stock on the date of exercise over the</w:t>
      </w:r>
    </w:p>
    <w:p>
      <w:pPr>
        <w:spacing w:after="0" w:line="8" w:lineRule="exact"/>
        <w:rPr>
          <w:sz w:val="20"/>
          <w:szCs w:val="20"/>
          <w:color w:val="auto"/>
        </w:rPr>
      </w:pPr>
    </w:p>
    <w:p>
      <w:pPr>
        <w:ind w:right="100"/>
        <w:spacing w:after="0" w:line="220" w:lineRule="auto"/>
        <w:rPr>
          <w:sz w:val="20"/>
          <w:szCs w:val="20"/>
          <w:color w:val="auto"/>
        </w:rPr>
      </w:pPr>
      <w:r>
        <w:rPr>
          <w:rFonts w:ascii="Arial" w:cs="Arial" w:eastAsia="Arial" w:hAnsi="Arial"/>
          <w:sz w:val="16"/>
          <w:szCs w:val="16"/>
          <w:color w:val="auto"/>
        </w:rPr>
        <w:t>base price of the SAR. The base price will be established by the Committee at the time of grant and cannot be less than the fair market value of a share of common stock on the date of grant. SARs may be granted in connection with other awards or independently. The maximum term of a SAR is ten years from</w:t>
      </w:r>
    </w:p>
    <w:p>
      <w:pPr>
        <w:spacing w:after="0"/>
        <w:rPr>
          <w:sz w:val="20"/>
          <w:szCs w:val="20"/>
          <w:color w:val="auto"/>
        </w:rPr>
      </w:pPr>
      <w:r>
        <w:rPr>
          <w:rFonts w:ascii="Arial" w:cs="Arial" w:eastAsia="Arial" w:hAnsi="Arial"/>
          <w:sz w:val="16"/>
          <w:szCs w:val="16"/>
          <w:color w:val="auto"/>
        </w:rPr>
        <w:t>the date of grant.</w:t>
      </w:r>
    </w:p>
    <w:p>
      <w:pPr>
        <w:spacing w:after="0" w:line="219" w:lineRule="exact"/>
        <w:rPr>
          <w:sz w:val="20"/>
          <w:szCs w:val="20"/>
          <w:color w:val="auto"/>
        </w:rPr>
      </w:pPr>
    </w:p>
    <w:p>
      <w:pPr>
        <w:ind w:right="240"/>
        <w:spacing w:after="0" w:line="235" w:lineRule="auto"/>
        <w:rPr>
          <w:sz w:val="20"/>
          <w:szCs w:val="20"/>
          <w:color w:val="auto"/>
        </w:rPr>
      </w:pPr>
      <w:r>
        <w:rPr>
          <w:rFonts w:ascii="Arial" w:cs="Arial" w:eastAsia="Arial" w:hAnsi="Arial"/>
          <w:sz w:val="16"/>
          <w:szCs w:val="16"/>
          <w:color w:val="auto"/>
        </w:rPr>
        <w:t>Share Awards may include restricted stock, performance stock, phantom stock, dividend equivalent rights or other rights. Share Awards or Cash Awards may be granted under the Plan, subject to the performance of the Company relative to pre-established goals or metrics and on a consolidated, segment, sector, subsidiary, division, or plant basis as determined by the Committee and in its discretion under the Plan. Such goals or metrics may include, but are</w:t>
      </w:r>
    </w:p>
    <w:p>
      <w:pPr>
        <w:spacing w:after="0" w:line="2" w:lineRule="exact"/>
        <w:rPr>
          <w:sz w:val="20"/>
          <w:szCs w:val="20"/>
          <w:color w:val="auto"/>
        </w:rPr>
      </w:pPr>
    </w:p>
    <w:p>
      <w:pPr>
        <w:ind w:right="880"/>
        <w:spacing w:after="0" w:line="235" w:lineRule="auto"/>
        <w:rPr>
          <w:sz w:val="20"/>
          <w:szCs w:val="20"/>
          <w:color w:val="auto"/>
        </w:rPr>
      </w:pPr>
      <w:r>
        <w:rPr>
          <w:rFonts w:ascii="Arial" w:cs="Arial" w:eastAsia="Arial" w:hAnsi="Arial"/>
          <w:sz w:val="16"/>
          <w:szCs w:val="16"/>
          <w:color w:val="auto"/>
        </w:rPr>
        <w:t>not limited to, new business awards, revenues, operating margin, net earnings, earnings per share, cash flow or free cash flow, returns on equity, investment, assets or net assets, stock price or appreciation, total shareholder returns, working capital, and/or asset levels.</w:t>
      </w:r>
    </w:p>
    <w:p>
      <w:pPr>
        <w:spacing w:after="0" w:line="204"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Subject to the express terms of the 2024 Plan, the Committee may grant or sell awards under the plan with or subject to terms, conditions, or restrictions that it determines appropriate, including requirements of continuous service with the</w:t>
      </w:r>
    </w:p>
    <w:p>
      <w:pPr>
        <w:spacing w:after="0" w:line="200" w:lineRule="exact"/>
        <w:rPr>
          <w:sz w:val="20"/>
          <w:szCs w:val="20"/>
          <w:color w:val="auto"/>
        </w:rPr>
      </w:pPr>
    </w:p>
    <w:p>
      <w:pPr>
        <w:spacing w:after="0" w:line="339" w:lineRule="exact"/>
        <w:rPr>
          <w:sz w:val="20"/>
          <w:szCs w:val="20"/>
          <w:color w:val="auto"/>
        </w:rPr>
      </w:pPr>
    </w:p>
    <w:p>
      <w:pPr>
        <w:ind w:left="520" w:hanging="494"/>
        <w:spacing w:after="0"/>
        <w:tabs>
          <w:tab w:leader="none" w:pos="520" w:val="left"/>
        </w:tabs>
        <w:numPr>
          <w:ilvl w:val="0"/>
          <w:numId w:val="212"/>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4"/>
          <w:szCs w:val="14"/>
          <w:b w:val="1"/>
          <w:bCs w:val="1"/>
          <w:color w:val="auto"/>
        </w:rPr>
        <w:t>Appendix B – Summary Description of the 2024 Long-Term Incentive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Company (or a subsidiary), achievement of specific business objectives, and other measurements of individual, business unit or Company performance. Any award may be paid or settled in cash.</w:t>
      </w:r>
    </w:p>
    <w:p>
      <w:pPr>
        <w:spacing w:after="0" w:line="183" w:lineRule="exact"/>
        <w:rPr>
          <w:sz w:val="20"/>
          <w:szCs w:val="20"/>
          <w:color w:val="auto"/>
        </w:rPr>
      </w:pPr>
    </w:p>
    <w:p>
      <w:pPr>
        <w:ind w:right="40"/>
        <w:spacing w:after="0" w:line="230" w:lineRule="auto"/>
        <w:rPr>
          <w:sz w:val="20"/>
          <w:szCs w:val="20"/>
          <w:color w:val="auto"/>
        </w:rPr>
      </w:pPr>
      <w:r>
        <w:rPr>
          <w:rFonts w:ascii="Arial" w:cs="Arial" w:eastAsia="Arial" w:hAnsi="Arial"/>
          <w:sz w:val="16"/>
          <w:szCs w:val="16"/>
          <w:color w:val="auto"/>
        </w:rPr>
        <w:t>Except with respect to up to five percent (5%) of the shares authorized under the 2024 Plan, no stock option, SAR, Share Award, or Cash Award denominated in Common Stock that vests based on continued employment or the passage of time may vest prior to the one year anniversary of the date the</w:t>
      </w:r>
    </w:p>
    <w:p>
      <w:pPr>
        <w:spacing w:after="0" w:line="1"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award is granted, other than any acceleration of vesting upon the death or disability of the participant, in the case of terminations following a change in control, or in the case of certain retirement-eligible terminations, in each case as specified in the agreement evidencing such award. In addition, the performance and vesting period for any stock option, SAR, Share Award, or Cash Award denominated in Common Stock that vests based in whole or in part on performance must be at least one year (subject to any acceleration of vesting upon the death or disability of the participant, in the case of terminations following a change in control, or in the case of certain retirement-eligible terminations, in each case as specified in the agreement evidencing such award).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Shares; Limits on Awards</w:t>
      </w:r>
      <w:r>
        <w:rPr>
          <w:rFonts w:ascii="Arial" w:cs="Arial" w:eastAsia="Arial" w:hAnsi="Arial"/>
          <w:sz w:val="16"/>
          <w:szCs w:val="16"/>
          <w:color w:val="auto"/>
        </w:rPr>
        <w:t>. The aggregate number of shares of common stock that may be issued pursuant to awards granted under the 2024</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Plan is: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5,750,000 shares, plus</w:t>
      </w:r>
    </w:p>
    <w:p>
      <w:pPr>
        <w:spacing w:after="0" w:line="7" w:lineRule="exact"/>
        <w:rPr>
          <w:sz w:val="20"/>
          <w:szCs w:val="20"/>
          <w:color w:val="auto"/>
        </w:rPr>
      </w:pPr>
    </w:p>
    <w:p>
      <w:pPr>
        <w:ind w:left="660" w:right="80" w:hanging="324"/>
        <w:spacing w:after="0" w:line="224" w:lineRule="auto"/>
        <w:rPr>
          <w:sz w:val="20"/>
          <w:szCs w:val="20"/>
          <w:color w:val="auto"/>
        </w:rPr>
      </w:pPr>
      <w:r>
        <w:rPr>
          <w:rFonts w:ascii="Arial" w:cs="Arial" w:eastAsia="Arial" w:hAnsi="Arial"/>
          <w:sz w:val="16"/>
          <w:szCs w:val="16"/>
          <w:color w:val="auto"/>
        </w:rPr>
        <w:t>– the number of shares of common stock which are subject to restricted stock units, performance stock units or other equity awards granted under the 2011 Long-Term Incentive Stock Plan (“2011 Plan”) and are outstanding as of the date of the Company’s 2024 Annual Meeting of Shareholders (“Effective Time”), which for any reason are cancelled, terminated, forfeited, or otherwise expire without being paid or delivered, or are settled in cash after the Effective Time, less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new awards under the 2011 Plan (if any) made on or after March 1, 2024.</w:t>
      </w:r>
    </w:p>
    <w:p>
      <w:pPr>
        <w:spacing w:after="0" w:line="219"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Shares exchanged or withheld to satisfy the tax withholding obligations related to any award, are not available for subsequent awards under the 2024 Plan. The payment of cash dividends in conjunction with outstanding awards will not be counted against the shares available for issuance under the 2024 Plan. However, if shares are delivered in respect of a dividend equivalent right granted under the 2024 Plan, the actual number of shares delivered with respect to the award will be counted against the shares available for issuance under the 2024 Plan.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limits are also contained in the 2024 Plan:</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The maximum number of shares that may be delivered pursuant to incentive stock options granted after the Effective Time is 5,750,000 shares.</w:t>
      </w:r>
    </w:p>
    <w:p>
      <w:pPr>
        <w:spacing w:after="0" w:line="7" w:lineRule="exact"/>
        <w:rPr>
          <w:sz w:val="20"/>
          <w:szCs w:val="20"/>
          <w:color w:val="auto"/>
        </w:rPr>
      </w:pPr>
    </w:p>
    <w:p>
      <w:pPr>
        <w:ind w:left="660" w:right="80" w:hanging="324"/>
        <w:spacing w:after="0" w:line="231" w:lineRule="auto"/>
        <w:rPr>
          <w:sz w:val="20"/>
          <w:szCs w:val="20"/>
          <w:color w:val="auto"/>
        </w:rPr>
      </w:pPr>
      <w:r>
        <w:rPr>
          <w:rFonts w:ascii="Arial" w:cs="Arial" w:eastAsia="Arial" w:hAnsi="Arial"/>
          <w:sz w:val="16"/>
          <w:szCs w:val="16"/>
          <w:color w:val="auto"/>
        </w:rPr>
        <w:t>– The aggregate dollar value of equity-based (based on the grant date fair value of equity-based awards determined for financial reporting purposes) and cash compensation granted under the Plan or otherwise to any non-employee director shall not exceed $1,000,000 during any calendar year for services provided as a non-employee director; provided, however, that in the calendar year in which a non-employee director first joins the Board or during any calendar year in which a non-employee director is designated as Chair of the Board or Lead Director, the maximum aggregate dollar value of equity-based and cash compensation granted to the non-employee director may be up to $2,000,000.</w:t>
      </w:r>
    </w:p>
    <w:p>
      <w:pPr>
        <w:spacing w:after="0" w:line="206"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As is customary in incentive plans of this nature, the number and kind of shares available under the 2024 Plan and the then outstanding awards, as well as exercise and purchase prices, performance targets under certain performance-based awards, and share limits, are subject to adjustment in the event of certain reclassifications, recapitalizations, stock splits, stock dividends, reverse stock splits; merger, combination, consolidation, or other reorganization; spin-offs, split-ups, or similar extraordinary dividends; or any exchange of shares of common stock or other securities of the Company, or any similar, unusual or</w:t>
      </w:r>
    </w:p>
    <w:p>
      <w:pPr>
        <w:ind w:right="200"/>
        <w:spacing w:after="0" w:line="235" w:lineRule="auto"/>
        <w:rPr>
          <w:sz w:val="20"/>
          <w:szCs w:val="20"/>
          <w:color w:val="auto"/>
        </w:rPr>
      </w:pPr>
      <w:r>
        <w:rPr>
          <w:rFonts w:ascii="Arial" w:cs="Arial" w:eastAsia="Arial" w:hAnsi="Arial"/>
          <w:sz w:val="16"/>
          <w:szCs w:val="16"/>
          <w:color w:val="auto"/>
        </w:rPr>
        <w:t>extraordinary corporate transaction in respect of our common stock. The closing price of our common stock on the New York Stock Exchange (“NYSE”) on March 1, 2024 was $454.90 per share.</w:t>
      </w:r>
    </w:p>
    <w:p>
      <w:pPr>
        <w:spacing w:after="0" w:line="204"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b w:val="1"/>
          <w:bCs w:val="1"/>
          <w:color w:val="auto"/>
        </w:rPr>
        <w:t>Dividend Equivalents; Deferrals</w:t>
      </w:r>
      <w:r>
        <w:rPr>
          <w:rFonts w:ascii="Arial" w:cs="Arial" w:eastAsia="Arial" w:hAnsi="Arial"/>
          <w:sz w:val="16"/>
          <w:szCs w:val="16"/>
          <w:color w:val="auto"/>
        </w:rPr>
        <w:t>. The Committee may provide for the deferred payment of awards and may determine the other terms applicable to</w:t>
      </w:r>
      <w:r>
        <w:rPr>
          <w:rFonts w:ascii="Arial" w:cs="Arial" w:eastAsia="Arial" w:hAnsi="Arial"/>
          <w:sz w:val="16"/>
          <w:szCs w:val="16"/>
          <w:b w:val="1"/>
          <w:bCs w:val="1"/>
          <w:color w:val="auto"/>
        </w:rPr>
        <w:t xml:space="preserve"> </w:t>
      </w:r>
      <w:r>
        <w:rPr>
          <w:rFonts w:ascii="Arial" w:cs="Arial" w:eastAsia="Arial" w:hAnsi="Arial"/>
          <w:sz w:val="16"/>
          <w:szCs w:val="16"/>
          <w:color w:val="auto"/>
        </w:rPr>
        <w:t>deferrals. The Committee may provide that any awards (other than stock options or SARs) under the 2024 Plan earn dividends or dividend equivalents, except that no payment shall be made with respect to such dividends or dividend equivalent rights unless the vesting conditions of the underlying award are satisfied.</w:t>
      </w:r>
    </w:p>
    <w:p>
      <w:pPr>
        <w:spacing w:after="0" w:line="189"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b w:val="1"/>
          <w:bCs w:val="1"/>
          <w:color w:val="auto"/>
        </w:rPr>
        <w:t>Acceleration of Awards; Possible Early Termination of Awards</w:t>
      </w:r>
      <w:r>
        <w:rPr>
          <w:rFonts w:ascii="Arial" w:cs="Arial" w:eastAsia="Arial" w:hAnsi="Arial"/>
          <w:sz w:val="16"/>
          <w:szCs w:val="16"/>
          <w:color w:val="auto"/>
        </w:rPr>
        <w:t>. No acceleration of vesting and/or payment of an outstanding award under the 2024 Plan</w:t>
      </w:r>
      <w:r>
        <w:rPr>
          <w:rFonts w:ascii="Arial" w:cs="Arial" w:eastAsia="Arial" w:hAnsi="Arial"/>
          <w:sz w:val="16"/>
          <w:szCs w:val="16"/>
          <w:b w:val="1"/>
          <w:bCs w:val="1"/>
          <w:color w:val="auto"/>
        </w:rPr>
        <w:t xml:space="preserve"> </w:t>
      </w:r>
      <w:r>
        <w:rPr>
          <w:rFonts w:ascii="Arial" w:cs="Arial" w:eastAsia="Arial" w:hAnsi="Arial"/>
          <w:sz w:val="16"/>
          <w:szCs w:val="16"/>
          <w:color w:val="auto"/>
        </w:rPr>
        <w:t>will occur solely as a result of a change in control (as defined in Section 6(e) of the 2024 Plan) unless:</w:t>
      </w:r>
    </w:p>
    <w:p>
      <w:pPr>
        <w:spacing w:after="0" w:line="183" w:lineRule="exact"/>
        <w:rPr>
          <w:sz w:val="20"/>
          <w:szCs w:val="20"/>
          <w:color w:val="auto"/>
        </w:rPr>
      </w:pPr>
    </w:p>
    <w:p>
      <w:pPr>
        <w:ind w:left="660" w:right="240" w:hanging="324"/>
        <w:spacing w:after="0" w:line="235" w:lineRule="auto"/>
        <w:rPr>
          <w:sz w:val="20"/>
          <w:szCs w:val="20"/>
          <w:color w:val="auto"/>
        </w:rPr>
      </w:pPr>
      <w:r>
        <w:rPr>
          <w:rFonts w:ascii="Arial" w:cs="Arial" w:eastAsia="Arial" w:hAnsi="Arial"/>
          <w:sz w:val="16"/>
          <w:szCs w:val="16"/>
          <w:color w:val="auto"/>
        </w:rPr>
        <w:t>– the Company is liquidated, all or substantially all of the Company’s assets are sold, or the Company is merged, consolidated, or reorganized and shareholders prior to the event do not continue to own more than 60% of the combined voting power of the Company or a successor after the event,</w:t>
      </w:r>
    </w:p>
    <w:p>
      <w:pPr>
        <w:spacing w:after="0" w:line="2" w:lineRule="exact"/>
        <w:rPr>
          <w:sz w:val="20"/>
          <w:szCs w:val="20"/>
          <w:color w:val="auto"/>
        </w:rPr>
      </w:pPr>
    </w:p>
    <w:p>
      <w:pPr>
        <w:ind w:left="340"/>
        <w:spacing w:after="0" w:line="211" w:lineRule="auto"/>
        <w:rPr>
          <w:sz w:val="20"/>
          <w:szCs w:val="20"/>
          <w:color w:val="auto"/>
        </w:rPr>
      </w:pPr>
      <w:r>
        <w:rPr>
          <w:rFonts w:ascii="Arial" w:cs="Arial" w:eastAsia="Arial" w:hAnsi="Arial"/>
          <w:sz w:val="16"/>
          <w:szCs w:val="16"/>
          <w:color w:val="auto"/>
        </w:rPr>
        <w:t>–   the Company is not the ultimate parent company whose common stock is publicly traded after such transaction, and</w:t>
      </w:r>
    </w:p>
    <w:p>
      <w:pPr>
        <w:ind w:left="340"/>
        <w:spacing w:after="0"/>
        <w:rPr>
          <w:sz w:val="20"/>
          <w:szCs w:val="20"/>
          <w:color w:val="auto"/>
        </w:rPr>
      </w:pPr>
      <w:r>
        <w:rPr>
          <w:rFonts w:ascii="Arial" w:cs="Arial" w:eastAsia="Arial" w:hAnsi="Arial"/>
          <w:sz w:val="16"/>
          <w:szCs w:val="16"/>
          <w:color w:val="auto"/>
        </w:rPr>
        <w:t>–   the successor to the Company (or its parent entity) does not agree in writing to assume the awards.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However, if the above three conditions are met, generally all awards will vest or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123</w:t>
            </w:r>
          </w:p>
        </w:tc>
      </w:tr>
      <w:tr>
        <w:trPr>
          <w:trHeight w:val="31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b w:val="1"/>
          <w:bCs w:val="1"/>
          <w:color w:val="auto"/>
        </w:rPr>
        <w:t>Appendix B – Summary Description of the 2024 Long-Term Incentive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Committee may also provide that acceleration of vesting and/or payment of an outstanding 2024 Plan award will occur if the participant’s employment or service is terminated by the Company without cause or the participant terminates employment or service for good reason in connection with a change in control.</w:t>
      </w:r>
    </w:p>
    <w:p>
      <w:pPr>
        <w:spacing w:after="0" w:line="18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b w:val="1"/>
          <w:bCs w:val="1"/>
          <w:color w:val="auto"/>
        </w:rPr>
        <w:t>Transfer Restrictions</w:t>
      </w:r>
      <w:r>
        <w:rPr>
          <w:rFonts w:ascii="Arial" w:cs="Arial" w:eastAsia="Arial" w:hAnsi="Arial"/>
          <w:sz w:val="16"/>
          <w:szCs w:val="16"/>
          <w:color w:val="auto"/>
        </w:rPr>
        <w:t>. Subject to certain exceptions in the 2024 Plan, awards under the 2024 Plan are not transferable by the recipient other than by will or</w:t>
      </w:r>
      <w:r>
        <w:rPr>
          <w:rFonts w:ascii="Arial" w:cs="Arial" w:eastAsia="Arial" w:hAnsi="Arial"/>
          <w:sz w:val="16"/>
          <w:szCs w:val="16"/>
          <w:b w:val="1"/>
          <w:bCs w:val="1"/>
          <w:color w:val="auto"/>
        </w:rPr>
        <w:t xml:space="preserve"> </w:t>
      </w:r>
      <w:r>
        <w:rPr>
          <w:rFonts w:ascii="Arial" w:cs="Arial" w:eastAsia="Arial" w:hAnsi="Arial"/>
          <w:sz w:val="16"/>
          <w:szCs w:val="16"/>
          <w:color w:val="auto"/>
        </w:rPr>
        <w:t>the laws of descent and distribution and are generally exercisable, during the recipient’s lifetime, only by the recipient. Any amounts payable or shares issuable pursuant to an award will be paid only to the recipient or the recipient’s beneficiary or representative.</w:t>
      </w:r>
    </w:p>
    <w:p>
      <w:pPr>
        <w:spacing w:after="0" w:line="199"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b w:val="1"/>
          <w:bCs w:val="1"/>
          <w:color w:val="auto"/>
        </w:rPr>
        <w:t>Termination of or Changes to the 2024 Plan</w:t>
      </w:r>
      <w:r>
        <w:rPr>
          <w:rFonts w:ascii="Arial" w:cs="Arial" w:eastAsia="Arial" w:hAnsi="Arial"/>
          <w:sz w:val="16"/>
          <w:szCs w:val="16"/>
          <w:color w:val="auto"/>
        </w:rPr>
        <w:t>. The Board or Committee may amend or terminate the 2024 Plan at any time and in any manner as it deems</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or appropriate to better achieve the purpose of the 2024 Plan. Shareholder approval for an amendment is required only if the amendment</w:t>
      </w:r>
    </w:p>
    <w:p>
      <w:pPr>
        <w:spacing w:after="0" w:line="1" w:lineRule="exact"/>
        <w:rPr>
          <w:sz w:val="20"/>
          <w:szCs w:val="20"/>
          <w:color w:val="auto"/>
        </w:rPr>
      </w:pPr>
    </w:p>
    <w:p>
      <w:pPr>
        <w:ind w:right="160"/>
        <w:spacing w:after="0" w:line="220" w:lineRule="auto"/>
        <w:rPr>
          <w:sz w:val="20"/>
          <w:szCs w:val="20"/>
          <w:color w:val="auto"/>
        </w:rPr>
      </w:pPr>
      <w:r>
        <w:rPr>
          <w:rFonts w:ascii="Arial" w:cs="Arial" w:eastAsia="Arial" w:hAnsi="Arial"/>
          <w:sz w:val="16"/>
          <w:szCs w:val="16"/>
          <w:color w:val="auto"/>
        </w:rPr>
        <w:t>increases the number of shares available for issuance under the 2024 Plan, materially increases the benefits accruing to participants under the 2024 Plan, materially modifies the requirements for participation in the Plan, or if shareholder approval is otherwise required as a matter of law or applicable NYSE</w:t>
      </w:r>
    </w:p>
    <w:p>
      <w:pPr>
        <w:ind w:right="100"/>
        <w:spacing w:after="0" w:line="248" w:lineRule="auto"/>
        <w:rPr>
          <w:sz w:val="20"/>
          <w:szCs w:val="20"/>
          <w:color w:val="auto"/>
        </w:rPr>
      </w:pPr>
      <w:r>
        <w:rPr>
          <w:rFonts w:ascii="Arial" w:cs="Arial" w:eastAsia="Arial" w:hAnsi="Arial"/>
          <w:sz w:val="16"/>
          <w:szCs w:val="16"/>
          <w:color w:val="auto"/>
        </w:rPr>
        <w:t>listing requirements. (Adjustments as a result of stock splits or similar events will not be considered an amendment requiring shareholder approval.) Unless terminated earlier by the Board, the authority to grant new awards under the 2024 Plan will terminate on the tenth anniversary of the Effective Time.</w:t>
      </w:r>
    </w:p>
    <w:p>
      <w:pPr>
        <w:spacing w:after="0" w:line="200" w:lineRule="exact"/>
        <w:rPr>
          <w:sz w:val="20"/>
          <w:szCs w:val="20"/>
          <w:color w:val="auto"/>
        </w:rPr>
      </w:pPr>
    </w:p>
    <w:p>
      <w:pPr>
        <w:spacing w:after="0" w:line="354" w:lineRule="exact"/>
        <w:rPr>
          <w:sz w:val="20"/>
          <w:szCs w:val="20"/>
          <w:color w:val="auto"/>
        </w:rPr>
      </w:pPr>
    </w:p>
    <w:p>
      <w:pPr>
        <w:ind w:left="520" w:hanging="494"/>
        <w:spacing w:after="0"/>
        <w:tabs>
          <w:tab w:leader="none" w:pos="520" w:val="left"/>
        </w:tabs>
        <w:numPr>
          <w:ilvl w:val="0"/>
          <w:numId w:val="216"/>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27" w:name="page128"/>
    <w:bookmarkEnd w:id="127"/>
    <w:p>
      <w:pPr>
        <w:jc w:val="right"/>
        <w:spacing w:after="0"/>
        <w:rPr>
          <w:sz w:val="20"/>
          <w:szCs w:val="20"/>
          <w:color w:val="auto"/>
        </w:rPr>
      </w:pPr>
      <w:r>
        <w:rPr>
          <w:rFonts w:ascii="Arial" w:cs="Arial" w:eastAsia="Arial" w:hAnsi="Arial"/>
          <w:sz w:val="14"/>
          <w:szCs w:val="14"/>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jc w:val="center"/>
        <w:spacing w:after="0" w:line="234" w:lineRule="auto"/>
        <w:rPr>
          <w:sz w:val="20"/>
          <w:szCs w:val="20"/>
          <w:color w:val="auto"/>
        </w:rPr>
      </w:pPr>
      <w:r>
        <w:rPr>
          <w:rFonts w:ascii="Arial" w:cs="Arial" w:eastAsia="Arial" w:hAnsi="Arial"/>
          <w:sz w:val="18"/>
          <w:szCs w:val="18"/>
          <w:b w:val="1"/>
          <w:bCs w:val="1"/>
          <w:color w:val="auto"/>
        </w:rPr>
        <w:t>AMENDED AND RESTATED</w:t>
      </w:r>
    </w:p>
    <w:p>
      <w:pPr>
        <w:jc w:val="center"/>
        <w:spacing w:after="0" w:line="235" w:lineRule="auto"/>
        <w:rPr>
          <w:sz w:val="20"/>
          <w:szCs w:val="20"/>
          <w:color w:val="auto"/>
        </w:rPr>
      </w:pPr>
      <w:r>
        <w:rPr>
          <w:rFonts w:ascii="Arial" w:cs="Arial" w:eastAsia="Arial" w:hAnsi="Arial"/>
          <w:sz w:val="18"/>
          <w:szCs w:val="18"/>
          <w:b w:val="1"/>
          <w:bCs w:val="1"/>
          <w:color w:val="auto"/>
        </w:rPr>
        <w:t>CERTIFICATE OF INCORPORATION</w:t>
      </w:r>
    </w:p>
    <w:p>
      <w:pPr>
        <w:jc w:val="center"/>
        <w:spacing w:after="0" w:line="235" w:lineRule="auto"/>
        <w:rPr>
          <w:sz w:val="20"/>
          <w:szCs w:val="20"/>
          <w:color w:val="auto"/>
        </w:rPr>
      </w:pPr>
      <w:r>
        <w:rPr>
          <w:rFonts w:ascii="Arial" w:cs="Arial" w:eastAsia="Arial" w:hAnsi="Arial"/>
          <w:sz w:val="18"/>
          <w:szCs w:val="18"/>
          <w:b w:val="1"/>
          <w:bCs w:val="1"/>
          <w:color w:val="auto"/>
        </w:rPr>
        <w:t>OF</w:t>
      </w:r>
    </w:p>
    <w:p>
      <w:pPr>
        <w:jc w:val="center"/>
        <w:spacing w:after="0"/>
        <w:rPr>
          <w:sz w:val="20"/>
          <w:szCs w:val="20"/>
          <w:color w:val="auto"/>
        </w:rPr>
      </w:pPr>
      <w:r>
        <w:rPr>
          <w:rFonts w:ascii="Arial" w:cs="Arial" w:eastAsia="Arial" w:hAnsi="Arial"/>
          <w:sz w:val="18"/>
          <w:szCs w:val="18"/>
          <w:b w:val="1"/>
          <w:bCs w:val="1"/>
          <w:color w:val="auto"/>
        </w:rPr>
        <w:t>NORTHROP GRUMMAN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Northrop Grumman Corporation, a Delaware corporation (the “Corporation”), hereby certifies that: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First, Article Fifteenth of the Amended and Restated Certificate of Incorporation of the Corporation is hereby amended in its entirety to read as follows:</w:t>
      </w:r>
    </w:p>
    <w:p>
      <w:pPr>
        <w:spacing w:after="0" w:line="235" w:lineRule="exact"/>
        <w:rPr>
          <w:sz w:val="20"/>
          <w:szCs w:val="20"/>
          <w:color w:val="auto"/>
        </w:rPr>
      </w:pPr>
    </w:p>
    <w:p>
      <w:pPr>
        <w:jc w:val="both"/>
        <w:ind w:firstLine="1296"/>
        <w:spacing w:after="0"/>
        <w:rPr>
          <w:sz w:val="20"/>
          <w:szCs w:val="20"/>
          <w:color w:val="auto"/>
        </w:rPr>
      </w:pPr>
      <w:r>
        <w:rPr>
          <w:rFonts w:ascii="Arial" w:cs="Arial" w:eastAsia="Arial" w:hAnsi="Arial"/>
          <w:sz w:val="16"/>
          <w:szCs w:val="16"/>
          <w:b w:val="1"/>
          <w:bCs w:val="1"/>
          <w:color w:val="auto"/>
        </w:rPr>
        <w:t xml:space="preserve">FIFTEENTH: </w:t>
      </w:r>
      <w:r>
        <w:rPr>
          <w:rFonts w:ascii="Arial" w:cs="Arial" w:eastAsia="Arial" w:hAnsi="Arial"/>
          <w:sz w:val="16"/>
          <w:szCs w:val="16"/>
          <w:color w:val="FF0000"/>
          <w:strike w:val="1"/>
        </w:rPr>
        <w:t>A</w:t>
      </w:r>
      <w:r>
        <w:rPr>
          <w:rFonts w:ascii="Arial" w:cs="Arial" w:eastAsia="Arial" w:hAnsi="Arial"/>
          <w:sz w:val="16"/>
          <w:szCs w:val="16"/>
          <w:u w:val="single" w:color="auto"/>
          <w:color w:val="0000FF"/>
        </w:rPr>
        <w:t>No</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000FF"/>
        </w:rPr>
        <w:t>or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Corporation shall</w:t>
      </w:r>
      <w:r>
        <w:rPr>
          <w:rFonts w:ascii="Arial" w:cs="Arial" w:eastAsia="Arial" w:hAnsi="Arial"/>
          <w:sz w:val="16"/>
          <w:szCs w:val="16"/>
          <w:b w:val="1"/>
          <w:bCs w:val="1"/>
          <w:color w:val="auto"/>
        </w:rPr>
        <w:t xml:space="preserve"> </w:t>
      </w:r>
      <w:r>
        <w:rPr>
          <w:rFonts w:ascii="Arial" w:cs="Arial" w:eastAsia="Arial" w:hAnsi="Arial"/>
          <w:sz w:val="16"/>
          <w:szCs w:val="16"/>
          <w:color w:val="FF0000"/>
          <w:strike w:val="1"/>
        </w:rPr>
        <w:t>not</w:t>
      </w:r>
      <w:r>
        <w:rPr>
          <w:rFonts w:ascii="Arial" w:cs="Arial" w:eastAsia="Arial" w:hAnsi="Arial"/>
          <w:sz w:val="16"/>
          <w:szCs w:val="16"/>
          <w:b w:val="1"/>
          <w:bCs w:val="1"/>
          <w:color w:val="auto"/>
        </w:rPr>
        <w:t xml:space="preserve"> </w:t>
      </w:r>
      <w:r>
        <w:rPr>
          <w:rFonts w:ascii="Arial" w:cs="Arial" w:eastAsia="Arial" w:hAnsi="Arial"/>
          <w:sz w:val="16"/>
          <w:szCs w:val="16"/>
          <w:color w:val="auto"/>
        </w:rPr>
        <w:t>be personally liable to the Corporation or to its stockholders for monetary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damages for breach of fiduciary duty as a director </w:t>
      </w:r>
      <w:r>
        <w:rPr>
          <w:rFonts w:ascii="Arial" w:cs="Arial" w:eastAsia="Arial" w:hAnsi="Arial"/>
          <w:sz w:val="16"/>
          <w:szCs w:val="16"/>
          <w:color w:val="0000FF"/>
        </w:rPr>
        <w:t>or officer</w:t>
      </w:r>
      <w:r>
        <w:rPr>
          <w:rFonts w:ascii="Arial" w:cs="Arial" w:eastAsia="Arial" w:hAnsi="Arial"/>
          <w:sz w:val="16"/>
          <w:szCs w:val="16"/>
          <w:color w:val="auto"/>
        </w:rPr>
        <w:t xml:space="preserve">, except for liability (i) for any breach of the </w:t>
      </w:r>
      <w:r>
        <w:rPr>
          <w:rFonts w:ascii="Arial" w:cs="Arial" w:eastAsia="Arial" w:hAnsi="Arial"/>
          <w:sz w:val="16"/>
          <w:szCs w:val="16"/>
          <w:color w:val="FF0000"/>
          <w:strike w:val="1"/>
        </w:rPr>
        <w:t>director's</w:t>
      </w:r>
      <w:r>
        <w:rPr>
          <w:rFonts w:ascii="Arial" w:cs="Arial" w:eastAsia="Arial" w:hAnsi="Arial"/>
          <w:sz w:val="16"/>
          <w:szCs w:val="16"/>
          <w:u w:val="single" w:color="auto"/>
          <w:color w:val="0000FF"/>
        </w:rPr>
        <w:t>director’s or officer’s</w:t>
      </w:r>
      <w:r>
        <w:rPr>
          <w:rFonts w:ascii="Arial" w:cs="Arial" w:eastAsia="Arial" w:hAnsi="Arial"/>
          <w:sz w:val="16"/>
          <w:szCs w:val="16"/>
          <w:color w:val="auto"/>
        </w:rPr>
        <w:t xml:space="preserve"> duty of loyalty to the Corporation or to its stockholders, (ii) for acts or omissions not in good faith or which involve intentional misconduct or a knowing violation of law, (iii) </w:t>
      </w:r>
      <w:r>
        <w:rPr>
          <w:rFonts w:ascii="Arial" w:cs="Arial" w:eastAsia="Arial" w:hAnsi="Arial"/>
          <w:sz w:val="16"/>
          <w:szCs w:val="16"/>
          <w:u w:val="single" w:color="auto"/>
          <w:color w:val="0000FF"/>
        </w:rPr>
        <w:t>of a</w:t>
      </w:r>
      <w:r>
        <w:rPr>
          <w:rFonts w:ascii="Arial" w:cs="Arial" w:eastAsia="Arial" w:hAnsi="Arial"/>
          <w:sz w:val="16"/>
          <w:szCs w:val="16"/>
          <w:color w:val="auto"/>
        </w:rPr>
        <w:t xml:space="preserve"> </w:t>
      </w:r>
      <w:r>
        <w:rPr>
          <w:rFonts w:ascii="Arial" w:cs="Arial" w:eastAsia="Arial" w:hAnsi="Arial"/>
          <w:sz w:val="16"/>
          <w:szCs w:val="16"/>
          <w:u w:val="single" w:color="auto"/>
          <w:color w:val="0000FF"/>
        </w:rPr>
        <w:t>director</w:t>
      </w:r>
      <w:r>
        <w:rPr>
          <w:rFonts w:ascii="Arial" w:cs="Arial" w:eastAsia="Arial" w:hAnsi="Arial"/>
          <w:sz w:val="16"/>
          <w:szCs w:val="16"/>
          <w:color w:val="0000FF"/>
        </w:rPr>
        <w:t xml:space="preserve"> </w:t>
      </w:r>
      <w:r>
        <w:rPr>
          <w:rFonts w:ascii="Arial" w:cs="Arial" w:eastAsia="Arial" w:hAnsi="Arial"/>
          <w:sz w:val="16"/>
          <w:szCs w:val="16"/>
          <w:color w:val="000000"/>
        </w:rPr>
        <w:t>under Section 174 of the General Corporation Law of the State of Delaware,</w:t>
      </w:r>
      <w:r>
        <w:rPr>
          <w:rFonts w:ascii="Arial" w:cs="Arial" w:eastAsia="Arial" w:hAnsi="Arial"/>
          <w:sz w:val="16"/>
          <w:szCs w:val="16"/>
          <w:color w:val="0000FF"/>
        </w:rPr>
        <w:t xml:space="preserve"> </w:t>
      </w:r>
      <w:r>
        <w:rPr>
          <w:rFonts w:ascii="Arial" w:cs="Arial" w:eastAsia="Arial" w:hAnsi="Arial"/>
          <w:sz w:val="16"/>
          <w:szCs w:val="16"/>
          <w:color w:val="FF0000"/>
          <w:strike w:val="1"/>
        </w:rPr>
        <w:t>or</w:t>
      </w:r>
      <w:r>
        <w:rPr>
          <w:rFonts w:ascii="Arial" w:cs="Arial" w:eastAsia="Arial" w:hAnsi="Arial"/>
          <w:sz w:val="16"/>
          <w:szCs w:val="16"/>
          <w:color w:val="0000FF"/>
        </w:rPr>
        <w:t xml:space="preserve"> </w:t>
      </w:r>
      <w:r>
        <w:rPr>
          <w:rFonts w:ascii="Arial" w:cs="Arial" w:eastAsia="Arial" w:hAnsi="Arial"/>
          <w:sz w:val="16"/>
          <w:szCs w:val="16"/>
          <w:color w:val="000000"/>
        </w:rPr>
        <w:t>(iv) for any transaction from which the director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or officer</w:t>
      </w:r>
      <w:r>
        <w:rPr>
          <w:rFonts w:ascii="Arial" w:cs="Arial" w:eastAsia="Arial" w:hAnsi="Arial"/>
          <w:sz w:val="16"/>
          <w:szCs w:val="16"/>
          <w:color w:val="0000FF"/>
        </w:rPr>
        <w:t xml:space="preserve"> </w:t>
      </w:r>
      <w:r>
        <w:rPr>
          <w:rFonts w:ascii="Arial" w:cs="Arial" w:eastAsia="Arial" w:hAnsi="Arial"/>
          <w:sz w:val="16"/>
          <w:szCs w:val="16"/>
          <w:color w:val="000000"/>
        </w:rPr>
        <w:t>derives any</w:t>
      </w:r>
      <w:r>
        <w:rPr>
          <w:rFonts w:ascii="Arial" w:cs="Arial" w:eastAsia="Arial" w:hAnsi="Arial"/>
          <w:sz w:val="16"/>
          <w:szCs w:val="16"/>
          <w:color w:val="0000FF"/>
        </w:rPr>
        <w:t xml:space="preserve"> </w:t>
      </w:r>
      <w:r>
        <w:rPr>
          <w:rFonts w:ascii="Arial" w:cs="Arial" w:eastAsia="Arial" w:hAnsi="Arial"/>
          <w:sz w:val="16"/>
          <w:szCs w:val="16"/>
          <w:color w:val="000000"/>
        </w:rPr>
        <w:t>improper personal benefit</w:t>
      </w:r>
      <w:r>
        <w:rPr>
          <w:rFonts w:ascii="Arial" w:cs="Arial" w:eastAsia="Arial" w:hAnsi="Arial"/>
          <w:sz w:val="16"/>
          <w:szCs w:val="16"/>
          <w:u w:val="single" w:color="auto"/>
          <w:color w:val="0000FF"/>
        </w:rPr>
        <w:t>, or (v) of an officer in any action by or in the right of the Corporation</w:t>
      </w:r>
      <w:r>
        <w:rPr>
          <w:rFonts w:ascii="Arial" w:cs="Arial" w:eastAsia="Arial" w:hAnsi="Arial"/>
          <w:sz w:val="16"/>
          <w:szCs w:val="16"/>
          <w:color w:val="000000"/>
        </w:rPr>
        <w:t xml:space="preserve">. If, after approval of this Article by the stockholders of the Corporation, the General Corporation Law of the State of Delaware is amended to authorize the further elimination or limitation of the liability of directors </w:t>
      </w:r>
      <w:r>
        <w:rPr>
          <w:rFonts w:ascii="Arial" w:cs="Arial" w:eastAsia="Arial" w:hAnsi="Arial"/>
          <w:sz w:val="16"/>
          <w:szCs w:val="16"/>
          <w:color w:val="0000FF"/>
        </w:rPr>
        <w:t>or</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officers</w:t>
      </w:r>
      <w:r>
        <w:rPr>
          <w:rFonts w:ascii="Arial" w:cs="Arial" w:eastAsia="Arial" w:hAnsi="Arial"/>
          <w:sz w:val="16"/>
          <w:szCs w:val="16"/>
          <w:color w:val="000000"/>
        </w:rPr>
        <w:t>, then the liability of a director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or officer</w:t>
      </w:r>
      <w:r>
        <w:rPr>
          <w:rFonts w:ascii="Arial" w:cs="Arial" w:eastAsia="Arial" w:hAnsi="Arial"/>
          <w:sz w:val="16"/>
          <w:szCs w:val="16"/>
          <w:color w:val="0000FF"/>
        </w:rPr>
        <w:t xml:space="preserve"> </w:t>
      </w:r>
      <w:r>
        <w:rPr>
          <w:rFonts w:ascii="Arial" w:cs="Arial" w:eastAsia="Arial" w:hAnsi="Arial"/>
          <w:sz w:val="16"/>
          <w:szCs w:val="16"/>
          <w:color w:val="000000"/>
        </w:rPr>
        <w:t>of the Corporation shall be eliminated or limited to the fullest extent permitted by the General Corporation Law</w:t>
      </w:r>
      <w:r>
        <w:rPr>
          <w:rFonts w:ascii="Arial" w:cs="Arial" w:eastAsia="Arial" w:hAnsi="Arial"/>
          <w:sz w:val="16"/>
          <w:szCs w:val="16"/>
          <w:color w:val="0000FF"/>
        </w:rPr>
        <w:t xml:space="preserve"> </w:t>
      </w:r>
      <w:r>
        <w:rPr>
          <w:rFonts w:ascii="Arial" w:cs="Arial" w:eastAsia="Arial" w:hAnsi="Arial"/>
          <w:sz w:val="16"/>
          <w:szCs w:val="16"/>
          <w:color w:val="000000"/>
        </w:rPr>
        <w:t xml:space="preserve">of the State of Delaware, as so amended. </w:t>
      </w:r>
      <w:r>
        <w:rPr>
          <w:rFonts w:ascii="Arial" w:cs="Arial" w:eastAsia="Arial" w:hAnsi="Arial"/>
          <w:sz w:val="16"/>
          <w:szCs w:val="16"/>
          <w:u w:val="single" w:color="auto"/>
          <w:color w:val="0000FF"/>
        </w:rPr>
        <w:t>Solely for purposes of this Article, “officer” shall have the meaning provided in Section 102(b)(7) of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2315210</wp:posOffset>
            </wp:positionH>
            <wp:positionV relativeFrom="paragraph">
              <wp:posOffset>-702310</wp:posOffset>
            </wp:positionV>
            <wp:extent cx="43561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35610" cy="8890"/>
                    </a:xfrm>
                    <a:prstGeom prst="rect">
                      <a:avLst/>
                    </a:prstGeom>
                    <a:noFill/>
                  </pic:spPr>
                </pic:pic>
              </a:graphicData>
            </a:graphic>
          </wp:anchor>
        </w:drawing>
        <w:drawing>
          <wp:anchor simplePos="0" relativeHeight="251657728" behindDoc="1" locked="0" layoutInCell="0" allowOverlap="1">
            <wp:simplePos x="0" y="0"/>
            <wp:positionH relativeFrom="column">
              <wp:posOffset>7006590</wp:posOffset>
            </wp:positionH>
            <wp:positionV relativeFrom="paragraph">
              <wp:posOffset>-239395</wp:posOffset>
            </wp:positionV>
            <wp:extent cx="12890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u w:val="single" w:color="auto"/>
          <w:color w:val="0000FF"/>
        </w:rPr>
        <w:t>Corporation Law of the State of Delaware, as amended from time to time.</w:t>
      </w:r>
    </w:p>
    <w:p>
      <w:pPr>
        <w:spacing w:after="0" w:line="21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Any repeal or modification of this Article by the stockholders of the Corporation shall not adversely affect any right or protection of a director </w:t>
      </w:r>
      <w:r>
        <w:rPr>
          <w:rFonts w:ascii="Arial" w:cs="Arial" w:eastAsia="Arial" w:hAnsi="Arial"/>
          <w:sz w:val="16"/>
          <w:szCs w:val="16"/>
          <w:u w:val="single" w:color="auto"/>
          <w:color w:val="0000FF"/>
        </w:rPr>
        <w:t>or officer</w:t>
      </w:r>
      <w:r>
        <w:rPr>
          <w:rFonts w:ascii="Arial" w:cs="Arial" w:eastAsia="Arial" w:hAnsi="Arial"/>
          <w:sz w:val="16"/>
          <w:szCs w:val="16"/>
          <w:color w:val="auto"/>
        </w:rPr>
        <w:t xml:space="preserve"> of the Corporation existing at the time of such repeal or modification.</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Second, the foregoing amendment has been duly adopted in accordance with the provisions of Section 242 of the General Corporation Law of the State of Delaware.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Corporation has caused this Certificate of Amendment to be executed by its duly authorized officer on the date set forth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below.</w:t>
      </w:r>
    </w:p>
    <w:p>
      <w:pPr>
        <w:spacing w:after="0" w:line="219"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NORTHROP GRUMMAN CORPORATION</w:t>
      </w:r>
    </w:p>
    <w:p>
      <w:pPr>
        <w:spacing w:after="0" w:line="200" w:lineRule="exact"/>
        <w:rPr>
          <w:sz w:val="20"/>
          <w:szCs w:val="20"/>
          <w:color w:val="auto"/>
        </w:rPr>
      </w:pPr>
    </w:p>
    <w:p>
      <w:pPr>
        <w:spacing w:after="0" w:line="278"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By:_______________________________</w:t>
      </w:r>
    </w:p>
    <w:p>
      <w:pPr>
        <w:spacing w:after="0" w:line="13"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Name:</w:t>
      </w:r>
    </w:p>
    <w:p>
      <w:pPr>
        <w:ind w:left="3900"/>
        <w:spacing w:after="0"/>
        <w:rPr>
          <w:sz w:val="20"/>
          <w:szCs w:val="20"/>
          <w:color w:val="auto"/>
        </w:rPr>
      </w:pPr>
      <w:r>
        <w:rPr>
          <w:rFonts w:ascii="Arial" w:cs="Arial" w:eastAsia="Arial" w:hAnsi="Arial"/>
          <w:sz w:val="16"/>
          <w:szCs w:val="16"/>
          <w:color w:val="auto"/>
        </w:rPr>
        <w:t>Title:</w:t>
      </w:r>
    </w:p>
    <w:p>
      <w:pPr>
        <w:spacing w:after="0" w:line="232"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Dated:_____________________________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125</w:t>
            </w:r>
          </w:p>
        </w:tc>
      </w:tr>
      <w:tr>
        <w:trPr>
          <w:trHeight w:val="306"/>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2024 LONG-TERM INCENTIVE STOCK PLAN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Purpose</w:t>
      </w:r>
    </w:p>
    <w:p>
      <w:pPr>
        <w:spacing w:after="0" w:line="19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6"/>
          <w:szCs w:val="16"/>
          <w:color w:val="auto"/>
        </w:rPr>
        <w:t>The purpose of the Northrop Grumman 2024 Long-Term Incentive Stock Plan (the “Plan”) is to promote the long-term success of Northrop Grumman Corporation (the “Company”) and to increase shareholder value by providing its directors, officers and selected employees with incentives to create excellent performance and to continue service with the Company, its subsidiaries and affiliates. As set forth in Section 8 of the Plan, awards under the Plan may consist of stock options, stock appreciation rights (“SARs”), awards other than stock options or SARs (“Share Awards”) providing for the issuance of or denominated in shares of common stock of the Company (“Common Stock”) and awards that are denominated in or may be settled only in cash (“Cash Awards”). Both by encouraging such directors, officers and employees to become owners of the Common Stock of the Company and by providing actual ownership through Plan awards, it is intended that Plan participants will view the Company from an ownership perspective and enable such individuals to participate in the growth and financial success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Term</w:t>
      </w:r>
    </w:p>
    <w:p>
      <w:pPr>
        <w:spacing w:after="0" w:line="19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6"/>
          <w:szCs w:val="16"/>
          <w:color w:val="auto"/>
        </w:rPr>
        <w:t>The Plan was approved by the Company’s Board of Directors (the “Board”) on March 20, 2024, and became effective upon approval by the shareholders of the Company on the date of the Company’s 2024 Annual Meeting of Shareholders (the “Effective Time”). Unless previously terminated by the Board, the Plan shall terminate at the close of business on the tenth anniversary of the Effective Time. After termination of the Plan, no future awards may be granted but then-outstanding awards (and the Committee’s (as such term is defined in Section 3) authority with respect thereto) shall remain outstanding in accordance with their applicable terms and conditions and the terms and conditions of the Plan.</w:t>
      </w:r>
    </w:p>
    <w:p>
      <w:pPr>
        <w:spacing w:after="0" w:line="164" w:lineRule="exact"/>
        <w:rPr>
          <w:sz w:val="20"/>
          <w:szCs w:val="20"/>
          <w:color w:val="auto"/>
        </w:rPr>
      </w:pPr>
    </w:p>
    <w:p>
      <w:pPr>
        <w:ind w:left="220" w:hanging="212"/>
        <w:spacing w:after="0"/>
        <w:tabs>
          <w:tab w:leader="none" w:pos="220" w:val="left"/>
        </w:tabs>
        <w:numPr>
          <w:ilvl w:val="0"/>
          <w:numId w:val="217"/>
        </w:numPr>
        <w:rPr>
          <w:rFonts w:ascii="Arial" w:cs="Arial" w:eastAsia="Arial" w:hAnsi="Arial"/>
          <w:sz w:val="16"/>
          <w:szCs w:val="16"/>
          <w:b w:val="1"/>
          <w:bCs w:val="1"/>
          <w:color w:val="auto"/>
        </w:rPr>
      </w:pPr>
      <w:r>
        <w:rPr>
          <w:rFonts w:ascii="Arial" w:cs="Arial" w:eastAsia="Arial" w:hAnsi="Arial"/>
          <w:sz w:val="16"/>
          <w:szCs w:val="16"/>
          <w:b w:val="1"/>
          <w:bCs w:val="1"/>
          <w:color w:val="auto"/>
        </w:rPr>
        <w:t>Plan Administration</w:t>
      </w:r>
    </w:p>
    <w:p>
      <w:pPr>
        <w:spacing w:after="0" w:line="194" w:lineRule="exact"/>
        <w:rPr>
          <w:rFonts w:ascii="Arial" w:cs="Arial" w:eastAsia="Arial" w:hAnsi="Arial"/>
          <w:sz w:val="16"/>
          <w:szCs w:val="16"/>
          <w:b w:val="1"/>
          <w:bCs w:val="1"/>
          <w:color w:val="auto"/>
        </w:rPr>
      </w:pPr>
    </w:p>
    <w:p>
      <w:pPr>
        <w:jc w:val="both"/>
        <w:ind w:firstLine="656"/>
        <w:spacing w:after="0" w:line="221" w:lineRule="auto"/>
        <w:tabs>
          <w:tab w:leader="none" w:pos="1305" w:val="left"/>
        </w:tabs>
        <w:numPr>
          <w:ilvl w:val="1"/>
          <w:numId w:val="217"/>
        </w:numPr>
        <w:rPr>
          <w:rFonts w:ascii="Arial" w:cs="Arial" w:eastAsia="Arial" w:hAnsi="Arial"/>
          <w:sz w:val="16"/>
          <w:szCs w:val="16"/>
          <w:color w:val="auto"/>
        </w:rPr>
      </w:pPr>
      <w:r>
        <w:rPr>
          <w:rFonts w:ascii="Arial" w:cs="Arial" w:eastAsia="Arial" w:hAnsi="Arial"/>
          <w:sz w:val="16"/>
          <w:szCs w:val="16"/>
          <w:color w:val="auto"/>
        </w:rPr>
        <w:t>The Plan shall be administered by the Compensation and Human Capital Committee (or its successor) of the Board (“Compensation Committee”). The Board also may exercise any power of the Compensation Committee under the terms of the Plan, except as otherwise required by applicable law. Subject to the following provisions of this Section 3(a), the Compensation Committee (or its successor) may delegate different levels of authority to make grants under the Plan to different committees, provided that each such committee consists of one or more members of the Board. Transactions in or involving awards intended to be exempt under Rule 16b-3 of the Securities Exchange Act of 1934, as amended (the “1934 Act”), must be duly and timely authorized by the Board or a committee of non-employee directors (as this term is used in or under Rule 16b-3). The appropriate acting body, be it the Board, the Compensation Committee or another duly authorized committee of directors, is referred to as the “Committee”.</w:t>
      </w:r>
    </w:p>
    <w:p>
      <w:pPr>
        <w:spacing w:after="0" w:line="164" w:lineRule="exact"/>
        <w:rPr>
          <w:rFonts w:ascii="Arial" w:cs="Arial" w:eastAsia="Arial" w:hAnsi="Arial"/>
          <w:sz w:val="16"/>
          <w:szCs w:val="16"/>
          <w:color w:val="auto"/>
        </w:rPr>
      </w:pPr>
    </w:p>
    <w:p>
      <w:pPr>
        <w:ind w:right="20" w:firstLine="656"/>
        <w:spacing w:after="0" w:line="251" w:lineRule="auto"/>
        <w:tabs>
          <w:tab w:leader="none" w:pos="1305" w:val="left"/>
        </w:tabs>
        <w:numPr>
          <w:ilvl w:val="1"/>
          <w:numId w:val="217"/>
        </w:numPr>
        <w:rPr>
          <w:rFonts w:ascii="Arial" w:cs="Arial" w:eastAsia="Arial" w:hAnsi="Arial"/>
          <w:sz w:val="16"/>
          <w:szCs w:val="16"/>
          <w:color w:val="auto"/>
        </w:rPr>
      </w:pPr>
      <w:r>
        <w:rPr>
          <w:rFonts w:ascii="Arial" w:cs="Arial" w:eastAsia="Arial" w:hAnsi="Arial"/>
          <w:sz w:val="16"/>
          <w:szCs w:val="16"/>
          <w:color w:val="auto"/>
        </w:rPr>
        <w:t>The Committee shall have full power to interpret the Plan and to adopt such rules, regulations and guidelines for carrying out the Plan as it may deem necessary or proper. This power includes, but is not limited to the power:</w:t>
      </w:r>
    </w:p>
    <w:p>
      <w:pPr>
        <w:spacing w:after="0" w:line="47" w:lineRule="exact"/>
        <w:rPr>
          <w:rFonts w:ascii="Arial" w:cs="Arial" w:eastAsia="Arial" w:hAnsi="Arial"/>
          <w:sz w:val="16"/>
          <w:szCs w:val="16"/>
          <w:color w:val="auto"/>
        </w:rPr>
      </w:pPr>
    </w:p>
    <w:p>
      <w:pPr>
        <w:jc w:val="both"/>
        <w:ind w:left="660" w:right="20" w:firstLine="509"/>
        <w:spacing w:after="0" w:line="216" w:lineRule="auto"/>
        <w:tabs>
          <w:tab w:leader="none" w:pos="1375" w:val="left"/>
        </w:tabs>
        <w:numPr>
          <w:ilvl w:val="3"/>
          <w:numId w:val="217"/>
        </w:numPr>
        <w:rPr>
          <w:rFonts w:ascii="Arial" w:cs="Arial" w:eastAsia="Arial" w:hAnsi="Arial"/>
          <w:sz w:val="16"/>
          <w:szCs w:val="16"/>
          <w:color w:val="auto"/>
        </w:rPr>
      </w:pPr>
      <w:r>
        <w:rPr>
          <w:rFonts w:ascii="Arial" w:cs="Arial" w:eastAsia="Arial" w:hAnsi="Arial"/>
          <w:sz w:val="16"/>
          <w:szCs w:val="16"/>
          <w:color w:val="auto"/>
        </w:rPr>
        <w:t>to prescribe, amend, and rescind rules and regulations relating to the Plan, including subplans and the like as may be necessary to comply with provisions of the laws and applicable regulatory rulings of countries in which the Company (or its subsidiaries or affiliates, as applicable) operates in order to assure the viability of awards granted under the Plan and to enable participants employed in such countries to receive advantages and benefits under the Plan and such laws and rulings;</w:t>
      </w:r>
    </w:p>
    <w:p>
      <w:pPr>
        <w:spacing w:after="0" w:line="1" w:lineRule="exact"/>
        <w:rPr>
          <w:rFonts w:ascii="Arial" w:cs="Arial" w:eastAsia="Arial" w:hAnsi="Arial"/>
          <w:sz w:val="16"/>
          <w:szCs w:val="16"/>
          <w:color w:val="auto"/>
        </w:rPr>
      </w:pPr>
    </w:p>
    <w:p>
      <w:pPr>
        <w:ind w:left="660" w:right="20" w:firstLine="466"/>
        <w:spacing w:after="0" w:line="211" w:lineRule="auto"/>
        <w:tabs>
          <w:tab w:leader="none" w:pos="1355" w:val="left"/>
        </w:tabs>
        <w:numPr>
          <w:ilvl w:val="3"/>
          <w:numId w:val="217"/>
        </w:numPr>
        <w:rPr>
          <w:rFonts w:ascii="Arial" w:cs="Arial" w:eastAsia="Arial" w:hAnsi="Arial"/>
          <w:sz w:val="16"/>
          <w:szCs w:val="16"/>
          <w:color w:val="auto"/>
        </w:rPr>
      </w:pPr>
      <w:r>
        <w:rPr>
          <w:rFonts w:ascii="Arial" w:cs="Arial" w:eastAsia="Arial" w:hAnsi="Arial"/>
          <w:sz w:val="16"/>
          <w:szCs w:val="16"/>
          <w:color w:val="auto"/>
        </w:rPr>
        <w:t>to determine which persons are eligible to be participants, to which of such persons, if any, awards shall be granted hereunder and the timing of any such awards, and to grant awards;</w:t>
      </w:r>
    </w:p>
    <w:p>
      <w:pPr>
        <w:jc w:val="both"/>
        <w:ind w:left="660" w:firstLine="424"/>
        <w:spacing w:after="0" w:line="211" w:lineRule="auto"/>
        <w:tabs>
          <w:tab w:leader="none" w:pos="1362" w:val="left"/>
        </w:tabs>
        <w:numPr>
          <w:ilvl w:val="2"/>
          <w:numId w:val="217"/>
        </w:numPr>
        <w:rPr>
          <w:rFonts w:ascii="Arial" w:cs="Arial" w:eastAsia="Arial" w:hAnsi="Arial"/>
          <w:sz w:val="16"/>
          <w:szCs w:val="16"/>
          <w:color w:val="auto"/>
        </w:rPr>
      </w:pPr>
      <w:r>
        <w:rPr>
          <w:rFonts w:ascii="Arial" w:cs="Arial" w:eastAsia="Arial" w:hAnsi="Arial"/>
          <w:sz w:val="16"/>
          <w:szCs w:val="16"/>
          <w:color w:val="auto"/>
        </w:rPr>
        <w:t>to establish all award terms and conditions of awards, including the number of shares subject to awards and the exercise or purchase price of such shares and the circumstances under which awards become exercisable or vested or are forfeited or expire, which terms may but need not be conditioned upon the passage of time, continued employment, the satisfaction of performance criteria, the occurrence of certain events, or other factors;</w:t>
      </w:r>
    </w:p>
    <w:p>
      <w:pPr>
        <w:jc w:val="both"/>
        <w:ind w:left="660" w:firstLine="434"/>
        <w:spacing w:after="0" w:line="211" w:lineRule="auto"/>
        <w:tabs>
          <w:tab w:leader="none" w:pos="1381" w:val="left"/>
        </w:tabs>
        <w:numPr>
          <w:ilvl w:val="2"/>
          <w:numId w:val="217"/>
        </w:numPr>
        <w:rPr>
          <w:rFonts w:ascii="Arial" w:cs="Arial" w:eastAsia="Arial" w:hAnsi="Arial"/>
          <w:sz w:val="16"/>
          <w:szCs w:val="16"/>
          <w:color w:val="auto"/>
        </w:rPr>
      </w:pPr>
      <w:r>
        <w:rPr>
          <w:rFonts w:ascii="Arial" w:cs="Arial" w:eastAsia="Arial" w:hAnsi="Arial"/>
          <w:sz w:val="16"/>
          <w:szCs w:val="16"/>
          <w:color w:val="auto"/>
        </w:rPr>
        <w:t>to establish the forms of award agreement and manner of acceptance of an award, and to take or approve such further actions as the Committee determines necessary or appropriate to the administration of the Plan and awards, including without limitation adopting modifications and amendments, correcting a defect or supplying any omission, or reconciling any inconsistency so that the Plan or any award agreement complies with applicable law, regulations and stock exchange listing requirements and so as to avoid unanticipated consequences or address unanticipated events (including any temporary closure of the primary stock exchange on which the Common Stock is traded, disruption of communications or natural catastrophe) deemed by the Committee to be inconsistent with the purposes of the Plan or any award agreement, provided that no such action shall be taken absent stockholder approval to the extent required under Section 13;</w:t>
      </w:r>
    </w:p>
    <w:p>
      <w:pPr>
        <w:spacing w:after="0" w:line="1" w:lineRule="exact"/>
        <w:rPr>
          <w:rFonts w:ascii="Arial" w:cs="Arial" w:eastAsia="Arial" w:hAnsi="Arial"/>
          <w:sz w:val="16"/>
          <w:szCs w:val="16"/>
          <w:color w:val="auto"/>
        </w:rPr>
      </w:pPr>
    </w:p>
    <w:p>
      <w:pPr>
        <w:ind w:left="660" w:firstLine="476"/>
        <w:spacing w:after="0" w:line="211" w:lineRule="auto"/>
        <w:tabs>
          <w:tab w:leader="none" w:pos="1414" w:val="left"/>
        </w:tabs>
        <w:numPr>
          <w:ilvl w:val="4"/>
          <w:numId w:val="217"/>
        </w:numPr>
        <w:rPr>
          <w:rFonts w:ascii="Arial" w:cs="Arial" w:eastAsia="Arial" w:hAnsi="Arial"/>
          <w:sz w:val="16"/>
          <w:szCs w:val="16"/>
          <w:color w:val="auto"/>
        </w:rPr>
      </w:pPr>
      <w:r>
        <w:rPr>
          <w:rFonts w:ascii="Arial" w:cs="Arial" w:eastAsia="Arial" w:hAnsi="Arial"/>
          <w:sz w:val="16"/>
          <w:szCs w:val="16"/>
          <w:color w:val="auto"/>
        </w:rPr>
        <w:t>to establish or verify the extent of satisfaction of any performance goals or other conditions applicable to the grant, issuance, exercisability, vesting and/or ability to retain any award;</w:t>
      </w:r>
    </w:p>
    <w:p>
      <w:pPr>
        <w:ind w:left="1360" w:hanging="266"/>
        <w:spacing w:after="0" w:line="211" w:lineRule="auto"/>
        <w:tabs>
          <w:tab w:leader="none" w:pos="1360" w:val="left"/>
        </w:tabs>
        <w:numPr>
          <w:ilvl w:val="3"/>
          <w:numId w:val="218"/>
        </w:numPr>
        <w:rPr>
          <w:rFonts w:ascii="Arial" w:cs="Arial" w:eastAsia="Arial" w:hAnsi="Arial"/>
          <w:sz w:val="16"/>
          <w:szCs w:val="16"/>
          <w:color w:val="auto"/>
        </w:rPr>
      </w:pPr>
      <w:r>
        <w:rPr>
          <w:rFonts w:ascii="Arial" w:cs="Arial" w:eastAsia="Arial" w:hAnsi="Arial"/>
          <w:sz w:val="16"/>
          <w:szCs w:val="16"/>
          <w:color w:val="auto"/>
        </w:rPr>
        <w:t>to prescribe and amend the terms of the agreements or other documents evidencing awards made under this Plan (which need not be</w:t>
      </w:r>
    </w:p>
    <w:p>
      <w:pPr>
        <w:ind w:left="660"/>
        <w:spacing w:after="0" w:line="211" w:lineRule="auto"/>
        <w:rPr>
          <w:rFonts w:ascii="Arial" w:cs="Arial" w:eastAsia="Arial" w:hAnsi="Arial"/>
          <w:sz w:val="16"/>
          <w:szCs w:val="16"/>
          <w:color w:val="auto"/>
        </w:rPr>
      </w:pPr>
      <w:r>
        <w:rPr>
          <w:rFonts w:ascii="Arial" w:cs="Arial" w:eastAsia="Arial" w:hAnsi="Arial"/>
          <w:sz w:val="16"/>
          <w:szCs w:val="16"/>
          <w:color w:val="auto"/>
        </w:rPr>
        <w:t>identical);</w:t>
      </w:r>
    </w:p>
    <w:p>
      <w:pPr>
        <w:ind w:left="1360" w:hanging="308"/>
        <w:spacing w:after="0" w:line="211" w:lineRule="auto"/>
        <w:tabs>
          <w:tab w:leader="none" w:pos="1360" w:val="left"/>
        </w:tabs>
        <w:numPr>
          <w:ilvl w:val="3"/>
          <w:numId w:val="218"/>
        </w:numPr>
        <w:rPr>
          <w:rFonts w:ascii="Arial" w:cs="Arial" w:eastAsia="Arial" w:hAnsi="Arial"/>
          <w:sz w:val="16"/>
          <w:szCs w:val="16"/>
          <w:color w:val="auto"/>
        </w:rPr>
      </w:pPr>
      <w:r>
        <w:rPr>
          <w:rFonts w:ascii="Arial" w:cs="Arial" w:eastAsia="Arial" w:hAnsi="Arial"/>
          <w:sz w:val="16"/>
          <w:szCs w:val="16"/>
          <w:color w:val="auto"/>
        </w:rPr>
        <w:t>to determine whether, and the extent to which, adjustments are required pursuant to Section 6;</w:t>
      </w:r>
    </w:p>
    <w:p>
      <w:pPr>
        <w:ind w:left="660" w:firstLine="349"/>
        <w:spacing w:after="0" w:line="235" w:lineRule="auto"/>
        <w:tabs>
          <w:tab w:leader="none" w:pos="1382" w:val="left"/>
        </w:tabs>
        <w:numPr>
          <w:ilvl w:val="3"/>
          <w:numId w:val="218"/>
        </w:numPr>
        <w:rPr>
          <w:rFonts w:ascii="Arial" w:cs="Arial" w:eastAsia="Arial" w:hAnsi="Arial"/>
          <w:sz w:val="16"/>
          <w:szCs w:val="16"/>
          <w:color w:val="auto"/>
        </w:rPr>
      </w:pPr>
      <w:r>
        <w:rPr>
          <w:rFonts w:ascii="Arial" w:cs="Arial" w:eastAsia="Arial" w:hAnsi="Arial"/>
          <w:sz w:val="16"/>
          <w:szCs w:val="16"/>
          <w:color w:val="auto"/>
        </w:rPr>
        <w:t>to interpret and construe this Plan, any rules and regulations under this Plan and the terms and conditions of any award granted hereunder, and to make exceptions to any such provisions in good faith;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20" w:type="dxa"/>
            <w:vAlign w:val="bottom"/>
          </w:tcPr>
          <w:p>
            <w:pPr>
              <w:ind w:left="9220"/>
              <w:spacing w:after="0"/>
              <w:rPr>
                <w:sz w:val="20"/>
                <w:szCs w:val="20"/>
                <w:color w:val="auto"/>
              </w:rPr>
            </w:pPr>
            <w:r>
              <w:rPr>
                <w:rFonts w:ascii="Arial" w:cs="Arial" w:eastAsia="Arial" w:hAnsi="Arial"/>
                <w:sz w:val="14"/>
                <w:szCs w:val="14"/>
                <w:color w:val="auto"/>
              </w:rPr>
              <w:t>2024 Proxy Statement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126</w:t>
            </w:r>
          </w:p>
        </w:tc>
      </w:tr>
      <w:tr>
        <w:trPr>
          <w:trHeight w:val="198"/>
        </w:trPr>
        <w:tc>
          <w:tcPr>
            <w:tcW w:w="1082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4"/>
          <w:szCs w:val="14"/>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360" w:hanging="272"/>
        <w:spacing w:after="0"/>
        <w:tabs>
          <w:tab w:leader="none" w:pos="1360" w:val="left"/>
        </w:tabs>
        <w:numPr>
          <w:ilvl w:val="2"/>
          <w:numId w:val="219"/>
        </w:numPr>
        <w:rPr>
          <w:rFonts w:ascii="Arial" w:cs="Arial" w:eastAsia="Arial" w:hAnsi="Arial"/>
          <w:sz w:val="16"/>
          <w:szCs w:val="16"/>
          <w:color w:val="auto"/>
        </w:rPr>
      </w:pPr>
      <w:r>
        <w:rPr>
          <w:rFonts w:ascii="Arial" w:cs="Arial" w:eastAsia="Arial" w:hAnsi="Arial"/>
          <w:sz w:val="16"/>
          <w:szCs w:val="16"/>
          <w:color w:val="auto"/>
        </w:rPr>
        <w:t>to make all other determinations deemed necessary or advisable for the administration of this Plan.</w:t>
      </w:r>
    </w:p>
    <w:p>
      <w:pPr>
        <w:spacing w:after="0" w:line="194" w:lineRule="exact"/>
        <w:rPr>
          <w:rFonts w:ascii="Arial" w:cs="Arial" w:eastAsia="Arial" w:hAnsi="Arial"/>
          <w:sz w:val="16"/>
          <w:szCs w:val="16"/>
          <w:color w:val="auto"/>
        </w:rPr>
      </w:pPr>
    </w:p>
    <w:p>
      <w:pPr>
        <w:jc w:val="both"/>
        <w:ind w:firstLine="656"/>
        <w:spacing w:after="0" w:line="222" w:lineRule="auto"/>
        <w:tabs>
          <w:tab w:leader="none" w:pos="1309" w:val="left"/>
        </w:tabs>
        <w:numPr>
          <w:ilvl w:val="1"/>
          <w:numId w:val="220"/>
        </w:numPr>
        <w:rPr>
          <w:rFonts w:ascii="Arial" w:cs="Arial" w:eastAsia="Arial" w:hAnsi="Arial"/>
          <w:sz w:val="16"/>
          <w:szCs w:val="16"/>
          <w:color w:val="auto"/>
        </w:rPr>
      </w:pPr>
      <w:r>
        <w:rPr>
          <w:rFonts w:ascii="Arial" w:cs="Arial" w:eastAsia="Arial" w:hAnsi="Arial"/>
          <w:sz w:val="16"/>
          <w:szCs w:val="16"/>
          <w:color w:val="auto"/>
        </w:rPr>
        <w:t>Notwithstanding the foregoing and except for an adjustment pursuant to Section 6, in no case may the Committee, without the approval of shareholders: (1) amend an outstanding stock option or SAR to reduce the exercise price or base price of the award; (2) cancel, exchange or surrender an outstanding stock option or SAR at any time when the exercise price or base price of the stock option or SAR is above the Fair Market Value of a share of Common Stock in exchange for cash or other awards; (3) cancel, exchange or surrender an outstanding stock option or SAR in exchange for a stock option or SAR with an exercise or base price that is less than the exercise or base price of the original award; or (4) otherwise take any other action that is treated as a “repricing” with respect to such stock option or SAR under generally accepted accounting principles.</w:t>
      </w:r>
    </w:p>
    <w:p>
      <w:pPr>
        <w:spacing w:after="0" w:line="166" w:lineRule="exact"/>
        <w:rPr>
          <w:rFonts w:ascii="Arial" w:cs="Arial" w:eastAsia="Arial" w:hAnsi="Arial"/>
          <w:sz w:val="16"/>
          <w:szCs w:val="16"/>
          <w:color w:val="auto"/>
        </w:rPr>
      </w:pPr>
    </w:p>
    <w:p>
      <w:pPr>
        <w:jc w:val="both"/>
        <w:ind w:firstLine="656"/>
        <w:spacing w:after="0" w:line="222" w:lineRule="auto"/>
        <w:tabs>
          <w:tab w:leader="none" w:pos="1305" w:val="left"/>
        </w:tabs>
        <w:numPr>
          <w:ilvl w:val="1"/>
          <w:numId w:val="220"/>
        </w:numPr>
        <w:rPr>
          <w:rFonts w:ascii="Arial" w:cs="Arial" w:eastAsia="Arial" w:hAnsi="Arial"/>
          <w:sz w:val="16"/>
          <w:szCs w:val="16"/>
          <w:color w:val="auto"/>
        </w:rPr>
      </w:pPr>
      <w:r>
        <w:rPr>
          <w:rFonts w:ascii="Arial" w:cs="Arial" w:eastAsia="Arial" w:hAnsi="Arial"/>
          <w:sz w:val="16"/>
          <w:szCs w:val="16"/>
          <w:color w:val="auto"/>
        </w:rPr>
        <w:t>The Committee may delegate to one or more officers or employees of the Company, and/or one or more agents, the authority to assist the Committee in any or all aspects of the day-to-day administration of the Plan and/or awards granted under the Plan to the extent permitted under applicable law and consistent with the Board’s delegation to the Committee. Any action by such officer or persons acting under his or her authority within the scope of such delegation shall be deemed for all purposes to have been taken by the Committee and references in this Plan to the Committee shall include any such administrator, provided that the actions and interpretations of any such administrator shall be subject to review and approval, disapproval or modification by the Committee.</w:t>
      </w:r>
    </w:p>
    <w:p>
      <w:pPr>
        <w:spacing w:after="0" w:line="166" w:lineRule="exact"/>
        <w:rPr>
          <w:rFonts w:ascii="Arial" w:cs="Arial" w:eastAsia="Arial" w:hAnsi="Arial"/>
          <w:sz w:val="16"/>
          <w:szCs w:val="16"/>
          <w:color w:val="auto"/>
        </w:rPr>
      </w:pPr>
    </w:p>
    <w:p>
      <w:pPr>
        <w:jc w:val="both"/>
        <w:ind w:firstLine="656"/>
        <w:spacing w:after="0" w:line="234" w:lineRule="auto"/>
        <w:tabs>
          <w:tab w:leader="none" w:pos="1305" w:val="left"/>
        </w:tabs>
        <w:numPr>
          <w:ilvl w:val="1"/>
          <w:numId w:val="220"/>
        </w:numPr>
        <w:rPr>
          <w:rFonts w:ascii="Arial" w:cs="Arial" w:eastAsia="Arial" w:hAnsi="Arial"/>
          <w:sz w:val="16"/>
          <w:szCs w:val="16"/>
          <w:color w:val="auto"/>
        </w:rPr>
      </w:pPr>
      <w:r>
        <w:rPr>
          <w:rFonts w:ascii="Arial" w:cs="Arial" w:eastAsia="Arial" w:hAnsi="Arial"/>
          <w:sz w:val="16"/>
          <w:szCs w:val="16"/>
          <w:color w:val="auto"/>
        </w:rPr>
        <w:t>In making any determination or in taking or not taking any action under the Plan, the Committee may obtain and may rely on the advice of experts, including employees of and professional advisors to the Company. Any action taken by, or inaction of, the Committee relating to or pursuant to the Plan shall be within the absolute discretion of that entity or body and shall be conclusive and binding on all persons.</w:t>
      </w:r>
    </w:p>
    <w:p>
      <w:pPr>
        <w:spacing w:after="0" w:line="163" w:lineRule="exact"/>
        <w:rPr>
          <w:rFonts w:ascii="Arial" w:cs="Arial" w:eastAsia="Arial" w:hAnsi="Arial"/>
          <w:sz w:val="16"/>
          <w:szCs w:val="16"/>
          <w:color w:val="auto"/>
        </w:rPr>
      </w:pPr>
    </w:p>
    <w:p>
      <w:pPr>
        <w:ind w:left="220" w:hanging="212"/>
        <w:spacing w:after="0"/>
        <w:tabs>
          <w:tab w:leader="none" w:pos="220" w:val="left"/>
        </w:tabs>
        <w:numPr>
          <w:ilvl w:val="0"/>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w:t>
      </w:r>
    </w:p>
    <w:p>
      <w:pPr>
        <w:spacing w:after="0" w:line="19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6"/>
          <w:szCs w:val="16"/>
          <w:color w:val="auto"/>
        </w:rPr>
        <w:t>The Committee may grant one or more awards under the Plan to any individual or individuals who, at the time of grant of the particular award, are employed by the Company or serve as a member of the Board. With respect to assumed or replacement awards as contemplated in Sections 5 and 6, eligible individuals shall also include any former employees of the Company and former members of the Board holding an award that is subject to assumption or replacement. For purposes of this Section 4, “Company” includes any entity that is directly or indirectly wholly owned by the Company.</w:t>
      </w:r>
    </w:p>
    <w:p>
      <w:pPr>
        <w:spacing w:after="0" w:line="165" w:lineRule="exact"/>
        <w:rPr>
          <w:sz w:val="20"/>
          <w:szCs w:val="20"/>
          <w:color w:val="auto"/>
        </w:rPr>
      </w:pPr>
    </w:p>
    <w:p>
      <w:pPr>
        <w:ind w:left="220" w:hanging="212"/>
        <w:spacing w:after="0"/>
        <w:tabs>
          <w:tab w:leader="none" w:pos="220"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Shares of Common Stock Subject to the Plan and Grant Limits</w:t>
      </w:r>
    </w:p>
    <w:p>
      <w:pPr>
        <w:spacing w:after="0" w:line="194" w:lineRule="exact"/>
        <w:rPr>
          <w:rFonts w:ascii="Arial" w:cs="Arial" w:eastAsia="Arial" w:hAnsi="Arial"/>
          <w:sz w:val="16"/>
          <w:szCs w:val="16"/>
          <w:b w:val="1"/>
          <w:bCs w:val="1"/>
          <w:color w:val="auto"/>
        </w:rPr>
      </w:pPr>
    </w:p>
    <w:p>
      <w:pPr>
        <w:ind w:firstLine="656"/>
        <w:spacing w:after="0" w:line="221" w:lineRule="auto"/>
        <w:tabs>
          <w:tab w:leader="none" w:pos="1305" w:val="left"/>
        </w:tabs>
        <w:numPr>
          <w:ilvl w:val="1"/>
          <w:numId w:val="222"/>
        </w:numPr>
        <w:rPr>
          <w:rFonts w:ascii="Arial" w:cs="Arial" w:eastAsia="Arial" w:hAnsi="Arial"/>
          <w:sz w:val="16"/>
          <w:szCs w:val="16"/>
          <w:color w:val="auto"/>
        </w:rPr>
      </w:pPr>
      <w:r>
        <w:rPr>
          <w:rFonts w:ascii="Arial" w:cs="Arial" w:eastAsia="Arial" w:hAnsi="Arial"/>
          <w:sz w:val="16"/>
          <w:szCs w:val="16"/>
          <w:color w:val="auto"/>
        </w:rPr>
        <w:t>Subject to Section 6 of the Plan, the aggregate number of shares of Common Stock which may be issued or transferred pursuant to awards granted under the Plan shall not exceed the sum of:</w:t>
      </w:r>
    </w:p>
    <w:p>
      <w:pPr>
        <w:spacing w:after="0" w:line="1" w:lineRule="exact"/>
        <w:rPr>
          <w:rFonts w:ascii="Arial" w:cs="Arial" w:eastAsia="Arial" w:hAnsi="Arial"/>
          <w:sz w:val="16"/>
          <w:szCs w:val="16"/>
          <w:color w:val="auto"/>
        </w:rPr>
      </w:pPr>
    </w:p>
    <w:p>
      <w:pPr>
        <w:ind w:left="1360" w:hanging="191"/>
        <w:spacing w:after="0"/>
        <w:tabs>
          <w:tab w:leader="none" w:pos="1360" w:val="left"/>
        </w:tabs>
        <w:numPr>
          <w:ilvl w:val="3"/>
          <w:numId w:val="222"/>
        </w:numPr>
        <w:rPr>
          <w:rFonts w:ascii="Arial" w:cs="Arial" w:eastAsia="Arial" w:hAnsi="Arial"/>
          <w:sz w:val="16"/>
          <w:szCs w:val="16"/>
          <w:color w:val="auto"/>
        </w:rPr>
      </w:pPr>
      <w:r>
        <w:rPr>
          <w:rFonts w:ascii="Arial" w:cs="Arial" w:eastAsia="Arial" w:hAnsi="Arial"/>
          <w:sz w:val="16"/>
          <w:szCs w:val="16"/>
          <w:color w:val="auto"/>
        </w:rPr>
        <w:t>5,750,000; plus</w:t>
      </w:r>
    </w:p>
    <w:p>
      <w:pPr>
        <w:spacing w:after="0" w:line="178" w:lineRule="exact"/>
        <w:rPr>
          <w:rFonts w:ascii="Arial" w:cs="Arial" w:eastAsia="Arial" w:hAnsi="Arial"/>
          <w:sz w:val="16"/>
          <w:szCs w:val="16"/>
          <w:color w:val="auto"/>
        </w:rPr>
      </w:pPr>
    </w:p>
    <w:p>
      <w:pPr>
        <w:ind w:left="660" w:right="40" w:firstLine="466"/>
        <w:spacing w:after="0" w:line="248" w:lineRule="auto"/>
        <w:tabs>
          <w:tab w:leader="none" w:pos="1355" w:val="left"/>
        </w:tabs>
        <w:numPr>
          <w:ilvl w:val="3"/>
          <w:numId w:val="222"/>
        </w:numPr>
        <w:rPr>
          <w:rFonts w:ascii="Arial" w:cs="Arial" w:eastAsia="Arial" w:hAnsi="Arial"/>
          <w:sz w:val="16"/>
          <w:szCs w:val="16"/>
          <w:color w:val="auto"/>
        </w:rPr>
      </w:pPr>
      <w:r>
        <w:rPr>
          <w:rFonts w:ascii="Arial" w:cs="Arial" w:eastAsia="Arial" w:hAnsi="Arial"/>
          <w:sz w:val="16"/>
          <w:szCs w:val="16"/>
          <w:color w:val="auto"/>
        </w:rPr>
        <w:t>the number of any shares of Common Stock which were subject to restricted stock units, performance stock units or other equity awards granted under the Company’s 2011 Long-Term Incentive Stock Plan (as amended from time to time, the “2011 Plan”) and outstanding on the Effective Time which expire, or for any reason are cancelled, terminated, forfeited, or otherwise expire without being paid or delivered, or are settled in cash, after the Effective Time; less</w:t>
      </w:r>
    </w:p>
    <w:p>
      <w:pPr>
        <w:spacing w:after="0" w:line="184" w:lineRule="exact"/>
        <w:rPr>
          <w:rFonts w:ascii="Arial" w:cs="Arial" w:eastAsia="Arial" w:hAnsi="Arial"/>
          <w:sz w:val="16"/>
          <w:szCs w:val="16"/>
          <w:color w:val="auto"/>
        </w:rPr>
      </w:pPr>
    </w:p>
    <w:p>
      <w:pPr>
        <w:ind w:left="660" w:right="140" w:firstLine="424"/>
        <w:spacing w:after="0" w:line="268" w:lineRule="auto"/>
        <w:tabs>
          <w:tab w:leader="none" w:pos="1349" w:val="left"/>
        </w:tabs>
        <w:numPr>
          <w:ilvl w:val="2"/>
          <w:numId w:val="222"/>
        </w:numPr>
        <w:rPr>
          <w:rFonts w:ascii="Arial" w:cs="Arial" w:eastAsia="Arial" w:hAnsi="Arial"/>
          <w:sz w:val="16"/>
          <w:szCs w:val="16"/>
          <w:color w:val="auto"/>
        </w:rPr>
      </w:pPr>
      <w:r>
        <w:rPr>
          <w:rFonts w:ascii="Arial" w:cs="Arial" w:eastAsia="Arial" w:hAnsi="Arial"/>
          <w:sz w:val="16"/>
          <w:szCs w:val="16"/>
          <w:color w:val="auto"/>
        </w:rPr>
        <w:t>new awards under the 2011 Plan (if any) made on or after March 1, 2024. Upon shareholder approval of the 2024 Plan, no further grants will be made under the 2011 Plan.</w:t>
      </w:r>
    </w:p>
    <w:p>
      <w:pPr>
        <w:spacing w:after="0" w:line="169" w:lineRule="exact"/>
        <w:rPr>
          <w:rFonts w:ascii="Arial" w:cs="Arial" w:eastAsia="Arial" w:hAnsi="Arial"/>
          <w:sz w:val="16"/>
          <w:szCs w:val="16"/>
          <w:color w:val="auto"/>
        </w:rPr>
      </w:pPr>
    </w:p>
    <w:p>
      <w:pPr>
        <w:ind w:right="20" w:firstLine="656"/>
        <w:spacing w:after="0" w:line="251" w:lineRule="auto"/>
        <w:tabs>
          <w:tab w:leader="none" w:pos="1354" w:val="left"/>
        </w:tabs>
        <w:numPr>
          <w:ilvl w:val="1"/>
          <w:numId w:val="222"/>
        </w:numPr>
        <w:rPr>
          <w:rFonts w:ascii="Arial" w:cs="Arial" w:eastAsia="Arial" w:hAnsi="Arial"/>
          <w:sz w:val="16"/>
          <w:szCs w:val="16"/>
          <w:color w:val="auto"/>
        </w:rPr>
      </w:pPr>
      <w:r>
        <w:rPr>
          <w:rFonts w:ascii="Arial" w:cs="Arial" w:eastAsia="Arial" w:hAnsi="Arial"/>
          <w:sz w:val="16"/>
          <w:szCs w:val="16"/>
          <w:color w:val="auto"/>
        </w:rPr>
        <w:t>The maximum number of shares of Common Stock that may be delivered pursuant to stock options intended to qualify as incentive stock options (“ISOs”) under Section 422 of the Internal Revenue Code of 1986, as amended (the “Code”) is 5,750,000 shares.</w:t>
      </w:r>
    </w:p>
    <w:p>
      <w:pPr>
        <w:spacing w:after="0" w:line="155" w:lineRule="exact"/>
        <w:rPr>
          <w:rFonts w:ascii="Arial" w:cs="Arial" w:eastAsia="Arial" w:hAnsi="Arial"/>
          <w:sz w:val="16"/>
          <w:szCs w:val="16"/>
          <w:color w:val="auto"/>
        </w:rPr>
      </w:pPr>
    </w:p>
    <w:p>
      <w:pPr>
        <w:jc w:val="both"/>
        <w:ind w:firstLine="656"/>
        <w:spacing w:after="0" w:line="217" w:lineRule="auto"/>
        <w:tabs>
          <w:tab w:leader="none" w:pos="1309" w:val="left"/>
        </w:tabs>
        <w:numPr>
          <w:ilvl w:val="1"/>
          <w:numId w:val="222"/>
        </w:numPr>
        <w:rPr>
          <w:rFonts w:ascii="Arial" w:cs="Arial" w:eastAsia="Arial" w:hAnsi="Arial"/>
          <w:sz w:val="16"/>
          <w:szCs w:val="16"/>
          <w:color w:val="auto"/>
        </w:rPr>
      </w:pPr>
      <w:r>
        <w:rPr>
          <w:rFonts w:ascii="Arial" w:cs="Arial" w:eastAsia="Arial" w:hAnsi="Arial"/>
          <w:sz w:val="16"/>
          <w:szCs w:val="16"/>
          <w:color w:val="auto"/>
        </w:rPr>
        <w:t>Except as provided in the next sentence, shares of Common Stock which are subject to awards granted under the Plan which expire or for any reason are cancelled or terminated, are forfeited, fail to vest, or for any other reason are not paid or delivered under the Plan (including, for purposes of clarity, any shares initially reserved but, at the conclusion of the applicable performance period, not otherwise deliverable with respect to any performance-based Share Awards because actual performance for the performance period did not result in the maximum potential payout of the awards) shall again be available for subsequent awards granted under the Plan. Shares of Common Stock that are exchanged by a participant or withheld by the Company as full or partial payment to satisfy the tax withholding obligations relating to an award, shall not be available for subsequent awards under the Plan. Except as provided in the preceding sentence, in instances where an award is settled in cash or a form other than shares under the Plan, the shares that would have been issued had there been no cash or other settlement shall not be counted against the shares available for issuance under the Plan and such shares shall be available for subsequent awards granted under the Plan. The payment in cash of dividends or dividend equivalents in conjunction with outstanding awards shall not be counted against the shares available for issuance under the Plan. In the event that shares are delivered in respect of a dividend equivalent right granted under the Plan, the number of shares delivered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127</w:t>
            </w:r>
          </w:p>
        </w:tc>
      </w:tr>
      <w:tr>
        <w:trPr>
          <w:trHeight w:val="31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to the award shall be counted against the shares available for issuance under the Plan. (For purposes of clarity, if 100 shares are delivered in payment of dividend equivalent rights, 100 shares shall be counted against the shares available for issuance under the Plan.) To the extent that shares are delivered pursuant to the exercise of a SAR or stock option granted under the Plan, the total number of underlying shares as to which the exercise related shall be counted against the shares available for issuance under the Plan as opposed to only counting the shares issued, and any shares tendered by a participant to satisfy the exercise price obligations relating to such stock option or SAR awards and shares purchased by the Company using exercise price proceeds shall not be available for subsequent awards under the Plan. (For purposes of clarity, if a SAR relates to 1,000 shares and is exercised at a time when the payment due to the participant is 500 shares, 1,000 shares shall be counted against the shares available for issuance under the Plan.) Any shares that are issued by the Company, and any awards that are granted by, or become obligations of, the Company, through the assumption by the Company or an affiliate of, or in substitution for, outstanding awards previously granted by an acquired company (or previously granted by a predecessor employer (or direct or indirect parent thereof) in the case of persons that become employed by the Company (or a subsidiary or affiliate) in connection with a business or asset acquisition or similar transaction) shall not be counted against the shares available for issuance under the Plan.</w:t>
      </w:r>
    </w:p>
    <w:p>
      <w:pPr>
        <w:spacing w:after="0" w:line="168" w:lineRule="exact"/>
        <w:rPr>
          <w:sz w:val="20"/>
          <w:szCs w:val="20"/>
          <w:color w:val="auto"/>
        </w:rPr>
      </w:pPr>
    </w:p>
    <w:p>
      <w:pPr>
        <w:ind w:firstLine="656"/>
        <w:spacing w:after="0" w:line="251" w:lineRule="auto"/>
        <w:tabs>
          <w:tab w:leader="none" w:pos="1305" w:val="left"/>
        </w:tabs>
        <w:numPr>
          <w:ilvl w:val="1"/>
          <w:numId w:val="223"/>
        </w:numPr>
        <w:rPr>
          <w:rFonts w:ascii="Arial" w:cs="Arial" w:eastAsia="Arial" w:hAnsi="Arial"/>
          <w:sz w:val="16"/>
          <w:szCs w:val="16"/>
          <w:color w:val="auto"/>
        </w:rPr>
      </w:pPr>
      <w:r>
        <w:rPr>
          <w:rFonts w:ascii="Arial" w:cs="Arial" w:eastAsia="Arial" w:hAnsi="Arial"/>
          <w:sz w:val="16"/>
          <w:szCs w:val="16"/>
          <w:color w:val="auto"/>
        </w:rPr>
        <w:t>Any shares issued under the Plan may consist in whole or in part of authorized and unissued shares or of treasury shares, which may include fractional shares. Cash may be paid in lieu of any fractional shares in settlements of awards under the Plan.</w:t>
      </w:r>
    </w:p>
    <w:p>
      <w:pPr>
        <w:spacing w:after="0" w:line="155" w:lineRule="exact"/>
        <w:rPr>
          <w:rFonts w:ascii="Arial" w:cs="Arial" w:eastAsia="Arial" w:hAnsi="Arial"/>
          <w:sz w:val="16"/>
          <w:szCs w:val="16"/>
          <w:color w:val="auto"/>
        </w:rPr>
      </w:pPr>
    </w:p>
    <w:p>
      <w:pPr>
        <w:jc w:val="both"/>
        <w:ind w:firstLine="656"/>
        <w:spacing w:after="0" w:line="225" w:lineRule="auto"/>
        <w:tabs>
          <w:tab w:leader="none" w:pos="1357" w:val="left"/>
        </w:tabs>
        <w:numPr>
          <w:ilvl w:val="1"/>
          <w:numId w:val="223"/>
        </w:numPr>
        <w:rPr>
          <w:rFonts w:ascii="Arial" w:cs="Arial" w:eastAsia="Arial" w:hAnsi="Arial"/>
          <w:sz w:val="16"/>
          <w:szCs w:val="16"/>
          <w:color w:val="auto"/>
        </w:rPr>
      </w:pPr>
      <w:r>
        <w:rPr>
          <w:rFonts w:ascii="Arial" w:cs="Arial" w:eastAsia="Arial" w:hAnsi="Arial"/>
          <w:sz w:val="16"/>
          <w:szCs w:val="16"/>
          <w:color w:val="auto"/>
        </w:rPr>
        <w:t>The aggregate dollar value of equity-based (based on the grant date fair value of equity-based awards determined for financial reporting purposes) and cash compensation granted under the Plan or otherwise to any non-employee director shall not exceed $1,000,000 during any calendar year for services provided as a non-employee director; provided, however, that in the calendar year in which a non-employee director first joins the Board or during any calendar year in which a non-employee director is designated as Chair of the Board or Lead Director, the maximum aggregate dollar value of equity-based and cash compensation granted to the non-employee director may be up to $2,000,000.</w:t>
      </w:r>
    </w:p>
    <w:p>
      <w:pPr>
        <w:spacing w:after="0" w:line="163" w:lineRule="exact"/>
        <w:rPr>
          <w:rFonts w:ascii="Arial" w:cs="Arial" w:eastAsia="Arial" w:hAnsi="Arial"/>
          <w:sz w:val="16"/>
          <w:szCs w:val="16"/>
          <w:color w:val="auto"/>
        </w:rPr>
      </w:pPr>
    </w:p>
    <w:p>
      <w:pPr>
        <w:jc w:val="both"/>
        <w:ind w:firstLine="656"/>
        <w:spacing w:after="0" w:line="234" w:lineRule="auto"/>
        <w:tabs>
          <w:tab w:leader="none" w:pos="130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The limits set forth in Sections 5(b) and 5(e) shall apply with respect to all Plan awards regardless of whether the underlying shares are attributable to the fixed number of shares made available for Plan award purposes or shares that become available under the Plan pursuant to Sections 5(a) or 5(c) with respect to shares originally covered by awards which are subsequently forfeited, terminated or cancelled.</w:t>
      </w:r>
    </w:p>
    <w:p>
      <w:pPr>
        <w:spacing w:after="0" w:line="163" w:lineRule="exact"/>
        <w:rPr>
          <w:rFonts w:ascii="Arial" w:cs="Arial" w:eastAsia="Arial" w:hAnsi="Arial"/>
          <w:sz w:val="16"/>
          <w:szCs w:val="16"/>
          <w:color w:val="auto"/>
        </w:rPr>
      </w:pPr>
    </w:p>
    <w:p>
      <w:pPr>
        <w:ind w:left="220" w:hanging="212"/>
        <w:spacing w:after="0"/>
        <w:tabs>
          <w:tab w:leader="none" w:pos="220" w:val="left"/>
        </w:tabs>
        <w:numPr>
          <w:ilvl w:val="0"/>
          <w:numId w:val="224"/>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 and Reorganizations</w:t>
      </w:r>
    </w:p>
    <w:p>
      <w:pPr>
        <w:spacing w:after="0" w:line="194" w:lineRule="exact"/>
        <w:rPr>
          <w:rFonts w:ascii="Arial" w:cs="Arial" w:eastAsia="Arial" w:hAnsi="Arial"/>
          <w:sz w:val="16"/>
          <w:szCs w:val="16"/>
          <w:b w:val="1"/>
          <w:bCs w:val="1"/>
          <w:color w:val="auto"/>
        </w:rPr>
      </w:pPr>
    </w:p>
    <w:p>
      <w:pPr>
        <w:jc w:val="both"/>
        <w:ind w:firstLine="656"/>
        <w:spacing w:after="0" w:line="216" w:lineRule="auto"/>
        <w:tabs>
          <w:tab w:leader="none" w:pos="1305" w:val="left"/>
        </w:tabs>
        <w:numPr>
          <w:ilvl w:val="1"/>
          <w:numId w:val="224"/>
        </w:numPr>
        <w:rPr>
          <w:rFonts w:ascii="Arial" w:cs="Arial" w:eastAsia="Arial" w:hAnsi="Arial"/>
          <w:sz w:val="16"/>
          <w:szCs w:val="16"/>
          <w:color w:val="auto"/>
        </w:rPr>
      </w:pPr>
      <w:r>
        <w:rPr>
          <w:rFonts w:ascii="Arial" w:cs="Arial" w:eastAsia="Arial" w:hAnsi="Arial"/>
          <w:sz w:val="16"/>
          <w:szCs w:val="16"/>
          <w:color w:val="auto"/>
        </w:rPr>
        <w:t>Upon (or, as may be necessary to effect the adjustment, immediately prior to): any reclassification, recapitalization, stock split (including a stock split in the form of a stock dividend) or reverse stock split; any merger, combination, consolidation, or other reorganization; any spin-off, split-up, or similar extraordinary dividend distribution in respect of the Common Stock; or any exchange of shares of Common Stock or other securities of the Company, or any similar, unusual or extraordinary corporate transaction in respect of the Common Stock; then the Committee shall equitably and proportionately adjust</w:t>
      </w:r>
    </w:p>
    <w:p>
      <w:pPr>
        <w:spacing w:after="0" w:line="1" w:lineRule="exact"/>
        <w:rPr>
          <w:rFonts w:ascii="Arial" w:cs="Arial" w:eastAsia="Arial" w:hAnsi="Arial"/>
          <w:sz w:val="16"/>
          <w:szCs w:val="16"/>
          <w:color w:val="auto"/>
        </w:rPr>
      </w:pPr>
    </w:p>
    <w:p>
      <w:pPr>
        <w:jc w:val="both"/>
        <w:spacing w:after="0" w:line="219" w:lineRule="auto"/>
        <w:rPr>
          <w:rFonts w:ascii="Arial" w:cs="Arial" w:eastAsia="Arial" w:hAnsi="Arial"/>
          <w:sz w:val="16"/>
          <w:szCs w:val="16"/>
          <w:color w:val="auto"/>
        </w:rPr>
      </w:pPr>
      <w:r>
        <w:rPr>
          <w:rFonts w:ascii="Arial" w:cs="Arial" w:eastAsia="Arial" w:hAnsi="Arial"/>
          <w:sz w:val="16"/>
          <w:szCs w:val="16"/>
          <w:color w:val="auto"/>
        </w:rPr>
        <w:t>(1) the number and type of shares of Common Stock (or other securities) that thereafter may be issued under the Plan or made the subject of awards (including the specific share limits, maximums and numbers of shares set forth in Sections 5(a) and 5(b) and elsewhere in this Plan), (2) the number, amount and type of shares of Common Stock (or other securities or property) subject to any outstanding awards, (3) the grant, purchase or exercise price (which term includes the base price of any SAR or similar right) of any outstanding awards, and/or (4) the securities, cash or other property deliverable upon exercise or payment of any outstanding awards, in each case to the extent necessary to preserve (but not increase) the level of incentives intended by this Plan and the then-outstanding awards.</w:t>
      </w:r>
    </w:p>
    <w:p>
      <w:pPr>
        <w:spacing w:after="0" w:line="165" w:lineRule="exact"/>
        <w:rPr>
          <w:sz w:val="20"/>
          <w:szCs w:val="20"/>
          <w:color w:val="auto"/>
        </w:rPr>
      </w:pPr>
    </w:p>
    <w:p>
      <w:pPr>
        <w:jc w:val="both"/>
        <w:ind w:firstLine="180"/>
        <w:spacing w:after="0" w:line="228" w:lineRule="auto"/>
        <w:rPr>
          <w:sz w:val="20"/>
          <w:szCs w:val="20"/>
          <w:color w:val="auto"/>
        </w:rPr>
      </w:pPr>
      <w:r>
        <w:rPr>
          <w:rFonts w:ascii="Arial" w:cs="Arial" w:eastAsia="Arial" w:hAnsi="Arial"/>
          <w:sz w:val="16"/>
          <w:szCs w:val="16"/>
          <w:color w:val="auto"/>
        </w:rPr>
        <w:t>Unless otherwise expressly provided in the applicable award agreement, upon (or, as may be necessary to effect the adjustment, immediately prior to) any event or transaction described in the preceding paragraph or a sale of all or substantially all of the business or assets of the Company as an entirety, the Committee shall equitably and proportionately adjust the performance goals and metrics applicable to any then-outstanding performance-based awards to the extent necessary to preserve (but not increase) the level of incentives intended by the Plan and the then-outstanding performance-based awards.</w:t>
      </w:r>
    </w:p>
    <w:p>
      <w:pPr>
        <w:spacing w:after="0" w:line="165" w:lineRule="exact"/>
        <w:rPr>
          <w:sz w:val="20"/>
          <w:szCs w:val="20"/>
          <w:color w:val="auto"/>
        </w:rPr>
      </w:pPr>
    </w:p>
    <w:p>
      <w:pPr>
        <w:jc w:val="both"/>
        <w:ind w:firstLine="228"/>
        <w:spacing w:after="0" w:line="234" w:lineRule="auto"/>
        <w:rPr>
          <w:sz w:val="20"/>
          <w:szCs w:val="20"/>
          <w:color w:val="auto"/>
        </w:rPr>
      </w:pPr>
      <w:r>
        <w:rPr>
          <w:rFonts w:ascii="Arial" w:cs="Arial" w:eastAsia="Arial" w:hAnsi="Arial"/>
          <w:sz w:val="16"/>
          <w:szCs w:val="16"/>
          <w:color w:val="auto"/>
        </w:rPr>
        <w:t>It is intended that, if possible, any adjustments contemplated by the preceding two paragraphs be made in a manner that satisfies applicable legal, tax (including, without limitation and as applicable in the circumstances, Section 424 of the Code and Section 409A of the Code) and accounting (so as to not trigger any charge to earnings with respect to such adjustment) requirements.</w:t>
      </w:r>
    </w:p>
    <w:p>
      <w:pPr>
        <w:spacing w:after="0" w:line="164" w:lineRule="exact"/>
        <w:rPr>
          <w:sz w:val="20"/>
          <w:szCs w:val="20"/>
          <w:color w:val="auto"/>
        </w:rPr>
      </w:pPr>
    </w:p>
    <w:p>
      <w:pPr>
        <w:jc w:val="both"/>
        <w:ind w:firstLine="656"/>
        <w:spacing w:after="0" w:line="222" w:lineRule="auto"/>
        <w:tabs>
          <w:tab w:leader="none" w:pos="130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Notwithstanding anything to the contrary in Section 6(a), the provisions of this Section 6(b) shall apply to an outstanding Plan award if a Change in Control (as defined in Section 6(e)) occurs. No acceleration of vesting, exercisability and/or payment of an outstanding Plan award shall occur solely as a result of a Change in Control unless the Change in Control is triggered by clause (iii) or (iv) of the definition thereof, the Company is not the ultimate parent company whose Common Stock is publicly traded after such transaction and the successor to the Company (if any) (or a parent thereof) does not agree in writing prior to the occurrence of the Change in Control to continue and assume the award following the Change in Control, in which case upon the Change in Control, unless provided otherwise in the applicable award agreement, (i) if the award is a stock option, it shall vest fully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0" w:hanging="494"/>
        <w:spacing w:after="0"/>
        <w:tabs>
          <w:tab w:leader="none" w:pos="520" w:val="left"/>
        </w:tabs>
        <w:numPr>
          <w:ilvl w:val="0"/>
          <w:numId w:val="226"/>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4"/>
          <w:szCs w:val="14"/>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16" w:lineRule="auto"/>
        <w:rPr>
          <w:sz w:val="20"/>
          <w:szCs w:val="20"/>
          <w:color w:val="auto"/>
        </w:rPr>
      </w:pPr>
      <w:r>
        <w:rPr>
          <w:rFonts w:ascii="Arial" w:cs="Arial" w:eastAsia="Arial" w:hAnsi="Arial"/>
          <w:sz w:val="16"/>
          <w:szCs w:val="16"/>
          <w:color w:val="auto"/>
        </w:rPr>
        <w:t>completely, any and all restrictions on exercisability or otherwise shall lapse, and it shall be fully exercisable; (ii) if the award is a SAR, it shall vest fully and completely, any and all restrictions on such SAR shall lapse, and it shall be fully exercisable; and (iii) if the award is a Share Award or Cash Award, it shall immediately vest fully and completely, and all restrictions shall lapse, provided, however, that if the award is performance-based, the earnout or payout of the award, as applicable, shall be computed by the Committee as it determines appropriate based on the performance terms of the award and based on actual performance achieved to the date of the Change in Control. If a stock option, SAR or other award is fully vested or becomes fully vested as provided in the preceding sentence, then the Committee may provide for the settlement in cash of the award (such settlement to be calculated as though the award was paid or exercised simultaneously with the Change in Control and based upon the then Fair Market Value of a share of Common Stock and subject, in the case of a performance-based award, to the Change in Control payment provisions set forth above). A stock option, SAR or other award so settled by the Committee shall automatically terminate. If, in such circumstances, the Committee does not provide for the cash settlement of a stock option, SAR or other award, then upon the Change in Control such option or award shall terminate, subject to any provision that has been made by the Committee through a plan of reorganization or otherwise for the survival, substitution or exchange of such option or right and further subject to any Change in Control settlement or payment provisions included in the applicable award agreement; provided that the stock option, SAR or award holder shall be given reasonable notice of such intended termination and an opportunity to exercise the stock option, SAR or award (to the extent a Share Award must be exercised in order for the participant to realize the intended benefits) prior to or upon the Change in Control.</w:t>
      </w:r>
    </w:p>
    <w:p>
      <w:pPr>
        <w:spacing w:after="0" w:line="166" w:lineRule="exact"/>
        <w:rPr>
          <w:sz w:val="20"/>
          <w:szCs w:val="20"/>
          <w:color w:val="auto"/>
        </w:rPr>
      </w:pPr>
    </w:p>
    <w:p>
      <w:pPr>
        <w:jc w:val="both"/>
        <w:ind w:firstLine="656"/>
        <w:spacing w:after="0" w:line="221" w:lineRule="auto"/>
        <w:tabs>
          <w:tab w:leader="none" w:pos="1309"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Committee may provide that acceleration of vesting, exercisability and/or payment of an outstanding Plan award will occur if the participant’s employment or service is terminated by the Company without cause or the participant terminates employment or service for good reason in connection with a Change in Control. Furthermore, and notwithstanding the provisions of Section 6(b), a Change in Control shall not accelerate the payment of any award that is subject to Section 409A of the Code to the extent such acceleration would result in any tax, penalty or interest under Section 409A of the Code; provided that the Committee retains the authority contemplated by this Section 6 to the extent any modification of an award may be made in a manner which complies with (and does not result in any tax under) Section 409A of the Code or is otherwise exempt from Section 409A of the Code. The occurrence of a particular Change in Control under the Plan shall have no effect on any award granted under the Plan after the date of that Change in Control.</w:t>
      </w:r>
    </w:p>
    <w:p>
      <w:pPr>
        <w:spacing w:after="0" w:line="164" w:lineRule="exact"/>
        <w:rPr>
          <w:rFonts w:ascii="Arial" w:cs="Arial" w:eastAsia="Arial" w:hAnsi="Arial"/>
          <w:sz w:val="16"/>
          <w:szCs w:val="16"/>
          <w:color w:val="auto"/>
        </w:rPr>
      </w:pPr>
    </w:p>
    <w:p>
      <w:pPr>
        <w:jc w:val="both"/>
        <w:ind w:firstLine="656"/>
        <w:spacing w:after="0" w:line="228" w:lineRule="auto"/>
        <w:tabs>
          <w:tab w:leader="none" w:pos="130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The Committee may make adjustments pursuant to Section 6(a) and/or deem an acceleration of vesting of awards pursuant to Section 6(b) to occur sufficiently prior to an event if necessary or deemed appropriate to permit the participant to realize the benefits intended to be conveyed with respect to the shares underlying the award; provided, however, that, the Committee will, in such circumstances, reinstate the original terms of an award if the related event does not actually occur.</w:t>
      </w:r>
    </w:p>
    <w:p>
      <w:pPr>
        <w:spacing w:after="0" w:line="164" w:lineRule="exact"/>
        <w:rPr>
          <w:rFonts w:ascii="Arial" w:cs="Arial" w:eastAsia="Arial" w:hAnsi="Arial"/>
          <w:sz w:val="16"/>
          <w:szCs w:val="16"/>
          <w:color w:val="auto"/>
        </w:rPr>
      </w:pPr>
    </w:p>
    <w:p>
      <w:pPr>
        <w:ind w:right="20" w:firstLine="656"/>
        <w:spacing w:after="0" w:line="251" w:lineRule="auto"/>
        <w:tabs>
          <w:tab w:leader="none" w:pos="130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 “Change in Control” of the Company shall be deemed to have occurred as of the first day that any one or more of the following conditions shall have been satisfied:</w:t>
      </w:r>
    </w:p>
    <w:p>
      <w:pPr>
        <w:spacing w:after="0" w:line="155" w:lineRule="exact"/>
        <w:rPr>
          <w:rFonts w:ascii="Arial" w:cs="Arial" w:eastAsia="Arial" w:hAnsi="Arial"/>
          <w:sz w:val="16"/>
          <w:szCs w:val="16"/>
          <w:color w:val="auto"/>
        </w:rPr>
      </w:pPr>
    </w:p>
    <w:p>
      <w:pPr>
        <w:jc w:val="both"/>
        <w:ind w:left="660" w:firstLine="509"/>
        <w:spacing w:after="0" w:line="217" w:lineRule="auto"/>
        <w:tabs>
          <w:tab w:leader="none" w:pos="1362" w:val="left"/>
        </w:tabs>
        <w:numPr>
          <w:ilvl w:val="1"/>
          <w:numId w:val="227"/>
        </w:numPr>
        <w:rPr>
          <w:rFonts w:ascii="Arial" w:cs="Arial" w:eastAsia="Arial" w:hAnsi="Arial"/>
          <w:sz w:val="16"/>
          <w:szCs w:val="16"/>
          <w:color w:val="auto"/>
        </w:rPr>
      </w:pPr>
      <w:r>
        <w:rPr>
          <w:rFonts w:ascii="Arial" w:cs="Arial" w:eastAsia="Arial" w:hAnsi="Arial"/>
          <w:sz w:val="16"/>
          <w:szCs w:val="16"/>
          <w:color w:val="auto"/>
        </w:rPr>
        <w:t>Any Person (other than those Persons in control of the Company as of the Effective Time, or other than a trustee or other fiduciary holding securities under an employee benefit plan of the Company or any affiliate of the Company or a successor) becomes the Beneficial Owner, directly or indirectly, of securities of the Company representing twenty-five percent (25%) or more of either (1) the then-outstanding shares of Common Stock of the Company (the “Outstanding Company Common Stock”) or (2) the combined voting power of the then-outstanding voting securities of the Company entitled to vote generally in the election of directors (the “Outstanding Company Voting Securities”); provided, however, that for purposes of this clause (i): (A) “Person” or “group” shall not include underwriters acquiring newly-issued voting securities (or securities convertible into voting securities) directly from the Company with a view towards distribution, (B) creditors of the Company who become shareholders of the Company in connection with any bankruptcy of the Company under the laws of the United States shall not, by virtue of such bankruptcy, be deemed a “group” or a single Person for the purposes of this clause (i) (provided that any one of such creditors may trigger a Change in Control pursuant to this clause (i) if such creditor’s ownership of Company securities equals or exceeds the foregoing threshold), and (C) an acquisition shall not constitute a Change in Control if made by an entity pursuant to a transaction that is covered by and does not otherwise constitute a Change in Control under clause (iii) below;</w:t>
      </w:r>
    </w:p>
    <w:p>
      <w:pPr>
        <w:spacing w:after="0" w:line="163" w:lineRule="exact"/>
        <w:rPr>
          <w:rFonts w:ascii="Arial" w:cs="Arial" w:eastAsia="Arial" w:hAnsi="Arial"/>
          <w:sz w:val="16"/>
          <w:szCs w:val="16"/>
          <w:color w:val="auto"/>
        </w:rPr>
      </w:pPr>
    </w:p>
    <w:p>
      <w:pPr>
        <w:jc w:val="both"/>
        <w:ind w:left="660" w:firstLine="466"/>
        <w:spacing w:after="0" w:line="234" w:lineRule="auto"/>
        <w:tabs>
          <w:tab w:leader="none" w:pos="1369" w:val="left"/>
        </w:tabs>
        <w:numPr>
          <w:ilvl w:val="1"/>
          <w:numId w:val="227"/>
        </w:numPr>
        <w:rPr>
          <w:rFonts w:ascii="Arial" w:cs="Arial" w:eastAsia="Arial" w:hAnsi="Arial"/>
          <w:sz w:val="16"/>
          <w:szCs w:val="16"/>
          <w:color w:val="auto"/>
        </w:rPr>
      </w:pPr>
      <w:r>
        <w:rPr>
          <w:rFonts w:ascii="Arial" w:cs="Arial" w:eastAsia="Arial" w:hAnsi="Arial"/>
          <w:sz w:val="16"/>
          <w:szCs w:val="16"/>
          <w:color w:val="auto"/>
        </w:rPr>
        <w:t>On any day after the Effective Time (the “Measurement Date”) Continuing Directors cease for any reason to constitute either: (1) if the Company does not have a Parent, a majority of the Board; or (2) if the Company has a Parent, a majority of the Board of Directors of the Controlling Parent. A director is a “Continuing Director” if he or she either:</w:t>
      </w:r>
    </w:p>
    <w:p>
      <w:pPr>
        <w:spacing w:after="0" w:line="163" w:lineRule="exact"/>
        <w:rPr>
          <w:rFonts w:ascii="Arial" w:cs="Arial" w:eastAsia="Arial" w:hAnsi="Arial"/>
          <w:sz w:val="16"/>
          <w:szCs w:val="16"/>
          <w:color w:val="auto"/>
        </w:rPr>
      </w:pPr>
    </w:p>
    <w:p>
      <w:pPr>
        <w:ind w:left="1680" w:hanging="376"/>
        <w:spacing w:after="0"/>
        <w:tabs>
          <w:tab w:leader="none" w:pos="1680" w:val="left"/>
        </w:tabs>
        <w:numPr>
          <w:ilvl w:val="2"/>
          <w:numId w:val="227"/>
        </w:numPr>
        <w:rPr>
          <w:rFonts w:ascii="Arial" w:cs="Arial" w:eastAsia="Arial" w:hAnsi="Arial"/>
          <w:sz w:val="16"/>
          <w:szCs w:val="16"/>
          <w:color w:val="auto"/>
        </w:rPr>
      </w:pPr>
      <w:r>
        <w:rPr>
          <w:rFonts w:ascii="Arial" w:cs="Arial" w:eastAsia="Arial" w:hAnsi="Arial"/>
          <w:sz w:val="16"/>
          <w:szCs w:val="16"/>
          <w:color w:val="auto"/>
        </w:rPr>
        <w:t>was a member of the Board on the applicable Initial Date (an “Initial Director”); or</w:t>
      </w:r>
    </w:p>
    <w:p>
      <w:pPr>
        <w:spacing w:after="0" w:line="194" w:lineRule="exact"/>
        <w:rPr>
          <w:rFonts w:ascii="Arial" w:cs="Arial" w:eastAsia="Arial" w:hAnsi="Arial"/>
          <w:sz w:val="16"/>
          <w:szCs w:val="16"/>
          <w:color w:val="auto"/>
        </w:rPr>
      </w:pPr>
    </w:p>
    <w:p>
      <w:pPr>
        <w:ind w:left="1960" w:right="20" w:hanging="656"/>
        <w:spacing w:after="0" w:line="251" w:lineRule="auto"/>
        <w:tabs>
          <w:tab w:leader="none" w:pos="1740" w:val="left"/>
        </w:tabs>
        <w:numPr>
          <w:ilvl w:val="2"/>
          <w:numId w:val="227"/>
        </w:numPr>
        <w:rPr>
          <w:rFonts w:ascii="Arial" w:cs="Arial" w:eastAsia="Arial" w:hAnsi="Arial"/>
          <w:sz w:val="16"/>
          <w:szCs w:val="16"/>
          <w:color w:val="auto"/>
        </w:rPr>
      </w:pPr>
      <w:r>
        <w:rPr>
          <w:rFonts w:ascii="Arial" w:cs="Arial" w:eastAsia="Arial" w:hAnsi="Arial"/>
          <w:sz w:val="16"/>
          <w:szCs w:val="16"/>
          <w:color w:val="auto"/>
        </w:rPr>
        <w:t>was elected to the Board (or the Board of Directors of the Controlling Parent, as applicable), or was nominated for election by the Company’s or the Controlling Parent’s shareholders, by a vote of at least two-thirds (2/3) of the Initial Directors then in office.</w:t>
      </w:r>
    </w:p>
    <w:p>
      <w:pPr>
        <w:spacing w:after="0" w:line="155"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A member of the Board (or Board of Directors of the Controlling Parent, as applicable) who was not a director on the applicable Initial Date shall be deemed to be an Initial Director for purposes of clause (2) above if 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129</w:t>
            </w:r>
          </w:p>
        </w:tc>
      </w:tr>
      <w:tr>
        <w:trPr>
          <w:trHeight w:val="31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660"/>
        <w:spacing w:after="0" w:line="234" w:lineRule="auto"/>
        <w:rPr>
          <w:sz w:val="20"/>
          <w:szCs w:val="20"/>
          <w:color w:val="auto"/>
        </w:rPr>
      </w:pPr>
      <w:r>
        <w:rPr>
          <w:rFonts w:ascii="Arial" w:cs="Arial" w:eastAsia="Arial" w:hAnsi="Arial"/>
          <w:sz w:val="16"/>
          <w:szCs w:val="16"/>
          <w:color w:val="auto"/>
        </w:rPr>
        <w:t>or her election, or nomination for election by the Company’s or the Controlling Parent’s shareholders, was approved by a vote of at least two-thirds (2/3) of the Initial Directors (including directors elected after the applicable Initial Date who are deemed to be Initial Directors by application of this provision) then in office. “Initial Date” means the later of (1) the Effective Time or (2) the date that is two (2) years before the Measurement Date.</w:t>
      </w:r>
    </w:p>
    <w:p>
      <w:pPr>
        <w:spacing w:after="0" w:line="164" w:lineRule="exact"/>
        <w:rPr>
          <w:sz w:val="20"/>
          <w:szCs w:val="20"/>
          <w:color w:val="auto"/>
        </w:rPr>
      </w:pPr>
    </w:p>
    <w:p>
      <w:pPr>
        <w:jc w:val="both"/>
        <w:ind w:left="660" w:firstLine="424"/>
        <w:spacing w:after="0" w:line="215" w:lineRule="auto"/>
        <w:tabs>
          <w:tab w:leader="none" w:pos="1376" w:val="left"/>
        </w:tabs>
        <w:numPr>
          <w:ilvl w:val="0"/>
          <w:numId w:val="228"/>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“Business Combination”),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sixty percent (60%)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is a Parent of the Company or the successor of the Company) in substantially the same proportions as their ownership immediately prior to such Business Combination of the Outstanding Company Common Stock and the Outstanding Company Voting Securities, as the case may be, (2) no Person (excluding any entity resulting from such Business Combination or a Parent of the Company or any successor of the Company or any employee benefit plan (or related trust) of the Company or such entity resulting from such Business Combination or a Parent of the Company or the successor entity) Beneficially Owns, directly or indirectly, twenty-five percent (25%) or more of, respectively, the then-outstanding shares of common stock of the entity resulting from such Business Combination or the combined voting power of the then-outstanding voting securities of such entity, except to the extent that the ownership in excess of twenty-five percent (25%) existed prior to the Business Combination, and (3) the conditions of clause (ii) above are not met with respect to the Company (including any successor entity) or any Parent of the Company (or the successor entity).</w:t>
      </w:r>
    </w:p>
    <w:p>
      <w:pPr>
        <w:spacing w:after="0" w:line="170" w:lineRule="exact"/>
        <w:rPr>
          <w:rFonts w:ascii="Arial" w:cs="Arial" w:eastAsia="Arial" w:hAnsi="Arial"/>
          <w:sz w:val="16"/>
          <w:szCs w:val="16"/>
          <w:color w:val="auto"/>
        </w:rPr>
      </w:pPr>
    </w:p>
    <w:p>
      <w:pPr>
        <w:ind w:left="660" w:firstLine="434"/>
        <w:spacing w:after="0" w:line="251" w:lineRule="auto"/>
        <w:tabs>
          <w:tab w:leader="none" w:pos="1381"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 complete liquidation or dissolution of the Company other than in the context of a transaction that does not constitute a Change in Control of the Company under clause (iii) above.</w:t>
      </w:r>
    </w:p>
    <w:p>
      <w:pPr>
        <w:spacing w:after="0" w:line="15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6"/>
          <w:szCs w:val="16"/>
          <w:color w:val="auto"/>
        </w:rPr>
        <w:t>Notwithstanding the foregoing, in no event shall a transaction or other event that occurred prior to the Effective Time constitute a Change in Control. Notwithstanding anything in clause (iii) above to the contrary, a change in ownership of the Company resulting from creditors of the Company becoming shareholders of the Company in connection with any bankruptcy of the Company under the laws of the United States shall not trigger a Change in Control pursuant to clause (iii) above.</w:t>
      </w:r>
    </w:p>
    <w:p>
      <w:pPr>
        <w:spacing w:after="0" w:line="16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6"/>
          <w:szCs w:val="16"/>
          <w:color w:val="auto"/>
        </w:rPr>
        <w:t>“Beneficial Owner” shall have the meaning ascribed to such term in Rule 13d-3 of the General Rules and Regulations under the 1934 Act. “Controlling Parent” means the Company’s Parent so long as a majority of the voting stock or voting power of that Parent is not Beneficially Owned, directly or indirectly through one or more subsidiaries, by any other Person. In the event that the Company has more than one “Parent,” then “Controlling Parent” means the Parent of the Company the majority of the voting stock or voting power of which is not Beneficially Owned, directly or indirectly through one or more subsidiaries, by any other Person. “Parent” means an entity that Beneficially Owns a majority of the voting stock or voting power of the Company, or all or substantially all of the Company’s assets, directly or indirectly through one or more subsidiaries. “Person” shall have the meaning ascribed to such term in Section 3(a)(9) of the 1934 Act and used in Sections 13(d) and 14(d) thereof, including a “group” as defined in Section 13(d) thereof.</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Fair Market Value</w:t>
      </w:r>
    </w:p>
    <w:p>
      <w:pPr>
        <w:spacing w:after="0" w:line="194"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6"/>
          <w:szCs w:val="16"/>
          <w:color w:val="auto"/>
        </w:rPr>
        <w:t>“Fair Market Value” for all purposes under the Plan shall mean the closing price of a share of Common Stock as reported by the New York Stock Exchange, or any other established stock exchange, system or market the Common Stock is then listed on (the “Exchange”) for the date in question. If no sales of Common Stock were made on the Exchange on that date, the closing price of a share of Common Stock as reported by the Exchange for the next preceding day on which sales of Common Stock were made on the Exchange shall be substituted. In the absence of an established market for the Common Stock, the Fair Market Value thereof shall be determined in good faith by the Committee by the reasonable application of a reasonable valuation method, taking into account factors consistent with Treas. Reg. § 1.409A-1(b)(5)(iv)(B) as the Committee deems appropriate.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Awards</w:t>
      </w:r>
    </w:p>
    <w:p>
      <w:pPr>
        <w:spacing w:after="0" w:line="20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Committee shall determine the type or types of award(s) to be made to each participant. Awards may be granted singly, in combination or in tandem. Awards also may be made in combination or in tandem with, in replacement of, as alternatives to, or as the payment form for grants or rights under any other employee or compensation plan of the Company, including the plan of any acquired entity; provided that in no event shall any reload stock options be granted under the Plan. Share Awards, stock options and SARs may be granted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0" w:hanging="494"/>
        <w:spacing w:after="0"/>
        <w:tabs>
          <w:tab w:leader="none" w:pos="520" w:val="left"/>
        </w:tabs>
        <w:numPr>
          <w:ilvl w:val="0"/>
          <w:numId w:val="229"/>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4"/>
          <w:szCs w:val="14"/>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that provide for the issuance of or are denominated in Common Stock or units of Common Stock. Cash Awards that are denominated in or may be settled only in cash also may be granted under the Plan.</w:t>
      </w:r>
    </w:p>
    <w:p>
      <w:pPr>
        <w:spacing w:after="0" w:line="48" w:lineRule="exact"/>
        <w:rPr>
          <w:sz w:val="20"/>
          <w:szCs w:val="20"/>
          <w:color w:val="auto"/>
        </w:rPr>
      </w:pPr>
    </w:p>
    <w:p>
      <w:pPr>
        <w:jc w:val="both"/>
        <w:ind w:firstLine="656"/>
        <w:spacing w:after="0" w:line="213" w:lineRule="auto"/>
        <w:tabs>
          <w:tab w:leader="none" w:pos="1054" w:val="left"/>
        </w:tabs>
        <w:numPr>
          <w:ilvl w:val="1"/>
          <w:numId w:val="230"/>
        </w:numPr>
        <w:rPr>
          <w:rFonts w:ascii="Arial" w:cs="Arial" w:eastAsia="Arial" w:hAnsi="Arial"/>
          <w:sz w:val="16"/>
          <w:szCs w:val="16"/>
          <w:color w:val="auto"/>
        </w:rPr>
      </w:pPr>
      <w:r>
        <w:rPr>
          <w:rFonts w:ascii="Arial" w:cs="Arial" w:eastAsia="Arial" w:hAnsi="Arial"/>
          <w:sz w:val="16"/>
          <w:szCs w:val="16"/>
          <w:color w:val="auto"/>
        </w:rPr>
        <w:t>Stock Options. Stock options are rights to purchase a specified number of shares of Common Stock during a specified period as determined by the Committee. The purchase price per share for each stock option shall be set forth in the applicable award agreement and shall be not less than 100% of Fair Market Value on the date of grant. A stock option may be in the form of an ISO which, in addition to being subject to applicable terms, conditions and limitations established by the Committee, are intended to comply with Section 422 of the Code. If an ISO is granted, the aggregate Fair Market Value (determined on the date the stock option is granted) of Common Stock subject to an ISO granted to a participant by the Committee which first becomes exercisable in any calendar year shall not exceed $100,000.00 (otherwise, the intended ISO, to the extent of such excess, shall be deemed a nonqualified stock option). ISOs may only be granted to employees of the Company or a Subsidiary. (“Subsidiary” means a “subsidiary corporation” of the Company within the meaning of Section 424(f) of the Code.) The maximum term of each stock option (ISO or nonqualified) shall be ten (10) years. Notwithstanding the foregoing, ISOs granted to any individual who owns (or is deemed to own pursuant to the Code) stock possessing more than 10% of the total combined voting power of all classes of stock of the Company must have a purchase price per share of not less than 110% of the Fair Market Value on the date of grant and have a maximum term of five (5) years. The price at which shares of Common Stock may be purchased under a stock option shall be paid in full at the time of the exercise in cash or such other method permitted by the Committee, including (i) tendering (either actually or by attestation) Common Stock;</w:t>
      </w:r>
    </w:p>
    <w:p>
      <w:pPr>
        <w:jc w:val="both"/>
        <w:ind w:firstLine="8"/>
        <w:spacing w:after="0" w:line="223" w:lineRule="auto"/>
        <w:tabs>
          <w:tab w:leader="none" w:pos="238" w:val="left"/>
        </w:tabs>
        <w:numPr>
          <w:ilvl w:val="0"/>
          <w:numId w:val="231"/>
        </w:numPr>
        <w:rPr>
          <w:rFonts w:ascii="Arial" w:cs="Arial" w:eastAsia="Arial" w:hAnsi="Arial"/>
          <w:sz w:val="16"/>
          <w:szCs w:val="16"/>
          <w:color w:val="auto"/>
        </w:rPr>
      </w:pPr>
      <w:r>
        <w:rPr>
          <w:rFonts w:ascii="Arial" w:cs="Arial" w:eastAsia="Arial" w:hAnsi="Arial"/>
          <w:sz w:val="16"/>
          <w:szCs w:val="16"/>
          <w:color w:val="auto"/>
        </w:rPr>
        <w:t>surrendering a stock award valued at Fair Market Value on the date of surrender; (iii) authorizing a third party to sell the shares (or a sufficient portion thereof) acquired upon exercise of a stock option and assigning the delivery to the Company of a sufficient amount of the sale proceeds to pay for all the shares acquired through such exercise; (iv) the Company withholding a number of shares of Common Stock otherwise deliverable pursuant to the award with a value sufficient to cover such exercise price; or (v) any combination of the above.</w:t>
      </w:r>
    </w:p>
    <w:p>
      <w:pPr>
        <w:spacing w:after="0" w:line="164" w:lineRule="exact"/>
        <w:rPr>
          <w:rFonts w:ascii="Arial" w:cs="Arial" w:eastAsia="Arial" w:hAnsi="Arial"/>
          <w:sz w:val="16"/>
          <w:szCs w:val="16"/>
          <w:color w:val="auto"/>
        </w:rPr>
      </w:pPr>
    </w:p>
    <w:p>
      <w:pPr>
        <w:jc w:val="both"/>
        <w:ind w:firstLine="656"/>
        <w:spacing w:after="0" w:line="228" w:lineRule="auto"/>
        <w:tabs>
          <w:tab w:leader="none" w:pos="1093" w:val="left"/>
        </w:tabs>
        <w:numPr>
          <w:ilvl w:val="1"/>
          <w:numId w:val="231"/>
        </w:numPr>
        <w:rPr>
          <w:rFonts w:ascii="Arial" w:cs="Arial" w:eastAsia="Arial" w:hAnsi="Arial"/>
          <w:sz w:val="16"/>
          <w:szCs w:val="16"/>
          <w:color w:val="auto"/>
        </w:rPr>
      </w:pPr>
      <w:r>
        <w:rPr>
          <w:rFonts w:ascii="Arial" w:cs="Arial" w:eastAsia="Arial" w:hAnsi="Arial"/>
          <w:sz w:val="16"/>
          <w:szCs w:val="16"/>
          <w:color w:val="auto"/>
        </w:rPr>
        <w:t>SARs. A SAR is a right to receive a payment, in cash and/or Common Stock, equal to the excess of the Fair Market Value of a specified number of shares of Common Stock on the date the SAR is exercised over the “base price” of the award, which base price shall be set forth in the applicable award agreement and shall not be less than 100% of the Fair Market Value of a share of Common Stock on the date of grant of the SAR. The maximum term of a SAR shall be ten (10) years.</w:t>
      </w:r>
    </w:p>
    <w:p>
      <w:pPr>
        <w:spacing w:after="0" w:line="164" w:lineRule="exact"/>
        <w:rPr>
          <w:rFonts w:ascii="Arial" w:cs="Arial" w:eastAsia="Arial" w:hAnsi="Arial"/>
          <w:sz w:val="16"/>
          <w:szCs w:val="16"/>
          <w:color w:val="auto"/>
        </w:rPr>
      </w:pPr>
    </w:p>
    <w:p>
      <w:pPr>
        <w:ind w:firstLine="656"/>
        <w:spacing w:after="0" w:line="251" w:lineRule="auto"/>
        <w:tabs>
          <w:tab w:leader="none" w:pos="1019" w:val="left"/>
        </w:tabs>
        <w:numPr>
          <w:ilvl w:val="1"/>
          <w:numId w:val="231"/>
        </w:numPr>
        <w:rPr>
          <w:rFonts w:ascii="Arial" w:cs="Arial" w:eastAsia="Arial" w:hAnsi="Arial"/>
          <w:sz w:val="16"/>
          <w:szCs w:val="16"/>
          <w:color w:val="auto"/>
        </w:rPr>
      </w:pPr>
      <w:r>
        <w:rPr>
          <w:rFonts w:ascii="Arial" w:cs="Arial" w:eastAsia="Arial" w:hAnsi="Arial"/>
          <w:sz w:val="16"/>
          <w:szCs w:val="16"/>
          <w:color w:val="auto"/>
        </w:rPr>
        <w:t>Other Awards. Share Awards providing for the issuance of or denominated in Common Stock or units of Common Stock may be granted under the Plan. Cash Awards that are denominated in or may be settled only in cash also may be granted under the Plan.</w:t>
      </w:r>
    </w:p>
    <w:p>
      <w:pPr>
        <w:spacing w:after="0" w:line="155" w:lineRule="exact"/>
        <w:rPr>
          <w:rFonts w:ascii="Arial" w:cs="Arial" w:eastAsia="Arial" w:hAnsi="Arial"/>
          <w:sz w:val="16"/>
          <w:szCs w:val="16"/>
          <w:color w:val="auto"/>
        </w:rPr>
      </w:pPr>
    </w:p>
    <w:p>
      <w:pPr>
        <w:jc w:val="both"/>
        <w:ind w:left="660" w:firstLine="509"/>
        <w:spacing w:after="0" w:line="228" w:lineRule="auto"/>
        <w:tabs>
          <w:tab w:leader="none" w:pos="1362" w:val="left"/>
        </w:tabs>
        <w:numPr>
          <w:ilvl w:val="2"/>
          <w:numId w:val="231"/>
        </w:numPr>
        <w:rPr>
          <w:rFonts w:ascii="Arial" w:cs="Arial" w:eastAsia="Arial" w:hAnsi="Arial"/>
          <w:sz w:val="16"/>
          <w:szCs w:val="16"/>
          <w:color w:val="auto"/>
        </w:rPr>
      </w:pPr>
      <w:r>
        <w:rPr>
          <w:rFonts w:ascii="Arial" w:cs="Arial" w:eastAsia="Arial" w:hAnsi="Arial"/>
          <w:sz w:val="16"/>
          <w:szCs w:val="16"/>
          <w:color w:val="auto"/>
        </w:rPr>
        <w:t>All or part of any Share Award or Cash Award may be subject to conditions and restrictions established by the Committee, and set forth in the award agreement or other document evidencing the terms and conditions of the award, which may include, but are not limited to, continuous service with the Company (or a subsidiary or affiliate), achievement of specific business objectives, and other measurements of individual, business unit or Company performance.</w:t>
      </w:r>
    </w:p>
    <w:p>
      <w:pPr>
        <w:spacing w:after="0" w:line="164" w:lineRule="exact"/>
        <w:rPr>
          <w:rFonts w:ascii="Arial" w:cs="Arial" w:eastAsia="Arial" w:hAnsi="Arial"/>
          <w:sz w:val="16"/>
          <w:szCs w:val="16"/>
          <w:color w:val="auto"/>
        </w:rPr>
      </w:pPr>
    </w:p>
    <w:p>
      <w:pPr>
        <w:jc w:val="both"/>
        <w:ind w:left="660" w:firstLine="466"/>
        <w:spacing w:after="0" w:line="225" w:lineRule="auto"/>
        <w:tabs>
          <w:tab w:leader="none" w:pos="1355" w:val="left"/>
        </w:tabs>
        <w:numPr>
          <w:ilvl w:val="2"/>
          <w:numId w:val="231"/>
        </w:numPr>
        <w:rPr>
          <w:rFonts w:ascii="Arial" w:cs="Arial" w:eastAsia="Arial" w:hAnsi="Arial"/>
          <w:sz w:val="16"/>
          <w:szCs w:val="16"/>
          <w:color w:val="auto"/>
        </w:rPr>
      </w:pPr>
      <w:r>
        <w:rPr>
          <w:rFonts w:ascii="Arial" w:cs="Arial" w:eastAsia="Arial" w:hAnsi="Arial"/>
          <w:sz w:val="16"/>
          <w:szCs w:val="16"/>
          <w:color w:val="auto"/>
        </w:rPr>
        <w:t>Without limiting the generality of the foregoing, and in addition to stock options and SAR grants, other performance-based awards may be granted under the Plan, whether in the form of Share Awards (including restricted stock, restricted stock units, performance stock, performance stock units, phantom stock or other rights) or Cash Awards, the grant, issuance, vesting, retention or settlement of which depends on the performance of the Company relative to any pre-established goals or metrics and on a consolidated, segment, sector, subsidiary, division, or plant basis as determined by the Committee.</w:t>
      </w:r>
    </w:p>
    <w:p>
      <w:pPr>
        <w:spacing w:after="0" w:line="164" w:lineRule="exact"/>
        <w:rPr>
          <w:sz w:val="20"/>
          <w:szCs w:val="20"/>
          <w:color w:val="auto"/>
        </w:rPr>
      </w:pPr>
    </w:p>
    <w:p>
      <w:pPr>
        <w:jc w:val="both"/>
        <w:ind w:left="660"/>
        <w:spacing w:after="0" w:line="219" w:lineRule="auto"/>
        <w:rPr>
          <w:sz w:val="20"/>
          <w:szCs w:val="20"/>
          <w:color w:val="auto"/>
        </w:rPr>
      </w:pPr>
      <w:r>
        <w:rPr>
          <w:rFonts w:ascii="Arial" w:cs="Arial" w:eastAsia="Arial" w:hAnsi="Arial"/>
          <w:sz w:val="16"/>
          <w:szCs w:val="16"/>
          <w:color w:val="auto"/>
        </w:rPr>
        <w:t>Any such performance goals may be measured on an as reported or pension adjusted basis; on an annual or cumulatively over a defined period of time basis; and on an absolute, relative or growth basis. In the case of material, unusual or nonrecurring gains and losses, changes in law, regulations or in generally accepted accounting principles, accounting charges or other extraordinary events not foreseen at the time the targets were set, the Committee will adjust the performance targets in a manner that it determines to be equitable and appropriate to address the impact of such unforeseen events, unless otherwise expressly provided in the applicable award agreement. The Committee may condition the vesting or settlement of any performance-based award on the approval by the Committee (by resolution or other valid action of the Committee) that, and the extent to which, the performance goal and any other material terms were in fact satisfied. The Committee shall have discretion to determine the conditions, restrictions or other limitations, and to make adjustments, all of which shall be in accordance with the terms of the Plan.</w:t>
      </w:r>
    </w:p>
    <w:p>
      <w:pPr>
        <w:spacing w:after="0" w:line="169" w:lineRule="exact"/>
        <w:rPr>
          <w:sz w:val="20"/>
          <w:szCs w:val="20"/>
          <w:color w:val="auto"/>
        </w:rPr>
      </w:pPr>
    </w:p>
    <w:p>
      <w:pPr>
        <w:jc w:val="both"/>
        <w:ind w:firstLine="656"/>
        <w:spacing w:after="0" w:line="221" w:lineRule="auto"/>
        <w:tabs>
          <w:tab w:leader="none" w:pos="1139" w:val="left"/>
        </w:tabs>
        <w:numPr>
          <w:ilvl w:val="0"/>
          <w:numId w:val="232"/>
        </w:numPr>
        <w:rPr>
          <w:rFonts w:ascii="Arial" w:cs="Arial" w:eastAsia="Arial" w:hAnsi="Arial"/>
          <w:sz w:val="16"/>
          <w:szCs w:val="16"/>
          <w:color w:val="auto"/>
        </w:rPr>
      </w:pPr>
      <w:r>
        <w:rPr>
          <w:rFonts w:ascii="Arial" w:cs="Arial" w:eastAsia="Arial" w:hAnsi="Arial"/>
          <w:sz w:val="16"/>
          <w:szCs w:val="16"/>
          <w:color w:val="auto"/>
        </w:rPr>
        <w:t>Minimum Vesting. No stock option, SAR, Share Award, or Cash Award denominated in Common Stock that vests based on continued employment or the passage of time shall vest prior to the one year anniversary of the date the award is granted, other than any acceleration of vesting upon the death or disability of the participant, in the case of certain terminations following a Change in Control, or in the case of certain retirement-eligible terminations, in each case as specified in the agreement evidencing such award. The performance and vesting period for any stock option, SAR, Share Award, or Cash Award denominated in Common Stock that vests based in whole or in part on performance shall be at least one year (subject to any acceleration of vesting upon the death or disability of the participant, in the case of certain terminations following a Change in Control, or in the case of certain retirement-eligible terminations, in each case as specified in the agreement evidencing such award).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131</w:t>
            </w:r>
          </w:p>
        </w:tc>
      </w:tr>
      <w:tr>
        <w:trPr>
          <w:trHeight w:val="31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foregoing, up to five percent (5%) of the shares authorized under the Plan may be issued pursuant to awards which vest over less than a one-year period.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Dividends and Dividend Equivalents</w:t>
      </w:r>
    </w:p>
    <w:p>
      <w:pPr>
        <w:spacing w:after="0" w:line="19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6"/>
          <w:szCs w:val="16"/>
          <w:color w:val="auto"/>
        </w:rPr>
        <w:t>The Committee may provide that any awards under the Plan accrue dividends or dividend equivalents; provided, however, that dividends and dividend equivalent rights may not be granted in connection with any stock option or SAR granted hereunder. Such dividends or dividend equivalents may be accrued or credited to a participant’s account either at the time of dividend payment or at the time of settlement of an award, provided that no payment shall be made with respect to such dividends or dividend equivalent right (or, in the case of a restricted stock or similar award where the dividend must be paid as a matter of law, the dividend payment shall be accrued and subject to forfeiture or repayment, as the case may be) unless and to the extent that the related vesting conditions of the underlying award are satisfied. Any crediting of dividends or dividend equivalents may be subject to such additional restrictions and conditions as the Committee may establish, including reinvestment in additional shares or share equivalents, and may be settled in cash or in shares of Common Stock as determined by the Committee.</w:t>
      </w:r>
    </w:p>
    <w:p>
      <w:pPr>
        <w:spacing w:after="0" w:line="169" w:lineRule="exact"/>
        <w:rPr>
          <w:sz w:val="20"/>
          <w:szCs w:val="20"/>
          <w:color w:val="auto"/>
        </w:rPr>
      </w:pPr>
    </w:p>
    <w:p>
      <w:pPr>
        <w:ind w:left="600" w:hanging="592"/>
        <w:spacing w:after="0"/>
        <w:tabs>
          <w:tab w:leader="none" w:pos="600" w:val="left"/>
        </w:tabs>
        <w:numPr>
          <w:ilvl w:val="0"/>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Deferrals and Settlements</w:t>
      </w:r>
    </w:p>
    <w:p>
      <w:pPr>
        <w:spacing w:after="0" w:line="19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6"/>
          <w:szCs w:val="16"/>
          <w:color w:val="auto"/>
        </w:rPr>
        <w:t>Payment of awards may be in the form of cash, Common Stock, other awards or combinations thereof as the Committee shall determine, and with such restrictions as it may impose. The Committee may also require or permit participants to elect to defer the issuance of shares or the settlement of awards in cash under such rules and procedures as it may establish under the Plan. It may also provide that deferred settlements include the payment or crediting of interest or other earnings on the deferral amounts, or the payment or crediting of dividend equivalents where the deferral amounts are denominated in shares (provided any dividends or dividend equivalents with respect to unvested awards shall be subject to the same vesting conditions as the underlying award). Notwithstanding anything herein to the contrary, in no event will any election to defer the delivery of Common Stock or any other payment with respect to any award be allowed if the Committee determines, in its sole discretion, that the deferral would result in the imposition of the additional tax under Section 409A(a)(1)(B) of the Code.</w:t>
      </w:r>
    </w:p>
    <w:p>
      <w:pPr>
        <w:spacing w:after="0" w:line="169" w:lineRule="exact"/>
        <w:rPr>
          <w:sz w:val="20"/>
          <w:szCs w:val="20"/>
          <w:color w:val="auto"/>
        </w:rPr>
      </w:pPr>
    </w:p>
    <w:p>
      <w:pPr>
        <w:ind w:left="580" w:hanging="572"/>
        <w:spacing w:after="0"/>
        <w:tabs>
          <w:tab w:leader="none" w:pos="580" w:val="left"/>
        </w:tabs>
        <w:numPr>
          <w:ilvl w:val="0"/>
          <w:numId w:val="234"/>
        </w:numPr>
        <w:rPr>
          <w:rFonts w:ascii="Arial" w:cs="Arial" w:eastAsia="Arial" w:hAnsi="Arial"/>
          <w:sz w:val="16"/>
          <w:szCs w:val="16"/>
          <w:b w:val="1"/>
          <w:bCs w:val="1"/>
          <w:color w:val="auto"/>
        </w:rPr>
      </w:pPr>
      <w:r>
        <w:rPr>
          <w:rFonts w:ascii="Arial" w:cs="Arial" w:eastAsia="Arial" w:hAnsi="Arial"/>
          <w:sz w:val="16"/>
          <w:szCs w:val="16"/>
          <w:b w:val="1"/>
          <w:bCs w:val="1"/>
          <w:color w:val="auto"/>
        </w:rPr>
        <w:t>Transferability and Exercisability</w:t>
      </w:r>
    </w:p>
    <w:p>
      <w:pPr>
        <w:spacing w:after="0" w:line="19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6"/>
          <w:szCs w:val="16"/>
          <w:color w:val="auto"/>
        </w:rPr>
        <w:t>Unless otherwise expressly provided in (or pursuant to) this Section 11, by applicable law or by the award agreement, (i) all awards are non-transferable and shall not be subject in any manner to sale, transfer, anticipation, alienation, assignment, pledge, encumbrance or charge; (ii) awards shall be exercised (if exercisable) only by the holder; and (iii) amounts payable or shares issuable pursuant to an award shall be delivered only to (or for the account of) the holder. The foregoing exercise and transfer restrictions shall not apply to: (a) transfers to the Company; (b) the designation of a beneficiary to receive benefits in the event of the participant’s death or, if the participant has died, transfers to or exercise by the participant’s beneficiary, or, in the absence of a validly designated beneficiary, transfers to or exercise pursuant to will or the laws of descent and distribution; (c) transfers pursuant to a qualified domestic relations order (as defined in the Code) (in the case of ISOs, to the extent such transfers are permitted by the Code); (d) if the participant has suffered a disability, permitted transfers to or exercises on behalf of the holder by his or her legal representative; or (e) the implementation of “cashless exercise” procedures authorized by the Committee. The Committee by express provision in the award or an amendment thereto may permit an award (other than an ISO) to be transferred to, for no consideration, members of the participant’s immediate family (which means the participant’s child, stepchild, grandchild, parent, stepparent, grandparent, spouse, former spouse, sibling, niece, nephew, mother-in-law, father-in-law, son-in-law, daughter-in-law, brother-in-law, or sister-in-law, including adoptive relationships), charitable institutions, or trusts or other entities in which members of the participant’s immediate family have all of the beneficial interest or voting interests, pursuant to such conditions and procedures as the Committee may establish. Any permitted transfer shall be subject to the condition that the Committee receive evidence satisfactory to it that the transfer is being made for estate and/or tax planning purposes (or to a “blind trust” in connection with the participant’s termination of employment or service with the Company (or a subsidiary or affiliate) to assume a position with a governmental, charitable, educational or similar non-profit institution) and on a basis consistent with the Company’s lawful issuance or sale of securities.</w:t>
      </w:r>
    </w:p>
    <w:p>
      <w:pPr>
        <w:spacing w:after="0" w:line="173" w:lineRule="exact"/>
        <w:rPr>
          <w:sz w:val="20"/>
          <w:szCs w:val="20"/>
          <w:color w:val="auto"/>
        </w:rPr>
      </w:pPr>
    </w:p>
    <w:p>
      <w:pPr>
        <w:ind w:left="600" w:hanging="592"/>
        <w:spacing w:after="0"/>
        <w:tabs>
          <w:tab w:leader="none" w:pos="600" w:val="left"/>
        </w:tabs>
        <w:numPr>
          <w:ilvl w:val="0"/>
          <w:numId w:val="235"/>
        </w:numPr>
        <w:rPr>
          <w:rFonts w:ascii="Arial" w:cs="Arial" w:eastAsia="Arial" w:hAnsi="Arial"/>
          <w:sz w:val="16"/>
          <w:szCs w:val="16"/>
          <w:b w:val="1"/>
          <w:bCs w:val="1"/>
          <w:color w:val="auto"/>
        </w:rPr>
      </w:pPr>
      <w:r>
        <w:rPr>
          <w:rFonts w:ascii="Arial" w:cs="Arial" w:eastAsia="Arial" w:hAnsi="Arial"/>
          <w:sz w:val="16"/>
          <w:szCs w:val="16"/>
          <w:b w:val="1"/>
          <w:bCs w:val="1"/>
          <w:color w:val="auto"/>
        </w:rPr>
        <w:t>Award Agreements</w:t>
      </w:r>
    </w:p>
    <w:p>
      <w:pPr>
        <w:spacing w:after="0" w:line="19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6"/>
          <w:szCs w:val="16"/>
          <w:color w:val="auto"/>
        </w:rPr>
        <w:t>Awards under the Plan shall be evidenced by documents or agreements that specifically state that they constitute the or a part of the award agreement and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any award; provided, however, that such authority shall be subject to the no repricing provisions of Section 3(c) hereof. The Committee need not require the execution of any such agreement, in which case acceptance of the award by the respective participant shall constitute agreement to the terms of the award.</w:t>
      </w:r>
    </w:p>
    <w:p>
      <w:pPr>
        <w:spacing w:after="0" w:line="164" w:lineRule="exact"/>
        <w:rPr>
          <w:sz w:val="20"/>
          <w:szCs w:val="20"/>
          <w:color w:val="auto"/>
        </w:rPr>
      </w:pPr>
    </w:p>
    <w:p>
      <w:pPr>
        <w:ind w:left="600" w:hanging="592"/>
        <w:spacing w:after="0"/>
        <w:tabs>
          <w:tab w:leader="none" w:pos="600"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Plan Amendment</w:t>
      </w:r>
    </w:p>
    <w:p>
      <w:pPr>
        <w:spacing w:after="0" w:line="194"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The Plan may only be amended by a majority of the Board of Directors or Committee as it deems necessary or appropriate to better achieve the purpose of the Plan, except that no such amendment shall be made without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0" w:hanging="494"/>
        <w:spacing w:after="0"/>
        <w:tabs>
          <w:tab w:leader="none" w:pos="520" w:val="left"/>
        </w:tabs>
        <w:numPr>
          <w:ilvl w:val="0"/>
          <w:numId w:val="237"/>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4"/>
          <w:szCs w:val="14"/>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approval of the Company’s shareholders if the amendment would (i) increase the number of shares available for issuance under the Plan (except for increases or adjustments expressly contemplated by Sections 5 and 6), (ii) materially increase the benefits accruing to Participants under the Plan, (iii) materially modify the requirements for participation in the Plan or (iv) modify the Plan in any other way that would require shareholder approval under applicable law or applicable New York Stock Exchange (or such other exchange the Common Stock is then listed) listing requirements.</w:t>
      </w:r>
    </w:p>
    <w:p>
      <w:pPr>
        <w:spacing w:after="0" w:line="165" w:lineRule="exact"/>
        <w:rPr>
          <w:sz w:val="20"/>
          <w:szCs w:val="20"/>
          <w:color w:val="auto"/>
        </w:rPr>
      </w:pPr>
    </w:p>
    <w:p>
      <w:pPr>
        <w:ind w:left="600" w:hanging="592"/>
        <w:spacing w:after="0"/>
        <w:tabs>
          <w:tab w:leader="none" w:pos="600" w:val="left"/>
        </w:tabs>
        <w:numPr>
          <w:ilvl w:val="0"/>
          <w:numId w:val="238"/>
        </w:numPr>
        <w:rPr>
          <w:rFonts w:ascii="Arial" w:cs="Arial" w:eastAsia="Arial" w:hAnsi="Arial"/>
          <w:sz w:val="16"/>
          <w:szCs w:val="16"/>
          <w:b w:val="1"/>
          <w:bCs w:val="1"/>
          <w:color w:val="auto"/>
        </w:rPr>
      </w:pPr>
      <w:r>
        <w:rPr>
          <w:rFonts w:ascii="Arial" w:cs="Arial" w:eastAsia="Arial" w:hAnsi="Arial"/>
          <w:sz w:val="16"/>
          <w:szCs w:val="16"/>
          <w:b w:val="1"/>
          <w:bCs w:val="1"/>
          <w:color w:val="auto"/>
        </w:rPr>
        <w:t>Tax Withholding</w:t>
      </w:r>
    </w:p>
    <w:p>
      <w:pPr>
        <w:spacing w:after="0" w:line="19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6"/>
          <w:szCs w:val="16"/>
          <w:color w:val="auto"/>
        </w:rPr>
        <w:t>The Company shall have the right to deduct from an award made under the Plan, including upon the delivery or vesting of shares, or deduct from any other compensation otherwise payable to the award holder a sufficient amount to cover withholding of any Federal, state or local taxes required by law with respect to such award settlement or to take such other action as may be necessary to satisfy any such withholding obligations. The Committee may permit shares to be used to satisfy required tax withholding and such shares shall be valued at the Fair Market Value as of the exercise or settlement date of the applicable award.</w:t>
      </w:r>
    </w:p>
    <w:p>
      <w:pPr>
        <w:spacing w:after="0" w:line="164" w:lineRule="exact"/>
        <w:rPr>
          <w:sz w:val="20"/>
          <w:szCs w:val="20"/>
          <w:color w:val="auto"/>
        </w:rPr>
      </w:pPr>
    </w:p>
    <w:p>
      <w:pPr>
        <w:ind w:left="600" w:hanging="592"/>
        <w:spacing w:after="0"/>
        <w:tabs>
          <w:tab w:leader="none" w:pos="600" w:val="left"/>
        </w:tabs>
        <w:numPr>
          <w:ilvl w:val="0"/>
          <w:numId w:val="239"/>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Company Benefit and Compensation Programs</w:t>
      </w:r>
    </w:p>
    <w:p>
      <w:pPr>
        <w:spacing w:after="0" w:line="19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6"/>
          <w:szCs w:val="16"/>
          <w:color w:val="auto"/>
        </w:rPr>
        <w:t>Unless otherwise specifically determined by the Committee or required pursuant to applicable law, settlements of awards received by participants under the Plan shall not be deemed a part of a participant’s regular, recurring compensation for purposes of calculating payments or benefits from any benefit plan or severance program of the Company (or a subsidiary or affiliate), or any severance pay law of any country. Further, the Company may adopt other compensation programs, plans or arrangements as it deems appropriate or necessary.</w:t>
      </w:r>
    </w:p>
    <w:p>
      <w:pPr>
        <w:spacing w:after="0" w:line="165" w:lineRule="exact"/>
        <w:rPr>
          <w:sz w:val="20"/>
          <w:szCs w:val="20"/>
          <w:color w:val="auto"/>
        </w:rPr>
      </w:pPr>
    </w:p>
    <w:p>
      <w:pPr>
        <w:ind w:left="600" w:hanging="592"/>
        <w:spacing w:after="0"/>
        <w:tabs>
          <w:tab w:leader="none" w:pos="600" w:val="left"/>
        </w:tabs>
        <w:numPr>
          <w:ilvl w:val="0"/>
          <w:numId w:val="240"/>
        </w:numPr>
        <w:rPr>
          <w:rFonts w:ascii="Arial" w:cs="Arial" w:eastAsia="Arial" w:hAnsi="Arial"/>
          <w:sz w:val="16"/>
          <w:szCs w:val="16"/>
          <w:b w:val="1"/>
          <w:bCs w:val="1"/>
          <w:color w:val="auto"/>
        </w:rPr>
      </w:pPr>
      <w:r>
        <w:rPr>
          <w:rFonts w:ascii="Arial" w:cs="Arial" w:eastAsia="Arial" w:hAnsi="Arial"/>
          <w:sz w:val="16"/>
          <w:szCs w:val="16"/>
          <w:b w:val="1"/>
          <w:bCs w:val="1"/>
          <w:color w:val="auto"/>
        </w:rPr>
        <w:t>Unfunded Plan</w:t>
      </w:r>
    </w:p>
    <w:p>
      <w:pPr>
        <w:spacing w:after="0" w:line="19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6"/>
          <w:szCs w:val="16"/>
          <w:color w:val="auto"/>
        </w:rPr>
        <w:t>Unless otherwise determined by the Committee, the Plan shall be unfunded and shall not create (or be construed to create) a trust or a separate fund or funds. The Plan shall not establish any fiduciary relationship between the Company and any participant or other person. To the extent any person holds any rights by virtue of a grant awarded under the Plan, such rights (unless otherwise determined by the Committee) shall be no greater than the rights of an unsecured general creditor of the Company.</w:t>
      </w:r>
    </w:p>
    <w:p>
      <w:pPr>
        <w:spacing w:after="0" w:line="165" w:lineRule="exact"/>
        <w:rPr>
          <w:sz w:val="20"/>
          <w:szCs w:val="20"/>
          <w:color w:val="auto"/>
        </w:rPr>
      </w:pPr>
    </w:p>
    <w:p>
      <w:pPr>
        <w:ind w:left="600" w:hanging="592"/>
        <w:spacing w:after="0"/>
        <w:tabs>
          <w:tab w:leader="none" w:pos="600" w:val="left"/>
        </w:tabs>
        <w:numPr>
          <w:ilvl w:val="0"/>
          <w:numId w:val="241"/>
        </w:numPr>
        <w:rPr>
          <w:rFonts w:ascii="Arial" w:cs="Arial" w:eastAsia="Arial" w:hAnsi="Arial"/>
          <w:sz w:val="16"/>
          <w:szCs w:val="16"/>
          <w:b w:val="1"/>
          <w:bCs w:val="1"/>
          <w:color w:val="auto"/>
        </w:rPr>
      </w:pPr>
      <w:r>
        <w:rPr>
          <w:rFonts w:ascii="Arial" w:cs="Arial" w:eastAsia="Arial" w:hAnsi="Arial"/>
          <w:sz w:val="16"/>
          <w:szCs w:val="16"/>
          <w:b w:val="1"/>
          <w:bCs w:val="1"/>
          <w:color w:val="auto"/>
        </w:rPr>
        <w:t>Future Rights</w:t>
      </w:r>
    </w:p>
    <w:p>
      <w:pPr>
        <w:spacing w:after="0" w:line="19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No person shall have any claim or rights to be granted an award under the Plan, and no participant shall have any rights under the Plan to be retained in the employ or service of the Company (or any subsidiary or affiliate). Nothing in the Plan shall interfere with or limit in any way the right of the Company (or an applicable subsidiary) to terminate any participant’s employment or service at any time.</w:t>
      </w:r>
    </w:p>
    <w:p>
      <w:pPr>
        <w:spacing w:after="0" w:line="164" w:lineRule="exact"/>
        <w:rPr>
          <w:sz w:val="20"/>
          <w:szCs w:val="20"/>
          <w:color w:val="auto"/>
        </w:rPr>
      </w:pPr>
    </w:p>
    <w:p>
      <w:pPr>
        <w:ind w:left="600" w:hanging="592"/>
        <w:spacing w:after="0"/>
        <w:tabs>
          <w:tab w:leader="none" w:pos="600" w:val="left"/>
        </w:tabs>
        <w:numPr>
          <w:ilvl w:val="0"/>
          <w:numId w:val="242"/>
        </w:numPr>
        <w:rPr>
          <w:rFonts w:ascii="Arial" w:cs="Arial" w:eastAsia="Arial" w:hAnsi="Arial"/>
          <w:sz w:val="16"/>
          <w:szCs w:val="16"/>
          <w:b w:val="1"/>
          <w:bCs w:val="1"/>
          <w:color w:val="auto"/>
        </w:rPr>
      </w:pPr>
      <w:r>
        <w:rPr>
          <w:rFonts w:ascii="Arial" w:cs="Arial" w:eastAsia="Arial" w:hAnsi="Arial"/>
          <w:sz w:val="16"/>
          <w:szCs w:val="16"/>
          <w:b w:val="1"/>
          <w:bCs w:val="1"/>
          <w:color w:val="auto"/>
        </w:rPr>
        <w:t>Governing Law; Severability; Legal Compliance</w:t>
      </w:r>
    </w:p>
    <w:p>
      <w:pPr>
        <w:spacing w:after="0" w:line="194"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6"/>
          <w:szCs w:val="16"/>
          <w:color w:val="auto"/>
        </w:rPr>
        <w:t>The validity, construction and effect of the Plan, documents setting forth the terms of an award, and any actions taken or relating to the Plan shall be determined in accordance with the laws of the State of Delaware and applicable federal law, except to the extent otherwise provided in the award agreements. If any provision of the Plan, any award agreement, or any other document setting forth the terms of an award shall be held by a court of competent jurisdiction to be invalid and unenforceable, the remaining provisions of the Plan or such other document shall continue in effect.</w:t>
      </w:r>
    </w:p>
    <w:p>
      <w:pPr>
        <w:spacing w:after="0" w:line="165"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The Plan, the granting and vesting of awards under the Plan and the issuance and delivery of Common Stock and/or the payment of money under the Plan or under awards granted hereunder are subject to compliance with all applicable federal and state laws, rules and regulations (including but not limited to state and federal securities and banking laws) and to such approvals by any listing, regulatory or governmental authority as may, in the opinion of counsel for the Company, be necessary or advisable in connection therewith. Any securities delivered under the Plan shall be subject to such restrictions as the Company may deem necessary or desirable to ensure compliance with all applicable legal requirements. The Company shall not be obligated by virtue of any provision of the Plan to recognize the exercise of any award or to otherwise sell or issue Common Stock in violation of any applicable laws, rules, or regulations.</w:t>
      </w:r>
    </w:p>
    <w:p>
      <w:pPr>
        <w:spacing w:after="0" w:line="24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6"/>
          <w:szCs w:val="16"/>
          <w:color w:val="auto"/>
        </w:rPr>
        <w:t>The Plan and the awards granted under the Plan are intended to comply with (or be exempt from, as the case may be) Section 409A of the Code so as to avoid any tax, penalty or interest under Section 409A of the Code. The Plan shall be construed, operated and administered consistent with this intent. As such, to the extent any payment under the Plan is considered deferred compensation subject to the restrictions contained in Section 409A of the Code, such payment may not be made to a specified employee (as determined in accordance with a uniform policy adopted by the Company with respect to all arrangements subject to Section 409A of the Code) upon separation from service (as defined under Section 409A of the Code) before the date that is six months after the specified employee’s separation from service (or, if earlier, the specified employee’s death). Any payment that would otherwise be made during this period of delay shall be accumulated and paid on the sixth month plus one day following the specified employee’s separation from service (or, if earlier, as soon as administratively practicable after the specified employee’s death). Notwithstanding the foregoing, neither the Company nor the Committee makes any representations as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40" w:type="dxa"/>
            <w:vAlign w:val="bottom"/>
          </w:tcPr>
          <w:p>
            <w:pPr>
              <w:ind w:left="9280"/>
              <w:spacing w:after="0"/>
              <w:rPr>
                <w:sz w:val="20"/>
                <w:szCs w:val="20"/>
                <w:color w:val="auto"/>
              </w:rPr>
            </w:pPr>
            <w:r>
              <w:rPr>
                <w:rFonts w:ascii="Arial" w:cs="Arial" w:eastAsia="Arial" w:hAnsi="Arial"/>
                <w:sz w:val="14"/>
                <w:szCs w:val="14"/>
                <w:color w:val="auto"/>
              </w:rPr>
              <w:t>2024 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133</w:t>
            </w:r>
          </w:p>
        </w:tc>
      </w:tr>
      <w:tr>
        <w:trPr>
          <w:trHeight w:val="319"/>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potential tax treatment of any awards under Section 409A of the Code or otherwise and neither the Company nor the Committee will have any liability to any Participant for adverse tax consequences or penalty.</w:t>
      </w:r>
    </w:p>
    <w:p>
      <w:pPr>
        <w:spacing w:after="0" w:line="155" w:lineRule="exact"/>
        <w:rPr>
          <w:sz w:val="20"/>
          <w:szCs w:val="20"/>
          <w:color w:val="auto"/>
        </w:rPr>
      </w:pPr>
    </w:p>
    <w:p>
      <w:pPr>
        <w:ind w:left="600" w:hanging="592"/>
        <w:spacing w:after="0"/>
        <w:tabs>
          <w:tab w:leader="none" w:pos="600" w:val="left"/>
        </w:tabs>
        <w:numPr>
          <w:ilvl w:val="0"/>
          <w:numId w:val="243"/>
        </w:numPr>
        <w:rPr>
          <w:rFonts w:ascii="Arial" w:cs="Arial" w:eastAsia="Arial" w:hAnsi="Arial"/>
          <w:sz w:val="16"/>
          <w:szCs w:val="16"/>
          <w:b w:val="1"/>
          <w:bCs w:val="1"/>
          <w:color w:val="auto"/>
        </w:rPr>
      </w:pPr>
      <w:r>
        <w:rPr>
          <w:rFonts w:ascii="Arial" w:cs="Arial" w:eastAsia="Arial" w:hAnsi="Arial"/>
          <w:sz w:val="16"/>
          <w:szCs w:val="16"/>
          <w:b w:val="1"/>
          <w:bCs w:val="1"/>
          <w:color w:val="auto"/>
        </w:rPr>
        <w:t>Successors and Assigns</w:t>
      </w:r>
    </w:p>
    <w:p>
      <w:pPr>
        <w:spacing w:after="0" w:line="194"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The Plan shall be binding on all successors and assigns of a participant, including, without limitation, the estate of such participant and the executor, administrator or trustee of such estate, or any receiver or trustee in bankruptcy or representative of the participant’s creditors.</w:t>
      </w:r>
    </w:p>
    <w:p>
      <w:pPr>
        <w:spacing w:after="0" w:line="155" w:lineRule="exact"/>
        <w:rPr>
          <w:sz w:val="20"/>
          <w:szCs w:val="20"/>
          <w:color w:val="auto"/>
        </w:rPr>
      </w:pPr>
    </w:p>
    <w:p>
      <w:pPr>
        <w:ind w:left="600" w:hanging="592"/>
        <w:spacing w:after="0"/>
        <w:tabs>
          <w:tab w:leader="none" w:pos="600" w:val="left"/>
        </w:tabs>
        <w:numPr>
          <w:ilvl w:val="0"/>
          <w:numId w:val="244"/>
        </w:numPr>
        <w:rPr>
          <w:rFonts w:ascii="Arial" w:cs="Arial" w:eastAsia="Arial" w:hAnsi="Arial"/>
          <w:sz w:val="16"/>
          <w:szCs w:val="16"/>
          <w:b w:val="1"/>
          <w:bCs w:val="1"/>
          <w:color w:val="auto"/>
        </w:rPr>
      </w:pPr>
      <w:r>
        <w:rPr>
          <w:rFonts w:ascii="Arial" w:cs="Arial" w:eastAsia="Arial" w:hAnsi="Arial"/>
          <w:sz w:val="16"/>
          <w:szCs w:val="16"/>
          <w:b w:val="1"/>
          <w:bCs w:val="1"/>
          <w:color w:val="auto"/>
        </w:rPr>
        <w:t>Rights as a Shareholder</w:t>
      </w:r>
    </w:p>
    <w:p>
      <w:pPr>
        <w:spacing w:after="0" w:line="194"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Except as otherwise provided in the award agreement, a participant shall have no rights as a shareholder until he or she becomes the holder of record of shares of Common Stock.</w:t>
      </w:r>
    </w:p>
    <w:p>
      <w:pPr>
        <w:spacing w:after="0" w:line="155" w:lineRule="exact"/>
        <w:rPr>
          <w:sz w:val="20"/>
          <w:szCs w:val="20"/>
          <w:color w:val="auto"/>
        </w:rPr>
      </w:pPr>
    </w:p>
    <w:p>
      <w:pPr>
        <w:ind w:left="600" w:hanging="592"/>
        <w:spacing w:after="0"/>
        <w:tabs>
          <w:tab w:leader="none" w:pos="600" w:val="left"/>
        </w:tabs>
        <w:numPr>
          <w:ilvl w:val="0"/>
          <w:numId w:val="245"/>
        </w:numPr>
        <w:rPr>
          <w:rFonts w:ascii="Arial" w:cs="Arial" w:eastAsia="Arial" w:hAnsi="Arial"/>
          <w:sz w:val="16"/>
          <w:szCs w:val="16"/>
          <w:b w:val="1"/>
          <w:bCs w:val="1"/>
          <w:color w:val="auto"/>
        </w:rPr>
      </w:pPr>
      <w:r>
        <w:rPr>
          <w:rFonts w:ascii="Arial" w:cs="Arial" w:eastAsia="Arial" w:hAnsi="Arial"/>
          <w:sz w:val="16"/>
          <w:szCs w:val="16"/>
          <w:b w:val="1"/>
          <w:bCs w:val="1"/>
          <w:color w:val="auto"/>
        </w:rPr>
        <w:t>Recoupment of Awards</w:t>
      </w:r>
    </w:p>
    <w:p>
      <w:pPr>
        <w:spacing w:after="0" w:line="19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Awards under the Plan are subject to recoupment pursuant to the Company’s Policy Regarding the Recoupment of Certain Incentive Compensation Payments or any clawback or recoupment policy that the Company adopts, as in effect from time to time, and participants shall promptly make any reimbursement requested by the Board or Committee pursuant to such policy with respect to any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 w:hanging="494"/>
        <w:spacing w:after="0"/>
        <w:tabs>
          <w:tab w:leader="none" w:pos="520" w:val="left"/>
        </w:tabs>
        <w:numPr>
          <w:ilvl w:val="0"/>
          <w:numId w:val="246"/>
        </w:numPr>
        <w:rPr>
          <w:rFonts w:ascii="Arial" w:cs="Arial" w:eastAsia="Arial" w:hAnsi="Arial"/>
          <w:sz w:val="14"/>
          <w:szCs w:val="14"/>
          <w:b w:val="1"/>
          <w:bCs w:val="1"/>
          <w:color w:val="auto"/>
        </w:rPr>
      </w:pPr>
      <w:r>
        <w:rPr>
          <w:rFonts w:ascii="Arial" w:cs="Arial" w:eastAsia="Arial" w:hAnsi="Arial"/>
          <w:sz w:val="14"/>
          <w:szCs w:val="14"/>
          <w:color w:val="auto"/>
        </w:rPr>
        <w:t>Northrop Grumman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ind w:left="8500"/>
        <w:spacing w:after="0"/>
        <w:rPr>
          <w:sz w:val="20"/>
          <w:szCs w:val="20"/>
          <w:color w:val="auto"/>
        </w:rPr>
      </w:pPr>
      <w:r>
        <w:rPr>
          <w:rFonts w:ascii="Arial" w:cs="Arial" w:eastAsia="Arial" w:hAnsi="Arial"/>
          <w:sz w:val="16"/>
          <w:szCs w:val="16"/>
          <w:b w:val="1"/>
          <w:bCs w:val="1"/>
          <w:color w:val="auto"/>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90049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0" w:num="1">
            <w:col w:w="10120"/>
          </w:cols>
          <w:pgMar w:left="1440" w:top="233" w:right="339" w:bottom="1440"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9025890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996950</wp:posOffset>
            </wp:positionH>
            <wp:positionV relativeFrom="page">
              <wp:posOffset>1066165</wp:posOffset>
            </wp:positionV>
            <wp:extent cx="5554980" cy="71577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clrChange>
                        <a:clrFrom>
                          <a:srgbClr val="FFFFFF"/>
                        </a:clrFrom>
                        <a:clrTo>
                          <a:srgbClr val="FFFFFF">
                            <a:alpha val="0"/>
                          </a:srgbClr>
                        </a:clrTo>
                      </a:clrChange>
                      <a:extLst>
                        <a:ext uri="{28A0092B-C50C-407E-A947-70E740481C1C}"/>
                      </a:extLst>
                    </a:blip>
                    <a:srcRect/>
                    <a:stretch>
                      <a:fillRect/>
                    </a:stretch>
                  </pic:blipFill>
                  <pic:spPr bwMode="auto">
                    <a:xfrm>
                      <a:off x="0" y="0"/>
                      <a:ext cx="5554980" cy="7157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8828405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996950</wp:posOffset>
            </wp:positionH>
            <wp:positionV relativeFrom="page">
              <wp:posOffset>843280</wp:posOffset>
            </wp:positionV>
            <wp:extent cx="5554980" cy="71837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clrChange>
                        <a:clrFrom>
                          <a:srgbClr val="FFFFFF"/>
                        </a:clrFrom>
                        <a:clrTo>
                          <a:srgbClr val="FFFFFF">
                            <a:alpha val="0"/>
                          </a:srgbClr>
                        </a:clrTo>
                      </a:clrChange>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9051290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996950</wp:posOffset>
            </wp:positionH>
            <wp:positionV relativeFrom="page">
              <wp:posOffset>1066165</wp:posOffset>
            </wp:positionV>
            <wp:extent cx="5554980" cy="71837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clrChange>
                        <a:clrFrom>
                          <a:srgbClr val="FFFFFF"/>
                        </a:clrFrom>
                        <a:clrTo>
                          <a:srgbClr val="FFFFFF">
                            <a:alpha val="0"/>
                          </a:srgbClr>
                        </a:clrTo>
                      </a:clrChange>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8828405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996950</wp:posOffset>
            </wp:positionH>
            <wp:positionV relativeFrom="page">
              <wp:posOffset>843280</wp:posOffset>
            </wp:positionV>
            <wp:extent cx="5554980" cy="71837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clrChange>
                        <a:clrFrom>
                          <a:srgbClr val="FFFFFF"/>
                        </a:clrFrom>
                        <a:clrTo>
                          <a:srgbClr val="FFFFFF">
                            <a:alpha val="0"/>
                          </a:srgbClr>
                        </a:clrTo>
                      </a:clrChange>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8828405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996950</wp:posOffset>
            </wp:positionH>
            <wp:positionV relativeFrom="page">
              <wp:posOffset>843280</wp:posOffset>
            </wp:positionV>
            <wp:extent cx="5554980" cy="71837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clrChange>
                        <a:clrFrom>
                          <a:srgbClr val="FFFFFF"/>
                        </a:clrFrom>
                        <a:clrTo>
                          <a:srgbClr val="FFFFFF">
                            <a:alpha val="0"/>
                          </a:srgbClr>
                        </a:clrTo>
                      </a:clrChange>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8828405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996950</wp:posOffset>
            </wp:positionH>
            <wp:positionV relativeFrom="page">
              <wp:posOffset>843280</wp:posOffset>
            </wp:positionV>
            <wp:extent cx="5554980" cy="71837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clrChange>
                        <a:clrFrom>
                          <a:srgbClr val="FFFFFF"/>
                        </a:clrFrom>
                        <a:clrTo>
                          <a:srgbClr val="FFFFFF">
                            <a:alpha val="0"/>
                          </a:srgbClr>
                        </a:clrTo>
                      </a:clrChange>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8828405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996950</wp:posOffset>
            </wp:positionH>
            <wp:positionV relativeFrom="page">
              <wp:posOffset>843280</wp:posOffset>
            </wp:positionV>
            <wp:extent cx="5554980" cy="71837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clrChange>
                        <a:clrFrom>
                          <a:srgbClr val="FFFFFF"/>
                        </a:clrFrom>
                        <a:clrTo>
                          <a:srgbClr val="FFFFFF">
                            <a:alpha val="0"/>
                          </a:srgbClr>
                        </a:clrTo>
                      </a:clrChange>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8828405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996950</wp:posOffset>
            </wp:positionH>
            <wp:positionV relativeFrom="page">
              <wp:posOffset>843280</wp:posOffset>
            </wp:positionV>
            <wp:extent cx="5554980" cy="71837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clrChange>
                        <a:clrFrom>
                          <a:srgbClr val="FFFFFF"/>
                        </a:clrFrom>
                        <a:clrTo>
                          <a:srgbClr val="FFFFFF">
                            <a:alpha val="0"/>
                          </a:srgbClr>
                        </a:clrTo>
                      </a:clrChange>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8828405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996950</wp:posOffset>
            </wp:positionH>
            <wp:positionV relativeFrom="page">
              <wp:posOffset>843280</wp:posOffset>
            </wp:positionV>
            <wp:extent cx="5554980" cy="71837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clrChange>
                        <a:clrFrom>
                          <a:srgbClr val="FFFFFF"/>
                        </a:clrFrom>
                        <a:clrTo>
                          <a:srgbClr val="FFFFFF">
                            <a:alpha val="0"/>
                          </a:srgbClr>
                        </a:clrTo>
                      </a:clrChange>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8828405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996950</wp:posOffset>
            </wp:positionH>
            <wp:positionV relativeFrom="page">
              <wp:posOffset>843280</wp:posOffset>
            </wp:positionV>
            <wp:extent cx="5554980" cy="71837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clrChange>
                        <a:clrFrom>
                          <a:srgbClr val="FFFFFF"/>
                        </a:clrFrom>
                        <a:clrTo>
                          <a:srgbClr val="FFFFFF">
                            <a:alpha val="0"/>
                          </a:srgbClr>
                        </a:clrTo>
                      </a:clrChange>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8828405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996950</wp:posOffset>
            </wp:positionH>
            <wp:positionV relativeFrom="page">
              <wp:posOffset>843280</wp:posOffset>
            </wp:positionV>
            <wp:extent cx="5554980" cy="71837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clrChange>
                        <a:clrFrom>
                          <a:srgbClr val="FFFFFF"/>
                        </a:clrFrom>
                        <a:clrTo>
                          <a:srgbClr val="FFFFFF">
                            <a:alpha val="0"/>
                          </a:srgbClr>
                        </a:clrTo>
                      </a:clrChange>
                      <a:extLst>
                        <a:ext uri="{28A0092B-C50C-407E-A947-70E740481C1C}"/>
                      </a:extLst>
                    </a:blip>
                    <a:srcRect/>
                    <a:stretch>
                      <a:fillRect/>
                    </a:stretch>
                  </pic:blipFill>
                  <pic:spPr bwMode="auto">
                    <a:xfrm>
                      <a:off x="0" y="0"/>
                      <a:ext cx="5554980" cy="7183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8828405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6986270" cy="15690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clrChange>
                        <a:clrFrom>
                          <a:srgbClr val="FFFFFF"/>
                        </a:clrFrom>
                        <a:clrTo>
                          <a:srgbClr val="FFFFFF">
                            <a:alpha val="0"/>
                          </a:srgbClr>
                        </a:clrTo>
                      </a:clrChange>
                      <a:extLst>
                        <a:ext uri="{28A0092B-C50C-407E-A947-70E740481C1C}"/>
                      </a:extLst>
                    </a:blip>
                    <a:srcRect/>
                    <a:stretch>
                      <a:fillRect/>
                    </a:stretch>
                  </pic:blipFill>
                  <pic:spPr bwMode="auto">
                    <a:xfrm>
                      <a:off x="0" y="0"/>
                      <a:ext cx="698627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color w:val="auto"/>
        </w:rPr>
        <w:t>April 3, 2024</w:t>
      </w:r>
    </w:p>
    <w:p>
      <w:pPr>
        <w:spacing w:after="0"/>
        <w:rPr>
          <w:sz w:val="20"/>
          <w:szCs w:val="20"/>
          <w:color w:val="auto"/>
        </w:rPr>
      </w:pPr>
      <w:r>
        <w:rPr>
          <w:rFonts w:ascii="Arial" w:cs="Arial" w:eastAsia="Arial" w:hAnsi="Arial"/>
          <w:sz w:val="22"/>
          <w:szCs w:val="22"/>
          <w:b w:val="1"/>
          <w:bCs w:val="1"/>
          <w:color w:val="auto"/>
        </w:rPr>
        <w:t>Information Regarding Your Northrop Grumman Shares — Your Vote Is Important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To Northrop Grumman Employees:</w:t>
      </w:r>
    </w:p>
    <w:p>
      <w:pPr>
        <w:spacing w:after="0" w:line="229" w:lineRule="exact"/>
        <w:rPr>
          <w:sz w:val="20"/>
          <w:szCs w:val="20"/>
          <w:color w:val="auto"/>
        </w:rPr>
      </w:pPr>
    </w:p>
    <w:p>
      <w:pPr>
        <w:ind w:right="620"/>
        <w:spacing w:after="0" w:line="257" w:lineRule="auto"/>
        <w:rPr>
          <w:sz w:val="20"/>
          <w:szCs w:val="20"/>
          <w:color w:val="auto"/>
        </w:rPr>
      </w:pPr>
      <w:r>
        <w:rPr>
          <w:rFonts w:ascii="Arial" w:cs="Arial" w:eastAsia="Arial" w:hAnsi="Arial"/>
          <w:sz w:val="20"/>
          <w:szCs w:val="20"/>
          <w:color w:val="auto"/>
        </w:rPr>
        <w:t>Northrop Grumman filed its proxy statement today for the 2024 Annual Meeting of Shareholders. The meeting will be held virtually on May 15, 2024. The 2024 Proxy Statement and 2023 Annual Report are now available online.</w:t>
      </w:r>
    </w:p>
    <w:p>
      <w:pPr>
        <w:spacing w:after="0" w:line="182" w:lineRule="exact"/>
        <w:rPr>
          <w:sz w:val="20"/>
          <w:szCs w:val="20"/>
          <w:color w:val="auto"/>
        </w:rPr>
      </w:pPr>
    </w:p>
    <w:p>
      <w:pPr>
        <w:ind w:right="180"/>
        <w:spacing w:after="0" w:line="224" w:lineRule="auto"/>
        <w:rPr>
          <w:sz w:val="20"/>
          <w:szCs w:val="20"/>
          <w:color w:val="auto"/>
        </w:rPr>
      </w:pPr>
      <w:r>
        <w:rPr>
          <w:rFonts w:ascii="Arial" w:cs="Arial" w:eastAsia="Arial" w:hAnsi="Arial"/>
          <w:sz w:val="19"/>
          <w:szCs w:val="19"/>
          <w:color w:val="auto"/>
        </w:rPr>
        <w:t>Many of you hold Northrop Grumman shares through one of the company’s savings plans. As shareholders, you have the right to vote on matters that impact the company. Your vote on these matters is important and you are encouraged to vote your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shares.</w:t>
      </w:r>
    </w:p>
    <w:p>
      <w:pPr>
        <w:spacing w:after="0" w:line="198" w:lineRule="exact"/>
        <w:rPr>
          <w:sz w:val="20"/>
          <w:szCs w:val="20"/>
          <w:color w:val="auto"/>
        </w:rPr>
      </w:pPr>
    </w:p>
    <w:p>
      <w:pPr>
        <w:ind w:right="260"/>
        <w:spacing w:after="0" w:line="224" w:lineRule="auto"/>
        <w:rPr>
          <w:sz w:val="20"/>
          <w:szCs w:val="20"/>
          <w:color w:val="auto"/>
        </w:rPr>
      </w:pPr>
      <w:r>
        <w:rPr>
          <w:rFonts w:ascii="Arial" w:cs="Arial" w:eastAsia="Arial" w:hAnsi="Arial"/>
          <w:sz w:val="19"/>
          <w:szCs w:val="19"/>
          <w:color w:val="auto"/>
        </w:rPr>
        <w:t>Northrop Grumman employees who hold these shares as participants in the Northrop Grumman Savings Plan or the Northrop Grumman Financial Security and Savings Program should receive an email tomorrow regarding the availability of proxy</w:t>
      </w:r>
    </w:p>
    <w:p>
      <w:pPr>
        <w:spacing w:after="0" w:line="224" w:lineRule="auto"/>
        <w:rPr>
          <w:sz w:val="20"/>
          <w:szCs w:val="20"/>
          <w:color w:val="auto"/>
        </w:rPr>
      </w:pPr>
      <w:r>
        <w:rPr>
          <w:rFonts w:ascii="Arial" w:cs="Arial" w:eastAsia="Arial" w:hAnsi="Arial"/>
          <w:sz w:val="19"/>
          <w:szCs w:val="19"/>
          <w:color w:val="auto"/>
        </w:rPr>
        <w:t>materials for the Annual Meeting and containing instructions for voting your shares. This email will be sent to your email address</w:t>
      </w:r>
    </w:p>
    <w:p>
      <w:pPr>
        <w:ind w:right="340"/>
        <w:spacing w:after="0" w:line="225" w:lineRule="auto"/>
        <w:rPr>
          <w:sz w:val="20"/>
          <w:szCs w:val="20"/>
          <w:color w:val="auto"/>
        </w:rPr>
      </w:pPr>
      <w:r>
        <w:rPr>
          <w:rFonts w:ascii="Arial" w:cs="Arial" w:eastAsia="Arial" w:hAnsi="Arial"/>
          <w:sz w:val="20"/>
          <w:szCs w:val="20"/>
          <w:color w:val="auto"/>
        </w:rPr>
        <w:t>on record (either personal or company email) and contains important instructions for viewing the proxy statement and annual report and for voting your shares.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This email is an important communication approved by Northrop Grumman. The subject line of the email will read, “</w:t>
      </w:r>
      <w:r>
        <w:rPr>
          <w:rFonts w:ascii="Arial" w:cs="Arial" w:eastAsia="Arial" w:hAnsi="Arial"/>
          <w:sz w:val="20"/>
          <w:szCs w:val="20"/>
          <w:i w:val="1"/>
          <w:iCs w:val="1"/>
          <w:color w:val="auto"/>
        </w:rPr>
        <w:t>Vote Now!</w:t>
      </w:r>
    </w:p>
    <w:p>
      <w:pPr>
        <w:jc w:val="both"/>
        <w:ind w:right="140"/>
        <w:spacing w:after="0" w:line="237" w:lineRule="auto"/>
        <w:rPr>
          <w:sz w:val="20"/>
          <w:szCs w:val="20"/>
          <w:color w:val="auto"/>
        </w:rPr>
      </w:pPr>
      <w:r>
        <w:rPr>
          <w:rFonts w:ascii="Arial" w:cs="Arial" w:eastAsia="Arial" w:hAnsi="Arial"/>
          <w:sz w:val="19"/>
          <w:szCs w:val="19"/>
          <w:i w:val="1"/>
          <w:iCs w:val="1"/>
          <w:color w:val="auto"/>
        </w:rPr>
        <w:t>NORTHROP GRUMMAN CORPORATION Annual Meeting</w:t>
      </w:r>
      <w:r>
        <w:rPr>
          <w:rFonts w:ascii="Arial" w:cs="Arial" w:eastAsia="Arial" w:hAnsi="Arial"/>
          <w:sz w:val="19"/>
          <w:szCs w:val="19"/>
          <w:color w:val="auto"/>
        </w:rPr>
        <w:t>.” Note that the “EXT” warning tag, which appears in the subject line</w:t>
      </w:r>
      <w:r>
        <w:rPr>
          <w:rFonts w:ascii="Arial" w:cs="Arial" w:eastAsia="Arial" w:hAnsi="Arial"/>
          <w:sz w:val="19"/>
          <w:szCs w:val="19"/>
          <w:i w:val="1"/>
          <w:iCs w:val="1"/>
          <w:color w:val="auto"/>
        </w:rPr>
        <w:t xml:space="preserve"> </w:t>
      </w:r>
      <w:r>
        <w:rPr>
          <w:rFonts w:ascii="Arial" w:cs="Arial" w:eastAsia="Arial" w:hAnsi="Arial"/>
          <w:sz w:val="19"/>
          <w:szCs w:val="19"/>
          <w:color w:val="auto"/>
        </w:rPr>
        <w:t>of emails originating outside of Northrop Grumman, will be removed for this message which will come directly from Broadridge.</w:t>
      </w:r>
    </w:p>
    <w:p>
      <w:pPr>
        <w:spacing w:after="0" w:line="185" w:lineRule="exact"/>
        <w:rPr>
          <w:sz w:val="20"/>
          <w:szCs w:val="20"/>
          <w:color w:val="auto"/>
        </w:rPr>
      </w:pPr>
    </w:p>
    <w:p>
      <w:pPr>
        <w:ind w:right="500"/>
        <w:spacing w:after="0" w:line="243" w:lineRule="auto"/>
        <w:rPr>
          <w:sz w:val="20"/>
          <w:szCs w:val="20"/>
          <w:color w:val="auto"/>
        </w:rPr>
      </w:pPr>
      <w:r>
        <w:rPr>
          <w:rFonts w:ascii="Arial" w:cs="Arial" w:eastAsia="Arial" w:hAnsi="Arial"/>
          <w:sz w:val="20"/>
          <w:szCs w:val="20"/>
          <w:color w:val="auto"/>
        </w:rPr>
        <w:t>Northrop Grumman values your input as shareholders. Please ensure that your shares are represented at the 2024 Annual Meeting.</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CORPORATE COMMUNICATIONS</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F97E3E4"/>
    <w:multiLevelType w:val="hybridMultilevel"/>
    <w:lvl w:ilvl="0">
      <w:lvlJc w:val="left"/>
      <w:lvlText w:val="2"/>
      <w:numFmt w:val="bullet"/>
      <w:start w:val="1"/>
    </w:lvl>
  </w:abstractNum>
  <w:abstractNum w:abstractNumId="1">
    <w:nsid w:val="53B0A9E"/>
    <w:multiLevelType w:val="hybridMultilevel"/>
    <w:lvl w:ilvl="0">
      <w:lvlJc w:val="left"/>
      <w:lvlText w:val="4"/>
      <w:numFmt w:val="bullet"/>
      <w:start w:val="1"/>
    </w:lvl>
  </w:abstractNum>
  <w:abstractNum w:abstractNumId="2">
    <w:nsid w:val="34FD6B4F"/>
    <w:multiLevelType w:val="hybridMultilevel"/>
    <w:lvl w:ilvl="0">
      <w:lvlJc w:val="left"/>
      <w:lvlText w:val="6"/>
      <w:numFmt w:val="bullet"/>
      <w:start w:val="1"/>
    </w:lvl>
  </w:abstractNum>
  <w:abstractNum w:abstractNumId="3">
    <w:nsid w:val="5915FF32"/>
    <w:multiLevelType w:val="hybridMultilevel"/>
    <w:lvl w:ilvl="0">
      <w:lvlJc w:val="left"/>
      <w:lvlText w:val="8"/>
      <w:numFmt w:val="bullet"/>
      <w:start w:val="1"/>
    </w:lvl>
  </w:abstractNum>
  <w:abstractNum w:abstractNumId="4">
    <w:nsid w:val="56438D15"/>
    <w:multiLevelType w:val="hybridMultilevel"/>
    <w:lvl w:ilvl="0">
      <w:lvlJc w:val="left"/>
      <w:lvlText w:val="%1"/>
      <w:numFmt w:val="decimal"/>
      <w:start w:val="10"/>
    </w:lvl>
  </w:abstractNum>
  <w:abstractNum w:abstractNumId="5">
    <w:nsid w:val="519E3149"/>
    <w:multiLevelType w:val="hybridMultilevel"/>
    <w:lvl w:ilvl="0">
      <w:lvlJc w:val="left"/>
      <w:lvlText w:val="%1"/>
      <w:numFmt w:val="decimal"/>
      <w:start w:val="12"/>
    </w:lvl>
  </w:abstractNum>
  <w:abstractNum w:abstractNumId="6">
    <w:nsid w:val="2C6E4AFD"/>
    <w:multiLevelType w:val="hybridMultilevel"/>
    <w:lvl w:ilvl="0">
      <w:lvlJc w:val="left"/>
      <w:lvlText w:val="&gt;"/>
      <w:numFmt w:val="bullet"/>
      <w:start w:val="1"/>
    </w:lvl>
  </w:abstractNum>
  <w:abstractNum w:abstractNumId="7">
    <w:nsid w:val="17A1B582"/>
    <w:multiLevelType w:val="hybridMultilevel"/>
    <w:lvl w:ilvl="0">
      <w:lvlJc w:val="left"/>
      <w:lvlText w:val="&gt;"/>
      <w:numFmt w:val="bullet"/>
      <w:start w:val="1"/>
    </w:lvl>
  </w:abstractNum>
  <w:abstractNum w:abstractNumId="8">
    <w:nsid w:val="4DF72E4E"/>
    <w:multiLevelType w:val="hybridMultilevel"/>
    <w:lvl w:ilvl="0">
      <w:lvlJc w:val="left"/>
      <w:lvlText w:val="&gt;"/>
      <w:numFmt w:val="bullet"/>
      <w:start w:val="1"/>
    </w:lvl>
  </w:abstractNum>
  <w:abstractNum w:abstractNumId="9">
    <w:nsid w:val="5046B5A9"/>
    <w:multiLevelType w:val="hybridMultilevel"/>
    <w:lvl w:ilvl="0">
      <w:lvlJc w:val="left"/>
      <w:lvlText w:val="&gt;"/>
      <w:numFmt w:val="bullet"/>
      <w:start w:val="1"/>
    </w:lvl>
  </w:abstractNum>
  <w:abstractNum w:abstractNumId="10">
    <w:nsid w:val="5D888A08"/>
    <w:multiLevelType w:val="hybridMultilevel"/>
    <w:lvl w:ilvl="0">
      <w:lvlJc w:val="left"/>
      <w:lvlText w:val="%1"/>
      <w:numFmt w:val="decimal"/>
      <w:start w:val="14"/>
    </w:lvl>
  </w:abstractNum>
  <w:abstractNum w:abstractNumId="11">
    <w:nsid w:val="2A082C70"/>
    <w:multiLevelType w:val="hybridMultilevel"/>
    <w:lvl w:ilvl="0">
      <w:lvlJc w:val="left"/>
      <w:lvlText w:val="%1"/>
      <w:numFmt w:val="decimal"/>
      <w:start w:val="16"/>
    </w:lvl>
  </w:abstractNum>
  <w:abstractNum w:abstractNumId="12">
    <w:nsid w:val="5EC6AFD4"/>
    <w:multiLevelType w:val="hybridMultilevel"/>
    <w:lvl w:ilvl="0">
      <w:lvlJc w:val="left"/>
      <w:lvlText w:val="•"/>
      <w:numFmt w:val="bullet"/>
      <w:start w:val="1"/>
    </w:lvl>
  </w:abstractNum>
  <w:abstractNum w:abstractNumId="13">
    <w:nsid w:val="19E21BB2"/>
    <w:multiLevelType w:val="hybridMultilevel"/>
    <w:lvl w:ilvl="0">
      <w:lvlJc w:val="left"/>
      <w:lvlText w:val="•"/>
      <w:numFmt w:val="bullet"/>
      <w:start w:val="1"/>
    </w:lvl>
  </w:abstractNum>
  <w:abstractNum w:abstractNumId="14">
    <w:nsid w:val="75E0858A"/>
    <w:multiLevelType w:val="hybridMultilevel"/>
    <w:lvl w:ilvl="0">
      <w:lvlJc w:val="left"/>
      <w:lvlText w:val="•"/>
      <w:numFmt w:val="bullet"/>
      <w:start w:val="1"/>
    </w:lvl>
  </w:abstractNum>
  <w:abstractNum w:abstractNumId="15">
    <w:nsid w:val="57A61A29"/>
    <w:multiLevelType w:val="hybridMultilevel"/>
    <w:lvl w:ilvl="0">
      <w:lvlJc w:val="left"/>
      <w:lvlText w:val="%1"/>
      <w:numFmt w:val="decimal"/>
      <w:start w:val="18"/>
    </w:lvl>
  </w:abstractNum>
  <w:abstractNum w:abstractNumId="16">
    <w:nsid w:val="5399C654"/>
    <w:multiLevelType w:val="hybridMultilevel"/>
    <w:lvl w:ilvl="0">
      <w:lvlJc w:val="left"/>
      <w:lvlText w:val="•"/>
      <w:numFmt w:val="bullet"/>
      <w:start w:val="1"/>
    </w:lvl>
  </w:abstractNum>
  <w:abstractNum w:abstractNumId="17">
    <w:nsid w:val="20EE1348"/>
    <w:multiLevelType w:val="hybridMultilevel"/>
    <w:lvl w:ilvl="0">
      <w:lvlJc w:val="left"/>
      <w:lvlText w:val="•"/>
      <w:numFmt w:val="bullet"/>
      <w:start w:val="1"/>
    </w:lvl>
  </w:abstractNum>
  <w:abstractNum w:abstractNumId="18">
    <w:nsid w:val="4427069A"/>
    <w:multiLevelType w:val="hybridMultilevel"/>
    <w:lvl w:ilvl="0">
      <w:lvlJc w:val="left"/>
      <w:lvlText w:val="•"/>
      <w:numFmt w:val="bullet"/>
      <w:start w:val="1"/>
    </w:lvl>
  </w:abstractNum>
  <w:abstractNum w:abstractNumId="19">
    <w:nsid w:val="B37E80A"/>
    <w:multiLevelType w:val="hybridMultilevel"/>
    <w:lvl w:ilvl="0">
      <w:lvlJc w:val="left"/>
      <w:lvlText w:val="•"/>
      <w:numFmt w:val="bullet"/>
      <w:start w:val="1"/>
    </w:lvl>
  </w:abstractNum>
  <w:abstractNum w:abstractNumId="20">
    <w:nsid w:val="2157F6BC"/>
    <w:multiLevelType w:val="hybridMultilevel"/>
    <w:lvl w:ilvl="0">
      <w:lvlJc w:val="left"/>
      <w:lvlText w:val="•"/>
      <w:numFmt w:val="bullet"/>
      <w:start w:val="1"/>
    </w:lvl>
  </w:abstractNum>
  <w:abstractNum w:abstractNumId="21">
    <w:nsid w:val="704E1DD5"/>
    <w:multiLevelType w:val="hybridMultilevel"/>
    <w:lvl w:ilvl="0">
      <w:lvlJc w:val="left"/>
      <w:lvlText w:val="•"/>
      <w:numFmt w:val="bullet"/>
      <w:start w:val="1"/>
    </w:lvl>
  </w:abstractNum>
  <w:abstractNum w:abstractNumId="22">
    <w:nsid w:val="57D2F10E"/>
    <w:multiLevelType w:val="hybridMultilevel"/>
    <w:lvl w:ilvl="0">
      <w:lvlJc w:val="left"/>
      <w:lvlText w:val="•"/>
      <w:numFmt w:val="bullet"/>
      <w:start w:val="1"/>
    </w:lvl>
  </w:abstractNum>
  <w:abstractNum w:abstractNumId="23">
    <w:nsid w:val="BFFAE18"/>
    <w:multiLevelType w:val="hybridMultilevel"/>
    <w:lvl w:ilvl="0">
      <w:lvlJc w:val="left"/>
      <w:lvlText w:val="•"/>
      <w:numFmt w:val="bullet"/>
      <w:start w:val="1"/>
    </w:lvl>
  </w:abstractNum>
  <w:abstractNum w:abstractNumId="24">
    <w:nsid w:val="E3E47A8"/>
    <w:multiLevelType w:val="hybridMultilevel"/>
    <w:lvl w:ilvl="0">
      <w:lvlJc w:val="left"/>
      <w:lvlText w:val="•"/>
      <w:numFmt w:val="bullet"/>
      <w:start w:val="1"/>
    </w:lvl>
  </w:abstractNum>
  <w:abstractNum w:abstractNumId="25">
    <w:nsid w:val="2E48F044"/>
    <w:multiLevelType w:val="hybridMultilevel"/>
    <w:lvl w:ilvl="0">
      <w:lvlJc w:val="left"/>
      <w:lvlText w:val="•"/>
      <w:numFmt w:val="bullet"/>
      <w:start w:val="1"/>
    </w:lvl>
  </w:abstractNum>
  <w:abstractNum w:abstractNumId="26">
    <w:nsid w:val="49D0FEAC"/>
    <w:multiLevelType w:val="hybridMultilevel"/>
    <w:lvl w:ilvl="0">
      <w:lvlJc w:val="left"/>
      <w:lvlText w:val="•"/>
      <w:numFmt w:val="bullet"/>
      <w:start w:val="1"/>
    </w:lvl>
  </w:abstractNum>
  <w:abstractNum w:abstractNumId="27">
    <w:nsid w:val="4BEE5A5B"/>
    <w:multiLevelType w:val="hybridMultilevel"/>
    <w:lvl w:ilvl="0">
      <w:lvlJc w:val="left"/>
      <w:lvlText w:val="•"/>
      <w:numFmt w:val="bullet"/>
      <w:start w:val="1"/>
    </w:lvl>
  </w:abstractNum>
  <w:abstractNum w:abstractNumId="28">
    <w:nsid w:val="5551B9F3"/>
    <w:multiLevelType w:val="hybridMultilevel"/>
    <w:lvl w:ilvl="0">
      <w:lvlJc w:val="left"/>
      <w:lvlText w:val="%1"/>
      <w:numFmt w:val="decimal"/>
      <w:start w:val="20"/>
    </w:lvl>
  </w:abstractNum>
  <w:abstractNum w:abstractNumId="29">
    <w:nsid w:val="24F6AB8E"/>
    <w:multiLevelType w:val="hybridMultilevel"/>
    <w:lvl w:ilvl="0">
      <w:lvlJc w:val="left"/>
      <w:lvlText w:val="•"/>
      <w:numFmt w:val="bullet"/>
      <w:start w:val="1"/>
    </w:lvl>
  </w:abstractNum>
  <w:abstractNum w:abstractNumId="30">
    <w:nsid w:val="634C574C"/>
    <w:multiLevelType w:val="hybridMultilevel"/>
    <w:lvl w:ilvl="0">
      <w:lvlJc w:val="left"/>
      <w:lvlText w:val="•"/>
      <w:numFmt w:val="bullet"/>
      <w:start w:val="1"/>
    </w:lvl>
  </w:abstractNum>
  <w:abstractNum w:abstractNumId="31">
    <w:nsid w:val="24E99DD7"/>
    <w:multiLevelType w:val="hybridMultilevel"/>
    <w:lvl w:ilvl="0">
      <w:lvlJc w:val="left"/>
      <w:lvlText w:val="•"/>
      <w:numFmt w:val="bullet"/>
      <w:start w:val="1"/>
    </w:lvl>
  </w:abstractNum>
  <w:abstractNum w:abstractNumId="32">
    <w:nsid w:val="2A31B62D"/>
    <w:multiLevelType w:val="hybridMultilevel"/>
    <w:lvl w:ilvl="0">
      <w:lvlJc w:val="left"/>
      <w:lvlText w:val="•"/>
      <w:numFmt w:val="bullet"/>
      <w:start w:val="1"/>
    </w:lvl>
  </w:abstractNum>
  <w:abstractNum w:abstractNumId="33">
    <w:nsid w:val="1849C29B"/>
    <w:multiLevelType w:val="hybridMultilevel"/>
    <w:lvl w:ilvl="0">
      <w:lvlJc w:val="left"/>
      <w:lvlText w:val="•"/>
      <w:numFmt w:val="bullet"/>
      <w:start w:val="1"/>
    </w:lvl>
  </w:abstractNum>
  <w:abstractNum w:abstractNumId="34">
    <w:nsid w:val="7DFF9D09"/>
    <w:multiLevelType w:val="hybridMultilevel"/>
    <w:lvl w:ilvl="0">
      <w:lvlJc w:val="left"/>
      <w:lvlText w:val="•"/>
      <w:numFmt w:val="bullet"/>
      <w:start w:val="1"/>
    </w:lvl>
  </w:abstractNum>
  <w:abstractNum w:abstractNumId="35">
    <w:nsid w:val="754342"/>
    <w:multiLevelType w:val="hybridMultilevel"/>
    <w:lvl w:ilvl="0">
      <w:lvlJc w:val="left"/>
      <w:lvlText w:val="•"/>
      <w:numFmt w:val="bullet"/>
      <w:start w:val="1"/>
    </w:lvl>
  </w:abstractNum>
  <w:abstractNum w:abstractNumId="36">
    <w:nsid w:val="69E7F3E5"/>
    <w:multiLevelType w:val="hybridMultilevel"/>
    <w:lvl w:ilvl="0">
      <w:lvlJc w:val="left"/>
      <w:lvlText w:val="•"/>
      <w:numFmt w:val="bullet"/>
      <w:start w:val="1"/>
    </w:lvl>
  </w:abstractNum>
  <w:abstractNum w:abstractNumId="37">
    <w:nsid w:val="2A6DE806"/>
    <w:multiLevelType w:val="hybridMultilevel"/>
    <w:lvl w:ilvl="0">
      <w:lvlJc w:val="left"/>
      <w:lvlText w:val="•"/>
      <w:numFmt w:val="bullet"/>
      <w:start w:val="1"/>
    </w:lvl>
  </w:abstractNum>
  <w:abstractNum w:abstractNumId="38">
    <w:nsid w:val="1816F8C4"/>
    <w:multiLevelType w:val="hybridMultilevel"/>
    <w:lvl w:ilvl="0">
      <w:lvlJc w:val="left"/>
      <w:lvlText w:val="•"/>
      <w:numFmt w:val="bullet"/>
      <w:start w:val="1"/>
    </w:lvl>
  </w:abstractNum>
  <w:abstractNum w:abstractNumId="39">
    <w:nsid w:val="37DF2233"/>
    <w:multiLevelType w:val="hybridMultilevel"/>
    <w:lvl w:ilvl="0">
      <w:lvlJc w:val="left"/>
      <w:lvlText w:val="%1"/>
      <w:numFmt w:val="decimal"/>
      <w:start w:val="22"/>
    </w:lvl>
  </w:abstractNum>
  <w:abstractNum w:abstractNumId="40">
    <w:nsid w:val="7AB49DAF"/>
    <w:multiLevelType w:val="hybridMultilevel"/>
    <w:lvl w:ilvl="0">
      <w:lvlJc w:val="left"/>
      <w:lvlText w:val="•"/>
      <w:numFmt w:val="bullet"/>
      <w:start w:val="1"/>
    </w:lvl>
  </w:abstractNum>
  <w:abstractNum w:abstractNumId="41">
    <w:nsid w:val="759F82CD"/>
    <w:multiLevelType w:val="hybridMultilevel"/>
    <w:lvl w:ilvl="0">
      <w:lvlJc w:val="left"/>
      <w:lvlText w:val="•"/>
      <w:numFmt w:val="bullet"/>
      <w:start w:val="1"/>
    </w:lvl>
  </w:abstractNum>
  <w:abstractNum w:abstractNumId="42">
    <w:nsid w:val="61E74EA3"/>
    <w:multiLevelType w:val="hybridMultilevel"/>
    <w:lvl w:ilvl="0">
      <w:lvlJc w:val="left"/>
      <w:lvlText w:val="•"/>
      <w:numFmt w:val="bullet"/>
      <w:start w:val="1"/>
    </w:lvl>
  </w:abstractNum>
  <w:abstractNum w:abstractNumId="43">
    <w:nsid w:val="597B4D84"/>
    <w:multiLevelType w:val="hybridMultilevel"/>
    <w:lvl w:ilvl="0">
      <w:lvlJc w:val="left"/>
      <w:lvlText w:val="•"/>
      <w:numFmt w:val="bullet"/>
      <w:start w:val="1"/>
    </w:lvl>
  </w:abstractNum>
  <w:abstractNum w:abstractNumId="44">
    <w:nsid w:val="F819E7F"/>
    <w:multiLevelType w:val="hybridMultilevel"/>
    <w:lvl w:ilvl="0">
      <w:lvlJc w:val="left"/>
      <w:lvlText w:val="•"/>
      <w:numFmt w:val="bullet"/>
      <w:start w:val="1"/>
    </w:lvl>
    <w:lvl w:ilvl="1">
      <w:lvlJc w:val="left"/>
      <w:lvlText w:val="&amp;"/>
      <w:numFmt w:val="bullet"/>
      <w:start w:val="1"/>
    </w:lvl>
  </w:abstractNum>
  <w:abstractNum w:abstractNumId="45">
    <w:nsid w:val="57C7D42D"/>
    <w:multiLevelType w:val="hybridMultilevel"/>
    <w:lvl w:ilvl="0">
      <w:lvlJc w:val="left"/>
      <w:lvlText w:val="•"/>
      <w:numFmt w:val="bullet"/>
      <w:start w:val="1"/>
    </w:lvl>
  </w:abstractNum>
  <w:abstractNum w:abstractNumId="46">
    <w:nsid w:val="312167AD"/>
    <w:multiLevelType w:val="hybridMultilevel"/>
    <w:lvl w:ilvl="0">
      <w:lvlJc w:val="left"/>
      <w:lvlText w:val="•"/>
      <w:numFmt w:val="bullet"/>
      <w:start w:val="1"/>
    </w:lvl>
  </w:abstractNum>
  <w:abstractNum w:abstractNumId="47">
    <w:nsid w:val="631B64D4"/>
    <w:multiLevelType w:val="hybridMultilevel"/>
    <w:lvl w:ilvl="0">
      <w:lvlJc w:val="left"/>
      <w:lvlText w:val="•"/>
      <w:numFmt w:val="bullet"/>
      <w:start w:val="1"/>
    </w:lvl>
  </w:abstractNum>
  <w:abstractNum w:abstractNumId="48">
    <w:nsid w:val="78B5E776"/>
    <w:multiLevelType w:val="hybridMultilevel"/>
    <w:lvl w:ilvl="0">
      <w:lvlJc w:val="left"/>
      <w:lvlText w:val="•"/>
      <w:numFmt w:val="bullet"/>
      <w:start w:val="1"/>
    </w:lvl>
  </w:abstractNum>
  <w:abstractNum w:abstractNumId="49">
    <w:nsid w:val="75486E47"/>
    <w:multiLevelType w:val="hybridMultilevel"/>
    <w:lvl w:ilvl="0">
      <w:lvlJc w:val="left"/>
      <w:lvlText w:val="•"/>
      <w:numFmt w:val="bullet"/>
      <w:start w:val="1"/>
    </w:lvl>
  </w:abstractNum>
  <w:abstractNum w:abstractNumId="50">
    <w:nsid w:val="6E534CDE"/>
    <w:multiLevelType w:val="hybridMultilevel"/>
    <w:lvl w:ilvl="0">
      <w:lvlJc w:val="left"/>
      <w:lvlText w:val="•"/>
      <w:numFmt w:val="bullet"/>
      <w:start w:val="1"/>
    </w:lvl>
  </w:abstractNum>
  <w:abstractNum w:abstractNumId="51">
    <w:nsid w:val="1A0DDE32"/>
    <w:multiLevelType w:val="hybridMultilevel"/>
    <w:lvl w:ilvl="0">
      <w:lvlJc w:val="left"/>
      <w:lvlText w:val="%1"/>
      <w:numFmt w:val="decimal"/>
      <w:start w:val="24"/>
    </w:lvl>
  </w:abstractNum>
  <w:abstractNum w:abstractNumId="52">
    <w:nsid w:val="65968C1C"/>
    <w:multiLevelType w:val="hybridMultilevel"/>
    <w:lvl w:ilvl="0">
      <w:lvlJc w:val="left"/>
      <w:lvlText w:val="n"/>
      <w:numFmt w:val="bullet"/>
      <w:start w:val="1"/>
    </w:lvl>
  </w:abstractNum>
  <w:abstractNum w:abstractNumId="53">
    <w:nsid w:val="46263DEC"/>
    <w:multiLevelType w:val="hybridMultilevel"/>
    <w:lvl w:ilvl="0">
      <w:lvlJc w:val="left"/>
      <w:lvlText w:val="n"/>
      <w:numFmt w:val="bullet"/>
      <w:start w:val="1"/>
    </w:lvl>
  </w:abstractNum>
  <w:abstractNum w:abstractNumId="54">
    <w:nsid w:val="260D8C4A"/>
    <w:multiLevelType w:val="hybridMultilevel"/>
    <w:lvl w:ilvl="0">
      <w:lvlJc w:val="left"/>
      <w:lvlText w:val="•"/>
      <w:numFmt w:val="bullet"/>
      <w:start w:val="1"/>
    </w:lvl>
  </w:abstractNum>
  <w:abstractNum w:abstractNumId="55">
    <w:nsid w:val="73D4D3C4"/>
    <w:multiLevelType w:val="hybridMultilevel"/>
    <w:lvl w:ilvl="0">
      <w:lvlJc w:val="left"/>
      <w:lvlText w:val="%1"/>
      <w:numFmt w:val="decimal"/>
      <w:start w:val="26"/>
    </w:lvl>
  </w:abstractNum>
  <w:abstractNum w:abstractNumId="56">
    <w:nsid w:val="746F2E30"/>
    <w:multiLevelType w:val="hybridMultilevel"/>
    <w:lvl w:ilvl="0">
      <w:lvlJc w:val="left"/>
      <w:lvlText w:val="•"/>
      <w:numFmt w:val="bullet"/>
      <w:start w:val="1"/>
    </w:lvl>
  </w:abstractNum>
  <w:abstractNum w:abstractNumId="57">
    <w:nsid w:val="6FDE8AF6"/>
    <w:multiLevelType w:val="hybridMultilevel"/>
    <w:lvl w:ilvl="0">
      <w:lvlJc w:val="left"/>
      <w:lvlText w:val="•"/>
      <w:numFmt w:val="bullet"/>
      <w:start w:val="1"/>
    </w:lvl>
  </w:abstractNum>
  <w:abstractNum w:abstractNumId="58">
    <w:nsid w:val="3FC32E20"/>
    <w:multiLevelType w:val="hybridMultilevel"/>
    <w:lvl w:ilvl="0">
      <w:lvlJc w:val="left"/>
      <w:lvlText w:val="%1"/>
      <w:numFmt w:val="decimal"/>
      <w:start w:val="28"/>
    </w:lvl>
  </w:abstractNum>
  <w:abstractNum w:abstractNumId="59">
    <w:nsid w:val="49C0E823"/>
    <w:multiLevelType w:val="hybridMultilevel"/>
    <w:lvl w:ilvl="0">
      <w:lvlJc w:val="left"/>
      <w:lvlText w:val="•"/>
      <w:numFmt w:val="bullet"/>
      <w:start w:val="1"/>
    </w:lvl>
  </w:abstractNum>
  <w:abstractNum w:abstractNumId="60">
    <w:nsid w:val="14D53685"/>
    <w:multiLevelType w:val="hybridMultilevel"/>
    <w:lvl w:ilvl="0">
      <w:lvlJc w:val="left"/>
      <w:lvlText w:val="•"/>
      <w:numFmt w:val="bullet"/>
      <w:start w:val="1"/>
    </w:lvl>
  </w:abstractNum>
  <w:abstractNum w:abstractNumId="61">
    <w:nsid w:val="230F856C"/>
    <w:multiLevelType w:val="hybridMultilevel"/>
    <w:lvl w:ilvl="0">
      <w:lvlJc w:val="left"/>
      <w:lvlText w:val="•"/>
      <w:numFmt w:val="bullet"/>
      <w:start w:val="1"/>
    </w:lvl>
  </w:abstractNum>
  <w:abstractNum w:abstractNumId="62">
    <w:nsid w:val="6EAA85FB"/>
    <w:multiLevelType w:val="hybridMultilevel"/>
    <w:lvl w:ilvl="0">
      <w:lvlJc w:val="left"/>
      <w:lvlText w:val="•"/>
      <w:numFmt w:val="bullet"/>
      <w:start w:val="1"/>
    </w:lvl>
  </w:abstractNum>
  <w:abstractNum w:abstractNumId="63">
    <w:nsid w:val="3F06ECB2"/>
    <w:multiLevelType w:val="hybridMultilevel"/>
    <w:lvl w:ilvl="0">
      <w:lvlJc w:val="left"/>
      <w:lvlText w:val="•"/>
      <w:numFmt w:val="bullet"/>
      <w:start w:val="1"/>
    </w:lvl>
  </w:abstractNum>
  <w:abstractNum w:abstractNumId="64">
    <w:nsid w:val="3B594807"/>
    <w:multiLevelType w:val="hybridMultilevel"/>
    <w:lvl w:ilvl="0">
      <w:lvlJc w:val="left"/>
      <w:lvlText w:val="•"/>
      <w:numFmt w:val="bullet"/>
      <w:start w:val="1"/>
    </w:lvl>
  </w:abstractNum>
  <w:abstractNum w:abstractNumId="65">
    <w:nsid w:val="6CAA2304"/>
    <w:multiLevelType w:val="hybridMultilevel"/>
    <w:lvl w:ilvl="0">
      <w:lvlJc w:val="left"/>
      <w:lvlText w:val="•"/>
      <w:numFmt w:val="bullet"/>
      <w:start w:val="1"/>
    </w:lvl>
  </w:abstractNum>
  <w:abstractNum w:abstractNumId="66">
    <w:nsid w:val="3F7C2FF4"/>
    <w:multiLevelType w:val="hybridMultilevel"/>
    <w:lvl w:ilvl="0">
      <w:lvlJc w:val="left"/>
      <w:lvlText w:val="•"/>
      <w:numFmt w:val="bullet"/>
      <w:start w:val="1"/>
    </w:lvl>
  </w:abstractNum>
  <w:abstractNum w:abstractNumId="67">
    <w:nsid w:val="25413BEC"/>
    <w:multiLevelType w:val="hybridMultilevel"/>
    <w:lvl w:ilvl="0">
      <w:lvlJc w:val="left"/>
      <w:lvlText w:val="•"/>
      <w:numFmt w:val="bullet"/>
      <w:start w:val="1"/>
    </w:lvl>
  </w:abstractNum>
  <w:abstractNum w:abstractNumId="68">
    <w:nsid w:val="17180B0B"/>
    <w:multiLevelType w:val="hybridMultilevel"/>
    <w:lvl w:ilvl="0">
      <w:lvlJc w:val="left"/>
      <w:lvlText w:val="%1"/>
      <w:numFmt w:val="decimal"/>
      <w:start w:val="30"/>
    </w:lvl>
  </w:abstractNum>
  <w:abstractNum w:abstractNumId="69">
    <w:nsid w:val="579328B9"/>
    <w:multiLevelType w:val="hybridMultilevel"/>
    <w:lvl w:ilvl="0">
      <w:lvlJc w:val="left"/>
      <w:lvlText w:val="•"/>
      <w:numFmt w:val="bullet"/>
      <w:start w:val="1"/>
    </w:lvl>
  </w:abstractNum>
  <w:abstractNum w:abstractNumId="70">
    <w:nsid w:val="5D205E20"/>
    <w:multiLevelType w:val="hybridMultilevel"/>
    <w:lvl w:ilvl="0">
      <w:lvlJc w:val="left"/>
      <w:lvlText w:val="•"/>
      <w:numFmt w:val="bullet"/>
      <w:start w:val="1"/>
    </w:lvl>
  </w:abstractNum>
  <w:abstractNum w:abstractNumId="71">
    <w:nsid w:val="11CCA8BA"/>
    <w:multiLevelType w:val="hybridMultilevel"/>
    <w:lvl w:ilvl="0">
      <w:lvlJc w:val="left"/>
      <w:lvlText w:val="*"/>
      <w:numFmt w:val="bullet"/>
      <w:start w:val="1"/>
    </w:lvl>
  </w:abstractNum>
  <w:abstractNum w:abstractNumId="72">
    <w:nsid w:val="4D32AB86"/>
    <w:multiLevelType w:val="hybridMultilevel"/>
    <w:lvl w:ilvl="0">
      <w:lvlJc w:val="left"/>
      <w:lvlText w:val="•"/>
      <w:numFmt w:val="bullet"/>
      <w:start w:val="1"/>
    </w:lvl>
  </w:abstractNum>
  <w:abstractNum w:abstractNumId="73">
    <w:nsid w:val="3F07ACC3"/>
    <w:multiLevelType w:val="hybridMultilevel"/>
    <w:lvl w:ilvl="0">
      <w:lvlJc w:val="left"/>
      <w:lvlText w:val="%1"/>
      <w:numFmt w:val="decimal"/>
      <w:start w:val="32"/>
    </w:lvl>
  </w:abstractNum>
  <w:abstractNum w:abstractNumId="74">
    <w:nsid w:val="6B47F63E"/>
    <w:multiLevelType w:val="hybridMultilevel"/>
    <w:lvl w:ilvl="0">
      <w:lvlJc w:val="left"/>
      <w:lvlText w:val="•"/>
      <w:numFmt w:val="bullet"/>
      <w:start w:val="1"/>
    </w:lvl>
  </w:abstractNum>
  <w:abstractNum w:abstractNumId="75">
    <w:nsid w:val="5CB44A05"/>
    <w:multiLevelType w:val="hybridMultilevel"/>
    <w:lvl w:ilvl="0">
      <w:lvlJc w:val="left"/>
      <w:lvlText w:val="•"/>
      <w:numFmt w:val="bullet"/>
      <w:start w:val="1"/>
    </w:lvl>
  </w:abstractNum>
  <w:abstractNum w:abstractNumId="76">
    <w:nsid w:val="16CF80F1"/>
    <w:multiLevelType w:val="hybridMultilevel"/>
    <w:lvl w:ilvl="0">
      <w:lvlJc w:val="left"/>
      <w:lvlText w:val="•"/>
      <w:numFmt w:val="bullet"/>
      <w:start w:val="1"/>
    </w:lvl>
  </w:abstractNum>
  <w:abstractNum w:abstractNumId="77">
    <w:nsid w:val="1C695DEC"/>
    <w:multiLevelType w:val="hybridMultilevel"/>
    <w:lvl w:ilvl="0">
      <w:lvlJc w:val="left"/>
      <w:lvlText w:val="%1"/>
      <w:numFmt w:val="decimal"/>
      <w:start w:val="34"/>
    </w:lvl>
  </w:abstractNum>
  <w:abstractNum w:abstractNumId="78">
    <w:nsid w:val="3FCFAED9"/>
    <w:multiLevelType w:val="hybridMultilevel"/>
    <w:lvl w:ilvl="0">
      <w:lvlJc w:val="left"/>
      <w:lvlText w:val="•"/>
      <w:numFmt w:val="bullet"/>
      <w:start w:val="1"/>
    </w:lvl>
  </w:abstractNum>
  <w:abstractNum w:abstractNumId="79">
    <w:nsid w:val="F856867"/>
    <w:multiLevelType w:val="hybridMultilevel"/>
    <w:lvl w:ilvl="0">
      <w:lvlJc w:val="left"/>
      <w:lvlText w:val="%1"/>
      <w:numFmt w:val="decimal"/>
      <w:start w:val="36"/>
    </w:lvl>
  </w:abstractNum>
  <w:abstractNum w:abstractNumId="80">
    <w:nsid w:val="11B1CC33"/>
    <w:multiLevelType w:val="hybridMultilevel"/>
    <w:lvl w:ilvl="0">
      <w:lvlJc w:val="left"/>
      <w:lvlText w:val="•"/>
      <w:numFmt w:val="bullet"/>
      <w:start w:val="1"/>
    </w:lvl>
  </w:abstractNum>
  <w:abstractNum w:abstractNumId="81">
    <w:nsid w:val="2E22FBB7"/>
    <w:multiLevelType w:val="hybridMultilevel"/>
    <w:lvl w:ilvl="0">
      <w:lvlJc w:val="left"/>
      <w:lvlText w:val="•"/>
      <w:numFmt w:val="bullet"/>
      <w:start w:val="1"/>
    </w:lvl>
  </w:abstractNum>
  <w:abstractNum w:abstractNumId="82">
    <w:nsid w:val="29934699"/>
    <w:multiLevelType w:val="hybridMultilevel"/>
    <w:lvl w:ilvl="0">
      <w:lvlJc w:val="left"/>
      <w:lvlText w:val="•"/>
      <w:numFmt w:val="bullet"/>
      <w:start w:val="1"/>
    </w:lvl>
    <w:lvl w:ilvl="1">
      <w:lvlJc w:val="left"/>
      <w:lvlText w:val="\emdash "/>
      <w:numFmt w:val="bullet"/>
      <w:start w:val="1"/>
    </w:lvl>
  </w:abstractNum>
  <w:abstractNum w:abstractNumId="83">
    <w:nsid w:val="77485850"/>
    <w:multiLevelType w:val="hybridMultilevel"/>
    <w:lvl w:ilvl="0">
      <w:lvlJc w:val="left"/>
      <w:lvlText w:val="•"/>
      <w:numFmt w:val="bullet"/>
      <w:start w:val="1"/>
    </w:lvl>
  </w:abstractNum>
  <w:abstractNum w:abstractNumId="84">
    <w:nsid w:val="744939A3"/>
    <w:multiLevelType w:val="hybridMultilevel"/>
    <w:lvl w:ilvl="0">
      <w:lvlJc w:val="left"/>
      <w:lvlText w:val="%1"/>
      <w:numFmt w:val="decimal"/>
      <w:start w:val="38"/>
    </w:lvl>
  </w:abstractNum>
  <w:abstractNum w:abstractNumId="85">
    <w:nsid w:val="4FA0D2E3"/>
    <w:multiLevelType w:val="hybridMultilevel"/>
    <w:lvl w:ilvl="0">
      <w:lvlJc w:val="left"/>
      <w:lvlText w:val="•"/>
      <w:numFmt w:val="bullet"/>
      <w:start w:val="1"/>
    </w:lvl>
  </w:abstractNum>
  <w:abstractNum w:abstractNumId="86">
    <w:nsid w:val="6B1D2C14"/>
    <w:multiLevelType w:val="hybridMultilevel"/>
    <w:lvl w:ilvl="0">
      <w:lvlJc w:val="left"/>
      <w:lvlText w:val="•"/>
      <w:numFmt w:val="bullet"/>
      <w:start w:val="1"/>
    </w:lvl>
  </w:abstractNum>
  <w:abstractNum w:abstractNumId="87">
    <w:nsid w:val="68B867D3"/>
    <w:multiLevelType w:val="hybridMultilevel"/>
    <w:lvl w:ilvl="0">
      <w:lvlJc w:val="left"/>
      <w:lvlText w:val="%1"/>
      <w:numFmt w:val="decimal"/>
      <w:start w:val="40"/>
    </w:lvl>
  </w:abstractNum>
  <w:abstractNum w:abstractNumId="88">
    <w:nsid w:val="3F7F5DD9"/>
    <w:multiLevelType w:val="hybridMultilevel"/>
    <w:lvl w:ilvl="0">
      <w:lvlJc w:val="left"/>
      <w:lvlText w:val="•"/>
      <w:numFmt w:val="bullet"/>
      <w:start w:val="1"/>
    </w:lvl>
  </w:abstractNum>
  <w:abstractNum w:abstractNumId="89">
    <w:nsid w:val="2AE05A34"/>
    <w:multiLevelType w:val="hybridMultilevel"/>
    <w:lvl w:ilvl="0">
      <w:lvlJc w:val="left"/>
      <w:lvlText w:val="•"/>
      <w:numFmt w:val="bullet"/>
      <w:start w:val="1"/>
    </w:lvl>
  </w:abstractNum>
  <w:abstractNum w:abstractNumId="90">
    <w:nsid w:val="32794FF7"/>
    <w:multiLevelType w:val="hybridMultilevel"/>
    <w:lvl w:ilvl="0">
      <w:lvlJc w:val="left"/>
      <w:lvlText w:val="•"/>
      <w:numFmt w:val="bullet"/>
      <w:start w:val="1"/>
    </w:lvl>
  </w:abstractNum>
  <w:abstractNum w:abstractNumId="91">
    <w:nsid w:val="5454945E"/>
    <w:multiLevelType w:val="hybridMultilevel"/>
    <w:lvl w:ilvl="0">
      <w:lvlJc w:val="left"/>
      <w:lvlText w:val="%1"/>
      <w:numFmt w:val="decimal"/>
      <w:start w:val="42"/>
    </w:lvl>
  </w:abstractNum>
  <w:abstractNum w:abstractNumId="92">
    <w:nsid w:val="4DEFDFA0"/>
    <w:multiLevelType w:val="hybridMultilevel"/>
    <w:lvl w:ilvl="0">
      <w:lvlJc w:val="left"/>
      <w:lvlText w:val="•"/>
      <w:numFmt w:val="bullet"/>
      <w:start w:val="1"/>
    </w:lvl>
  </w:abstractNum>
  <w:abstractNum w:abstractNumId="93">
    <w:nsid w:val="2123D5F2"/>
    <w:multiLevelType w:val="hybridMultilevel"/>
    <w:lvl w:ilvl="0">
      <w:lvlJc w:val="left"/>
      <w:lvlText w:val="•"/>
      <w:numFmt w:val="bullet"/>
      <w:start w:val="1"/>
    </w:lvl>
  </w:abstractNum>
  <w:abstractNum w:abstractNumId="94">
    <w:nsid w:val="135B8110"/>
    <w:multiLevelType w:val="hybridMultilevel"/>
    <w:lvl w:ilvl="0">
      <w:lvlJc w:val="left"/>
      <w:lvlText w:val="%1"/>
      <w:numFmt w:val="decimal"/>
      <w:start w:val="44"/>
    </w:lvl>
  </w:abstractNum>
  <w:abstractNum w:abstractNumId="95">
    <w:nsid w:val="94927A8"/>
    <w:multiLevelType w:val="hybridMultilevel"/>
    <w:lvl w:ilvl="0">
      <w:lvlJc w:val="left"/>
      <w:lvlText w:val="(%1)"/>
      <w:numFmt w:val="decimal"/>
      <w:start w:val="1"/>
    </w:lvl>
  </w:abstractNum>
  <w:abstractNum w:abstractNumId="96">
    <w:nsid w:val="DCDF8F6"/>
    <w:multiLevelType w:val="hybridMultilevel"/>
    <w:lvl w:ilvl="0">
      <w:lvlJc w:val="left"/>
      <w:lvlText w:val="%1"/>
      <w:numFmt w:val="decimal"/>
      <w:start w:val="46"/>
    </w:lvl>
  </w:abstractNum>
  <w:abstractNum w:abstractNumId="97">
    <w:nsid w:val="52D7B105"/>
    <w:multiLevelType w:val="hybridMultilevel"/>
    <w:lvl w:ilvl="0">
      <w:lvlJc w:val="left"/>
      <w:lvlText w:val="(%1)"/>
      <w:numFmt w:val="decimal"/>
      <w:start w:val="1"/>
    </w:lvl>
  </w:abstractNum>
  <w:abstractNum w:abstractNumId="98">
    <w:nsid w:val="2E8A6394"/>
    <w:multiLevelType w:val="hybridMultilevel"/>
    <w:lvl w:ilvl="0">
      <w:lvlJc w:val="left"/>
      <w:lvlText w:val="(%1)"/>
      <w:numFmt w:val="decimal"/>
      <w:start w:val="1"/>
    </w:lvl>
  </w:abstractNum>
  <w:abstractNum w:abstractNumId="99">
    <w:nsid w:val="24E60401"/>
    <w:multiLevelType w:val="hybridMultilevel"/>
    <w:lvl w:ilvl="0">
      <w:lvlJc w:val="left"/>
      <w:lvlText w:val="%1"/>
      <w:numFmt w:val="decimal"/>
      <w:start w:val="48"/>
    </w:lvl>
  </w:abstractNum>
  <w:abstractNum w:abstractNumId="100">
    <w:nsid w:val="2A6AD9BE"/>
    <w:multiLevelType w:val="hybridMultilevel"/>
    <w:lvl w:ilvl="0">
      <w:lvlJc w:val="left"/>
      <w:lvlText w:val="•"/>
      <w:numFmt w:val="bullet"/>
      <w:start w:val="1"/>
    </w:lvl>
  </w:abstractNum>
  <w:abstractNum w:abstractNumId="101">
    <w:nsid w:val="BAAC1B4"/>
    <w:multiLevelType w:val="hybridMultilevel"/>
    <w:lvl w:ilvl="0">
      <w:lvlJc w:val="left"/>
      <w:lvlText w:val="•"/>
      <w:numFmt w:val="bullet"/>
      <w:start w:val="1"/>
    </w:lvl>
  </w:abstractNum>
  <w:abstractNum w:abstractNumId="102">
    <w:nsid w:val="36B2ACBC"/>
    <w:multiLevelType w:val="hybridMultilevel"/>
    <w:lvl w:ilvl="0">
      <w:lvlJc w:val="left"/>
      <w:lvlText w:val="•"/>
      <w:numFmt w:val="bullet"/>
      <w:start w:val="1"/>
    </w:lvl>
  </w:abstractNum>
  <w:abstractNum w:abstractNumId="103">
    <w:nsid w:val="779D8544"/>
    <w:multiLevelType w:val="hybridMultilevel"/>
    <w:lvl w:ilvl="0">
      <w:lvlJc w:val="left"/>
      <w:lvlText w:val="•"/>
      <w:numFmt w:val="bullet"/>
      <w:start w:val="1"/>
    </w:lvl>
  </w:abstractNum>
  <w:abstractNum w:abstractNumId="104">
    <w:nsid w:val="4AB26E78"/>
    <w:multiLevelType w:val="hybridMultilevel"/>
    <w:lvl w:ilvl="0">
      <w:lvlJc w:val="left"/>
      <w:lvlText w:val="%1"/>
      <w:numFmt w:val="decimal"/>
      <w:start w:val="50"/>
    </w:lvl>
  </w:abstractNum>
  <w:abstractNum w:abstractNumId="105">
    <w:nsid w:val="21FAA2FA"/>
    <w:multiLevelType w:val="hybridMultilevel"/>
    <w:lvl w:ilvl="0">
      <w:lvlJc w:val="left"/>
      <w:lvlText w:val="•"/>
      <w:numFmt w:val="bullet"/>
      <w:start w:val="1"/>
    </w:lvl>
  </w:abstractNum>
  <w:abstractNum w:abstractNumId="106">
    <w:nsid w:val="5451CF49"/>
    <w:multiLevelType w:val="hybridMultilevel"/>
    <w:lvl w:ilvl="0">
      <w:lvlJc w:val="left"/>
      <w:lvlText w:val="•"/>
      <w:numFmt w:val="bullet"/>
      <w:start w:val="1"/>
    </w:lvl>
  </w:abstractNum>
  <w:abstractNum w:abstractNumId="107">
    <w:nsid w:val="6181EF69"/>
    <w:multiLevelType w:val="hybridMultilevel"/>
    <w:lvl w:ilvl="0">
      <w:lvlJc w:val="left"/>
      <w:lvlText w:val="•"/>
      <w:numFmt w:val="bullet"/>
      <w:start w:val="1"/>
    </w:lvl>
  </w:abstractNum>
  <w:abstractNum w:abstractNumId="108">
    <w:nsid w:val="3E6400E6"/>
    <w:multiLevelType w:val="hybridMultilevel"/>
    <w:lvl w:ilvl="0">
      <w:lvlJc w:val="left"/>
      <w:lvlText w:val="%1"/>
      <w:numFmt w:val="decimal"/>
      <w:start w:val="52"/>
    </w:lvl>
  </w:abstractNum>
  <w:abstractNum w:abstractNumId="109">
    <w:nsid w:val="14217E23"/>
    <w:multiLevelType w:val="hybridMultilevel"/>
    <w:lvl w:ilvl="0">
      <w:lvlJc w:val="left"/>
      <w:lvlText w:val="•"/>
      <w:numFmt w:val="bullet"/>
      <w:start w:val="1"/>
    </w:lvl>
  </w:abstractNum>
  <w:abstractNum w:abstractNumId="110">
    <w:nsid w:val="710757D0"/>
    <w:multiLevelType w:val="hybridMultilevel"/>
    <w:lvl w:ilvl="0">
      <w:lvlJc w:val="left"/>
      <w:lvlText w:val="•"/>
      <w:numFmt w:val="bullet"/>
      <w:start w:val="1"/>
    </w:lvl>
  </w:abstractNum>
  <w:abstractNum w:abstractNumId="111">
    <w:nsid w:val="5015CD1A"/>
    <w:multiLevelType w:val="hybridMultilevel"/>
    <w:lvl w:ilvl="0">
      <w:lvlJc w:val="left"/>
      <w:lvlText w:val="•"/>
      <w:numFmt w:val="bullet"/>
      <w:start w:val="1"/>
    </w:lvl>
  </w:abstractNum>
  <w:abstractNum w:abstractNumId="112">
    <w:nsid w:val="424479DA"/>
    <w:multiLevelType w:val="hybridMultilevel"/>
    <w:lvl w:ilvl="0">
      <w:lvlJc w:val="left"/>
      <w:lvlText w:val="%1"/>
      <w:numFmt w:val="decimal"/>
      <w:start w:val="54"/>
    </w:lvl>
  </w:abstractNum>
  <w:abstractNum w:abstractNumId="113">
    <w:nsid w:val="1A9A9E69"/>
    <w:multiLevelType w:val="hybridMultilevel"/>
    <w:lvl w:ilvl="0">
      <w:lvlJc w:val="left"/>
      <w:lvlText w:val="•"/>
      <w:numFmt w:val="bullet"/>
      <w:start w:val="1"/>
    </w:lvl>
  </w:abstractNum>
  <w:abstractNum w:abstractNumId="114">
    <w:nsid w:val="475E256A"/>
    <w:multiLevelType w:val="hybridMultilevel"/>
    <w:lvl w:ilvl="0">
      <w:lvlJc w:val="left"/>
      <w:lvlText w:val="•"/>
      <w:numFmt w:val="bullet"/>
      <w:start w:val="1"/>
    </w:lvl>
  </w:abstractNum>
  <w:abstractNum w:abstractNumId="115">
    <w:nsid w:val="368DB37E"/>
    <w:multiLevelType w:val="hybridMultilevel"/>
    <w:lvl w:ilvl="0">
      <w:lvlJc w:val="left"/>
      <w:lvlText w:val="•"/>
      <w:numFmt w:val="bullet"/>
      <w:start w:val="1"/>
    </w:lvl>
  </w:abstractNum>
  <w:abstractNum w:abstractNumId="116">
    <w:nsid w:val="6A3B714C"/>
    <w:multiLevelType w:val="hybridMultilevel"/>
    <w:lvl w:ilvl="0">
      <w:lvlJc w:val="left"/>
      <w:lvlText w:val="%1"/>
      <w:numFmt w:val="decimal"/>
      <w:start w:val="56"/>
    </w:lvl>
  </w:abstractNum>
  <w:abstractNum w:abstractNumId="117">
    <w:nsid w:val="327B517E"/>
    <w:multiLevelType w:val="hybridMultilevel"/>
    <w:lvl w:ilvl="0">
      <w:lvlJc w:val="left"/>
      <w:lvlText w:val="(%1)"/>
      <w:numFmt w:val="decimal"/>
      <w:start w:val="1"/>
    </w:lvl>
  </w:abstractNum>
  <w:abstractNum w:abstractNumId="118">
    <w:nsid w:val="1F461B51"/>
    <w:multiLevelType w:val="hybridMultilevel"/>
    <w:lvl w:ilvl="0">
      <w:lvlJc w:val="left"/>
      <w:lvlText w:val="%1"/>
      <w:numFmt w:val="decimal"/>
      <w:start w:val="58"/>
    </w:lvl>
  </w:abstractNum>
  <w:abstractNum w:abstractNumId="119">
    <w:nsid w:val="29BACF25"/>
    <w:multiLevelType w:val="hybridMultilevel"/>
    <w:lvl w:ilvl="0">
      <w:lvlJc w:val="left"/>
      <w:lvlText w:val="(%1)"/>
      <w:numFmt w:val="decimal"/>
      <w:start w:val="1"/>
    </w:lvl>
  </w:abstractNum>
  <w:abstractNum w:abstractNumId="120">
    <w:nsid w:val="5D5BABB3"/>
    <w:multiLevelType w:val="hybridMultilevel"/>
    <w:lvl w:ilvl="0">
      <w:lvlJc w:val="left"/>
      <w:lvlText w:val="%1"/>
      <w:numFmt w:val="decimal"/>
      <w:start w:val="60"/>
    </w:lvl>
  </w:abstractNum>
  <w:abstractNum w:abstractNumId="121">
    <w:nsid w:val="51BF6B48"/>
    <w:multiLevelType w:val="hybridMultilevel"/>
    <w:lvl w:ilvl="0">
      <w:lvlJc w:val="left"/>
      <w:lvlText w:val="%1"/>
      <w:numFmt w:val="decimal"/>
      <w:start w:val="62"/>
    </w:lvl>
  </w:abstractNum>
  <w:abstractNum w:abstractNumId="122">
    <w:nsid w:val="7E0F6384"/>
    <w:multiLevelType w:val="hybridMultilevel"/>
    <w:lvl w:ilvl="0">
      <w:lvlJc w:val="left"/>
      <w:lvlText w:val="%1"/>
      <w:numFmt w:val="decimal"/>
      <w:start w:val="64"/>
    </w:lvl>
  </w:abstractNum>
  <w:abstractNum w:abstractNumId="123">
    <w:nsid w:val="2B4B8B53"/>
    <w:multiLevelType w:val="hybridMultilevel"/>
    <w:lvl w:ilvl="0">
      <w:lvlJc w:val="left"/>
      <w:lvlText w:val="**"/>
      <w:numFmt w:val="bullet"/>
      <w:start w:val="1"/>
    </w:lvl>
  </w:abstractNum>
  <w:abstractNum w:abstractNumId="124">
    <w:nsid w:val="72E3413A"/>
    <w:multiLevelType w:val="hybridMultilevel"/>
    <w:lvl w:ilvl="0">
      <w:lvlJc w:val="left"/>
      <w:lvlText w:val="%1"/>
      <w:numFmt w:val="decimal"/>
      <w:start w:val="66"/>
    </w:lvl>
  </w:abstractNum>
  <w:abstractNum w:abstractNumId="125">
    <w:nsid w:val="116AE494"/>
    <w:multiLevelType w:val="hybridMultilevel"/>
    <w:lvl w:ilvl="0">
      <w:lvlJc w:val="left"/>
      <w:lvlText w:val="•"/>
      <w:numFmt w:val="bullet"/>
      <w:start w:val="1"/>
    </w:lvl>
  </w:abstractNum>
  <w:abstractNum w:abstractNumId="126">
    <w:nsid w:val="3494B2FB"/>
    <w:multiLevelType w:val="hybridMultilevel"/>
    <w:lvl w:ilvl="0">
      <w:lvlJc w:val="left"/>
      <w:lvlText w:val="•"/>
      <w:numFmt w:val="bullet"/>
      <w:start w:val="1"/>
    </w:lvl>
  </w:abstractNum>
  <w:abstractNum w:abstractNumId="127">
    <w:nsid w:val="B13A31"/>
    <w:multiLevelType w:val="hybridMultilevel"/>
    <w:lvl w:ilvl="0">
      <w:lvlJc w:val="left"/>
      <w:lvlText w:val="•"/>
      <w:numFmt w:val="bullet"/>
      <w:start w:val="1"/>
    </w:lvl>
  </w:abstractNum>
  <w:abstractNum w:abstractNumId="128">
    <w:nsid w:val="64429599"/>
    <w:multiLevelType w:val="hybridMultilevel"/>
    <w:lvl w:ilvl="0">
      <w:lvlJc w:val="left"/>
      <w:lvlText w:val="%1"/>
      <w:numFmt w:val="decimal"/>
      <w:start w:val="68"/>
    </w:lvl>
  </w:abstractNum>
  <w:abstractNum w:abstractNumId="129">
    <w:nsid w:val="631F1690"/>
    <w:multiLevelType w:val="hybridMultilevel"/>
    <w:lvl w:ilvl="0">
      <w:lvlJc w:val="left"/>
      <w:lvlText w:val="•"/>
      <w:numFmt w:val="bullet"/>
      <w:start w:val="1"/>
    </w:lvl>
  </w:abstractNum>
  <w:abstractNum w:abstractNumId="130">
    <w:nsid w:val="25973E32"/>
    <w:multiLevelType w:val="hybridMultilevel"/>
    <w:lvl w:ilvl="0">
      <w:lvlJc w:val="left"/>
      <w:lvlText w:val="•"/>
      <w:numFmt w:val="bullet"/>
      <w:start w:val="1"/>
    </w:lvl>
  </w:abstractNum>
  <w:abstractNum w:abstractNumId="131">
    <w:nsid w:val="EAD6F57"/>
    <w:multiLevelType w:val="hybridMultilevel"/>
    <w:lvl w:ilvl="0">
      <w:lvlJc w:val="left"/>
      <w:lvlText w:val="%1"/>
      <w:numFmt w:val="decimal"/>
      <w:start w:val="70"/>
    </w:lvl>
  </w:abstractNum>
  <w:abstractNum w:abstractNumId="132">
    <w:nsid w:val="6EC9D844"/>
    <w:multiLevelType w:val="hybridMultilevel"/>
    <w:lvl w:ilvl="0">
      <w:lvlJc w:val="left"/>
      <w:lvlText w:val="(%1)"/>
      <w:numFmt w:val="decimal"/>
      <w:start w:val="1"/>
    </w:lvl>
  </w:abstractNum>
  <w:abstractNum w:abstractNumId="133">
    <w:nsid w:val="5C49EAEE"/>
    <w:multiLevelType w:val="hybridMultilevel"/>
    <w:lvl w:ilvl="0">
      <w:lvlJc w:val="left"/>
      <w:lvlText w:val="(%1)"/>
      <w:numFmt w:val="decimal"/>
      <w:start w:val="4"/>
    </w:lvl>
  </w:abstractNum>
  <w:abstractNum w:abstractNumId="134">
    <w:nsid w:val="64AF49B"/>
    <w:multiLevelType w:val="hybridMultilevel"/>
    <w:lvl w:ilvl="0">
      <w:lvlJc w:val="left"/>
      <w:lvlText w:val="%1."/>
      <w:numFmt w:val="lowerRoman"/>
      <w:start w:val="1"/>
    </w:lvl>
  </w:abstractNum>
  <w:abstractNum w:abstractNumId="135">
    <w:nsid w:val="397C46BC"/>
    <w:multiLevelType w:val="hybridMultilevel"/>
    <w:lvl w:ilvl="0">
      <w:lvlJc w:val="left"/>
      <w:lvlText w:val="(%1)"/>
      <w:numFmt w:val="decimal"/>
      <w:start w:val="6"/>
    </w:lvl>
  </w:abstractNum>
  <w:abstractNum w:abstractNumId="136">
    <w:nsid w:val="7E448DE9"/>
    <w:multiLevelType w:val="hybridMultilevel"/>
    <w:lvl w:ilvl="0">
      <w:lvlJc w:val="left"/>
      <w:lvlText w:val="%1"/>
      <w:numFmt w:val="decimal"/>
      <w:start w:val="72"/>
    </w:lvl>
  </w:abstractNum>
  <w:abstractNum w:abstractNumId="137">
    <w:nsid w:val="5A9CC3E5"/>
    <w:multiLevelType w:val="hybridMultilevel"/>
    <w:lvl w:ilvl="0">
      <w:lvlJc w:val="left"/>
      <w:lvlText w:val="(%1)"/>
      <w:numFmt w:val="decimal"/>
      <w:start w:val="1"/>
    </w:lvl>
  </w:abstractNum>
  <w:abstractNum w:abstractNumId="138">
    <w:nsid w:val="1AFE3625"/>
    <w:multiLevelType w:val="hybridMultilevel"/>
    <w:lvl w:ilvl="0">
      <w:lvlJc w:val="left"/>
      <w:lvlText w:val="(%1)"/>
      <w:numFmt w:val="decimal"/>
      <w:start w:val="1"/>
    </w:lvl>
  </w:abstractNum>
  <w:abstractNum w:abstractNumId="139">
    <w:nsid w:val="3CA88ECF"/>
    <w:multiLevelType w:val="hybridMultilevel"/>
    <w:lvl w:ilvl="0">
      <w:lvlJc w:val="left"/>
      <w:lvlText w:val="%1"/>
      <w:numFmt w:val="decimal"/>
      <w:start w:val="74"/>
    </w:lvl>
  </w:abstractNum>
  <w:abstractNum w:abstractNumId="140">
    <w:nsid w:val="6EBE4208"/>
    <w:multiLevelType w:val="hybridMultilevel"/>
    <w:lvl w:ilvl="0">
      <w:lvlJc w:val="left"/>
      <w:lvlText w:val="(%1)"/>
      <w:numFmt w:val="decimal"/>
      <w:start w:val="1"/>
    </w:lvl>
  </w:abstractNum>
  <w:abstractNum w:abstractNumId="141">
    <w:nsid w:val="C058DF5"/>
    <w:multiLevelType w:val="hybridMultilevel"/>
    <w:lvl w:ilvl="0">
      <w:lvlJc w:val="left"/>
      <w:lvlText w:val="(%1)"/>
      <w:numFmt w:val="decimal"/>
      <w:start w:val="1"/>
    </w:lvl>
    <w:lvl w:ilvl="1">
      <w:lvlJc w:val="left"/>
      <w:lvlText w:val="•"/>
      <w:numFmt w:val="bullet"/>
      <w:start w:val="1"/>
    </w:lvl>
  </w:abstractNum>
  <w:abstractNum w:abstractNumId="142">
    <w:nsid w:val="CBE5BE9"/>
    <w:multiLevelType w:val="hybridMultilevel"/>
    <w:lvl w:ilvl="0">
      <w:lvlJc w:val="left"/>
      <w:lvlText w:val="•"/>
      <w:numFmt w:val="bullet"/>
      <w:start w:val="1"/>
    </w:lvl>
  </w:abstractNum>
  <w:abstractNum w:abstractNumId="143">
    <w:nsid w:val="3102BBE2"/>
    <w:multiLevelType w:val="hybridMultilevel"/>
    <w:lvl w:ilvl="0">
      <w:lvlJc w:val="left"/>
      <w:lvlText w:val="%1"/>
      <w:numFmt w:val="decimal"/>
      <w:start w:val="76"/>
    </w:lvl>
  </w:abstractNum>
  <w:abstractNum w:abstractNumId="144">
    <w:nsid w:val="26A02C5E"/>
    <w:multiLevelType w:val="hybridMultilevel"/>
    <w:lvl w:ilvl="0">
      <w:lvlJc w:val="left"/>
      <w:lvlText w:val="•"/>
      <w:numFmt w:val="bullet"/>
      <w:start w:val="1"/>
    </w:lvl>
  </w:abstractNum>
  <w:abstractNum w:abstractNumId="145">
    <w:nsid w:val="541C8153"/>
    <w:multiLevelType w:val="hybridMultilevel"/>
    <w:lvl w:ilvl="0">
      <w:lvlJc w:val="left"/>
      <w:lvlText w:val="•"/>
      <w:numFmt w:val="bullet"/>
      <w:start w:val="1"/>
    </w:lvl>
  </w:abstractNum>
  <w:abstractNum w:abstractNumId="146">
    <w:nsid w:val="67906F60"/>
    <w:multiLevelType w:val="hybridMultilevel"/>
    <w:lvl w:ilvl="0">
      <w:lvlJc w:val="left"/>
      <w:lvlText w:val="•"/>
      <w:numFmt w:val="bullet"/>
      <w:start w:val="1"/>
    </w:lvl>
  </w:abstractNum>
  <w:abstractNum w:abstractNumId="147">
    <w:nsid w:val="10DB9DAA"/>
    <w:multiLevelType w:val="hybridMultilevel"/>
    <w:lvl w:ilvl="0">
      <w:lvlJc w:val="left"/>
      <w:lvlText w:val="(%1)"/>
      <w:numFmt w:val="decimal"/>
      <w:start w:val="1"/>
    </w:lvl>
  </w:abstractNum>
  <w:abstractNum w:abstractNumId="148">
    <w:nsid w:val="697D2D2"/>
    <w:multiLevelType w:val="hybridMultilevel"/>
    <w:lvl w:ilvl="0">
      <w:lvlJc w:val="left"/>
      <w:lvlText w:val="•"/>
      <w:numFmt w:val="bullet"/>
      <w:start w:val="1"/>
    </w:lvl>
  </w:abstractNum>
  <w:abstractNum w:abstractNumId="149">
    <w:nsid w:val="6D68AB2"/>
    <w:multiLevelType w:val="hybridMultilevel"/>
    <w:lvl w:ilvl="0">
      <w:lvlJc w:val="left"/>
      <w:lvlText w:val="%1"/>
      <w:numFmt w:val="decimal"/>
      <w:start w:val="78"/>
    </w:lvl>
  </w:abstractNum>
  <w:abstractNum w:abstractNumId="150">
    <w:nsid w:val="3A966CD0"/>
    <w:multiLevelType w:val="hybridMultilevel"/>
    <w:lvl w:ilvl="0">
      <w:lvlJc w:val="left"/>
      <w:lvlText w:val="(%1)"/>
      <w:numFmt w:val="decimal"/>
      <w:start w:val="1"/>
    </w:lvl>
  </w:abstractNum>
  <w:abstractNum w:abstractNumId="151">
    <w:nsid w:val="63F37E85"/>
    <w:multiLevelType w:val="hybridMultilevel"/>
    <w:lvl w:ilvl="0">
      <w:lvlJc w:val="left"/>
      <w:lvlText w:val="•"/>
      <w:numFmt w:val="bullet"/>
      <w:start w:val="1"/>
    </w:lvl>
  </w:abstractNum>
  <w:abstractNum w:abstractNumId="152">
    <w:nsid w:val="5895F5FA"/>
    <w:multiLevelType w:val="hybridMultilevel"/>
    <w:lvl w:ilvl="0">
      <w:lvlJc w:val="left"/>
      <w:lvlText w:val="(%1)"/>
      <w:numFmt w:val="decimal"/>
      <w:start w:val="1"/>
    </w:lvl>
  </w:abstractNum>
  <w:abstractNum w:abstractNumId="153">
    <w:nsid w:val="38A5D054"/>
    <w:multiLevelType w:val="hybridMultilevel"/>
    <w:lvl w:ilvl="0">
      <w:lvlJc w:val="left"/>
      <w:lvlText w:val="%1"/>
      <w:numFmt w:val="decimal"/>
      <w:start w:val="80"/>
    </w:lvl>
  </w:abstractNum>
  <w:abstractNum w:abstractNumId="154">
    <w:nsid w:val="F3F09D8"/>
    <w:multiLevelType w:val="hybridMultilevel"/>
    <w:lvl w:ilvl="0">
      <w:lvlJc w:val="left"/>
      <w:lvlText w:val="•"/>
      <w:numFmt w:val="bullet"/>
      <w:start w:val="1"/>
    </w:lvl>
  </w:abstractNum>
  <w:abstractNum w:abstractNumId="155">
    <w:nsid w:val="4B793735"/>
    <w:multiLevelType w:val="hybridMultilevel"/>
    <w:lvl w:ilvl="0">
      <w:lvlJc w:val="left"/>
      <w:lvlText w:val="%1"/>
      <w:numFmt w:val="decimal"/>
      <w:start w:val="82"/>
    </w:lvl>
  </w:abstractNum>
  <w:abstractNum w:abstractNumId="156">
    <w:nsid w:val="4A10B4E8"/>
    <w:multiLevelType w:val="hybridMultilevel"/>
    <w:lvl w:ilvl="0">
      <w:lvlJc w:val="left"/>
      <w:lvlText w:val="(%1)"/>
      <w:numFmt w:val="decimal"/>
      <w:start w:val="1"/>
    </w:lvl>
  </w:abstractNum>
  <w:abstractNum w:abstractNumId="157">
    <w:nsid w:val="43D3BCD4"/>
    <w:multiLevelType w:val="hybridMultilevel"/>
    <w:lvl w:ilvl="0">
      <w:lvlJc w:val="left"/>
      <w:lvlText w:val="%1"/>
      <w:numFmt w:val="decimal"/>
      <w:start w:val="84"/>
    </w:lvl>
  </w:abstractNum>
  <w:abstractNum w:abstractNumId="158">
    <w:nsid w:val="4C2A7166"/>
    <w:multiLevelType w:val="hybridMultilevel"/>
    <w:lvl w:ilvl="0">
      <w:lvlJc w:val="left"/>
      <w:lvlText w:val="(%1)"/>
      <w:numFmt w:val="decimal"/>
      <w:start w:val="1"/>
    </w:lvl>
  </w:abstractNum>
  <w:abstractNum w:abstractNumId="159">
    <w:nsid w:val="2E534A82"/>
    <w:multiLevelType w:val="hybridMultilevel"/>
    <w:lvl w:ilvl="0">
      <w:lvlJc w:val="left"/>
      <w:lvlText w:val="-"/>
      <w:numFmt w:val="bullet"/>
      <w:start w:val="1"/>
    </w:lvl>
  </w:abstractNum>
  <w:abstractNum w:abstractNumId="160">
    <w:nsid w:val="26F2D364"/>
    <w:multiLevelType w:val="hybridMultilevel"/>
    <w:lvl w:ilvl="0">
      <w:lvlJc w:val="left"/>
      <w:lvlText w:val="±"/>
      <w:numFmt w:val="bullet"/>
      <w:start w:val="1"/>
    </w:lvl>
  </w:abstractNum>
  <w:abstractNum w:abstractNumId="161">
    <w:nsid w:val="71C1AF98"/>
    <w:multiLevelType w:val="hybridMultilevel"/>
    <w:lvl w:ilvl="0">
      <w:lvlJc w:val="left"/>
      <w:lvlText w:val="%1"/>
      <w:numFmt w:val="decimal"/>
      <w:start w:val="1"/>
    </w:lvl>
    <w:lvl w:ilvl="1">
      <w:lvlJc w:val="left"/>
      <w:lvlText w:val="%2."/>
      <w:numFmt w:val="lowerLetter"/>
      <w:start w:val="1"/>
    </w:lvl>
  </w:abstractNum>
  <w:abstractNum w:abstractNumId="162">
    <w:nsid w:val="3D00B9D9"/>
    <w:multiLevelType w:val="hybridMultilevel"/>
    <w:lvl w:ilvl="0">
      <w:lvlJc w:val="left"/>
      <w:lvlText w:val="(%1)"/>
      <w:numFmt w:val="decimal"/>
      <w:start w:val="3"/>
    </w:lvl>
    <w:lvl w:ilvl="1">
      <w:lvlJc w:val="left"/>
      <w:lvlText w:val="%2"/>
      <w:numFmt w:val="lowerLetter"/>
      <w:start w:val="1"/>
    </w:lvl>
  </w:abstractNum>
  <w:abstractNum w:abstractNumId="163">
    <w:nsid w:val="15BCABA8"/>
    <w:multiLevelType w:val="hybridMultilevel"/>
    <w:lvl w:ilvl="0">
      <w:lvlJc w:val="left"/>
      <w:lvlText w:val="(%1)"/>
      <w:numFmt w:val="decimal"/>
      <w:start w:val="4"/>
    </w:lvl>
  </w:abstractNum>
  <w:abstractNum w:abstractNumId="164">
    <w:nsid w:val="4E0B9A87"/>
    <w:multiLevelType w:val="hybridMultilevel"/>
    <w:lvl w:ilvl="0">
      <w:lvlJc w:val="left"/>
      <w:lvlText w:val="%1"/>
      <w:numFmt w:val="decimal"/>
      <w:start w:val="86"/>
    </w:lvl>
  </w:abstractNum>
  <w:abstractNum w:abstractNumId="165">
    <w:nsid w:val="434BAE75"/>
    <w:multiLevelType w:val="hybridMultilevel"/>
    <w:lvl w:ilvl="0">
      <w:lvlJc w:val="left"/>
      <w:lvlText w:val="(%1)"/>
      <w:numFmt w:val="decimal"/>
      <w:start w:val="7"/>
    </w:lvl>
  </w:abstractNum>
  <w:abstractNum w:abstractNumId="166">
    <w:nsid w:val="4F38F265"/>
    <w:multiLevelType w:val="hybridMultilevel"/>
    <w:lvl w:ilvl="0">
      <w:lvlJc w:val="left"/>
      <w:lvlText w:val="%1"/>
      <w:numFmt w:val="decimal"/>
      <w:start w:val="88"/>
    </w:lvl>
  </w:abstractNum>
  <w:abstractNum w:abstractNumId="167">
    <w:nsid w:val="4C502870"/>
    <w:multiLevelType w:val="hybridMultilevel"/>
    <w:lvl w:ilvl="0">
      <w:lvlJc w:val="left"/>
      <w:lvlText w:val="(%1)"/>
      <w:numFmt w:val="decimal"/>
      <w:start w:val="1"/>
    </w:lvl>
  </w:abstractNum>
  <w:abstractNum w:abstractNumId="168">
    <w:nsid w:val="1DE8725A"/>
    <w:multiLevelType w:val="hybridMultilevel"/>
    <w:lvl w:ilvl="0">
      <w:lvlJc w:val="left"/>
      <w:lvlText w:val="(%1)"/>
      <w:numFmt w:val="decimal"/>
      <w:start w:val="1"/>
    </w:lvl>
  </w:abstractNum>
  <w:abstractNum w:abstractNumId="169">
    <w:nsid w:val="6A37288A"/>
    <w:multiLevelType w:val="hybridMultilevel"/>
    <w:lvl w:ilvl="0">
      <w:lvlJc w:val="left"/>
      <w:lvlText w:val="%1"/>
      <w:numFmt w:val="decimal"/>
      <w:start w:val="90"/>
    </w:lvl>
  </w:abstractNum>
  <w:abstractNum w:abstractNumId="170">
    <w:nsid w:val="8F8B73F"/>
    <w:multiLevelType w:val="hybridMultilevel"/>
    <w:lvl w:ilvl="0">
      <w:lvlJc w:val="left"/>
      <w:lvlText w:val="(%1)"/>
      <w:numFmt w:val="decimal"/>
      <w:start w:val="2"/>
    </w:lvl>
  </w:abstractNum>
  <w:abstractNum w:abstractNumId="171">
    <w:nsid w:val="CA6B462"/>
    <w:multiLevelType w:val="hybridMultilevel"/>
    <w:lvl w:ilvl="0">
      <w:lvlJc w:val="left"/>
      <w:lvlText w:val="%1"/>
      <w:numFmt w:val="decimal"/>
      <w:start w:val="92"/>
    </w:lvl>
  </w:abstractNum>
  <w:abstractNum w:abstractNumId="172">
    <w:nsid w:val="763CB680"/>
    <w:multiLevelType w:val="hybridMultilevel"/>
    <w:lvl w:ilvl="0">
      <w:lvlJc w:val="left"/>
      <w:lvlText w:val="(%1)"/>
      <w:numFmt w:val="decimal"/>
      <w:start w:val="2"/>
    </w:lvl>
  </w:abstractNum>
  <w:abstractNum w:abstractNumId="173">
    <w:nsid w:val="15B71329"/>
    <w:multiLevelType w:val="hybridMultilevel"/>
    <w:lvl w:ilvl="0">
      <w:lvlJc w:val="left"/>
      <w:lvlText w:val="%1"/>
      <w:numFmt w:val="decimal"/>
      <w:start w:val="94"/>
    </w:lvl>
  </w:abstractNum>
  <w:abstractNum w:abstractNumId="174">
    <w:nsid w:val="3DA97044"/>
    <w:multiLevelType w:val="hybridMultilevel"/>
    <w:lvl w:ilvl="0">
      <w:lvlJc w:val="left"/>
      <w:lvlText w:val="\endash "/>
      <w:numFmt w:val="bullet"/>
      <w:start w:val="1"/>
    </w:lvl>
  </w:abstractNum>
  <w:abstractNum w:abstractNumId="175">
    <w:nsid w:val="1CDCE2DE"/>
    <w:multiLevelType w:val="hybridMultilevel"/>
    <w:lvl w:ilvl="0">
      <w:lvlJc w:val="left"/>
      <w:lvlText w:val="%1"/>
      <w:numFmt w:val="decimal"/>
      <w:start w:val="96"/>
    </w:lvl>
  </w:abstractNum>
  <w:abstractNum w:abstractNumId="176">
    <w:nsid w:val="69D3947C"/>
    <w:multiLevelType w:val="hybridMultilevel"/>
    <w:lvl w:ilvl="0">
      <w:lvlJc w:val="left"/>
      <w:lvlText w:val="1"/>
      <w:numFmt w:val="bullet"/>
      <w:start w:val="1"/>
    </w:lvl>
  </w:abstractNum>
  <w:abstractNum w:abstractNumId="177">
    <w:nsid w:val="2539DFA5"/>
    <w:multiLevelType w:val="hybridMultilevel"/>
    <w:lvl w:ilvl="0">
      <w:lvlJc w:val="left"/>
      <w:lvlText w:val="1"/>
      <w:numFmt w:val="bullet"/>
      <w:start w:val="1"/>
    </w:lvl>
  </w:abstractNum>
  <w:abstractNum w:abstractNumId="178">
    <w:nsid w:val="2DB88089"/>
    <w:multiLevelType w:val="hybridMultilevel"/>
    <w:lvl w:ilvl="0">
      <w:lvlJc w:val="left"/>
      <w:lvlText w:val="2"/>
      <w:numFmt w:val="bullet"/>
      <w:start w:val="1"/>
    </w:lvl>
  </w:abstractNum>
  <w:abstractNum w:abstractNumId="179">
    <w:nsid w:val="706B674E"/>
    <w:multiLevelType w:val="hybridMultilevel"/>
    <w:lvl w:ilvl="0">
      <w:lvlJc w:val="left"/>
      <w:lvlText w:val="3"/>
      <w:numFmt w:val="bullet"/>
      <w:start w:val="1"/>
    </w:lvl>
  </w:abstractNum>
  <w:abstractNum w:abstractNumId="180">
    <w:nsid w:val="2C106A57"/>
    <w:multiLevelType w:val="hybridMultilevel"/>
    <w:lvl w:ilvl="0">
      <w:lvlJc w:val="left"/>
      <w:lvlText w:val="4"/>
      <w:numFmt w:val="bullet"/>
      <w:start w:val="1"/>
    </w:lvl>
  </w:abstractNum>
  <w:abstractNum w:abstractNumId="181">
    <w:nsid w:val="684EED59"/>
    <w:multiLevelType w:val="hybridMultilevel"/>
    <w:lvl w:ilvl="0">
      <w:lvlJc w:val="left"/>
      <w:lvlText w:val="5"/>
      <w:numFmt w:val="bullet"/>
      <w:start w:val="1"/>
    </w:lvl>
  </w:abstractNum>
  <w:abstractNum w:abstractNumId="182">
    <w:nsid w:val="545EE5D3"/>
    <w:multiLevelType w:val="hybridMultilevel"/>
    <w:lvl w:ilvl="0">
      <w:lvlJc w:val="left"/>
      <w:lvlText w:val="6"/>
      <w:numFmt w:val="bullet"/>
      <w:start w:val="1"/>
    </w:lvl>
  </w:abstractNum>
  <w:abstractNum w:abstractNumId="183">
    <w:nsid w:val="4A66051"/>
    <w:multiLevelType w:val="hybridMultilevel"/>
    <w:lvl w:ilvl="0">
      <w:lvlJc w:val="left"/>
      <w:lvlText w:val="7"/>
      <w:numFmt w:val="bullet"/>
      <w:start w:val="1"/>
    </w:lvl>
  </w:abstractNum>
  <w:abstractNum w:abstractNumId="184">
    <w:nsid w:val="20F4BDAD"/>
    <w:multiLevelType w:val="hybridMultilevel"/>
    <w:lvl w:ilvl="0">
      <w:lvlJc w:val="left"/>
      <w:lvlText w:val="8"/>
      <w:numFmt w:val="bullet"/>
      <w:start w:val="1"/>
    </w:lvl>
  </w:abstractNum>
  <w:abstractNum w:abstractNumId="185">
    <w:nsid w:val="639DEFAC"/>
    <w:multiLevelType w:val="hybridMultilevel"/>
    <w:lvl w:ilvl="0">
      <w:lvlJc w:val="left"/>
      <w:lvlText w:val="%1"/>
      <w:numFmt w:val="decimal"/>
      <w:start w:val="98"/>
    </w:lvl>
  </w:abstractNum>
  <w:abstractNum w:abstractNumId="186">
    <w:nsid w:val="501F9786"/>
    <w:multiLevelType w:val="hybridMultilevel"/>
    <w:lvl w:ilvl="0">
      <w:lvlJc w:val="left"/>
      <w:lvlText w:val="9"/>
      <w:numFmt w:val="bullet"/>
      <w:start w:val="1"/>
    </w:lvl>
  </w:abstractNum>
  <w:abstractNum w:abstractNumId="187">
    <w:nsid w:val="6B057295"/>
    <w:multiLevelType w:val="hybridMultilevel"/>
    <w:lvl w:ilvl="0">
      <w:lvlJc w:val="left"/>
      <w:lvlText w:val="%1"/>
      <w:numFmt w:val="decimal"/>
      <w:start w:val="10"/>
    </w:lvl>
  </w:abstractNum>
  <w:abstractNum w:abstractNumId="188">
    <w:nsid w:val="2771AC80"/>
    <w:multiLevelType w:val="hybridMultilevel"/>
    <w:lvl w:ilvl="0">
      <w:lvlJc w:val="left"/>
      <w:lvlText w:val="•"/>
      <w:numFmt w:val="bullet"/>
      <w:start w:val="1"/>
    </w:lvl>
  </w:abstractNum>
  <w:abstractNum w:abstractNumId="189">
    <w:nsid w:val="1C4A08EC"/>
    <w:multiLevelType w:val="hybridMultilevel"/>
    <w:lvl w:ilvl="0">
      <w:lvlJc w:val="left"/>
      <w:lvlText w:val="•"/>
      <w:numFmt w:val="bullet"/>
      <w:start w:val="1"/>
    </w:lvl>
  </w:abstractNum>
  <w:abstractNum w:abstractNumId="190">
    <w:nsid w:val="1958BD17"/>
    <w:multiLevelType w:val="hybridMultilevel"/>
    <w:lvl w:ilvl="0">
      <w:lvlJc w:val="left"/>
      <w:lvlText w:val="%1"/>
      <w:numFmt w:val="decimal"/>
      <w:start w:val="100"/>
    </w:lvl>
  </w:abstractNum>
  <w:abstractNum w:abstractNumId="191">
    <w:nsid w:val="4E647FE4"/>
    <w:multiLevelType w:val="hybridMultilevel"/>
    <w:lvl w:ilvl="0">
      <w:lvlJc w:val="left"/>
      <w:lvlText w:val="•"/>
      <w:numFmt w:val="bullet"/>
      <w:start w:val="1"/>
    </w:lvl>
  </w:abstractNum>
  <w:abstractNum w:abstractNumId="192">
    <w:nsid w:val="E0BB885"/>
    <w:multiLevelType w:val="hybridMultilevel"/>
    <w:lvl w:ilvl="0">
      <w:lvlJc w:val="left"/>
      <w:lvlText w:val="%1"/>
      <w:numFmt w:val="decimal"/>
      <w:start w:val="102"/>
    </w:lvl>
  </w:abstractNum>
  <w:abstractNum w:abstractNumId="193">
    <w:nsid w:val="565976F1"/>
    <w:multiLevelType w:val="hybridMultilevel"/>
    <w:lvl w:ilvl="0">
      <w:lvlJc w:val="left"/>
      <w:lvlText w:val="•"/>
      <w:numFmt w:val="bullet"/>
      <w:start w:val="1"/>
    </w:lvl>
  </w:abstractNum>
  <w:abstractNum w:abstractNumId="194">
    <w:nsid w:val="64212B8C"/>
    <w:multiLevelType w:val="hybridMultilevel"/>
    <w:lvl w:ilvl="0">
      <w:lvlJc w:val="left"/>
      <w:lvlText w:val="%1"/>
      <w:numFmt w:val="decimal"/>
      <w:start w:val="104"/>
    </w:lvl>
  </w:abstractNum>
  <w:abstractNum w:abstractNumId="195">
    <w:nsid w:val="5C17530C"/>
    <w:multiLevelType w:val="hybridMultilevel"/>
    <w:lvl w:ilvl="0">
      <w:lvlJc w:val="left"/>
      <w:lvlText w:val="•"/>
      <w:numFmt w:val="bullet"/>
      <w:start w:val="1"/>
    </w:lvl>
  </w:abstractNum>
  <w:abstractNum w:abstractNumId="196">
    <w:nsid w:val="19A52566"/>
    <w:multiLevelType w:val="hybridMultilevel"/>
    <w:lvl w:ilvl="0">
      <w:lvlJc w:val="left"/>
      <w:lvlText w:val="%1"/>
      <w:numFmt w:val="decimal"/>
      <w:start w:val="106"/>
    </w:lvl>
  </w:abstractNum>
  <w:abstractNum w:abstractNumId="197">
    <w:nsid w:val="335A1DF1"/>
    <w:multiLevelType w:val="hybridMultilevel"/>
    <w:lvl w:ilvl="0">
      <w:lvlJc w:val="left"/>
      <w:lvlText w:val="(%1)"/>
      <w:numFmt w:val="decimal"/>
      <w:start w:val="1"/>
    </w:lvl>
  </w:abstractNum>
  <w:abstractNum w:abstractNumId="198">
    <w:nsid w:val="28677B7C"/>
    <w:multiLevelType w:val="hybridMultilevel"/>
    <w:lvl w:ilvl="0">
      <w:lvlJc w:val="left"/>
      <w:lvlText w:val="%1"/>
      <w:numFmt w:val="decimal"/>
      <w:start w:val="108"/>
    </w:lvl>
  </w:abstractNum>
  <w:abstractNum w:abstractNumId="199">
    <w:nsid w:val="378D97C0"/>
    <w:multiLevelType w:val="hybridMultilevel"/>
    <w:lvl w:ilvl="0">
      <w:lvlJc w:val="left"/>
      <w:lvlText w:val="(%1)"/>
      <w:numFmt w:val="decimal"/>
      <w:start w:val="1"/>
    </w:lvl>
  </w:abstractNum>
  <w:abstractNum w:abstractNumId="200">
    <w:nsid w:val="1D91467C"/>
    <w:multiLevelType w:val="hybridMultilevel"/>
    <w:lvl w:ilvl="0">
      <w:lvlJc w:val="left"/>
      <w:lvlText w:val="%1"/>
      <w:numFmt w:val="decimal"/>
      <w:start w:val="110"/>
    </w:lvl>
  </w:abstractNum>
  <w:abstractNum w:abstractNumId="201">
    <w:nsid w:val="316032BB"/>
    <w:multiLevelType w:val="hybridMultilevel"/>
    <w:lvl w:ilvl="0">
      <w:lvlJc w:val="left"/>
      <w:lvlText w:val="%1"/>
      <w:numFmt w:val="decimal"/>
      <w:start w:val="112"/>
    </w:lvl>
  </w:abstractNum>
  <w:abstractNum w:abstractNumId="202">
    <w:nsid w:val="44344C22"/>
    <w:multiLevelType w:val="hybridMultilevel"/>
    <w:lvl w:ilvl="0">
      <w:lvlJc w:val="left"/>
      <w:lvlText w:val="•"/>
      <w:numFmt w:val="bullet"/>
      <w:start w:val="1"/>
    </w:lvl>
  </w:abstractNum>
  <w:abstractNum w:abstractNumId="203">
    <w:nsid w:val="13CDFCFC"/>
    <w:multiLevelType w:val="hybridMultilevel"/>
    <w:lvl w:ilvl="0">
      <w:lvlJc w:val="left"/>
      <w:lvlText w:val="•"/>
      <w:numFmt w:val="bullet"/>
      <w:start w:val="1"/>
    </w:lvl>
  </w:abstractNum>
  <w:abstractNum w:abstractNumId="204">
    <w:nsid w:val="471745E4"/>
    <w:multiLevelType w:val="hybridMultilevel"/>
    <w:lvl w:ilvl="0">
      <w:lvlJc w:val="left"/>
      <w:lvlText w:val="(%1)"/>
      <w:numFmt w:val="decimal"/>
      <w:start w:val="703"/>
    </w:lvl>
  </w:abstractNum>
  <w:abstractNum w:abstractNumId="205">
    <w:nsid w:val="1DDBC66"/>
    <w:multiLevelType w:val="hybridMultilevel"/>
    <w:lvl w:ilvl="0">
      <w:lvlJc w:val="left"/>
      <w:lvlText w:val="•"/>
      <w:numFmt w:val="bullet"/>
      <w:start w:val="1"/>
    </w:lvl>
  </w:abstractNum>
  <w:abstractNum w:abstractNumId="206">
    <w:nsid w:val="30AADFDA"/>
    <w:multiLevelType w:val="hybridMultilevel"/>
    <w:lvl w:ilvl="0">
      <w:lvlJc w:val="left"/>
      <w:lvlText w:val="%1"/>
      <w:numFmt w:val="decimal"/>
      <w:start w:val="114"/>
    </w:lvl>
  </w:abstractNum>
  <w:abstractNum w:abstractNumId="207">
    <w:nsid w:val="30EADA61"/>
    <w:multiLevelType w:val="hybridMultilevel"/>
    <w:lvl w:ilvl="0">
      <w:lvlJc w:val="left"/>
      <w:lvlText w:val="%1"/>
      <w:numFmt w:val="decimal"/>
      <w:start w:val="116"/>
    </w:lvl>
  </w:abstractNum>
  <w:abstractNum w:abstractNumId="208">
    <w:nsid w:val="27179C0B"/>
    <w:multiLevelType w:val="hybridMultilevel"/>
    <w:lvl w:ilvl="0">
      <w:lvlJc w:val="left"/>
      <w:lvlText w:val="%1"/>
      <w:numFmt w:val="decimal"/>
      <w:start w:val="118"/>
    </w:lvl>
  </w:abstractNum>
  <w:abstractNum w:abstractNumId="209">
    <w:nsid w:val="5E636063"/>
    <w:multiLevelType w:val="hybridMultilevel"/>
    <w:lvl w:ilvl="0">
      <w:lvlJc w:val="left"/>
      <w:lvlText w:val="%1"/>
      <w:numFmt w:val="decimal"/>
      <w:start w:val="120"/>
    </w:lvl>
  </w:abstractNum>
  <w:abstractNum w:abstractNumId="210">
    <w:nsid w:val="215641AF"/>
    <w:multiLevelType w:val="hybridMultilevel"/>
    <w:lvl w:ilvl="0">
      <w:lvlJc w:val="left"/>
      <w:lvlText w:val="(%1)"/>
      <w:numFmt w:val="decimal"/>
      <w:start w:val="1"/>
    </w:lvl>
  </w:abstractNum>
  <w:abstractNum w:abstractNumId="211">
    <w:nsid w:val="53280662"/>
    <w:multiLevelType w:val="hybridMultilevel"/>
    <w:lvl w:ilvl="0">
      <w:lvlJc w:val="left"/>
      <w:lvlText w:val="%1"/>
      <w:numFmt w:val="decimal"/>
      <w:start w:val="122"/>
    </w:lvl>
  </w:abstractNum>
  <w:abstractNum w:abstractNumId="212">
    <w:nsid w:val="46B24DBC"/>
    <w:multiLevelType w:val="hybridMultilevel"/>
    <w:lvl w:ilvl="0">
      <w:lvlJc w:val="left"/>
      <w:lvlText w:val="\endash "/>
      <w:numFmt w:val="bullet"/>
      <w:start w:val="1"/>
    </w:lvl>
  </w:abstractNum>
  <w:abstractNum w:abstractNumId="213">
    <w:nsid w:val="75B52783"/>
    <w:multiLevelType w:val="hybridMultilevel"/>
    <w:lvl w:ilvl="0">
      <w:lvlJc w:val="left"/>
      <w:lvlText w:val="\endash "/>
      <w:numFmt w:val="bullet"/>
      <w:start w:val="1"/>
    </w:lvl>
  </w:abstractNum>
  <w:abstractNum w:abstractNumId="214">
    <w:nsid w:val="57CE66B4"/>
    <w:multiLevelType w:val="hybridMultilevel"/>
    <w:lvl w:ilvl="0">
      <w:lvlJc w:val="left"/>
      <w:lvlText w:val="\endash "/>
      <w:numFmt w:val="bullet"/>
      <w:start w:val="1"/>
    </w:lvl>
  </w:abstractNum>
  <w:abstractNum w:abstractNumId="215">
    <w:nsid w:val="67A70B69"/>
    <w:multiLevelType w:val="hybridMultilevel"/>
    <w:lvl w:ilvl="0">
      <w:lvlJc w:val="left"/>
      <w:lvlText w:val="%1"/>
      <w:numFmt w:val="decimal"/>
      <w:start w:val="124"/>
    </w:lvl>
  </w:abstractNum>
  <w:abstractNum w:abstractNumId="216">
    <w:nsid w:val="5953172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lvl w:ilvl="3">
      <w:lvlJc w:val="left"/>
      <w:lvlText w:val="(%4)"/>
      <w:numFmt w:val="lowerRoman"/>
      <w:start w:val="1"/>
    </w:lvl>
    <w:lvl w:ilvl="4">
      <w:lvlJc w:val="left"/>
      <w:lvlText w:val="(%5)"/>
      <w:numFmt w:val="lowerLetter"/>
      <w:start w:val="22"/>
    </w:lvl>
  </w:abstractNum>
  <w:abstractNum w:abstractNumId="217">
    <w:nsid w:val="27EDFE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6"/>
    </w:lvl>
    <w:lvl w:ilvl="4">
      <w:lvlJc w:val="left"/>
      <w:lvlText w:val="%5"/>
      <w:numFmt w:val="lowerLetter"/>
      <w:start w:val="1"/>
    </w:lvl>
  </w:abstractNum>
  <w:abstractNum w:abstractNumId="218">
    <w:nsid w:val="52AC7DF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219">
    <w:nsid w:val="C4C3A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20">
    <w:nsid w:val="4438072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21">
    <w:nsid w:val="6C053B1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222">
    <w:nsid w:val="4F294393"/>
    <w:multiLevelType w:val="hybridMultilevel"/>
    <w:lvl w:ilvl="0">
      <w:lvlJc w:val="left"/>
      <w:lvlText w:val="%1"/>
      <w:numFmt w:val="decimal"/>
      <w:start w:val="1"/>
    </w:lvl>
    <w:lvl w:ilvl="1">
      <w:lvlJc w:val="left"/>
      <w:lvlText w:val="(%2)"/>
      <w:numFmt w:val="lowerLetter"/>
      <w:start w:val="4"/>
    </w:lvl>
  </w:abstractNum>
  <w:abstractNum w:abstractNumId="223">
    <w:nsid w:val="5243BFAC"/>
    <w:multiLevelType w:val="hybridMultilevel"/>
    <w:lvl w:ilvl="0">
      <w:lvlJc w:val="left"/>
      <w:lvlText w:val="%1."/>
      <w:numFmt w:val="decimal"/>
      <w:start w:val="6"/>
    </w:lvl>
    <w:lvl w:ilvl="1">
      <w:lvlJc w:val="left"/>
      <w:lvlText w:val="(%2)"/>
      <w:numFmt w:val="lowerLetter"/>
      <w:start w:val="1"/>
    </w:lvl>
  </w:abstractNum>
  <w:abstractNum w:abstractNumId="224">
    <w:nsid w:val="425EB207"/>
    <w:multiLevelType w:val="hybridMultilevel"/>
    <w:lvl w:ilvl="0">
      <w:lvlJc w:val="left"/>
      <w:lvlText w:val="(%1)"/>
      <w:numFmt w:val="lowerLetter"/>
      <w:start w:val="2"/>
    </w:lvl>
  </w:abstractNum>
  <w:abstractNum w:abstractNumId="225">
    <w:nsid w:val="334A6F1F"/>
    <w:multiLevelType w:val="hybridMultilevel"/>
    <w:lvl w:ilvl="0">
      <w:lvlJc w:val="left"/>
      <w:lvlText w:val="%1"/>
      <w:numFmt w:val="decimal"/>
      <w:start w:val="128"/>
    </w:lvl>
  </w:abstractNum>
  <w:abstractNum w:abstractNumId="226">
    <w:nsid w:val="2E5B12B8"/>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227">
    <w:nsid w:val="5C03D76D"/>
    <w:multiLevelType w:val="hybridMultilevel"/>
    <w:lvl w:ilvl="0">
      <w:lvlJc w:val="left"/>
      <w:lvlText w:val="(%1)"/>
      <w:numFmt w:val="lowerRoman"/>
      <w:start w:val="3"/>
    </w:lvl>
  </w:abstractNum>
  <w:abstractNum w:abstractNumId="228">
    <w:nsid w:val="66A48D11"/>
    <w:multiLevelType w:val="hybridMultilevel"/>
    <w:lvl w:ilvl="0">
      <w:lvlJc w:val="left"/>
      <w:lvlText w:val="%1"/>
      <w:numFmt w:val="decimal"/>
      <w:start w:val="130"/>
    </w:lvl>
  </w:abstractNum>
  <w:abstractNum w:abstractNumId="229">
    <w:nsid w:val="56C28E3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30">
    <w:nsid w:val="13916F2D"/>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231">
    <w:nsid w:val="435D38D"/>
    <w:multiLevelType w:val="hybridMultilevel"/>
    <w:lvl w:ilvl="0">
      <w:lvlJc w:val="left"/>
      <w:lvlText w:val="(%1)"/>
      <w:numFmt w:val="lowerLetter"/>
      <w:start w:val="4"/>
    </w:lvl>
  </w:abstractNum>
  <w:abstractNum w:abstractNumId="232">
    <w:nsid w:val="822C0EF"/>
    <w:multiLevelType w:val="hybridMultilevel"/>
    <w:lvl w:ilvl="0">
      <w:lvlJc w:val="left"/>
      <w:lvlText w:val="%1."/>
      <w:numFmt w:val="decimal"/>
      <w:start w:val="10"/>
    </w:lvl>
  </w:abstractNum>
  <w:abstractNum w:abstractNumId="233">
    <w:nsid w:val="57C5BB4F"/>
    <w:multiLevelType w:val="hybridMultilevel"/>
    <w:lvl w:ilvl="0">
      <w:lvlJc w:val="left"/>
      <w:lvlText w:val="%1."/>
      <w:numFmt w:val="decimal"/>
      <w:start w:val="11"/>
    </w:lvl>
  </w:abstractNum>
  <w:abstractNum w:abstractNumId="234">
    <w:nsid w:val="1803D089"/>
    <w:multiLevelType w:val="hybridMultilevel"/>
    <w:lvl w:ilvl="0">
      <w:lvlJc w:val="left"/>
      <w:lvlText w:val="%1."/>
      <w:numFmt w:val="decimal"/>
      <w:start w:val="12"/>
    </w:lvl>
  </w:abstractNum>
  <w:abstractNum w:abstractNumId="235">
    <w:nsid w:val="4F3A06D4"/>
    <w:multiLevelType w:val="hybridMultilevel"/>
    <w:lvl w:ilvl="0">
      <w:lvlJc w:val="left"/>
      <w:lvlText w:val="%1."/>
      <w:numFmt w:val="decimal"/>
      <w:start w:val="13"/>
    </w:lvl>
  </w:abstractNum>
  <w:abstractNum w:abstractNumId="236">
    <w:nsid w:val="59A377B6"/>
    <w:multiLevelType w:val="hybridMultilevel"/>
    <w:lvl w:ilvl="0">
      <w:lvlJc w:val="left"/>
      <w:lvlText w:val="%1"/>
      <w:numFmt w:val="decimal"/>
      <w:start w:val="132"/>
    </w:lvl>
  </w:abstractNum>
  <w:abstractNum w:abstractNumId="237">
    <w:nsid w:val="48AEB063"/>
    <w:multiLevelType w:val="hybridMultilevel"/>
    <w:lvl w:ilvl="0">
      <w:lvlJc w:val="left"/>
      <w:lvlText w:val="%1."/>
      <w:numFmt w:val="decimal"/>
      <w:start w:val="14"/>
    </w:lvl>
  </w:abstractNum>
  <w:abstractNum w:abstractNumId="238">
    <w:nsid w:val="24E135"/>
    <w:multiLevelType w:val="hybridMultilevel"/>
    <w:lvl w:ilvl="0">
      <w:lvlJc w:val="left"/>
      <w:lvlText w:val="%1."/>
      <w:numFmt w:val="decimal"/>
      <w:start w:val="15"/>
    </w:lvl>
  </w:abstractNum>
  <w:abstractNum w:abstractNumId="239">
    <w:nsid w:val="BB13C1"/>
    <w:multiLevelType w:val="hybridMultilevel"/>
    <w:lvl w:ilvl="0">
      <w:lvlJc w:val="left"/>
      <w:lvlText w:val="%1."/>
      <w:numFmt w:val="decimal"/>
      <w:start w:val="16"/>
    </w:lvl>
  </w:abstractNum>
  <w:abstractNum w:abstractNumId="240">
    <w:nsid w:val="271210C7"/>
    <w:multiLevelType w:val="hybridMultilevel"/>
    <w:lvl w:ilvl="0">
      <w:lvlJc w:val="left"/>
      <w:lvlText w:val="%1."/>
      <w:numFmt w:val="decimal"/>
      <w:start w:val="17"/>
    </w:lvl>
  </w:abstractNum>
  <w:abstractNum w:abstractNumId="241">
    <w:nsid w:val="217B22E4"/>
    <w:multiLevelType w:val="hybridMultilevel"/>
    <w:lvl w:ilvl="0">
      <w:lvlJc w:val="left"/>
      <w:lvlText w:val="%1."/>
      <w:numFmt w:val="decimal"/>
      <w:start w:val="18"/>
    </w:lvl>
  </w:abstractNum>
  <w:abstractNum w:abstractNumId="242">
    <w:nsid w:val="53E31A24"/>
    <w:multiLevelType w:val="hybridMultilevel"/>
    <w:lvl w:ilvl="0">
      <w:lvlJc w:val="left"/>
      <w:lvlText w:val="%1."/>
      <w:numFmt w:val="decimal"/>
      <w:start w:val="19"/>
    </w:lvl>
  </w:abstractNum>
  <w:abstractNum w:abstractNumId="243">
    <w:nsid w:val="6DC45E83"/>
    <w:multiLevelType w:val="hybridMultilevel"/>
    <w:lvl w:ilvl="0">
      <w:lvlJc w:val="left"/>
      <w:lvlText w:val="%1."/>
      <w:numFmt w:val="decimal"/>
      <w:start w:val="20"/>
    </w:lvl>
  </w:abstractNum>
  <w:abstractNum w:abstractNumId="244">
    <w:nsid w:val="17304A67"/>
    <w:multiLevelType w:val="hybridMultilevel"/>
    <w:lvl w:ilvl="0">
      <w:lvlJc w:val="left"/>
      <w:lvlText w:val="%1."/>
      <w:numFmt w:val="decimal"/>
      <w:start w:val="21"/>
    </w:lvl>
  </w:abstractNum>
  <w:abstractNum w:abstractNumId="245">
    <w:nsid w:val="2BB180D8"/>
    <w:multiLevelType w:val="hybridMultilevel"/>
    <w:lvl w:ilvl="0">
      <w:lvlJc w:val="left"/>
      <w:lvlText w:val="%1"/>
      <w:numFmt w:val="decimal"/>
      <w:start w:val="13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jpeg"/><Relationship Id="rId568" Type="http://schemas.openxmlformats.org/officeDocument/2006/relationships/image" Target="media/image561.png"/><Relationship Id="rId569" Type="http://schemas.openxmlformats.org/officeDocument/2006/relationships/image" Target="media/image562.jpe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png"/><Relationship Id="rId575" Type="http://schemas.openxmlformats.org/officeDocument/2006/relationships/image" Target="media/image568.jpeg"/><Relationship Id="rId576" Type="http://schemas.openxmlformats.org/officeDocument/2006/relationships/image" Target="media/image569.png"/><Relationship Id="rId577" Type="http://schemas.openxmlformats.org/officeDocument/2006/relationships/image" Target="media/image570.jpeg"/><Relationship Id="rId578" Type="http://schemas.openxmlformats.org/officeDocument/2006/relationships/image" Target="media/image571.png"/><Relationship Id="rId579" Type="http://schemas.openxmlformats.org/officeDocument/2006/relationships/image" Target="media/image572.jpe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2024-04-03T15:15:36Z</dcterms:created>
  <dcterms:modified xsi:type="dcterms:W3CDTF">2024-04-03T15:15:36Z</dcterms:modified>
</cp:coreProperties>
</file>