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ind w:left="2540"/>
        <w:spacing w:after="0" w:line="238" w:lineRule="auto"/>
        <w:rPr>
          <w:sz w:val="20"/>
          <w:szCs w:val="20"/>
          <w:color w:val="auto"/>
        </w:rPr>
      </w:pPr>
      <w:r>
        <w:rPr>
          <w:rFonts w:ascii="Courier New" w:cs="Courier New" w:eastAsia="Courier New" w:hAnsi="Courier New"/>
          <w:sz w:val="18"/>
          <w:szCs w:val="18"/>
          <w:color w:val="auto"/>
        </w:rPr>
        <w:t>Washington, D.C. 20549</w:t>
      </w:r>
    </w:p>
    <w:p>
      <w:pPr>
        <w:ind w:left="3280"/>
        <w:spacing w:after="0"/>
        <w:rPr>
          <w:sz w:val="20"/>
          <w:szCs w:val="20"/>
          <w:color w:val="auto"/>
        </w:rPr>
      </w:pPr>
      <w:r>
        <w:rPr>
          <w:rFonts w:ascii="Courier New" w:cs="Courier New" w:eastAsia="Courier New" w:hAnsi="Courier New"/>
          <w:sz w:val="18"/>
          <w:szCs w:val="18"/>
          <w:color w:val="auto"/>
        </w:rPr>
        <w:t>FORM 10-K</w:t>
      </w:r>
    </w:p>
    <w:p>
      <w:pPr>
        <w:spacing w:after="0" w:line="3" w:lineRule="exact"/>
        <w:rPr>
          <w:sz w:val="24"/>
          <w:szCs w:val="24"/>
          <w:color w:val="auto"/>
        </w:rPr>
      </w:pPr>
    </w:p>
    <w:p>
      <w:pPr>
        <w:ind w:left="540" w:right="303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3"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8"/>
          <w:szCs w:val="18"/>
          <w:color w:val="auto"/>
        </w:rPr>
        <w:t>For the fiscal year ended December 31, 1994</w:t>
      </w:r>
    </w:p>
    <w:p>
      <w:pPr>
        <w:jc w:val="center"/>
        <w:ind w:right="2819"/>
        <w:spacing w:after="0" w:line="238" w:lineRule="auto"/>
        <w:rPr>
          <w:sz w:val="20"/>
          <w:szCs w:val="20"/>
          <w:color w:val="auto"/>
        </w:rPr>
      </w:pPr>
      <w:r>
        <w:rPr>
          <w:rFonts w:ascii="Courier New" w:cs="Courier New" w:eastAsia="Courier New" w:hAnsi="Courier New"/>
          <w:sz w:val="18"/>
          <w:szCs w:val="18"/>
          <w:color w:val="auto"/>
        </w:rPr>
        <w:t>or</w:t>
      </w:r>
    </w:p>
    <w:p>
      <w:pPr>
        <w:spacing w:after="0" w:line="5" w:lineRule="exact"/>
        <w:rPr>
          <w:sz w:val="24"/>
          <w:szCs w:val="24"/>
          <w:color w:val="auto"/>
        </w:rPr>
      </w:pPr>
    </w:p>
    <w:p>
      <w:pPr>
        <w:ind w:left="740" w:right="3579" w:hanging="732"/>
        <w:spacing w:after="0" w:line="235" w:lineRule="auto"/>
        <w:tabs>
          <w:tab w:leader="none" w:pos="21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ectPr>
          <w:pgSz w:w="11900" w:h="16855" w:orient="portrait"/>
          <w:cols w:equalWidth="0" w:num="1">
            <w:col w:w="10219"/>
          </w:cols>
          <w:pgMar w:left="240" w:top="244" w:right="1440" w:bottom="0" w:gutter="0" w:footer="0" w:header="0"/>
        </w:sectPr>
      </w:pPr>
    </w:p>
    <w:p>
      <w:pPr>
        <w:spacing w:after="0" w:line="208" w:lineRule="exact"/>
        <w:rPr>
          <w:sz w:val="24"/>
          <w:szCs w:val="24"/>
          <w:color w:val="auto"/>
        </w:rPr>
      </w:pPr>
    </w:p>
    <w:p>
      <w:pPr>
        <w:ind w:left="2540" w:hanging="1790"/>
        <w:spacing w:after="0" w:line="235" w:lineRule="auto"/>
        <w:rPr>
          <w:sz w:val="20"/>
          <w:szCs w:val="20"/>
          <w:color w:val="auto"/>
        </w:rPr>
      </w:pPr>
      <w:r>
        <w:rPr>
          <w:rFonts w:ascii="Courier New" w:cs="Courier New" w:eastAsia="Courier New" w:hAnsi="Courier New"/>
          <w:sz w:val="18"/>
          <w:szCs w:val="18"/>
          <w:color w:val="auto"/>
        </w:rPr>
        <w:t>For the transition period from to</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1-3229</w:t>
      </w:r>
    </w:p>
    <w:p>
      <w:pPr>
        <w:spacing w:after="0" w:line="200" w:lineRule="exact"/>
        <w:rPr>
          <w:sz w:val="24"/>
          <w:szCs w:val="24"/>
          <w:color w:val="auto"/>
        </w:rPr>
      </w:pPr>
    </w:p>
    <w:p>
      <w:pPr>
        <w:sectPr>
          <w:pgSz w:w="11900" w:h="16855" w:orient="portrait"/>
          <w:cols w:equalWidth="0" w:num="2">
            <w:col w:w="3900" w:space="320"/>
            <w:col w:w="5999"/>
          </w:cols>
          <w:pgMar w:left="240" w:top="244" w:right="1440" w:bottom="0" w:gutter="0" w:footer="0" w:header="0"/>
          <w:type w:val="continuous"/>
        </w:sectPr>
      </w:pPr>
    </w:p>
    <w:p>
      <w:pPr>
        <w:spacing w:after="0" w:line="1"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NORTHROP GRUMMAN CORPORATION</w:t>
      </w:r>
    </w:p>
    <w:p>
      <w:pPr>
        <w:spacing w:after="0" w:line="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55"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right"/>
        <w:ind w:right="3679"/>
        <w:spacing w:after="0"/>
        <w:rPr>
          <w:sz w:val="20"/>
          <w:szCs w:val="20"/>
          <w:color w:val="auto"/>
        </w:rPr>
      </w:pPr>
      <w:r>
        <w:rPr>
          <w:rFonts w:ascii="Courier New" w:cs="Courier New" w:eastAsia="Courier New" w:hAnsi="Courier New"/>
          <w:sz w:val="18"/>
          <w:szCs w:val="18"/>
          <w:color w:val="auto"/>
        </w:rPr>
        <w:t>95-1055798</w:t>
      </w:r>
    </w:p>
    <w:p>
      <w:pPr>
        <w:jc w:val="right"/>
        <w:ind w:right="367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right"/>
        <w:ind w:right="3679"/>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55" w:orient="portrait"/>
          <w:cols w:equalWidth="0" w:num="2">
            <w:col w:w="3820" w:space="720"/>
            <w:col w:w="5679"/>
          </w:cols>
          <w:pgMar w:left="240" w:top="244" w:right="1440" w:bottom="0" w:gutter="0" w:footer="0" w:header="0"/>
          <w:type w:val="continuous"/>
        </w:sectPr>
      </w:pPr>
    </w:p>
    <w:p>
      <w:pPr>
        <w:spacing w:after="0" w:line="18"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1840 Century Park East</w:t>
      </w:r>
    </w:p>
    <w:p>
      <w:pPr>
        <w:ind w:left="540"/>
        <w:spacing w:after="0" w:line="238" w:lineRule="auto"/>
        <w:rPr>
          <w:sz w:val="20"/>
          <w:szCs w:val="20"/>
          <w:color w:val="auto"/>
        </w:rPr>
      </w:pPr>
      <w:r>
        <w:rPr>
          <w:rFonts w:ascii="Courier New" w:cs="Courier New" w:eastAsia="Courier New" w:hAnsi="Courier New"/>
          <w:sz w:val="18"/>
          <w:szCs w:val="18"/>
          <w:color w:val="auto"/>
        </w:rPr>
        <w:t>Los Angeles, California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90067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55" w:orient="portrait"/>
          <w:cols w:equalWidth="0" w:num="2">
            <w:col w:w="4660" w:space="720"/>
            <w:col w:w="4839"/>
          </w:cols>
          <w:pgMar w:left="240" w:top="244" w:right="1440" w:bottom="0" w:gutter="0" w:footer="0" w:header="0"/>
          <w:type w:val="continuous"/>
        </w:sectPr>
      </w:pPr>
    </w:p>
    <w:p>
      <w:pPr>
        <w:spacing w:after="0" w:line="2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Registrant's telephone number, including area code (310) 553-6262</w:t>
      </w:r>
    </w:p>
    <w:p>
      <w:pPr>
        <w:spacing w:after="0" w:line="16"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ectPr>
          <w:pgSz w:w="11900" w:h="16855"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Title of each class</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Common Stock, $1 par value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Name of each exchange</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on which registered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2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Pacific Stock Exchange</w:t>
      </w:r>
    </w:p>
    <w:p>
      <w:pPr>
        <w:spacing w:after="0" w:line="200" w:lineRule="exact"/>
        <w:rPr>
          <w:sz w:val="24"/>
          <w:szCs w:val="24"/>
          <w:color w:val="auto"/>
        </w:rPr>
      </w:pPr>
    </w:p>
    <w:p>
      <w:pPr>
        <w:sectPr>
          <w:pgSz w:w="11900" w:h="16855" w:orient="portrait"/>
          <w:cols w:equalWidth="0" w:num="2">
            <w:col w:w="3400" w:space="720"/>
            <w:col w:w="6099"/>
          </w:cols>
          <w:pgMar w:left="240" w:top="244" w:right="1440" w:bottom="0" w:gutter="0" w:footer="0" w:header="0"/>
          <w:type w:val="continuous"/>
        </w:sectPr>
      </w:pPr>
    </w:p>
    <w:p>
      <w:pPr>
        <w:spacing w:after="0" w:line="2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None</w:t>
      </w:r>
    </w:p>
    <w:p>
      <w:pPr>
        <w:sectPr>
          <w:pgSz w:w="11900" w:h="16855"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ind w:right="2739"/>
        <w:spacing w:after="0" w:line="273"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179" w:lineRule="exact"/>
        <w:rPr>
          <w:sz w:val="24"/>
          <w:szCs w:val="24"/>
          <w:color w:val="auto"/>
        </w:rPr>
      </w:pPr>
    </w:p>
    <w:p>
      <w:pPr>
        <w:ind w:left="1060"/>
        <w:spacing w:after="0"/>
        <w:tabs>
          <w:tab w:leader="none" w:pos="526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w:t>
      </w:r>
    </w:p>
    <w:p>
      <w:pPr>
        <w:spacing w:after="0" w:line="207"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209" w:lineRule="exact"/>
        <w:rPr>
          <w:sz w:val="24"/>
          <w:szCs w:val="24"/>
          <w:color w:val="auto"/>
        </w:rPr>
      </w:pPr>
    </w:p>
    <w:p>
      <w:pPr>
        <w:ind w:right="2839"/>
        <w:spacing w:after="0" w:line="275" w:lineRule="auto"/>
        <w:rPr>
          <w:sz w:val="20"/>
          <w:szCs w:val="20"/>
          <w:color w:val="auto"/>
        </w:rPr>
      </w:pPr>
      <w:r>
        <w:rPr>
          <w:rFonts w:ascii="Courier New" w:cs="Courier New" w:eastAsia="Courier New" w:hAnsi="Courier New"/>
          <w:sz w:val="16"/>
          <w:szCs w:val="16"/>
          <w:color w:val="auto"/>
        </w:rPr>
        <w:t>As of March 10, 1995, 49,314,939 shares of Common Stock were outstanding, and the aggregate market value of the Common Stock (based upon the closing price of the stock on the New York Stock Exchange) of the Registrant held by nonaffiliates was approximately $2,300 million.</w:t>
      </w:r>
    </w:p>
    <w:p>
      <w:pPr>
        <w:spacing w:after="0" w:line="177"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Portions of the Proxy Statement for the 1995 Annual Meeting of Stockholders. Part III</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PART I</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7" w:lineRule="exact"/>
        <w:rPr>
          <w:sz w:val="24"/>
          <w:szCs w:val="24"/>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Northrop Corporation was incorporated in Delaware in 1985. Effective May 18, 1994 Northrop Corporation was renamed Northrop Grumman Corporation. Northrop Grumman is an advanced technology company operating in the aerospace industry. The company designs, develops and manufactures aircraft, aircraft subassemblies and electronic systems for military and commercial use and designs and develops, operates and supports computer systems for scientific and management information.</w:t>
      </w:r>
    </w:p>
    <w:p>
      <w:pPr>
        <w:spacing w:after="0" w:line="10" w:lineRule="exact"/>
        <w:rPr>
          <w:sz w:val="24"/>
          <w:szCs w:val="24"/>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Additional information required by this Item is contained in Part II Item 7 of this Annual Report on Form 10-K.</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ectPr>
          <w:pgSz w:w="11900" w:h="16855" w:orient="portrait"/>
          <w:cols w:equalWidth="0" w:num="1">
            <w:col w:w="10219"/>
          </w:cols>
          <w:pgMar w:left="240" w:top="244" w:right="1440" w:bottom="0" w:gutter="0" w:footer="0" w:header="0"/>
          <w:type w:val="continuous"/>
        </w:sectPr>
      </w:pPr>
    </w:p>
    <w:bookmarkStart w:id="1" w:name="page2"/>
    <w:bookmarkEnd w:id="1"/>
    <w:p>
      <w:pPr>
        <w:ind w:right="2939" w:firstLine="527"/>
        <w:spacing w:after="0" w:line="236" w:lineRule="auto"/>
        <w:rPr>
          <w:sz w:val="20"/>
          <w:szCs w:val="20"/>
          <w:color w:val="auto"/>
        </w:rPr>
      </w:pPr>
      <w:r>
        <w:rPr>
          <w:rFonts w:ascii="Courier New" w:cs="Courier New" w:eastAsia="Courier New" w:hAnsi="Courier New"/>
          <w:sz w:val="18"/>
          <w:szCs w:val="18"/>
          <w:color w:val="auto"/>
        </w:rPr>
        <w:t>The major locations, general status of the company's interest in the property and identity of the industry segments which use the property described, are indicated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ind w:left="1060"/>
              <w:spacing w:after="0"/>
              <w:rPr>
                <w:sz w:val="20"/>
                <w:szCs w:val="20"/>
                <w:color w:val="auto"/>
              </w:rPr>
            </w:pPr>
            <w:r>
              <w:rPr>
                <w:rFonts w:ascii="Courier New" w:cs="Courier New" w:eastAsia="Courier New" w:hAnsi="Courier New"/>
                <w:sz w:val="18"/>
                <w:szCs w:val="18"/>
                <w:color w:val="auto"/>
              </w:rPr>
              <w:t>Location</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Property Interest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Anaheim, California(1)(5)(a)(b)(e)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Arlington, Virginia(5)(a)</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Benton Township, Pennsylvania (2)(b)</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Bethpage, New York (1)(2)(3)(5)(a)(b)(c)(d)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Bridgeport, West Virginia (2)(b)</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Calverton, New York (1)(2)(a)(b)(c)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Carson, California(1)(c)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Compton, California(1)(b)(c)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Commerce, California(1)(c)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Dallas, Texas (1)(a)(b)</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Edwards Air Force Base, California(1)</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Elk Grove, Illinois(2)(a)(b)(c)(d)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El Segundo, California(1)(4)(a)(b)(c)(d)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Fairborn, Ohio (3)(a)(c)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Gardena, California(1)(2)(a)(b)(c)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Glen Arm, Maryland (1)(b)</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Grand Prairie, Texas (1)(a)(b)(c)(d)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Great River, New York (2)(a)(b)</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Hawthorne, California(1)(2)(4)(5)(a)(b)(c)(d)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Hicksville, New York (1)(2)(a)(c)(d)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Holtsville, New York (5)(a)</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Hondo, Texas(1)(e)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Houston, Texas (3)(a)</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Huntington Station, New York (2)(a)</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Irvine, California (2)(d)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Kent, Washington(1)(c)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Lake Charles, Louisiana (1)(a)(b)(c)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Lawton, Oklahoma (3)(a)</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Lexington, Maine (1)(a)(c)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 Angeles, California(1)(5)(a)(b)(c)(d)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Mayfield, Pennsylvania (1)(b)</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Melbourne, Florida (2)(a)(b)</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Milledgeville, Georgia (1)(b)(c)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Montebello, California(1)(c)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Montgomery, Pennsylvania (1)(b)</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Newbury Park, California(5)(a)(b)(c)(d)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New Town, North Dakota(2)(a)(b)(c)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Norwood, Massachusetts(2)(a)(b)(c)(d)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Palmdale, California(1)(a)(b)(c)(d)(e)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Perry, Georgia(1)(4)(a)(b)(c)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Pico Rivera, California(1)(3)(a)(b)(c)(d)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Rolling Hills Estates, California(5)(a)(d)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Rolling Meadows, Illinois(2)(a)(b)(c)(d)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Sherman, Texas (1)(b)</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 Augustine, Florida (1)(a)(b)(c)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Stuart, Florida (1)(b)(c)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Sturgis, Michigan (1)(a)(b)(c)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Titusville, Florida (3)(a)</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Torrance, California(1)(a)(b)(c)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and 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Vinton, Virginia (1)(b)</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Warner Robins, Georgia(2)(a)(b)</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Warren, Michigan(1)(3)(a)(b)(c)(d)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Woodbury, New York (3)(5)(a)</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w:t>
            </w:r>
          </w:p>
        </w:tc>
        <w:tc>
          <w:tcPr>
            <w:tcW w:w="1900" w:type="dxa"/>
            <w:vAlign w:val="bottom"/>
          </w:tcPr>
          <w:p>
            <w:pPr>
              <w:spacing w:after="0"/>
              <w:rPr>
                <w:sz w:val="17"/>
                <w:szCs w:val="17"/>
                <w:color w:val="auto"/>
              </w:rPr>
            </w:pPr>
          </w:p>
        </w:tc>
      </w:tr>
    </w:tbl>
    <w:p>
      <w:pPr>
        <w:spacing w:after="0" w:line="207" w:lineRule="exact"/>
        <w:rPr>
          <w:sz w:val="20"/>
          <w:szCs w:val="20"/>
          <w:color w:val="auto"/>
        </w:rPr>
      </w:pPr>
    </w:p>
    <w:p>
      <w:pPr>
        <w:ind w:left="220" w:right="2839" w:hanging="212"/>
        <w:spacing w:after="0" w:line="237"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portions of the properties at each of these locations are leased or subleased to others. The company believes that in the aggregate the property covered by such leases or subleased to others is not material compared to the property actually utilized by the company in its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9" w:lineRule="exact"/>
        <w:rPr>
          <w:sz w:val="20"/>
          <w:szCs w:val="20"/>
          <w:color w:val="auto"/>
        </w:rPr>
      </w:pPr>
    </w:p>
    <w:p>
      <w:pPr>
        <w:ind w:left="740" w:right="3259" w:hanging="104"/>
        <w:spacing w:after="0" w:line="235" w:lineRule="auto"/>
        <w:rPr>
          <w:sz w:val="20"/>
          <w:szCs w:val="20"/>
          <w:color w:val="auto"/>
        </w:rPr>
      </w:pPr>
      <w:r>
        <w:rPr>
          <w:rFonts w:ascii="Courier New" w:cs="Courier New" w:eastAsia="Courier New" w:hAnsi="Courier New"/>
          <w:sz w:val="18"/>
          <w:szCs w:val="18"/>
          <w:color w:val="auto"/>
        </w:rPr>
        <w:t>Following each described property are numbers indicating the industry segments utilizing the property:</w:t>
      </w:r>
    </w:p>
    <w:p>
      <w:pPr>
        <w:spacing w:after="0" w:line="203" w:lineRule="exact"/>
        <w:rPr>
          <w:sz w:val="20"/>
          <w:szCs w:val="20"/>
          <w:color w:val="auto"/>
        </w:rPr>
      </w:pPr>
    </w:p>
    <w:p>
      <w:pPr>
        <w:ind w:left="1380" w:hanging="529"/>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Military and Commercial Aircraft</w:t>
      </w:r>
    </w:p>
    <w:p>
      <w:pPr>
        <w:ind w:left="1380" w:hanging="529"/>
        <w:spacing w:after="0" w:line="238"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Electronics and Systems Integration</w:t>
      </w:r>
    </w:p>
    <w:p>
      <w:pPr>
        <w:ind w:left="1380" w:hanging="529"/>
        <w:spacing w:after="0" w:line="238"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Systems and Other Services</w:t>
      </w:r>
    </w:p>
    <w:p>
      <w:pPr>
        <w:ind w:left="1380" w:hanging="529"/>
        <w:spacing w:after="0" w:line="238"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Missiles and Unmanned Vehicle Systems</w:t>
      </w:r>
    </w:p>
    <w:p>
      <w:pPr>
        <w:ind w:left="1380" w:hanging="529"/>
        <w:spacing w:after="0" w:line="238"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Corporate Asset</w:t>
      </w:r>
    </w:p>
    <w:p>
      <w:pPr>
        <w:spacing w:after="0" w:line="207" w:lineRule="exact"/>
        <w:rPr>
          <w:sz w:val="20"/>
          <w:szCs w:val="20"/>
          <w:color w:val="auto"/>
        </w:rPr>
      </w:pPr>
    </w:p>
    <w:p>
      <w:pPr>
        <w:ind w:left="740" w:right="3259" w:hanging="104"/>
        <w:spacing w:after="0" w:line="235" w:lineRule="auto"/>
        <w:rPr>
          <w:sz w:val="20"/>
          <w:szCs w:val="20"/>
          <w:color w:val="auto"/>
        </w:rPr>
      </w:pPr>
      <w:r>
        <w:rPr>
          <w:rFonts w:ascii="Courier New" w:cs="Courier New" w:eastAsia="Courier New" w:hAnsi="Courier New"/>
          <w:sz w:val="18"/>
          <w:szCs w:val="18"/>
          <w:color w:val="auto"/>
        </w:rPr>
        <w:t>Following each described property are letters indicating the types of facilities located at each location:</w:t>
      </w:r>
    </w:p>
    <w:p>
      <w:pPr>
        <w:sectPr>
          <w:pgSz w:w="11900" w:h="16838" w:orient="portrait"/>
          <w:cols w:equalWidth="0" w:num="1">
            <w:col w:w="10219"/>
          </w:cols>
          <w:pgMar w:left="240" w:top="344" w:right="1440" w:bottom="0" w:gutter="0" w:footer="0" w:header="0"/>
        </w:sectPr>
      </w:pPr>
    </w:p>
    <w:bookmarkStart w:id="2" w:name="page3"/>
    <w:bookmarkEnd w:id="2"/>
    <w:p>
      <w:pPr>
        <w:ind w:left="1380" w:hanging="529"/>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w:t>
      </w:r>
    </w:p>
    <w:p>
      <w:pPr>
        <w:ind w:left="1380" w:hanging="529"/>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manufacturing</w:t>
      </w:r>
    </w:p>
    <w:p>
      <w:pPr>
        <w:ind w:left="1380" w:hanging="529"/>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warehouse</w:t>
      </w:r>
    </w:p>
    <w:p>
      <w:pPr>
        <w:ind w:left="1380" w:hanging="529"/>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research and testing</w:t>
      </w:r>
    </w:p>
    <w:p>
      <w:pPr>
        <w:ind w:left="1380" w:hanging="529"/>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t>
      </w:r>
    </w:p>
    <w:p>
      <w:pPr>
        <w:spacing w:after="0" w:line="207" w:lineRule="exact"/>
        <w:rPr>
          <w:sz w:val="20"/>
          <w:szCs w:val="20"/>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Government-owned facilities used or administered by the company consist of 9.4 million square feet at various locations across the United States.</w:t>
      </w:r>
    </w:p>
    <w:p>
      <w:pPr>
        <w:spacing w:after="0" w:line="6"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The company believes its properties are well-maintained and in good operating condition. Under present business conditions and the company's volume of business, productive capacity is currently in excess of requirements.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False Claims Act Litigation</w:t>
      </w:r>
    </w:p>
    <w:p>
      <w:pPr>
        <w:spacing w:after="0" w:line="207" w:lineRule="exact"/>
        <w:rPr>
          <w:sz w:val="20"/>
          <w:szCs w:val="20"/>
          <w:color w:val="auto"/>
        </w:rPr>
      </w:pPr>
    </w:p>
    <w:p>
      <w:pPr>
        <w:ind w:right="2739" w:firstLine="527"/>
        <w:spacing w:after="0" w:line="238" w:lineRule="auto"/>
        <w:rPr>
          <w:sz w:val="20"/>
          <w:szCs w:val="20"/>
          <w:color w:val="auto"/>
        </w:rPr>
      </w:pPr>
      <w:r>
        <w:rPr>
          <w:rFonts w:ascii="Courier New" w:cs="Courier New" w:eastAsia="Courier New" w:hAnsi="Courier New"/>
          <w:sz w:val="18"/>
          <w:szCs w:val="18"/>
          <w:color w:val="auto"/>
        </w:rPr>
        <w:t>On June 9, 1987, a Complaint, entitled U.S. ex rel, David Peterson and Jeff Kroll v. Northrop Corporation, was filed in the U.S. District Court for the Central District of California alleging violations by the company of the False Claims Act in connection with the operation of petty cash funds, inspection, testing, and pricing for the MX Peacekeeper Missile program. On September 1, 1989, the government intervened and reduced the scope of the lawsuit by filing an amended complaint. The amended complaint does not completely specify the total amount being sought but, rather, seeks damages in excess of $1.2 million. On May 7, 1990, the Court ruled that the original plaintiffs may proceed with portions of the lawsuit that the government declined to include in the amended complaint. The court recently granted summary judgment for the company on the government's allegations related to petty cash, integrated test stations, extended work week and experimental change orders. Trial on the remaining allegations could occur in late 1995.</w:t>
      </w:r>
    </w:p>
    <w:p>
      <w:pPr>
        <w:spacing w:after="0" w:line="6" w:lineRule="exact"/>
        <w:rPr>
          <w:sz w:val="20"/>
          <w:szCs w:val="20"/>
          <w:color w:val="auto"/>
        </w:rPr>
      </w:pPr>
    </w:p>
    <w:p>
      <w:pPr>
        <w:ind w:right="2739" w:firstLine="527"/>
        <w:spacing w:after="0" w:line="270" w:lineRule="auto"/>
        <w:rPr>
          <w:sz w:val="20"/>
          <w:szCs w:val="20"/>
          <w:color w:val="auto"/>
        </w:rPr>
      </w:pPr>
      <w:r>
        <w:rPr>
          <w:rFonts w:ascii="Courier New" w:cs="Courier New" w:eastAsia="Courier New" w:hAnsi="Courier New"/>
          <w:sz w:val="16"/>
          <w:szCs w:val="16"/>
          <w:color w:val="auto"/>
        </w:rPr>
        <w:t>The company has been named a defendant in a lawsuit filed in the U.S. District Court for the Central District of California, entitled Janssen v. Northrop, pursuant to the False Claims Act relating to the company's pricing of subassemblies for the F/A-18 Hornet Jet. On April 9, 1990, the U.S. Department of Justice intervened in the lawsuit and filed an amended complaint. The amended complaint, which seeks unspecified damages and penalties, alleges common law fraud, unjust enrichment, and mistake of fact in connection with purported false statements regarding labor hours, cost of materials and total dollar costs that were required for Northrop to manufacture F/A-18 Hornet Jet subassemblies. In May 1992, the U.S. Government filed an additional complaint containing allegations substantially identical to those contained in the April 9, 1990 amended complaint. This complaint seeks damages relating to foreign military sales of the F/A-18 Hornet Jet. The parties have agreed to submit this matter to binding arbitration.</w:t>
      </w:r>
    </w:p>
    <w:p>
      <w:pPr>
        <w:spacing w:after="0" w:line="184"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In addition, the company is a party to a number of civil actions brought by private parties alleging violation of the False Claims Act in which the government has declined to intervene. These actions, which have been previously reported, relate to the MX Peacekeeper Missile, the Air Launched Cruise Missile and the Advanced Technology Bomber (B-2) programs. In a number of these actions, plaintiffs also allege employment related claims including claims of wrongful termination. Damages sought include claims for compensatory and punitive damages. A number of these civil actions were initially reported when it was unclear what position, if any, the government would take in the litigation. In light of the government's decision</w:t>
      </w:r>
    </w:p>
    <w:p>
      <w:pPr>
        <w:spacing w:after="0" w:line="2"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not to intervene or otherwise pursue the litigation, as well as the amounts involved, the cases will not be individually reported. Further, the company learns from time to time that it has been named as a defendant</w:t>
      </w:r>
    </w:p>
    <w:p>
      <w:pPr>
        <w:spacing w:after="0" w:line="1"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in lawsuits which are filed under seal pursuant to the False Claims Act. Since these matters remain under seal, the company does not possess sufficient information to accurately report on the particular allegations.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Walsh, et al. v. Northrop Grumman Corporation</w:t>
      </w:r>
    </w:p>
    <w:p>
      <w:pPr>
        <w:spacing w:after="0" w:line="207"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In November, 1994, a class action complaint was filed against Northrop Grumman Corporation, Grumman Corporation, Renso Caporali, Howard J. Dunn, Jr., Robert Denien and Robert E. Foster in the U.S. District Court for the Eastern District of New York, Case No. CV 94-5105 (Platt C.J.). The individual plaintiffs purport to represent a class of Grumman Corporation employees who directly or beneficially owned Grumman stock and who were eligible to participate in Grumman's Severance Plan prior to the merger with Northrop. A first amended</w:t>
      </w:r>
    </w:p>
    <w:p>
      <w:pPr>
        <w:sectPr>
          <w:pgSz w:w="11900" w:h="16838" w:orient="portrait"/>
          <w:cols w:equalWidth="0" w:num="1">
            <w:col w:w="10219"/>
          </w:cols>
          <w:pgMar w:left="240" w:top="339" w:right="1440" w:bottom="0" w:gutter="0" w:footer="0" w:header="0"/>
        </w:sectPr>
      </w:pPr>
    </w:p>
    <w:bookmarkStart w:id="3" w:name="page4"/>
    <w:bookmarkEnd w:id="3"/>
    <w:p>
      <w:pPr>
        <w:ind w:right="2739"/>
        <w:spacing w:after="0" w:line="269" w:lineRule="auto"/>
        <w:rPr>
          <w:sz w:val="20"/>
          <w:szCs w:val="20"/>
          <w:color w:val="auto"/>
        </w:rPr>
      </w:pPr>
      <w:r>
        <w:rPr>
          <w:rFonts w:ascii="Courier New" w:cs="Courier New" w:eastAsia="Courier New" w:hAnsi="Courier New"/>
          <w:sz w:val="16"/>
          <w:szCs w:val="16"/>
          <w:color w:val="auto"/>
        </w:rPr>
        <w:t>complaint was filed on November 29 alleging that Grumman Corporation's March 8 and April 4, 1994 Form 14D-9 filings with the Securities and Exchange Commission incorporated a statement concerning the Grumman Severance Plan which violated Sections 10(b), and 14 (e) of the Securities and Exchange Act of 1934, and Rule 10b-5. The complaint also contains a cause of action for equitable estoppel based upon the same statement and plaintiffs' alleged reliance thereon. The complaint also alleges that the trustees of Grumman's Investment Plan violated their fiduciary obligations by voting the Plan's shares in favor of the merger without consulting the class members. The complaint seeks an order enjoining defendants from amending or discontinuing the Severance Plan for a period of thirty (30) months from the date of the merger and an order mandating that defendants permit class members who have accepted voluntary termination with severance pay to rescind their elections. On December 8, 1994, the court denied plaintiffs' application for a preliminary injunction but declined to dismiss the action. Plaintiffs filed a motion to amend their complaint to add a claim for damages based on post-acquisition changes to the Grumman pension plan. The hearing on the motion to amend and for class certification is scheduled for April 7, 1995. Absent dispositive motions, this matter will proceed to trial in late 1995 or early 1996. The defendants intend to vigorously defend this litigation and the Company does not expect this matter to have a material adverse effect on its financial condition.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company, as a government contractor, is from time to time subject to U.S. Government investigations relating to its operations. Government contractors that are found to have violated the False Claims Act, or are indicted or convicted for violations of other Federal laws, or are considered not to be responsible contractors may be suspended or debarred from government contracting for some period of time. Such convictions could also result in fines. Given the company's dependence on government contracting, suspension or debarment could have a material adverse effect on the company.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of the Registrant</w:t>
      </w:r>
    </w:p>
    <w:p>
      <w:pPr>
        <w:spacing w:after="0" w:line="207"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The following individuals were the elected officers of the company as of February 16, 1995: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Business</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Experience</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Age</w:t>
            </w:r>
          </w:p>
        </w:tc>
        <w:tc>
          <w:tcPr>
            <w:tcW w:w="32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 Held</w:t>
            </w:r>
          </w:p>
        </w:tc>
        <w:tc>
          <w:tcPr>
            <w:tcW w:w="11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Since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Last Five Years</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Kent Kresa</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56</w:t>
            </w:r>
          </w:p>
        </w:tc>
        <w:tc>
          <w:tcPr>
            <w:tcW w:w="232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Chairman, President</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1990</w:t>
            </w:r>
          </w:p>
        </w:tc>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President and Chief</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and CEO</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Officer;</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Prior to September</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1990, President and</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COO.</w:t>
            </w:r>
          </w:p>
        </w:tc>
      </w:tr>
      <w:tr>
        <w:trPr>
          <w:trHeight w:val="608"/>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Herbert W. Anderson</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w w:val="92"/>
              </w:rPr>
              <w:t>55</w:t>
            </w:r>
          </w:p>
        </w:tc>
        <w:tc>
          <w:tcPr>
            <w:tcW w:w="20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Corporate Vice</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Vice President and Deputy</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President and</w:t>
            </w: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Manager, Data</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7"/>
              </w:rPr>
              <w:t>General Manager,</w:t>
            </w: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Systems and Services</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Data Systems &amp;</w:t>
            </w: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Division; Prior to 1994,</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3"/>
          </w:tcPr>
          <w:p>
            <w:pPr>
              <w:ind w:left="300"/>
              <w:spacing w:after="0" w:line="203" w:lineRule="exact"/>
              <w:rPr>
                <w:sz w:val="20"/>
                <w:szCs w:val="20"/>
                <w:color w:val="auto"/>
              </w:rPr>
            </w:pPr>
            <w:r>
              <w:rPr>
                <w:rFonts w:ascii="Courier New" w:cs="Courier New" w:eastAsia="Courier New" w:hAnsi="Courier New"/>
                <w:sz w:val="18"/>
                <w:szCs w:val="18"/>
                <w:color w:val="auto"/>
              </w:rPr>
              <w:t>Services Division</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and Center</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Manager of Northrop</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Information Services</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Center; Prior to 1990,</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Information</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Resource Management, B-2</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Program</w:t>
            </w:r>
          </w:p>
        </w:tc>
      </w:tr>
      <w:tr>
        <w:trPr>
          <w:trHeight w:val="405"/>
        </w:trPr>
        <w:tc>
          <w:tcPr>
            <w:tcW w:w="2440" w:type="dxa"/>
            <w:vAlign w:val="bottom"/>
            <w:gridSpan w:val="3"/>
          </w:tcPr>
          <w:p>
            <w:pPr>
              <w:spacing w:after="0"/>
              <w:rPr>
                <w:sz w:val="20"/>
                <w:szCs w:val="20"/>
                <w:color w:val="auto"/>
              </w:rPr>
            </w:pPr>
            <w:r>
              <w:rPr>
                <w:rFonts w:ascii="Courier New" w:cs="Courier New" w:eastAsia="Courier New" w:hAnsi="Courier New"/>
                <w:sz w:val="18"/>
                <w:szCs w:val="18"/>
                <w:color w:val="auto"/>
                <w:w w:val="97"/>
              </w:rPr>
              <w:t>Ralph D. Crosby, Jr. 47</w:t>
            </w:r>
          </w:p>
        </w:tc>
        <w:tc>
          <w:tcPr>
            <w:tcW w:w="20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Corporate Vice</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Vice President Business and</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President and</w:t>
            </w: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Advanced Systems</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7"/>
              </w:rPr>
              <w:t>General Manager,</w:t>
            </w: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Development at B-2</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B-2 Division</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Division; Prior</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1992, Vice President</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Business Development and</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Administration; Prior to</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1991, Vice President and</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Manager of Northrop</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Washington Office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Marvin Elkin</w:t>
            </w:r>
          </w:p>
        </w:tc>
        <w:tc>
          <w:tcPr>
            <w:tcW w:w="640" w:type="dxa"/>
            <w:vAlign w:val="bottom"/>
          </w:tcPr>
          <w:p>
            <w:pPr>
              <w:spacing w:after="0"/>
              <w:rPr>
                <w:sz w:val="24"/>
                <w:szCs w:val="24"/>
                <w:color w:val="auto"/>
              </w:rPr>
            </w:pPr>
          </w:p>
        </w:tc>
        <w:tc>
          <w:tcPr>
            <w:tcW w:w="190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58 Corporate Vice</w:t>
            </w:r>
          </w:p>
        </w:tc>
        <w:tc>
          <w:tcPr>
            <w:tcW w:w="420" w:type="dxa"/>
            <w:vAlign w:val="bottom"/>
          </w:tcPr>
          <w:p>
            <w:pPr>
              <w:spacing w:after="0"/>
              <w:rPr>
                <w:sz w:val="24"/>
                <w:szCs w:val="24"/>
                <w:color w:val="auto"/>
              </w:rPr>
            </w:pPr>
          </w:p>
        </w:tc>
        <w:tc>
          <w:tcPr>
            <w:tcW w:w="7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1994</w:t>
            </w:r>
          </w:p>
        </w:tc>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Corporate Vice</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President and Administration</w:t>
            </w:r>
          </w:p>
        </w:tc>
      </w:tr>
      <w:tr>
        <w:trPr>
          <w:trHeight w:val="203"/>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Chief Human</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Services; prior to</w:t>
            </w:r>
          </w:p>
        </w:tc>
      </w:tr>
    </w:tbl>
    <w:p>
      <w:pPr>
        <w:sectPr>
          <w:pgSz w:w="11900" w:h="16838" w:orient="portrait"/>
          <w:cols w:equalWidth="0" w:num="1">
            <w:col w:w="10219"/>
          </w:cols>
          <w:pgMar w:left="240" w:top="142"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Resources and</w:t>
            </w:r>
          </w:p>
        </w:tc>
        <w:tc>
          <w:tcPr>
            <w:tcW w:w="740" w:type="dxa"/>
            <w:vAlign w:val="bottom"/>
          </w:tcPr>
          <w:p>
            <w:pPr>
              <w:spacing w:after="0"/>
              <w:rPr>
                <w:sz w:val="17"/>
                <w:szCs w:val="17"/>
                <w:color w:val="auto"/>
              </w:rPr>
            </w:pP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1991 Vice President,</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Administrative</w:t>
            </w: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Materiel and Services</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c>
          <w:tcPr>
            <w:tcW w:w="7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Sheila M. Gibbons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63</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1992</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Vice President and</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 and</w:t>
            </w: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Secretary</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Secretary</w:t>
            </w:r>
          </w:p>
        </w:tc>
        <w:tc>
          <w:tcPr>
            <w:tcW w:w="7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Nelson F. Gibbs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57</w:t>
            </w:r>
          </w:p>
        </w:tc>
        <w:tc>
          <w:tcPr>
            <w:tcW w:w="1840" w:type="dxa"/>
            <w:vAlign w:val="bottom"/>
          </w:tcPr>
          <w:p>
            <w:pPr>
              <w:ind w:left="16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1992</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Vice President and</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President and</w:t>
            </w: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Controller; Prior</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Controller</w:t>
            </w: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1991, Partner,</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Deloitte &amp; Touche LLP</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John E. Harrison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59</w:t>
            </w:r>
          </w:p>
        </w:tc>
        <w:tc>
          <w:tcPr>
            <w:tcW w:w="1840" w:type="dxa"/>
            <w:vAlign w:val="bottom"/>
          </w:tcPr>
          <w:p>
            <w:pPr>
              <w:ind w:left="16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Senior Vice President</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President and</w:t>
            </w: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General Manager,</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General Manager,</w:t>
            </w: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Electronics Programs,</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Electronics and</w:t>
            </w: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Aerospace and Electronics</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Systems Integration</w:t>
            </w: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Group; Prior to</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Division</w:t>
            </w: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1992, President,</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Electronics Division,</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Grumman Corporation</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Robert W. Helm</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43</w:t>
            </w:r>
          </w:p>
        </w:tc>
        <w:tc>
          <w:tcPr>
            <w:tcW w:w="1840" w:type="dxa"/>
            <w:vAlign w:val="bottom"/>
          </w:tcPr>
          <w:p>
            <w:pPr>
              <w:ind w:left="16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Vice President,</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President,</w:t>
            </w: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Legislative Affairs</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Government Relations</w:t>
            </w:r>
          </w:p>
        </w:tc>
        <w:tc>
          <w:tcPr>
            <w:tcW w:w="3060" w:type="dxa"/>
            <w:vAlign w:val="bottom"/>
          </w:tcPr>
          <w:p>
            <w:pPr>
              <w:spacing w:after="0"/>
              <w:rPr>
                <w:sz w:val="17"/>
                <w:szCs w:val="17"/>
                <w:color w:val="auto"/>
              </w:rPr>
            </w:pPr>
          </w:p>
        </w:tc>
      </w:tr>
      <w:tr>
        <w:trPr>
          <w:trHeight w:val="405"/>
        </w:trPr>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w w:val="99"/>
              </w:rPr>
              <w:t>Charles L. Jones, Jr.53</w:t>
            </w:r>
          </w:p>
        </w:tc>
        <w:tc>
          <w:tcPr>
            <w:tcW w:w="1840" w:type="dxa"/>
            <w:vAlign w:val="bottom"/>
          </w:tcPr>
          <w:p>
            <w:pPr>
              <w:ind w:left="16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1992</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Vice President, Quality</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President,</w:t>
            </w: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 Prior to</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Quality Operations</w:t>
            </w: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1991 Vice President</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Manager Operations,</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Electronics Division; Prior</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to 1990, Vice President and</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Manager, Product Assurance</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Productivity</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Richard R. Molleur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62</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1991</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Senior Vice President</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 and</w:t>
            </w: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General Counsel;</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 Counsel</w:t>
            </w: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Prior to 1991, Partner,</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Winston &amp; Strawn</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Albert F. Myers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49</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Business</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w:t>
            </w: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Strategy; Prior to 1992,</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Treasurer</w:t>
            </w: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 Test</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Operations at B-2 Division</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James G. Roche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1993</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Corporate Vice President</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 and</w:t>
            </w: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Advanced Development and</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Chief Advanced</w:t>
            </w: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Planning Officer; Prior to</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Development and</w:t>
            </w: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1992, Vice President,</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Planning and Public</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Advanced Development and</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Affairs Officer</w:t>
            </w: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Planning; Prior to 1991</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 and Special</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Assistant to the Chairman,</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 CEO.</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Wallace G. Solberg</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63</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Corporate Vice President</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w:t>
            </w: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General</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General Manager,</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Manager-Aircraft Division;</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Military Aircraft</w:t>
            </w: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Prior to 1991, Vice</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Division</w:t>
            </w: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 General</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Manager, Electronics</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Systems Division; Prior to</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1990, Vice President and</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General Manager, Defense</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Systems Division.</w:t>
            </w:r>
          </w:p>
        </w:tc>
      </w:tr>
      <w:tr>
        <w:trPr>
          <w:trHeight w:val="405"/>
        </w:trPr>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rPr>
              <w:t>Richard B. Waugh, Jr. 51 Corporate Vice</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1993</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Taxes,</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President and</w:t>
            </w: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Risk Management and</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Chief Financial</w:t>
            </w: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Business Analysis</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w:t>
            </w:r>
          </w:p>
        </w:tc>
        <w:tc>
          <w:tcPr>
            <w:tcW w:w="7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Max T. Weiss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72</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Corporate Vice</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Corporate Vice President</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w:t>
            </w: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General Manager</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Deputy General</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Electronics Systems</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Manager, Electronics</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Division; Prior to</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Systems Integration</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1991, Vice</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Division</w:t>
            </w: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 General</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Technology and Advanced</w:t>
            </w:r>
          </w:p>
        </w:tc>
      </w:tr>
      <w:tr>
        <w:trPr>
          <w:trHeight w:val="203"/>
        </w:trPr>
        <w:tc>
          <w:tcPr>
            <w:tcW w:w="2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Development; Prior to</w:t>
            </w:r>
          </w:p>
        </w:tc>
      </w:tr>
    </w:tbl>
    <w:p>
      <w:pPr>
        <w:ind w:left="5160"/>
        <w:spacing w:after="0" w:line="238" w:lineRule="auto"/>
        <w:rPr>
          <w:sz w:val="20"/>
          <w:szCs w:val="20"/>
          <w:color w:val="auto"/>
        </w:rPr>
      </w:pPr>
      <w:r>
        <w:rPr>
          <w:rFonts w:ascii="Courier New" w:cs="Courier New" w:eastAsia="Courier New" w:hAnsi="Courier New"/>
          <w:sz w:val="18"/>
          <w:szCs w:val="18"/>
          <w:color w:val="auto"/>
        </w:rPr>
        <w:t>July 1991, Vice President -</w:t>
      </w:r>
    </w:p>
    <w:p>
      <w:pPr>
        <w:ind w:left="5160"/>
        <w:spacing w:after="0"/>
        <w:rPr>
          <w:sz w:val="20"/>
          <w:szCs w:val="20"/>
          <w:color w:val="auto"/>
        </w:rPr>
      </w:pPr>
      <w:r>
        <w:rPr>
          <w:rFonts w:ascii="Courier New" w:cs="Courier New" w:eastAsia="Courier New" w:hAnsi="Courier New"/>
          <w:sz w:val="18"/>
          <w:szCs w:val="18"/>
          <w:color w:val="auto"/>
        </w:rPr>
        <w:t>Technology; Prior to 1990,</w:t>
      </w:r>
    </w:p>
    <w:p>
      <w:pPr>
        <w:sectPr>
          <w:pgSz w:w="11900" w:h="16838" w:orient="portrait"/>
          <w:cols w:equalWidth="0" w:num="1">
            <w:col w:w="10219"/>
          </w:cols>
          <w:pgMar w:left="240" w:top="136" w:right="1440" w:bottom="0" w:gutter="0" w:footer="0" w:header="0"/>
        </w:sectPr>
      </w:pPr>
    </w:p>
    <w:bookmarkStart w:id="5" w:name="page6"/>
    <w:bookmarkEnd w:id="5"/>
    <w:p>
      <w:pPr>
        <w:jc w:val="right"/>
        <w:ind w:right="2419"/>
        <w:spacing w:after="0"/>
        <w:rPr>
          <w:sz w:val="20"/>
          <w:szCs w:val="20"/>
          <w:color w:val="auto"/>
        </w:rPr>
      </w:pPr>
      <w:r>
        <w:rPr>
          <w:rFonts w:ascii="Courier New" w:cs="Courier New" w:eastAsia="Courier New" w:hAnsi="Courier New"/>
          <w:sz w:val="18"/>
          <w:szCs w:val="18"/>
          <w:color w:val="auto"/>
        </w:rPr>
        <w:t>Vice President-Technical,</w:t>
      </w:r>
    </w:p>
    <w:p>
      <w:pPr>
        <w:jc w:val="right"/>
        <w:ind w:right="2419"/>
        <w:spacing w:after="0" w:line="238" w:lineRule="auto"/>
        <w:rPr>
          <w:sz w:val="20"/>
          <w:szCs w:val="20"/>
          <w:color w:val="auto"/>
        </w:rPr>
      </w:pPr>
      <w:r>
        <w:rPr>
          <w:rFonts w:ascii="Courier New" w:cs="Courier New" w:eastAsia="Courier New" w:hAnsi="Courier New"/>
          <w:sz w:val="18"/>
          <w:szCs w:val="18"/>
          <w:color w:val="auto"/>
        </w:rPr>
        <w:t>Electronics Systems Group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Gordon L. Williams   62 Corporate Vice</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1994</w:t>
            </w:r>
          </w:p>
        </w:tc>
        <w:tc>
          <w:tcPr>
            <w:tcW w:w="258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President &amp; CEO, Vought</w:t>
            </w:r>
          </w:p>
        </w:tc>
      </w:tr>
      <w:tr>
        <w:trPr>
          <w:trHeight w:val="203"/>
        </w:trPr>
        <w:tc>
          <w:tcPr>
            <w:tcW w:w="4220" w:type="dxa"/>
            <w:vAlign w:val="bottom"/>
          </w:tcPr>
          <w:p>
            <w:pPr>
              <w:ind w:left="2540"/>
              <w:spacing w:after="0" w:line="203" w:lineRule="exact"/>
              <w:rPr>
                <w:sz w:val="20"/>
                <w:szCs w:val="20"/>
                <w:color w:val="auto"/>
              </w:rPr>
            </w:pPr>
            <w:r>
              <w:rPr>
                <w:rFonts w:ascii="Courier New" w:cs="Courier New" w:eastAsia="Courier New" w:hAnsi="Courier New"/>
                <w:sz w:val="18"/>
                <w:szCs w:val="18"/>
                <w:color w:val="auto"/>
              </w:rPr>
              <w:t>President</w:t>
            </w:r>
          </w:p>
        </w:tc>
        <w:tc>
          <w:tcPr>
            <w:tcW w:w="800" w:type="dxa"/>
            <w:vAlign w:val="bottom"/>
          </w:tcPr>
          <w:p>
            <w:pPr>
              <w:spacing w:after="0"/>
              <w:rPr>
                <w:sz w:val="17"/>
                <w:szCs w:val="17"/>
                <w:color w:val="auto"/>
              </w:rPr>
            </w:pPr>
          </w:p>
        </w:tc>
        <w:tc>
          <w:tcPr>
            <w:tcW w:w="1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Aircraft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Company; Prior</w:t>
            </w:r>
          </w:p>
        </w:tc>
      </w:tr>
      <w:tr>
        <w:trPr>
          <w:trHeight w:val="203"/>
        </w:trPr>
        <w:tc>
          <w:tcPr>
            <w:tcW w:w="5020" w:type="dxa"/>
            <w:vAlign w:val="bottom"/>
            <w:gridSpan w:val="2"/>
          </w:tcPr>
          <w:p>
            <w:pPr>
              <w:ind w:left="2540"/>
              <w:spacing w:after="0" w:line="203" w:lineRule="exact"/>
              <w:rPr>
                <w:sz w:val="20"/>
                <w:szCs w:val="20"/>
                <w:color w:val="auto"/>
              </w:rPr>
            </w:pPr>
            <w:r>
              <w:rPr>
                <w:rFonts w:ascii="Courier New" w:cs="Courier New" w:eastAsia="Courier New" w:hAnsi="Courier New"/>
                <w:sz w:val="18"/>
                <w:szCs w:val="18"/>
                <w:color w:val="auto"/>
              </w:rPr>
              <w:t>and General Manager,</w:t>
            </w:r>
          </w:p>
        </w:tc>
        <w:tc>
          <w:tcPr>
            <w:tcW w:w="1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to 1992,</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5020" w:type="dxa"/>
            <w:vAlign w:val="bottom"/>
            <w:gridSpan w:val="2"/>
          </w:tcPr>
          <w:p>
            <w:pPr>
              <w:ind w:left="2540"/>
              <w:spacing w:after="0" w:line="203" w:lineRule="exact"/>
              <w:rPr>
                <w:sz w:val="20"/>
                <w:szCs w:val="20"/>
                <w:color w:val="auto"/>
              </w:rPr>
            </w:pPr>
            <w:r>
              <w:rPr>
                <w:rFonts w:ascii="Courier New" w:cs="Courier New" w:eastAsia="Courier New" w:hAnsi="Courier New"/>
                <w:sz w:val="18"/>
                <w:szCs w:val="18"/>
                <w:color w:val="auto"/>
              </w:rPr>
              <w:t>Commercial Aircraft</w:t>
            </w:r>
          </w:p>
        </w:tc>
        <w:tc>
          <w:tcPr>
            <w:tcW w:w="1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Aircraft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Division,</w:t>
            </w:r>
          </w:p>
        </w:tc>
      </w:tr>
      <w:tr>
        <w:trPr>
          <w:trHeight w:val="203"/>
        </w:trPr>
        <w:tc>
          <w:tcPr>
            <w:tcW w:w="4220" w:type="dxa"/>
            <w:vAlign w:val="bottom"/>
          </w:tcPr>
          <w:p>
            <w:pPr>
              <w:ind w:left="2540"/>
              <w:spacing w:after="0" w:line="203" w:lineRule="exact"/>
              <w:rPr>
                <w:sz w:val="20"/>
                <w:szCs w:val="20"/>
                <w:color w:val="auto"/>
              </w:rPr>
            </w:pPr>
            <w:r>
              <w:rPr>
                <w:rFonts w:ascii="Courier New" w:cs="Courier New" w:eastAsia="Courier New" w:hAnsi="Courier New"/>
                <w:sz w:val="18"/>
                <w:szCs w:val="18"/>
                <w:color w:val="auto"/>
              </w:rPr>
              <w:t>Division</w:t>
            </w:r>
          </w:p>
        </w:tc>
        <w:tc>
          <w:tcPr>
            <w:tcW w:w="800" w:type="dxa"/>
            <w:vAlign w:val="bottom"/>
          </w:tcPr>
          <w:p>
            <w:pPr>
              <w:spacing w:after="0"/>
              <w:rPr>
                <w:sz w:val="17"/>
                <w:szCs w:val="17"/>
                <w:color w:val="auto"/>
              </w:rPr>
            </w:pPr>
          </w:p>
        </w:tc>
        <w:tc>
          <w:tcPr>
            <w:tcW w:w="25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LTV Aerospace &amp; Defense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left="540" w:right="3899"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Item</w:t>
        <w:tab/>
        <w:t>4. Submission of Matters to a Vote of Security Holders No information is required in response to this Item.</w:t>
      </w:r>
    </w:p>
    <w:p>
      <w:pPr>
        <w:spacing w:after="0" w:line="16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left="960" w:right="283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5.</w:t>
        <w:tab/>
        <w:t>Market for Registrant's Common Equity and Related Stockholder Matters</w:t>
      </w:r>
    </w:p>
    <w:p>
      <w:pPr>
        <w:spacing w:after="0" w:line="6"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The information required by this Item is contained in Part II, Item 8 of this Annual Report on Form 10-K.</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4"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The information required by this Item is contained in Part II, Item 7 of this Annual Report on Form 10-K.</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left="960" w:right="303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Conditions</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Northrop Grumman's industry segments - military and commercial aircraft, electronics and systems integration, data systems and other services, and missiles and unmanned vehicle systems (MUVS) - are each a factor in the broadly defined aerospace industry. While Northrop Grumman is subject to the usual vagaries of the marketplace, it is also affected by the unique characteristics of the aerospace industry and by certain elements peculiar to its own business mix.</w:t>
      </w:r>
    </w:p>
    <w:p>
      <w:pPr>
        <w:spacing w:after="0" w:line="9"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In the second quarter of 1994 the company purchased the outstanding common stock of Grumman Corporation (Grumman) for $2.1 billion. Northrop Corporation was renamed Northrop Grumman Corporation effective May 18, 1994. In August 1994 the company purchased the remaining 51 percent interest in Vought Aircraft Company (Vought) for $130 million. The company had purchased a 49 percent interest in Vought in 1992. As a result of these acquisitions the company reorganized, effective January 1, 1995, into five operating divisions - B-2 Division, Military Aircraft Division, Commercial Aircraft Division, Electronics and Systems Integration Division and the Data Systems and Services Division.</w:t>
      </w:r>
    </w:p>
    <w:p>
      <w:pPr>
        <w:spacing w:after="0" w:line="13" w:lineRule="exact"/>
        <w:rPr>
          <w:sz w:val="20"/>
          <w:szCs w:val="20"/>
          <w:color w:val="auto"/>
        </w:rPr>
      </w:pPr>
    </w:p>
    <w:p>
      <w:pPr>
        <w:ind w:right="2939" w:firstLine="527"/>
        <w:spacing w:after="0" w:line="269" w:lineRule="auto"/>
        <w:rPr>
          <w:sz w:val="20"/>
          <w:szCs w:val="20"/>
          <w:color w:val="auto"/>
        </w:rPr>
      </w:pPr>
      <w:r>
        <w:rPr>
          <w:rFonts w:ascii="Courier New" w:cs="Courier New" w:eastAsia="Courier New" w:hAnsi="Courier New"/>
          <w:sz w:val="16"/>
          <w:szCs w:val="16"/>
          <w:color w:val="auto"/>
        </w:rPr>
        <w:t>Northrop Grumman is one of about a dozen major companies in the industry that compete for the relatively small number of large, long-term programs that characterize both the defense and commercial segments of the aerospace business. It is common in the aerospace industry for work on major programs to be shared between a number of companies. A company competing to be a prime contractor can turn out to be a subcontractor. It is not uncommon to compete with customers, and to simultaneously be both a supplier to and customer of a given competitor. Boeing, Lockheed Martin and McDonnell Douglas are the largest companies in the aerospace industry at this time. Northrop Grumman also competes against many other companies for a relatively large number of smaller programs, notably in the electronics areas. Competition is intense, yet the nature of major aerospace programs, conducted under binding contracts, allows companies that perform well to benefit from a level of program continuity unknown in many industries. Thus, intense competition and long operating cycles are both characteristic of the industry's - and Northrop Grumman's - business.</w:t>
      </w:r>
    </w:p>
    <w:p>
      <w:pPr>
        <w:spacing w:after="0" w:line="396"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B-2 bomber, for which the company is the prime contractor, is Northrop Grumman's largest program. The B-2 Division is responsible for final assembly of the B-2's airframe and systems integration (in Palmdale, California), and the manufacture of the fuselage and parts of the B-2's navigation and electronic warfare/situation awareness system. Major subcontractors include Boeing, which makes the aft center section, outboard wing sections, landing gear and fuel system, and GM Hughes, which produces the radar systems. The Air Force currently plans to operate two B-2 bomber squadrons of eight aircraft each with an additional four aircraft available to fill in for those in depot for periodic maintenance.</w:t>
      </w:r>
    </w:p>
    <w:p>
      <w:pPr>
        <w:sectPr>
          <w:pgSz w:w="11900" w:h="16838" w:orient="portrait"/>
          <w:cols w:equalWidth="0" w:num="1">
            <w:col w:w="10219"/>
          </w:cols>
          <w:pgMar w:left="240" w:top="136" w:right="1440" w:bottom="0" w:gutter="0" w:footer="0" w:header="0"/>
        </w:sectPr>
      </w:pPr>
    </w:p>
    <w:bookmarkStart w:id="6" w:name="page7"/>
    <w:bookmarkEnd w:id="6"/>
    <w:p>
      <w:pPr>
        <w:ind w:right="2739" w:firstLine="527"/>
        <w:spacing w:after="0" w:line="270" w:lineRule="auto"/>
        <w:rPr>
          <w:sz w:val="20"/>
          <w:szCs w:val="20"/>
          <w:color w:val="auto"/>
        </w:rPr>
      </w:pPr>
      <w:r>
        <w:rPr>
          <w:rFonts w:ascii="Courier New" w:cs="Courier New" w:eastAsia="Courier New" w:hAnsi="Courier New"/>
          <w:sz w:val="16"/>
          <w:szCs w:val="16"/>
          <w:color w:val="auto"/>
        </w:rPr>
        <w:t>The company's Military Aircraft Division (MAD), headquartered in Hawthorne, California, is the principal subcontractor on the McDonnell Douglas F/A-18 program. The F/A-18 is a fighter/ground-attack aircraft that can carry either one or two crew members. It is principally deployed by the U.S. Navy on aircraft carriers, but several other nations have purchased the aircraft and use it as a land-based combat aircraft. The company builds approximately 40 percent of the aircraft including the center and aft fuselage sections and vertical tails. Of the versions of the F/A-18 currently in production, the C is a single-seat combat aircraft that was first delivered to the Navy in 1987 and the D is a two-seat version principally used for training. The F/A-18E/F is an improved version of the F/A-18C/D under development for the U.S. Navy as its next generation multi-mission aircraft.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739" w:firstLine="316"/>
        <w:spacing w:after="0" w:line="237" w:lineRule="auto"/>
        <w:rPr>
          <w:sz w:val="20"/>
          <w:szCs w:val="20"/>
          <w:color w:val="auto"/>
        </w:rPr>
      </w:pPr>
      <w:r>
        <w:rPr>
          <w:rFonts w:ascii="Courier New" w:cs="Courier New" w:eastAsia="Courier New" w:hAnsi="Courier New"/>
          <w:sz w:val="18"/>
          <w:szCs w:val="18"/>
          <w:color w:val="auto"/>
        </w:rPr>
        <w:t>MAD also produces aerial targets, principally the BQM-74/Chuker. The BQM-74 series has been in production since the 1960s. It is used by the Navy for air defense training, gunnery practice and weapon system evaluation. The company builds the airframe and the electronics that are used to guide the drone with the drone's engine being produced by Williams International.</w:t>
      </w:r>
    </w:p>
    <w:p>
      <w:pPr>
        <w:spacing w:after="0" w:line="7" w:lineRule="exact"/>
        <w:rPr>
          <w:sz w:val="20"/>
          <w:szCs w:val="20"/>
          <w:color w:val="auto"/>
        </w:rPr>
      </w:pPr>
    </w:p>
    <w:p>
      <w:pPr>
        <w:ind w:right="2739" w:firstLine="316"/>
        <w:spacing w:after="0" w:line="238" w:lineRule="auto"/>
        <w:rPr>
          <w:sz w:val="20"/>
          <w:szCs w:val="20"/>
          <w:color w:val="auto"/>
        </w:rPr>
      </w:pPr>
      <w:r>
        <w:rPr>
          <w:rFonts w:ascii="Courier New" w:cs="Courier New" w:eastAsia="Courier New" w:hAnsi="Courier New"/>
          <w:sz w:val="18"/>
          <w:szCs w:val="18"/>
          <w:color w:val="auto"/>
        </w:rPr>
        <w:t>The Commercial Aircraft Division (CAD) supplies portions of the Boeing 747, 757, 767 and 777 jetliners, the Gulfstream IV and V business jets, and the McDonnell Douglas C-17. Northrop Grumman has been a principal airframe subcontractor for the Boeing 747 jetliner since the program began in 1966. The company produces the fuselage and aft body section for the 747 as well as cargo and passenger doors, the vertical and horizontal body stabilizers, floor beams and smaller structural components. The majority of this work is performed at CAD's primary production sites in Hawthorne, California; Grand Prairie, Texas; Stuart, Florida; and Perry, Georgia. CAD manufactures engine nacelles for the Gulfstream IV and other business jets and recently initiated production of the wings for Gulfstream's newest business jet, the Gulfstream V. CAD also produces the tail section, engine nacelles and control surfaces for the McDonnell Douglas C-17 program, the U.S. Air Force's most advanced airlifter, at various locations. The work performed on the Gulfstream IV and V, 757, 767, 777 and some of the components of the 747 and the C-17 were added as a result of the Grumman and Vought acquisitions.</w:t>
      </w:r>
    </w:p>
    <w:p>
      <w:pPr>
        <w:spacing w:after="0" w:line="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Northrop Grumman designed and built all-weather E-2C Hawkeye Airborne Early Warning Command and Control aircraft has been in active service with the U.S. Navy since 1973 and is also employed by the air forces of five other nations. The E-2C is produced by the company's Electronics and Systems Integration Division (ESID).</w:t>
      </w:r>
    </w:p>
    <w:p>
      <w:pPr>
        <w:spacing w:after="0" w:line="6" w:lineRule="exact"/>
        <w:rPr>
          <w:sz w:val="20"/>
          <w:szCs w:val="20"/>
          <w:color w:val="auto"/>
        </w:rPr>
      </w:pPr>
    </w:p>
    <w:p>
      <w:pPr>
        <w:ind w:right="2739" w:firstLine="527"/>
        <w:spacing w:after="0" w:line="268" w:lineRule="auto"/>
        <w:rPr>
          <w:sz w:val="20"/>
          <w:szCs w:val="20"/>
          <w:color w:val="auto"/>
        </w:rPr>
      </w:pPr>
      <w:r>
        <w:rPr>
          <w:rFonts w:ascii="Courier New" w:cs="Courier New" w:eastAsia="Courier New" w:hAnsi="Courier New"/>
          <w:sz w:val="16"/>
          <w:szCs w:val="16"/>
          <w:color w:val="auto"/>
        </w:rPr>
        <w:t>ECM denotes electronic countermeasures equipment manufactured by the ESID - Rolling Meadows Site. The largest program in this business area is the AN/ALQ-135, which is an internally mounted radar jammer deployed on F-15 fighter aircraft as part of that aircraft's Tactical Electronic Warfare System. The AN/ALQ-162 Shadowbox is a jammer built specifically to counter continuous wave radars. The AN/ALQ-162 has been installed on the AV-8B and certain foreign F/A-18 aircraft. It is also being deployed on U.S. Army helicopters and special mission aircraft and it has been sold to the air forces of three other nations.</w:t>
      </w:r>
    </w:p>
    <w:p>
      <w:pPr>
        <w:spacing w:after="0" w:line="2"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ESID also produces the E-8 Joint Surveillance Target Attack Radar System (Joint STARS). Joint STARS detects, locates, classifies, tracks and targets potentially hostile ground movement in all weather. It is designed to operate around the clock, in constant communication through secure data links with air force command posts, army mobile ground stations or centers of military analysis far from the point of conflict. The Joint STARS platform is a remanufactured Boeing 707-300 airframe. The 707 is remanufactured at Northrop Grumman's Lake Charles, Louisiana site. Final installation of electronics and testing are performed at the ESID - Integration and Test Facility in Melbourne, Florida.</w:t>
      </w:r>
    </w:p>
    <w:p>
      <w:pPr>
        <w:spacing w:after="0" w:line="13"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ESID-Hawthorne Site, as the prime contractor to the U.S. Army, is developing a "brilliant" anti-armor submunition, designated as BAT, with production scheduled to commence in 1998. BAT is a three foot long, 44 pound, wide-area-attack submunition that will be used to disable and destroy armored vehicles and trucks. BATs are meant to be carried and dispensed by a larger missile. BATs are designed to be ejected over an armored vehicle column or attacking formation. Each BAT has an infrared sensor that can home in on the heat generated by a vehicle's engine, and an acoustic sensor that can home in on the noise created by the tank or truck's engine.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3359" w:firstLine="527"/>
        <w:spacing w:after="0" w:line="279" w:lineRule="auto"/>
        <w:rPr>
          <w:sz w:val="20"/>
          <w:szCs w:val="20"/>
          <w:color w:val="auto"/>
        </w:rPr>
      </w:pPr>
      <w:r>
        <w:rPr>
          <w:rFonts w:ascii="Courier New" w:cs="Courier New" w:eastAsia="Courier New" w:hAnsi="Courier New"/>
          <w:sz w:val="16"/>
          <w:szCs w:val="16"/>
          <w:color w:val="auto"/>
        </w:rPr>
        <w:t>Northrop Grumman's Data Systems and Services Division (DSSD) designs, develops, operates and supports computer systems for scientific and management information. Services provided include</w:t>
      </w:r>
    </w:p>
    <w:p>
      <w:pPr>
        <w:sectPr>
          <w:pgSz w:w="11900" w:h="16838" w:orient="portrait"/>
          <w:cols w:equalWidth="0" w:num="1">
            <w:col w:w="10219"/>
          </w:cols>
          <w:pgMar w:left="240" w:top="142"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7380" w:type="dxa"/>
            <w:vAlign w:val="bottom"/>
            <w:gridSpan w:val="5"/>
          </w:tcPr>
          <w:p>
            <w:pPr>
              <w:spacing w:after="0"/>
              <w:rPr>
                <w:sz w:val="20"/>
                <w:szCs w:val="20"/>
                <w:color w:val="auto"/>
              </w:rPr>
            </w:pPr>
            <w:r>
              <w:rPr>
                <w:rFonts w:ascii="Courier New" w:cs="Courier New" w:eastAsia="Courier New" w:hAnsi="Courier New"/>
                <w:sz w:val="18"/>
                <w:szCs w:val="18"/>
                <w:color w:val="auto"/>
              </w:rPr>
              <w:t>systems integration, systems service, information conversion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training for federal, state and local governments and private industry.</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3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DSSD also provides military base support functions and aircraft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maintenance at a number of U.S. Government facilities.</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4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Tables of contract acquisitions, sales and funded order backlog by</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3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major program follow and complement industry segment data.  B-2, F/A-</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18, Boeing Jetliners (the 747, 757, 767 and 777) and C-17</w:t>
            </w:r>
          </w:p>
        </w:tc>
        <w:tc>
          <w:tcPr>
            <w:tcW w:w="1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are currently</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3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the major programs of the military and commercial aircraft industry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segment. E-2C Hawkeye, ECM, E-8 Joint STARS and BAT are included in the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3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electronics and systems integration industry segment.  The DSSD is the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73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major component of the data systems and other services industry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segment. The Tri-Service Standoff Attack Missile (TSSAM),</w:t>
            </w:r>
          </w:p>
        </w:tc>
        <w:tc>
          <w:tcPr>
            <w:tcW w:w="1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the segment's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principal program, and aerial targets are included in the</w:t>
            </w:r>
          </w:p>
        </w:tc>
        <w:tc>
          <w:tcPr>
            <w:tcW w:w="1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MUVS industry segment.  The "all other" category includes</w:t>
            </w:r>
          </w:p>
        </w:tc>
        <w:tc>
          <w:tcPr>
            <w:tcW w:w="1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balance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of the company's numerous other contracts, classified and</w:t>
            </w:r>
          </w:p>
        </w:tc>
        <w:tc>
          <w:tcPr>
            <w:tcW w:w="1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unclassified.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10"/>
        </w:trPr>
        <w:tc>
          <w:tcPr>
            <w:tcW w:w="6540" w:type="dxa"/>
            <w:vAlign w:val="bottom"/>
            <w:gridSpan w:val="4"/>
          </w:tcPr>
          <w:p>
            <w:pPr>
              <w:spacing w:after="0"/>
              <w:rPr>
                <w:sz w:val="20"/>
                <w:szCs w:val="20"/>
                <w:color w:val="auto"/>
              </w:rPr>
            </w:pPr>
            <w:r>
              <w:rPr>
                <w:rFonts w:ascii="Courier New" w:cs="Courier New" w:eastAsia="Courier New" w:hAnsi="Courier New"/>
                <w:sz w:val="18"/>
                <w:szCs w:val="18"/>
                <w:color w:val="auto"/>
              </w:rPr>
              <w:t>Results Of Operations By Industry Segment And Major Customer</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08"/>
        </w:trPr>
        <w:tc>
          <w:tcPr>
            <w:tcW w:w="4860" w:type="dxa"/>
            <w:vAlign w:val="bottom"/>
          </w:tcPr>
          <w:p>
            <w:pPr>
              <w:ind w:left="320"/>
              <w:spacing w:after="0"/>
              <w:rPr>
                <w:sz w:val="20"/>
                <w:szCs w:val="20"/>
                <w:color w:val="auto"/>
              </w:rPr>
            </w:pPr>
            <w:r>
              <w:rPr>
                <w:rFonts w:ascii="Courier New" w:cs="Courier New" w:eastAsia="Courier New" w:hAnsi="Courier New"/>
                <w:sz w:val="18"/>
                <w:szCs w:val="18"/>
                <w:color w:val="auto"/>
              </w:rPr>
              <w:t>Year ended December 31, $ in millions</w:t>
            </w:r>
          </w:p>
        </w:tc>
        <w:tc>
          <w:tcPr>
            <w:tcW w:w="62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1992</w:t>
            </w:r>
          </w:p>
        </w:tc>
        <w:tc>
          <w:tcPr>
            <w:tcW w:w="30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1991</w:t>
            </w:r>
          </w:p>
        </w:tc>
        <w:tc>
          <w:tcPr>
            <w:tcW w:w="32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Military and Commercial Aircraft</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United States Government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3,896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3,570</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3,864</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3,728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3,629</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customers</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687</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560</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553</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498</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Intersegment sales</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4,640</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4,115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4,426</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4,282</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4,133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Electronics and Systems Integration</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United States Government</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1,135</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677</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738</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760</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customers</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306</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Intersegment sales</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income(deductions)</w:t>
            </w:r>
          </w:p>
        </w:tc>
        <w:tc>
          <w:tcPr>
            <w:tcW w:w="6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1,546</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807</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863</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Data Systems and Other Services</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United States Government</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309</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customers</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Intersegment sales</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deductions</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Missiles and Unmanned Vehicle Systems</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United States Government</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329</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541</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423</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customers</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353</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563</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Intersegment eliminations</w:t>
            </w:r>
          </w:p>
        </w:tc>
        <w:tc>
          <w:tcPr>
            <w:tcW w:w="6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w:t>
            </w:r>
          </w:p>
        </w:tc>
        <w:tc>
          <w:tcPr>
            <w:tcW w:w="4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6,717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5,066</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5,552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5,684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5,498</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Operating Profit(Loss)</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Military and Commercial Aircraft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387</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262</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Electronics and Systems Integration</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Data Systems and Other Services</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Missiles and Unmanned Vehicle Systems</w:t>
            </w:r>
          </w:p>
        </w:tc>
        <w:tc>
          <w:tcPr>
            <w:tcW w:w="6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4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operating profit</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581</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288</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475</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347</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operating profit to operating margin:</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(income)deductions included above</w:t>
            </w:r>
          </w:p>
        </w:tc>
        <w:tc>
          <w:tcPr>
            <w:tcW w:w="6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4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 and local income taxes</w:t>
            </w:r>
          </w:p>
        </w:tc>
        <w:tc>
          <w:tcPr>
            <w:tcW w:w="6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4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corporate expenses</w:t>
            </w:r>
          </w:p>
        </w:tc>
        <w:tc>
          <w:tcPr>
            <w:tcW w:w="6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c>
          <w:tcPr>
            <w:tcW w:w="4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Retiree benefit cost included in</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contract costs</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Retiree benefit income(cost)</w:t>
            </w:r>
          </w:p>
        </w:tc>
        <w:tc>
          <w:tcPr>
            <w:tcW w:w="6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Special termination benefits</w:t>
            </w:r>
          </w:p>
        </w:tc>
        <w:tc>
          <w:tcPr>
            <w:tcW w:w="6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margin</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193</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293</w:t>
            </w:r>
          </w:p>
        </w:tc>
      </w:tr>
      <w:tr>
        <w:trPr>
          <w:trHeight w:val="810"/>
        </w:trPr>
        <w:tc>
          <w:tcPr>
            <w:tcW w:w="4860" w:type="dxa"/>
            <w:vAlign w:val="bottom"/>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10"/>
        </w:trPr>
        <w:tc>
          <w:tcPr>
            <w:tcW w:w="4860" w:type="dxa"/>
            <w:vAlign w:val="bottom"/>
          </w:tcPr>
          <w:p>
            <w:pPr>
              <w:spacing w:after="0"/>
              <w:rPr>
                <w:sz w:val="20"/>
                <w:szCs w:val="20"/>
                <w:color w:val="auto"/>
              </w:rPr>
            </w:pPr>
            <w:r>
              <w:rPr>
                <w:rFonts w:ascii="Courier New" w:cs="Courier New" w:eastAsia="Courier New" w:hAnsi="Courier New"/>
                <w:sz w:val="18"/>
                <w:szCs w:val="18"/>
                <w:color w:val="auto"/>
              </w:rPr>
              <w:t>Year ended December 31, $ in millions</w:t>
            </w:r>
          </w:p>
        </w:tc>
        <w:tc>
          <w:tcPr>
            <w:tcW w:w="62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1992</w:t>
            </w:r>
          </w:p>
        </w:tc>
        <w:tc>
          <w:tcPr>
            <w:tcW w:w="30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1991</w:t>
            </w:r>
          </w:p>
        </w:tc>
        <w:tc>
          <w:tcPr>
            <w:tcW w:w="32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Contract Acquisitions</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Military and Commercial Aircraft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8,122</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3,764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3,072</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6,297</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5,492</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Electronics and Systems Integration</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3,121</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568</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722</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612</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Data Systems and Other Services</w:t>
            </w:r>
          </w:p>
        </w:tc>
        <w:tc>
          <w:tcPr>
            <w:tcW w:w="62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w:t>
            </w:r>
          </w:p>
        </w:tc>
      </w:tr>
    </w:tbl>
    <w:p>
      <w:pPr>
        <w:sectPr>
          <w:pgSz w:w="11900" w:h="16838" w:orient="portrait"/>
          <w:cols w:equalWidth="0" w:num="1">
            <w:col w:w="10340"/>
          </w:cols>
          <w:pgMar w:left="240" w:top="136" w:right="131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rPr>
              <w:t>Missiles and Unmanned Vehicle Systems</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196</w:t>
            </w:r>
          </w:p>
        </w:tc>
        <w:tc>
          <w:tcPr>
            <w:tcW w:w="480" w:type="dxa"/>
            <w:vAlign w:val="bottom"/>
          </w:tcPr>
          <w:p>
            <w:pPr>
              <w:spacing w:after="0"/>
              <w:rPr>
                <w:sz w:val="17"/>
                <w:szCs w:val="17"/>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352</w:t>
            </w: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435</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acquisitions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11,965</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4,807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4,164</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Funded Order Backlog</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Military and Commercial Aircraft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9,189</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5,650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5,999</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Electronics and Systems Integration</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2,379</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699</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Data Systems and Other Services</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Missiles and Unmanned Vehicle Systems</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527</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449</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backlog</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12,173</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6,919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7,175</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Identifiable Assets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Military and Commercial Aircraft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2,974</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1,793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1,849</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Electronics and Systems Integration</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1,754</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325</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Data Systems and Other Services</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Missiles and Unmanned Vehicle Systems</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assets</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5,403</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2,397</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2,596</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corporate</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644</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542</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566</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assets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6,047</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2,939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3,162</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Capital Expenditures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Military and Commercial Aircraft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Electronics and Systems Integration</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Data Systems and Other Services</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Missiles and Unmanned Vehicle Systems</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corporate</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expenditures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Depreciation and Amortization</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Military and Commercial Aircraft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Electronics and Systems Integration</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Data Systems and Other Services</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Missiles and Unmanned Vehicle Systems</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Corporate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depreciation and amortization</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w:t>
            </w:r>
          </w:p>
        </w:tc>
      </w:tr>
      <w:tr>
        <w:trPr>
          <w:trHeight w:val="810"/>
        </w:trPr>
        <w:tc>
          <w:tcPr>
            <w:tcW w:w="5280" w:type="dxa"/>
            <w:vAlign w:val="bottom"/>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5"/>
        </w:trPr>
        <w:tc>
          <w:tcPr>
            <w:tcW w:w="7540" w:type="dxa"/>
            <w:vAlign w:val="bottom"/>
            <w:gridSpan w:val="6"/>
          </w:tcPr>
          <w:p>
            <w:pPr>
              <w:ind w:left="540"/>
              <w:spacing w:after="0"/>
              <w:rPr>
                <w:sz w:val="20"/>
                <w:szCs w:val="20"/>
                <w:color w:val="auto"/>
              </w:rPr>
            </w:pPr>
            <w:r>
              <w:rPr>
                <w:rFonts w:ascii="Courier New" w:cs="Courier New" w:eastAsia="Courier New" w:hAnsi="Courier New"/>
                <w:sz w:val="18"/>
                <w:szCs w:val="18"/>
                <w:color w:val="auto"/>
                <w:w w:val="99"/>
              </w:rPr>
              <w:t>Individual companies prosper in the competitive aerospace/defense</w:t>
            </w:r>
          </w:p>
        </w:tc>
        <w:tc>
          <w:tcPr>
            <w:tcW w:w="580" w:type="dxa"/>
            <w:vAlign w:val="bottom"/>
          </w:tcPr>
          <w:p>
            <w:pPr>
              <w:spacing w:after="0"/>
              <w:rPr>
                <w:sz w:val="24"/>
                <w:szCs w:val="24"/>
                <w:color w:val="auto"/>
              </w:rPr>
            </w:pPr>
          </w:p>
        </w:tc>
      </w:tr>
      <w:tr>
        <w:trPr>
          <w:trHeight w:val="203"/>
        </w:trPr>
        <w:tc>
          <w:tcPr>
            <w:tcW w:w="75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environment according to their ability to develop and market innovative</w:t>
            </w: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products. They must also have the ability to provide the people,</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facilities, equipment and financial capacity needed to deliver those</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5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products with maximum efficiency. It is necessary to maintain, as the</w:t>
            </w:r>
          </w:p>
        </w:tc>
        <w:tc>
          <w:tcPr>
            <w:tcW w:w="580" w:type="dxa"/>
            <w:vAlign w:val="bottom"/>
          </w:tcPr>
          <w:p>
            <w:pPr>
              <w:spacing w:after="0"/>
              <w:rPr>
                <w:sz w:val="17"/>
                <w:szCs w:val="17"/>
                <w:color w:val="auto"/>
              </w:rPr>
            </w:pPr>
          </w:p>
        </w:tc>
      </w:tr>
      <w:tr>
        <w:trPr>
          <w:trHeight w:val="203"/>
        </w:trPr>
        <w:tc>
          <w:tcPr>
            <w:tcW w:w="6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company has, sources for raw materials, fabricated parts,</w:t>
            </w:r>
          </w:p>
        </w:tc>
        <w:tc>
          <w:tcPr>
            <w:tcW w:w="1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electronic</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components and major subassemblies. In this manufacturing</w:t>
            </w:r>
          </w:p>
        </w:tc>
        <w:tc>
          <w:tcPr>
            <w:tcW w:w="1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and systems</w:t>
            </w: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integration environment, effective oversight of subcontractors and</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suppliers is as vital to success as managing internal operations.</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Northrop Grumman's operating policies are designed to enhance these</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capabilities.  The company also believes that it maintains good</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relations with its employees, a small number of whom are covered by</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collective bargaining agreements.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54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w w:val="97"/>
              </w:rPr>
              <w:t>U.S. Government programs in which Northrop Grumman either</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participates, or strives to participate, must compete with other</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5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programs for consideration during our nation's budget formulation and</w:t>
            </w: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appropriation processes. As a consequence of the end of the Cold War</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and pressure to reduce the federal budget deficit, the U.S. defense</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budget is not expected to increase substantially in the near term.</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Budget decisions made in this environment will have long-term</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consequences for the size and structure of Northrop Grumman and the</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5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entire defense industry.  An important factor in determining Northrop</w:t>
            </w: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Grumman's ability to successfully compete for future contracts will</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be</w:t>
            </w:r>
          </w:p>
        </w:tc>
        <w:tc>
          <w:tcPr>
            <w:tcW w:w="58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its cost structure vis-a-vis other bidders.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540" w:type="dxa"/>
            <w:vAlign w:val="bottom"/>
            <w:gridSpan w:val="6"/>
          </w:tcPr>
          <w:p>
            <w:pPr>
              <w:ind w:left="540"/>
              <w:spacing w:after="0" w:line="203" w:lineRule="exact"/>
              <w:rPr>
                <w:sz w:val="20"/>
                <w:szCs w:val="20"/>
                <w:color w:val="auto"/>
              </w:rPr>
            </w:pPr>
            <w:r>
              <w:rPr>
                <w:rFonts w:ascii="Courier New" w:cs="Courier New" w:eastAsia="Courier New" w:hAnsi="Courier New"/>
                <w:sz w:val="18"/>
                <w:szCs w:val="18"/>
                <w:color w:val="auto"/>
                <w:w w:val="99"/>
              </w:rPr>
              <w:t>Given these conditions, it is difficult to predict the amount and</w:t>
            </w: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rate of decline in defense outlays.  Although the ultimate size of</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future defense budgets remains uncertain, the defense needs of the</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nation are expected to provide a substantial research and</w:t>
            </w:r>
          </w:p>
        </w:tc>
        <w:tc>
          <w:tcPr>
            <w:tcW w:w="1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development</w:t>
            </w:r>
          </w:p>
        </w:tc>
        <w:tc>
          <w:tcPr>
            <w:tcW w:w="580" w:type="dxa"/>
            <w:vAlign w:val="bottom"/>
          </w:tcPr>
          <w:p>
            <w:pPr>
              <w:spacing w:after="0"/>
              <w:rPr>
                <w:sz w:val="17"/>
                <w:szCs w:val="17"/>
                <w:color w:val="auto"/>
              </w:rPr>
            </w:pPr>
          </w:p>
        </w:tc>
      </w:tr>
      <w:tr>
        <w:trPr>
          <w:trHeight w:val="203"/>
        </w:trPr>
        <w:tc>
          <w:tcPr>
            <w:tcW w:w="75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(R&amp;D) and procurement business level for the company to pursue in the</w:t>
            </w:r>
          </w:p>
        </w:tc>
        <w:tc>
          <w:tcPr>
            <w:tcW w:w="58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future.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540" w:type="dxa"/>
            <w:vAlign w:val="bottom"/>
            <w:gridSpan w:val="6"/>
          </w:tcPr>
          <w:p>
            <w:pPr>
              <w:ind w:left="540"/>
              <w:spacing w:after="0" w:line="203" w:lineRule="exact"/>
              <w:rPr>
                <w:sz w:val="20"/>
                <w:szCs w:val="20"/>
                <w:color w:val="auto"/>
              </w:rPr>
            </w:pPr>
            <w:r>
              <w:rPr>
                <w:rFonts w:ascii="Courier New" w:cs="Courier New" w:eastAsia="Courier New" w:hAnsi="Courier New"/>
                <w:sz w:val="18"/>
                <w:szCs w:val="18"/>
                <w:color w:val="auto"/>
                <w:w w:val="97"/>
              </w:rPr>
              <w:t>Northrop Grumman has historically concentrated much of its efforts</w:t>
            </w:r>
          </w:p>
        </w:tc>
        <w:tc>
          <w:tcPr>
            <w:tcW w:w="580" w:type="dxa"/>
            <w:vAlign w:val="bottom"/>
          </w:tcPr>
          <w:p>
            <w:pPr>
              <w:spacing w:after="0"/>
              <w:rPr>
                <w:sz w:val="17"/>
                <w:szCs w:val="17"/>
                <w:color w:val="auto"/>
              </w:rPr>
            </w:pPr>
          </w:p>
        </w:tc>
      </w:tr>
      <w:tr>
        <w:trPr>
          <w:trHeight w:val="203"/>
        </w:trPr>
        <w:tc>
          <w:tcPr>
            <w:tcW w:w="75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in such high technology areas as stealth, airborne surveillance, battle</w:t>
            </w: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management, precision weapons and systems integration.  Even though</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high priority has been assigned by the Department of Defense to our</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major programs, there remains the possibility that one or</w:t>
            </w:r>
          </w:p>
        </w:tc>
        <w:tc>
          <w:tcPr>
            <w:tcW w:w="1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more of them</w:t>
            </w:r>
          </w:p>
        </w:tc>
        <w:tc>
          <w:tcPr>
            <w:tcW w:w="58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may be reduced, stretched or terminated.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180" w:type="dxa"/>
            <w:vAlign w:val="bottom"/>
            <w:gridSpan w:val="5"/>
          </w:tcPr>
          <w:p>
            <w:pPr>
              <w:ind w:left="540"/>
              <w:spacing w:after="0" w:line="203" w:lineRule="exact"/>
              <w:rPr>
                <w:sz w:val="20"/>
                <w:szCs w:val="20"/>
                <w:color w:val="auto"/>
              </w:rPr>
            </w:pPr>
            <w:r>
              <w:rPr>
                <w:rFonts w:ascii="Courier New" w:cs="Courier New" w:eastAsia="Courier New" w:hAnsi="Courier New"/>
                <w:sz w:val="18"/>
                <w:szCs w:val="18"/>
                <w:color w:val="auto"/>
                <w:w w:val="98"/>
              </w:rPr>
              <w:t>In the commercial aircraft market, many airlines have recently</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deferred deliveries and purchases of new aircraft.</w:t>
            </w:r>
          </w:p>
        </w:tc>
        <w:tc>
          <w:tcPr>
            <w:tcW w:w="100" w:type="dxa"/>
            <w:vAlign w:val="bottom"/>
          </w:tcPr>
          <w:p>
            <w:pPr>
              <w:spacing w:after="0"/>
              <w:rPr>
                <w:sz w:val="17"/>
                <w:szCs w:val="17"/>
                <w:color w:val="auto"/>
              </w:rPr>
            </w:pPr>
          </w:p>
        </w:tc>
        <w:tc>
          <w:tcPr>
            <w:tcW w:w="18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This has caused</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The</w:t>
            </w:r>
          </w:p>
        </w:tc>
        <w:tc>
          <w:tcPr>
            <w:tcW w:w="580" w:type="dxa"/>
            <w:vAlign w:val="bottom"/>
          </w:tcPr>
          <w:p>
            <w:pPr>
              <w:spacing w:after="0"/>
              <w:rPr>
                <w:sz w:val="17"/>
                <w:szCs w:val="17"/>
                <w:color w:val="auto"/>
              </w:rPr>
            </w:pPr>
          </w:p>
        </w:tc>
      </w:tr>
      <w:tr>
        <w:trPr>
          <w:trHeight w:val="203"/>
        </w:trPr>
        <w:tc>
          <w:tcPr>
            <w:tcW w:w="71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Boeing Company to announce reductions in its scheduled production of</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5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various jetliners, including the 747.  As a result, Northrop Grumman's</w:t>
            </w:r>
          </w:p>
        </w:tc>
        <w:tc>
          <w:tcPr>
            <w:tcW w:w="580" w:type="dxa"/>
            <w:vAlign w:val="bottom"/>
          </w:tcPr>
          <w:p>
            <w:pPr>
              <w:spacing w:after="0"/>
              <w:rPr>
                <w:sz w:val="17"/>
                <w:szCs w:val="17"/>
                <w:color w:val="auto"/>
              </w:rPr>
            </w:pPr>
          </w:p>
        </w:tc>
      </w:tr>
    </w:tbl>
    <w:p>
      <w:pPr>
        <w:spacing w:after="0" w:line="4" w:lineRule="exact"/>
        <w:rPr>
          <w:sz w:val="20"/>
          <w:szCs w:val="20"/>
          <w:color w:val="auto"/>
        </w:rPr>
      </w:pPr>
    </w:p>
    <w:p>
      <w:pPr>
        <w:ind w:right="1060"/>
        <w:spacing w:after="0" w:line="290" w:lineRule="auto"/>
        <w:rPr>
          <w:sz w:val="20"/>
          <w:szCs w:val="20"/>
          <w:color w:val="auto"/>
        </w:rPr>
      </w:pPr>
      <w:r>
        <w:rPr>
          <w:rFonts w:ascii="Courier New" w:cs="Courier New" w:eastAsia="Courier New" w:hAnsi="Courier New"/>
          <w:sz w:val="16"/>
          <w:szCs w:val="16"/>
          <w:color w:val="auto"/>
        </w:rPr>
        <w:t>subcontract workload for the 747, the company's largest commercial program, was stretched out, beginning in late 1993, with deliveries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450</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386</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7,552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6,600</w:t>
            </w:r>
          </w:p>
        </w:tc>
      </w:tr>
      <w:tr>
        <w:trPr>
          <w:trHeight w:val="608"/>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7,351</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5,335</w:t>
            </w:r>
          </w:p>
        </w:tc>
      </w:tr>
      <w:tr>
        <w:trPr>
          <w:trHeight w:val="203"/>
        </w:trPr>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798</w:t>
            </w:r>
          </w:p>
        </w:tc>
        <w:tc>
          <w:tcPr>
            <w:tcW w:w="3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832</w:t>
            </w:r>
          </w:p>
        </w:tc>
      </w:tr>
      <w:tr>
        <w:trPr>
          <w:trHeight w:val="203"/>
        </w:trPr>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w:t>
            </w:r>
          </w:p>
        </w:tc>
        <w:tc>
          <w:tcPr>
            <w:tcW w:w="3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366</w:t>
            </w:r>
          </w:p>
        </w:tc>
        <w:tc>
          <w:tcPr>
            <w:tcW w:w="3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478</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8,561</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6,703</w:t>
            </w:r>
          </w:p>
        </w:tc>
      </w:tr>
      <w:tr>
        <w:trPr>
          <w:trHeight w:val="608"/>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1,913</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2,034</w:t>
            </w:r>
          </w:p>
        </w:tc>
      </w:tr>
      <w:tr>
        <w:trPr>
          <w:trHeight w:val="203"/>
        </w:trPr>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445</w:t>
            </w:r>
          </w:p>
        </w:tc>
        <w:tc>
          <w:tcPr>
            <w:tcW w:w="3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w:t>
            </w:r>
          </w:p>
        </w:tc>
      </w:tr>
    </w:tbl>
    <w:p>
      <w:pPr>
        <w:spacing w:after="0" w:line="4" w:lineRule="exact"/>
        <w:rPr>
          <w:sz w:val="20"/>
          <w:szCs w:val="20"/>
          <w:color w:val="auto"/>
        </w:rPr>
      </w:pPr>
    </w:p>
    <w:p>
      <w:pPr>
        <w:ind w:left="1580" w:hanging="1163"/>
        <w:spacing w:after="0"/>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w:t>
      </w:r>
    </w:p>
    <w:p>
      <w:pPr>
        <w:spacing w:after="0" w:line="21" w:lineRule="exact"/>
        <w:rPr>
          <w:rFonts w:ascii="Courier New" w:cs="Courier New" w:eastAsia="Courier New" w:hAnsi="Courier New"/>
          <w:sz w:val="16"/>
          <w:szCs w:val="16"/>
          <w:color w:val="auto"/>
        </w:rPr>
      </w:pPr>
    </w:p>
    <w:p>
      <w:pPr>
        <w:ind w:left="1480" w:hanging="1063"/>
        <w:spacing w:after="0"/>
        <w:tabs>
          <w:tab w:leader="none" w:pos="1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278</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2,747</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2,821</w:t>
            </w:r>
          </w:p>
        </w:tc>
      </w:tr>
      <w:tr>
        <w:trPr>
          <w:trHeight w:val="203"/>
        </w:trPr>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381</w:t>
            </w:r>
          </w:p>
        </w:tc>
        <w:tc>
          <w:tcPr>
            <w:tcW w:w="3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3,128</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3,094</w:t>
            </w:r>
          </w:p>
        </w:tc>
      </w:tr>
      <w:tr>
        <w:trPr>
          <w:trHeight w:val="608"/>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57</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62</w:t>
            </w:r>
          </w:p>
        </w:tc>
      </w:tr>
      <w:tr>
        <w:trPr>
          <w:trHeight w:val="203"/>
        </w:trPr>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w:t>
            </w:r>
          </w:p>
        </w:tc>
        <w:tc>
          <w:tcPr>
            <w:tcW w:w="3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3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3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3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73"/>
              </w:rPr>
              <w:t>$</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96</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125</w:t>
            </w:r>
          </w:p>
        </w:tc>
      </w:tr>
      <w:tr>
        <w:trPr>
          <w:trHeight w:val="203"/>
        </w:trPr>
        <w:tc>
          <w:tcPr>
            <w:tcW w:w="3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42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3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42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bl>
    <w:p>
      <w:pPr>
        <w:spacing w:after="0" w:line="4" w:lineRule="exact"/>
        <w:rPr>
          <w:sz w:val="20"/>
          <w:szCs w:val="20"/>
          <w:color w:val="auto"/>
        </w:rPr>
      </w:pPr>
    </w:p>
    <w:p>
      <w:pPr>
        <w:jc w:val="right"/>
        <w:ind w:firstLine="627"/>
        <w:spacing w:after="0" w:line="326" w:lineRule="auto"/>
        <w:tabs>
          <w:tab w:leader="none" w:pos="168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   171   $   187</w:t>
      </w:r>
    </w:p>
    <w:p>
      <w:pPr>
        <w:sectPr>
          <w:pgSz w:w="11900" w:h="16838" w:orient="portrait"/>
          <w:cols w:equalWidth="0" w:num="2">
            <w:col w:w="8120" w:space="320"/>
            <w:col w:w="1780"/>
          </w:cols>
          <w:pgMar w:left="240" w:top="136" w:right="1439" w:bottom="0" w:gutter="0" w:footer="0" w:header="0"/>
        </w:sectPr>
      </w:pPr>
    </w:p>
    <w:bookmarkStart w:id="9" w:name="page10"/>
    <w:bookmarkEnd w:id="9"/>
    <w:p>
      <w:pPr>
        <w:ind w:right="3039"/>
        <w:spacing w:after="0" w:line="237" w:lineRule="auto"/>
        <w:rPr>
          <w:sz w:val="20"/>
          <w:szCs w:val="20"/>
          <w:color w:val="auto"/>
        </w:rPr>
      </w:pPr>
      <w:r>
        <w:rPr>
          <w:rFonts w:ascii="Courier New" w:cs="Courier New" w:eastAsia="Courier New" w:hAnsi="Courier New"/>
          <w:sz w:val="18"/>
          <w:szCs w:val="18"/>
          <w:color w:val="auto"/>
        </w:rPr>
        <w:t>declining 42 percent in 1994, with a further 22 percent decline expected in 1995. Although business conditions in the commercial aircraft industry currently remain depressed, the company with participation on the various Boeing jetliners, Gulfstream and other business jet programs, is optimistic about the longer-term prospects for its commercial aircraft structures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739" w:firstLine="527"/>
        <w:spacing w:after="0" w:line="268" w:lineRule="auto"/>
        <w:rPr>
          <w:sz w:val="20"/>
          <w:szCs w:val="20"/>
          <w:color w:val="auto"/>
        </w:rPr>
      </w:pPr>
      <w:r>
        <w:rPr>
          <w:rFonts w:ascii="Courier New" w:cs="Courier New" w:eastAsia="Courier New" w:hAnsi="Courier New"/>
          <w:sz w:val="16"/>
          <w:szCs w:val="16"/>
          <w:color w:val="auto"/>
        </w:rPr>
        <w:t>Northrop Grumman pursues new business opportunities when justified by acceptable financial returns and technological risks. The company examines opportunities to acquire or invest in new businesses and technologies to strengthen its traditional business areas. Northrop Grumman also is exploring new directions for marketing and capitalizing on its technologies and skills by entering into joint ventures, partnerships or associations with other companies.</w:t>
      </w:r>
    </w:p>
    <w:p>
      <w:pPr>
        <w:spacing w:after="0" w:line="1" w:lineRule="exact"/>
        <w:rPr>
          <w:sz w:val="20"/>
          <w:szCs w:val="20"/>
          <w:color w:val="auto"/>
        </w:rPr>
      </w:pPr>
    </w:p>
    <w:p>
      <w:pPr>
        <w:ind w:right="2739" w:firstLine="527"/>
        <w:spacing w:after="0" w:line="238" w:lineRule="auto"/>
        <w:rPr>
          <w:sz w:val="20"/>
          <w:szCs w:val="20"/>
          <w:color w:val="auto"/>
        </w:rPr>
      </w:pPr>
      <w:r>
        <w:rPr>
          <w:rFonts w:ascii="Courier New" w:cs="Courier New" w:eastAsia="Courier New" w:hAnsi="Courier New"/>
          <w:sz w:val="18"/>
          <w:szCs w:val="18"/>
          <w:color w:val="auto"/>
        </w:rPr>
        <w:t>Northrop Grumman, as well as many other companies in the defense industry, suffered the effects of the Department of Defense's practice in the 1980s of structuring new, high-risk research and development contracts, such as TSSAM, as fixed-price or capped cost-reimbursement type contracts. Although Northrop Grumman has stopped accepting these types of contracts, it has experienced financial losses on TSSAM and other similar programs acquired under them in the past. The company received a termination for convenience notice on the TSSAM program in February 1995. In the event of termination for convenience contractors are normally protected by provisions covering reimbursement for all costs incurred subsequent to termination. The company does not expect that the TSSAM termination will have a material financial effect on the company's financial position.</w:t>
      </w:r>
    </w:p>
    <w:p>
      <w:pPr>
        <w:spacing w:after="0" w:line="5" w:lineRule="exact"/>
        <w:rPr>
          <w:sz w:val="20"/>
          <w:szCs w:val="20"/>
          <w:color w:val="auto"/>
        </w:rPr>
      </w:pPr>
    </w:p>
    <w:p>
      <w:pPr>
        <w:ind w:right="2739" w:firstLine="527"/>
        <w:spacing w:after="0" w:line="238" w:lineRule="auto"/>
        <w:rPr>
          <w:sz w:val="20"/>
          <w:szCs w:val="20"/>
          <w:color w:val="auto"/>
        </w:rPr>
      </w:pPr>
      <w:r>
        <w:rPr>
          <w:rFonts w:ascii="Courier New" w:cs="Courier New" w:eastAsia="Courier New" w:hAnsi="Courier New"/>
          <w:sz w:val="18"/>
          <w:szCs w:val="18"/>
          <w:color w:val="auto"/>
        </w:rPr>
        <w:t>Prime contracts with various agencies of the U.S. Government and subcontracts with other prime contractors are subject to a profusion of procurement regulations, with noncompliance found by any one agency possibly resulting in fines, penalties, debarment or suspension from receiving additional contracts with all agencies. Given the company's dependence on U. S. Government business, suspension or debarment could have a material adverse affect on the company's future. Moreover, these contracts may be terminated at the Government's convenience as was done with the TSSAM program. While Northrop Grumman conducts most of its business with the U.S. Government, principally the Department of Defense, commercial sales still represent a significant portion of total revenue.</w:t>
      </w:r>
    </w:p>
    <w:p>
      <w:pPr>
        <w:spacing w:after="0" w:line="4" w:lineRule="exact"/>
        <w:rPr>
          <w:sz w:val="20"/>
          <w:szCs w:val="20"/>
          <w:color w:val="auto"/>
        </w:rPr>
      </w:pPr>
    </w:p>
    <w:p>
      <w:pPr>
        <w:ind w:right="2739" w:firstLine="527"/>
        <w:spacing w:after="0" w:line="268" w:lineRule="auto"/>
        <w:rPr>
          <w:sz w:val="20"/>
          <w:szCs w:val="20"/>
          <w:color w:val="auto"/>
        </w:rPr>
      </w:pPr>
      <w:r>
        <w:rPr>
          <w:rFonts w:ascii="Courier New" w:cs="Courier New" w:eastAsia="Courier New" w:hAnsi="Courier New"/>
          <w:sz w:val="16"/>
          <w:szCs w:val="16"/>
          <w:color w:val="auto"/>
        </w:rPr>
        <w:t>Federal, state and local laws relating to the protection of the environment affect the company's manufacturing operations. The company has provided for the estimated cost to complete remediation where it is probable that the company will incur such costs in the future, including those for which it has been named a Potentially Responsible Party (PRP) by the Environmental Protection Agency or similarly designated by other environmental agencies. The company has been designated a PRP under federal Superfund laws at eight hazardous waste sites and under state Superfund laws at six sites. It is difficult to estimate the timing and ultimate amount of environmental cleanup costs to be incurred in the future due to the uncertainties regarding the extent of the required cleanup and the status of the law, regulations and their interpretations. Nonetheless, to assess the potential impact on the company's financial statements, management estimates the total reasonably possible remediation costs that could be incurred by the company. Such estimates take into consideration the professional judgment of the company's environmental engineers and, when necessary, consultation with outside environmental specialists. In most instances, only a range of reasonably possible costs can be estimated. The top end of the range is reflected as the total estimate of reasonably possible costs; however, in the determination of accruals the most probable amount is used when determinable and the minimum is used when no single amount is more probable. The company records accruals for environmental cleanup costs in the accounting period in which the company's responsibility is established and the costs can be reasonably estimated. Management estimates that at December 31, 1994, the reasonably possible range of future costs for environmental remediation, including Superfund sites, is $31 million to $53 million, of which $39 million has been accrued. The amount accrued has not been offset by potential recoveries from insurance carriers or other PRPs. Should other PRPs not pay their allocable share of remediation costs the company may have to incur costs in addition to those already estimated and accrued. In 1993 the company was awarded a judgment of $6.7 million against its insurance carrier with respect to costs associated with the ESID-Norwood operation Plant 2 remediation. This award is currently on appeal and is not reflected in the company's financial statements. The company is making the necessary investments to comply with environmental laws; however, the amounts, while not insignificant, are not considered material to the company's financial position or results of its operations.</w:t>
      </w:r>
    </w:p>
    <w:p>
      <w:pPr>
        <w:sectPr>
          <w:pgSz w:w="11900" w:h="16838" w:orient="portrait"/>
          <w:cols w:equalWidth="0" w:num="1">
            <w:col w:w="10219"/>
          </w:cols>
          <w:pgMar w:left="240" w:top="142" w:right="1440" w:bottom="337"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Measures of Volume</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8"/>
              </w:rPr>
              <w:t>Contract acquisitions tend to fluctuate and are determined by the size</w:t>
            </w:r>
          </w:p>
        </w:tc>
        <w:tc>
          <w:tcPr>
            <w:tcW w:w="540" w:type="dxa"/>
            <w:vAlign w:val="bottom"/>
          </w:tcPr>
          <w:p>
            <w:pPr>
              <w:spacing w:after="0"/>
              <w:rPr>
                <w:sz w:val="17"/>
                <w:szCs w:val="17"/>
                <w:color w:val="auto"/>
              </w:rPr>
            </w:pPr>
          </w:p>
        </w:tc>
      </w:tr>
      <w:tr>
        <w:trPr>
          <w:trHeight w:val="203"/>
        </w:trPr>
        <w:tc>
          <w:tcPr>
            <w:tcW w:w="3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and timing of new and add-on orders.</w:t>
            </w:r>
          </w:p>
        </w:tc>
        <w:tc>
          <w:tcPr>
            <w:tcW w:w="362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rPr>
              <w:t>The effects of multi-year orders</w:t>
            </w:r>
          </w:p>
        </w:tc>
        <w:tc>
          <w:tcPr>
            <w:tcW w:w="540" w:type="dxa"/>
            <w:vAlign w:val="bottom"/>
          </w:tcPr>
          <w:p>
            <w:pPr>
              <w:spacing w:after="0"/>
              <w:rPr>
                <w:sz w:val="17"/>
                <w:szCs w:val="17"/>
                <w:color w:val="auto"/>
              </w:rPr>
            </w:pPr>
          </w:p>
        </w:tc>
      </w:tr>
      <w:tr>
        <w:trPr>
          <w:trHeight w:val="203"/>
        </w:trPr>
        <w:tc>
          <w:tcPr>
            <w:tcW w:w="74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7"/>
              </w:rPr>
              <w:t>and/or funding can be seen in the highs and lows shown in the following</w:t>
            </w:r>
          </w:p>
        </w:tc>
        <w:tc>
          <w:tcPr>
            <w:tcW w:w="540" w:type="dxa"/>
            <w:vAlign w:val="bottom"/>
          </w:tcPr>
          <w:p>
            <w:pPr>
              <w:spacing w:after="0"/>
              <w:rPr>
                <w:sz w:val="17"/>
                <w:szCs w:val="17"/>
                <w:color w:val="auto"/>
              </w:rPr>
            </w:pPr>
          </w:p>
        </w:tc>
      </w:tr>
      <w:tr>
        <w:trPr>
          <w:trHeight w:val="203"/>
        </w:trPr>
        <w:tc>
          <w:tcPr>
            <w:tcW w:w="74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8"/>
              </w:rPr>
              <w:t>table.  The funded order backlog of Grumman and Vought on the date the</w:t>
            </w:r>
          </w:p>
        </w:tc>
        <w:tc>
          <w:tcPr>
            <w:tcW w:w="540" w:type="dxa"/>
            <w:vAlign w:val="bottom"/>
          </w:tcPr>
          <w:p>
            <w:pPr>
              <w:spacing w:after="0"/>
              <w:rPr>
                <w:sz w:val="17"/>
                <w:szCs w:val="17"/>
                <w:color w:val="auto"/>
              </w:rPr>
            </w:pPr>
          </w:p>
        </w:tc>
      </w:tr>
      <w:tr>
        <w:trPr>
          <w:trHeight w:val="203"/>
        </w:trPr>
        <w:tc>
          <w:tcPr>
            <w:tcW w:w="59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companies were acquired are reflected as acquisitions in</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1994.  The</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757, 767, 777 (included in Boeing Jetliners category), E-2, E-8 Joint</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STARS, and C-17 programs were acquired as part of Grumman and Vought.</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ind w:left="540"/>
              <w:spacing w:after="0" w:line="203" w:lineRule="exact"/>
              <w:rPr>
                <w:sz w:val="20"/>
                <w:szCs w:val="20"/>
                <w:color w:val="auto"/>
              </w:rPr>
            </w:pPr>
            <w:r>
              <w:rPr>
                <w:rFonts w:ascii="Courier New" w:cs="Courier New" w:eastAsia="Courier New" w:hAnsi="Courier New"/>
                <w:sz w:val="18"/>
                <w:szCs w:val="18"/>
                <w:color w:val="auto"/>
              </w:rPr>
              <w:t>B-2 acquisitions in 1994 include $2.4 billion of funding to</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complete the last five production aircraft, incremental funding for</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8"/>
              </w:rPr>
              <w:t>ongoing development work, spares and other customer support for the 20</w:t>
            </w:r>
          </w:p>
        </w:tc>
        <w:tc>
          <w:tcPr>
            <w:tcW w:w="540" w:type="dxa"/>
            <w:vAlign w:val="bottom"/>
          </w:tcPr>
          <w:p>
            <w:pPr>
              <w:spacing w:after="0"/>
              <w:rPr>
                <w:sz w:val="17"/>
                <w:szCs w:val="17"/>
                <w:color w:val="auto"/>
              </w:rPr>
            </w:pPr>
          </w:p>
        </w:tc>
      </w:tr>
      <w:tr>
        <w:trPr>
          <w:trHeight w:val="203"/>
        </w:trPr>
        <w:tc>
          <w:tcPr>
            <w:tcW w:w="74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8"/>
              </w:rPr>
              <w:t>operational aircraft program.  The company still stands to gain future</w:t>
            </w: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new post-production business, such as airframe depot maintenance,</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repair of components, operational software changes and product</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improvement modifications.  The debate over the future of the B-2,</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which is built in the nation's only active bomber producing facility,</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is now taking place.  Without future production orders the nation's</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7"/>
              </w:rPr>
              <w:t>multi-billion dollar investment in this capability will be disassembled</w:t>
            </w:r>
          </w:p>
        </w:tc>
        <w:tc>
          <w:tcPr>
            <w:tcW w:w="540" w:type="dxa"/>
            <w:vAlign w:val="bottom"/>
          </w:tcPr>
          <w:p>
            <w:pPr>
              <w:spacing w:after="0"/>
              <w:rPr>
                <w:sz w:val="17"/>
                <w:szCs w:val="17"/>
                <w:color w:val="auto"/>
              </w:rPr>
            </w:pPr>
          </w:p>
        </w:tc>
      </w:tr>
      <w:tr>
        <w:trPr>
          <w:trHeight w:val="203"/>
        </w:trPr>
        <w:tc>
          <w:tcPr>
            <w:tcW w:w="59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and become retrievable only at a large additional cost.</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Contract Acquisitions</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 in millions</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1993</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1991</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B-2</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$ 3,646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$ 2,632</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2,235</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4,794</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3,749</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F/A-18C/D</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564</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F/A-18E/F</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743</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Boeing Jetliners</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1,177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870</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E-2</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1,136</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ECM</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445</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431</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E-8 Joint STARS</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1,151</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Data Systems and Other Services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TSSAM</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369</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C-17</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BAT</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2,867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349</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w:t>
            </w:r>
          </w:p>
        </w:tc>
      </w:tr>
      <w:tr>
        <w:trPr>
          <w:trHeight w:val="203"/>
        </w:trPr>
        <w:tc>
          <w:tcPr>
            <w:tcW w:w="1740" w:type="dxa"/>
            <w:vAlign w:val="bottom"/>
          </w:tcPr>
          <w:p>
            <w:pPr>
              <w:spacing w:after="0"/>
              <w:rPr>
                <w:sz w:val="17"/>
                <w:szCs w:val="17"/>
                <w:color w:val="auto"/>
              </w:rPr>
            </w:pP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$11,965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$ 4,807</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4,164</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7,552</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6,600</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6440" w:type="dxa"/>
            <w:vAlign w:val="bottom"/>
            <w:gridSpan w:val="7"/>
          </w:tcPr>
          <w:p>
            <w:pPr>
              <w:ind w:left="540"/>
              <w:spacing w:after="0"/>
              <w:rPr>
                <w:sz w:val="20"/>
                <w:szCs w:val="20"/>
                <w:color w:val="auto"/>
              </w:rPr>
            </w:pPr>
            <w:r>
              <w:rPr>
                <w:rFonts w:ascii="Courier New" w:cs="Courier New" w:eastAsia="Courier New" w:hAnsi="Courier New"/>
                <w:sz w:val="18"/>
                <w:szCs w:val="18"/>
                <w:color w:val="auto"/>
                <w:w w:val="97"/>
              </w:rPr>
              <w:t>In 1994, $250 million of funding was received toward the</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development of the next generation F/A-18, the E/F version.  This</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8"/>
              </w:rPr>
              <w:t>development program alone has an estimated sales value of $1.5 billion</w:t>
            </w:r>
          </w:p>
        </w:tc>
        <w:tc>
          <w:tcPr>
            <w:tcW w:w="540" w:type="dxa"/>
            <w:vAlign w:val="bottom"/>
          </w:tcPr>
          <w:p>
            <w:pPr>
              <w:spacing w:after="0"/>
              <w:rPr>
                <w:sz w:val="17"/>
                <w:szCs w:val="17"/>
                <w:color w:val="auto"/>
              </w:rPr>
            </w:pPr>
          </w:p>
        </w:tc>
      </w:tr>
      <w:tr>
        <w:trPr>
          <w:trHeight w:val="203"/>
        </w:trPr>
        <w:tc>
          <w:tcPr>
            <w:tcW w:w="74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8"/>
              </w:rPr>
              <w:t>to Northrop Grumman.  Acquisitions in 1994 and 1993 included long-lead</w:t>
            </w:r>
          </w:p>
        </w:tc>
        <w:tc>
          <w:tcPr>
            <w:tcW w:w="5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funding received</w:t>
            </w:r>
          </w:p>
        </w:tc>
        <w:tc>
          <w:tcPr>
            <w:tcW w:w="5540" w:type="dxa"/>
            <w:vAlign w:val="bottom"/>
            <w:gridSpan w:val="7"/>
          </w:tcPr>
          <w:p>
            <w:pPr>
              <w:ind w:left="60"/>
              <w:spacing w:after="0" w:line="203" w:lineRule="exact"/>
              <w:rPr>
                <w:sz w:val="20"/>
                <w:szCs w:val="20"/>
                <w:color w:val="auto"/>
              </w:rPr>
            </w:pPr>
            <w:r>
              <w:rPr>
                <w:rFonts w:ascii="Courier New" w:cs="Courier New" w:eastAsia="Courier New" w:hAnsi="Courier New"/>
                <w:sz w:val="18"/>
                <w:szCs w:val="18"/>
                <w:color w:val="auto"/>
                <w:w w:val="99"/>
              </w:rPr>
              <w:t>from the McDonnell Douglas Corporation for new F/A-</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18C/D shipsets.</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In 1992, orders for</w:t>
            </w:r>
          </w:p>
        </w:tc>
        <w:tc>
          <w:tcPr>
            <w:tcW w:w="3420" w:type="dxa"/>
            <w:vAlign w:val="bottom"/>
            <w:gridSpan w:val="5"/>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88 F/A-18C/D shipsets were</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received.  In 1991, 70 F/A-18C/D shipsets were ordered, compared with</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84 in 1990.</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ind w:left="320"/>
              <w:spacing w:after="0" w:line="203" w:lineRule="exact"/>
              <w:rPr>
                <w:sz w:val="20"/>
                <w:szCs w:val="20"/>
                <w:color w:val="auto"/>
              </w:rPr>
            </w:pPr>
            <w:r>
              <w:rPr>
                <w:rFonts w:ascii="Courier New" w:cs="Courier New" w:eastAsia="Courier New" w:hAnsi="Courier New"/>
                <w:sz w:val="18"/>
                <w:szCs w:val="18"/>
                <w:color w:val="auto"/>
                <w:w w:val="97"/>
              </w:rPr>
              <w:t>The Boeing Company ordered one hundred 747 shipsets in each of the</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years 1991 and 1990.  In 1993, additional contract value was received</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for, among other things, extending the delivery schedule of those</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shipsets into 1996.</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ind w:left="540"/>
              <w:spacing w:after="0" w:line="203" w:lineRule="exact"/>
              <w:rPr>
                <w:sz w:val="20"/>
                <w:szCs w:val="20"/>
                <w:color w:val="auto"/>
              </w:rPr>
            </w:pPr>
            <w:r>
              <w:rPr>
                <w:rFonts w:ascii="Courier New" w:cs="Courier New" w:eastAsia="Courier New" w:hAnsi="Courier New"/>
                <w:sz w:val="18"/>
                <w:szCs w:val="18"/>
                <w:color w:val="auto"/>
              </w:rPr>
              <w:t>The balance of Grumman and Vought funded order backlog at the</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8"/>
              </w:rPr>
              <w:t>dates of acquisition, for those programs not listed in the table, is</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included in the "all other" category and accounts for the major</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increase over 1993 and prior years.</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8"/>
          </w:tcPr>
          <w:p>
            <w:pPr>
              <w:ind w:left="540"/>
              <w:spacing w:after="0" w:line="203" w:lineRule="exact"/>
              <w:rPr>
                <w:sz w:val="20"/>
                <w:szCs w:val="20"/>
                <w:color w:val="auto"/>
              </w:rPr>
            </w:pPr>
            <w:r>
              <w:rPr>
                <w:rFonts w:ascii="Courier New" w:cs="Courier New" w:eastAsia="Courier New" w:hAnsi="Courier New"/>
                <w:sz w:val="18"/>
                <w:szCs w:val="18"/>
                <w:color w:val="auto"/>
              </w:rPr>
              <w:t>Year-to-year sales vary less than contract acquisitions and</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7"/>
              </w:rPr>
              <w:t>reflect performance under new and ongoing contracts.   The 1994 results</w:t>
            </w: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of operations include Grumman and Vought since the acquisitions in</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April and August 1994, respectively.</w:t>
            </w:r>
          </w:p>
        </w:tc>
        <w:tc>
          <w:tcPr>
            <w:tcW w:w="362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rPr>
              <w:t>Comparative results for 1993 and</w:t>
            </w:r>
          </w:p>
        </w:tc>
        <w:tc>
          <w:tcPr>
            <w:tcW w:w="540" w:type="dxa"/>
            <w:vAlign w:val="bottom"/>
          </w:tcPr>
          <w:p>
            <w:pPr>
              <w:spacing w:after="0"/>
              <w:rPr>
                <w:sz w:val="17"/>
                <w:szCs w:val="17"/>
                <w:color w:val="auto"/>
              </w:rPr>
            </w:pP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prior do not include Grumman and Vought data.</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9"/>
          </w:tcPr>
          <w:p>
            <w:pPr>
              <w:ind w:left="540"/>
              <w:spacing w:after="0" w:line="203" w:lineRule="exact"/>
              <w:rPr>
                <w:sz w:val="20"/>
                <w:szCs w:val="20"/>
                <w:color w:val="auto"/>
              </w:rPr>
            </w:pPr>
            <w:r>
              <w:rPr>
                <w:rFonts w:ascii="Courier New" w:cs="Courier New" w:eastAsia="Courier New" w:hAnsi="Courier New"/>
                <w:sz w:val="18"/>
                <w:szCs w:val="18"/>
                <w:color w:val="auto"/>
                <w:w w:val="98"/>
              </w:rPr>
              <w:t>Sales for 1994 were the highest in the company's history and were</w:t>
            </w:r>
          </w:p>
        </w:tc>
        <w:tc>
          <w:tcPr>
            <w:tcW w:w="540" w:type="dxa"/>
            <w:vAlign w:val="bottom"/>
          </w:tcPr>
          <w:p>
            <w:pPr>
              <w:spacing w:after="0"/>
              <w:rPr>
                <w:sz w:val="17"/>
                <w:szCs w:val="17"/>
                <w:color w:val="auto"/>
              </w:rPr>
            </w:pPr>
          </w:p>
        </w:tc>
      </w:tr>
      <w:tr>
        <w:trPr>
          <w:trHeight w:val="203"/>
        </w:trPr>
        <w:tc>
          <w:tcPr>
            <w:tcW w:w="72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33 percent higher than in 1993.  Without the Grumman and Vought</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8"/>
              </w:rPr>
              <w:t>acquisitions sales would have declined 10 percent from the 1993 level.</w:t>
            </w:r>
          </w:p>
        </w:tc>
        <w:tc>
          <w:tcPr>
            <w:tcW w:w="5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 in millions</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1993</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1991</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B-2</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$2,392</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$2,881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3,212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3,100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2,744</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F/A-18C/D</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362</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492</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562</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F/A-18E/F</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279</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Boeing Jetliners</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531</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540</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E-2</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ECM</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378</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415</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E-8 Joint STARS</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345</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Data Systems and Other Services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TSSAM</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179</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390</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C-17</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BAT</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w:t>
            </w:r>
          </w:p>
        </w:tc>
        <w:tc>
          <w:tcPr>
            <w:tcW w:w="1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1,084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280</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511</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726</w:t>
            </w:r>
          </w:p>
        </w:tc>
      </w:tr>
      <w:tr>
        <w:trPr>
          <w:trHeight w:val="203"/>
        </w:trPr>
        <w:tc>
          <w:tcPr>
            <w:tcW w:w="1740" w:type="dxa"/>
            <w:vAlign w:val="bottom"/>
          </w:tcPr>
          <w:p>
            <w:pPr>
              <w:spacing w:after="0"/>
              <w:rPr>
                <w:sz w:val="17"/>
                <w:szCs w:val="17"/>
                <w:color w:val="auto"/>
              </w:rPr>
            </w:pP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$6,711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$5,063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5,550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5,694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5,490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ectPr>
          <w:pgSz w:w="11900" w:h="16838" w:orient="portrait"/>
          <w:cols w:equalWidth="0" w:num="1">
            <w:col w:w="10219"/>
          </w:cols>
          <w:pgMar w:left="240" w:top="339"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3860" w:type="dxa"/>
            <w:vAlign w:val="bottom"/>
            <w:gridSpan w:val="3"/>
          </w:tcPr>
          <w:p>
            <w:pPr>
              <w:ind w:left="540"/>
              <w:spacing w:after="0"/>
              <w:rPr>
                <w:sz w:val="20"/>
                <w:szCs w:val="20"/>
                <w:color w:val="auto"/>
              </w:rPr>
            </w:pPr>
            <w:r>
              <w:rPr>
                <w:rFonts w:ascii="Courier New" w:cs="Courier New" w:eastAsia="Courier New" w:hAnsi="Courier New"/>
                <w:sz w:val="18"/>
                <w:szCs w:val="18"/>
                <w:color w:val="auto"/>
                <w:w w:val="98"/>
              </w:rPr>
              <w:t>The decreasing trend in the B-2</w:t>
            </w:r>
          </w:p>
        </w:tc>
        <w:tc>
          <w:tcPr>
            <w:tcW w:w="3620" w:type="dxa"/>
            <w:vAlign w:val="bottom"/>
            <w:gridSpan w:val="7"/>
          </w:tcPr>
          <w:p>
            <w:pPr>
              <w:jc w:val="right"/>
              <w:spacing w:after="0"/>
              <w:rPr>
                <w:sz w:val="20"/>
                <w:szCs w:val="20"/>
                <w:color w:val="auto"/>
              </w:rPr>
            </w:pPr>
            <w:r>
              <w:rPr>
                <w:rFonts w:ascii="Courier New" w:cs="Courier New" w:eastAsia="Courier New" w:hAnsi="Courier New"/>
                <w:sz w:val="18"/>
                <w:szCs w:val="18"/>
                <w:color w:val="auto"/>
                <w:w w:val="98"/>
              </w:rPr>
              <w:t>revenues from both engineering and</w:t>
            </w:r>
          </w:p>
        </w:tc>
        <w:tc>
          <w:tcPr>
            <w:tcW w:w="540" w:type="dxa"/>
            <w:vAlign w:val="bottom"/>
          </w:tcPr>
          <w:p>
            <w:pPr>
              <w:spacing w:after="0"/>
              <w:rPr>
                <w:sz w:val="17"/>
                <w:szCs w:val="17"/>
                <w:color w:val="auto"/>
              </w:rPr>
            </w:pPr>
          </w:p>
        </w:tc>
      </w:tr>
      <w:tr>
        <w:trPr>
          <w:trHeight w:val="203"/>
        </w:trPr>
        <w:tc>
          <w:tcPr>
            <w:tcW w:w="7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8"/>
              </w:rPr>
              <w:t>manufacturing development (EMD) and production work continued in 1994.</w:t>
            </w: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The level of EMD effort, included in amounts reported as customer-</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8"/>
              </w:rPr>
              <w:t>sponsored R&amp;D, constituted 26 percent of the total B-2 revenue, down</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8"/>
              </w:rPr>
              <w:t>from 28 percent in 1993 and 34 percent in 1992.  Current planning data</w:t>
            </w:r>
          </w:p>
        </w:tc>
        <w:tc>
          <w:tcPr>
            <w:tcW w:w="540" w:type="dxa"/>
            <w:vAlign w:val="bottom"/>
          </w:tcPr>
          <w:p>
            <w:pPr>
              <w:spacing w:after="0"/>
              <w:rPr>
                <w:sz w:val="17"/>
                <w:szCs w:val="17"/>
                <w:color w:val="auto"/>
              </w:rPr>
            </w:pPr>
          </w:p>
        </w:tc>
      </w:tr>
      <w:tr>
        <w:trPr>
          <w:trHeight w:val="203"/>
        </w:trPr>
        <w:tc>
          <w:tcPr>
            <w:tcW w:w="7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8"/>
              </w:rPr>
              <w:t>indicate that the level of overall B-2 revenue will decline roughly 20</w:t>
            </w:r>
          </w:p>
        </w:tc>
        <w:tc>
          <w:tcPr>
            <w:tcW w:w="540" w:type="dxa"/>
            <w:vAlign w:val="bottom"/>
          </w:tcPr>
          <w:p>
            <w:pPr>
              <w:spacing w:after="0"/>
              <w:rPr>
                <w:sz w:val="17"/>
                <w:szCs w:val="17"/>
                <w:color w:val="auto"/>
              </w:rPr>
            </w:pPr>
          </w:p>
        </w:tc>
      </w:tr>
      <w:tr>
        <w:trPr>
          <w:trHeight w:val="203"/>
        </w:trPr>
        <w:tc>
          <w:tcPr>
            <w:tcW w:w="5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percent per year for the remainder of the decade.</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10"/>
          </w:tcPr>
          <w:p>
            <w:pPr>
              <w:ind w:left="540"/>
              <w:spacing w:after="0" w:line="203" w:lineRule="exact"/>
              <w:rPr>
                <w:sz w:val="20"/>
                <w:szCs w:val="20"/>
                <w:color w:val="auto"/>
              </w:rPr>
            </w:pPr>
            <w:r>
              <w:rPr>
                <w:rFonts w:ascii="Courier New" w:cs="Courier New" w:eastAsia="Courier New" w:hAnsi="Courier New"/>
                <w:sz w:val="18"/>
                <w:szCs w:val="18"/>
                <w:color w:val="auto"/>
                <w:w w:val="98"/>
              </w:rPr>
              <w:t>Sales declined again in 1994 under the F/A-18C/D program with the</w:t>
            </w:r>
          </w:p>
        </w:tc>
        <w:tc>
          <w:tcPr>
            <w:tcW w:w="540" w:type="dxa"/>
            <w:vAlign w:val="bottom"/>
          </w:tcPr>
          <w:p>
            <w:pPr>
              <w:spacing w:after="0"/>
              <w:rPr>
                <w:sz w:val="17"/>
                <w:szCs w:val="17"/>
                <w:color w:val="auto"/>
              </w:rPr>
            </w:pPr>
          </w:p>
        </w:tc>
      </w:tr>
      <w:tr>
        <w:trPr>
          <w:trHeight w:val="203"/>
        </w:trPr>
        <w:tc>
          <w:tcPr>
            <w:tcW w:w="7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8"/>
              </w:rPr>
              <w:t>delivery of 42 shipsets, down from the 52 delivered in 1993.  In 1992,</w:t>
            </w:r>
          </w:p>
        </w:tc>
        <w:tc>
          <w:tcPr>
            <w:tcW w:w="540" w:type="dxa"/>
            <w:vAlign w:val="bottom"/>
          </w:tcPr>
          <w:p>
            <w:pPr>
              <w:spacing w:after="0"/>
              <w:rPr>
                <w:sz w:val="17"/>
                <w:szCs w:val="17"/>
                <w:color w:val="auto"/>
              </w:rPr>
            </w:pPr>
          </w:p>
        </w:tc>
      </w:tr>
      <w:tr>
        <w:trPr>
          <w:trHeight w:val="203"/>
        </w:trPr>
        <w:tc>
          <w:tcPr>
            <w:tcW w:w="7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8"/>
              </w:rPr>
              <w:t>the company delivered 75 shipsets, compared with 80 in 1991, and 94 in</w:t>
            </w: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8"/>
              </w:rPr>
              <w:t>1990.  In 1995 and 1996, the company plans to deliver 60 and 68 F/A-</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7"/>
              </w:rPr>
              <w:t>18C/D shipsets respectively.  F/A-18E/F revenue is expected to exceed</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$400 million again in 1995 with the delivery of the first shipset</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8"/>
              </w:rPr>
              <w:t>scheduled for the second quarter.  A total of 7 F/A-18E/F shipsets are</w:t>
            </w:r>
          </w:p>
        </w:tc>
        <w:tc>
          <w:tcPr>
            <w:tcW w:w="540" w:type="dxa"/>
            <w:vAlign w:val="bottom"/>
          </w:tcPr>
          <w:p>
            <w:pPr>
              <w:spacing w:after="0"/>
              <w:rPr>
                <w:sz w:val="17"/>
                <w:szCs w:val="17"/>
                <w:color w:val="auto"/>
              </w:rPr>
            </w:pPr>
          </w:p>
        </w:tc>
      </w:tr>
      <w:tr>
        <w:trPr>
          <w:trHeight w:val="203"/>
        </w:trPr>
        <w:tc>
          <w:tcPr>
            <w:tcW w:w="606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planned for delivery in 1995 under the EMD contract.</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10"/>
          </w:tcPr>
          <w:p>
            <w:pPr>
              <w:ind w:left="540"/>
              <w:spacing w:after="0" w:line="203" w:lineRule="exact"/>
              <w:rPr>
                <w:sz w:val="20"/>
                <w:szCs w:val="20"/>
                <w:color w:val="auto"/>
              </w:rPr>
            </w:pPr>
            <w:r>
              <w:rPr>
                <w:rFonts w:ascii="Courier New" w:cs="Courier New" w:eastAsia="Courier New" w:hAnsi="Courier New"/>
                <w:sz w:val="18"/>
                <w:szCs w:val="18"/>
                <w:color w:val="auto"/>
                <w:w w:val="97"/>
              </w:rPr>
              <w:t>Deliveries of 747 center fuselages were 31 in 1994, 54 in 1993, 60</w:t>
            </w: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in 1992, 62 in 1991, and 56 in 1990.  Twenty-four fuselages are</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63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8"/>
              </w:rPr>
              <w:t>expected to be delivered in 1995 with no significant changes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anticipated in the near future.</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10"/>
          </w:tcPr>
          <w:p>
            <w:pPr>
              <w:ind w:left="540"/>
              <w:spacing w:after="0" w:line="203" w:lineRule="exact"/>
              <w:rPr>
                <w:sz w:val="20"/>
                <w:szCs w:val="20"/>
                <w:color w:val="auto"/>
              </w:rPr>
            </w:pPr>
            <w:r>
              <w:rPr>
                <w:rFonts w:ascii="Courier New" w:cs="Courier New" w:eastAsia="Courier New" w:hAnsi="Courier New"/>
                <w:sz w:val="18"/>
                <w:szCs w:val="18"/>
                <w:color w:val="auto"/>
                <w:w w:val="97"/>
              </w:rPr>
              <w:t>The electronics and systems integration segment revenues more than</w:t>
            </w: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doubled in 1994 with the increase coming from the acquisition of</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Grumman more than offsetting</w:t>
            </w:r>
          </w:p>
        </w:tc>
        <w:tc>
          <w:tcPr>
            <w:tcW w:w="4260" w:type="dxa"/>
            <w:vAlign w:val="bottom"/>
            <w:gridSpan w:val="8"/>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the decrease from lower BAT development</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7"/>
              </w:rPr>
              <w:t>revenue and lower ECM sales.  Reduced electronics segment revenues in</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7"/>
              </w:rPr>
              <w:t>1993 stemmed from lower BAT development revenue, lower MX Peacekeeper</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sales and lower sales in the sensor product area.  In both 1993 and</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1992 fewer deliveries of missile components by the ESID-Norwood</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operation were made versus the respective previous year.  Overall</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electronics and systems integration segment sales are expected to</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7"/>
              </w:rPr>
              <w:t>increase by more than 20 percent in 1995 with the inclusion of a full</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year of sales from the programs added by the Grumman acquisition.</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10"/>
          </w:tcPr>
          <w:p>
            <w:pPr>
              <w:ind w:left="540"/>
              <w:spacing w:after="0" w:line="203" w:lineRule="exact"/>
              <w:rPr>
                <w:sz w:val="20"/>
                <w:szCs w:val="20"/>
                <w:color w:val="auto"/>
              </w:rPr>
            </w:pPr>
            <w:r>
              <w:rPr>
                <w:rFonts w:ascii="Courier New" w:cs="Courier New" w:eastAsia="Courier New" w:hAnsi="Courier New"/>
                <w:sz w:val="18"/>
                <w:szCs w:val="18"/>
                <w:color w:val="auto"/>
                <w:w w:val="97"/>
              </w:rPr>
              <w:t>The year-end funded order backlog is the sum of the previous year-</w:t>
            </w: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end backlog plus the year's contract acquisitions minus the year's</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7"/>
              </w:rPr>
              <w:t>sales.  Backlog is converted into the following years' sales as costs</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7"/>
              </w:rPr>
              <w:t>are incurred or deliveries are made.  It is expected that approximately</w:t>
            </w:r>
          </w:p>
        </w:tc>
        <w:tc>
          <w:tcPr>
            <w:tcW w:w="540" w:type="dxa"/>
            <w:vAlign w:val="bottom"/>
          </w:tcPr>
          <w:p>
            <w:pPr>
              <w:spacing w:after="0"/>
              <w:rPr>
                <w:sz w:val="17"/>
                <w:szCs w:val="17"/>
                <w:color w:val="auto"/>
              </w:rPr>
            </w:pPr>
          </w:p>
        </w:tc>
      </w:tr>
      <w:tr>
        <w:trPr>
          <w:trHeight w:val="203"/>
        </w:trPr>
        <w:tc>
          <w:tcPr>
            <w:tcW w:w="7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7"/>
              </w:rPr>
              <w:t>50 percent of the 1994 year-end backlog will be converted into sales in</w:t>
            </w:r>
          </w:p>
        </w:tc>
        <w:tc>
          <w:tcPr>
            <w:tcW w:w="540" w:type="dxa"/>
            <w:vAlign w:val="bottom"/>
          </w:tcPr>
          <w:p>
            <w:pPr>
              <w:spacing w:after="0"/>
              <w:rPr>
                <w:sz w:val="17"/>
                <w:szCs w:val="17"/>
                <w:color w:val="auto"/>
              </w:rPr>
            </w:pPr>
          </w:p>
        </w:tc>
      </w:tr>
      <w:tr>
        <w:trPr>
          <w:trHeight w:val="203"/>
        </w:trPr>
        <w:tc>
          <w:tcPr>
            <w:tcW w:w="63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8"/>
              </w:rPr>
              <w:t>1995, which are currently expected to be about $6.7 billion.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NORTHROP GRUMMAN CORPORATION</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Funded Order Backlog</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 in millions</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1992</w:t>
            </w:r>
          </w:p>
        </w:tc>
        <w:tc>
          <w:tcPr>
            <w:tcW w:w="3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1991</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1990</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B-2</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5,175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3,921</w:t>
            </w: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5,147</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3,453</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F/A-18C/D</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345</w:t>
            </w:r>
          </w:p>
        </w:tc>
        <w:tc>
          <w:tcPr>
            <w:tcW w:w="42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443</w:t>
            </w:r>
          </w:p>
        </w:tc>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716</w:t>
            </w:r>
          </w:p>
        </w:tc>
        <w:tc>
          <w:tcPr>
            <w:tcW w:w="3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632</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F/A-18E/F</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w:t>
            </w:r>
          </w:p>
        </w:tc>
        <w:tc>
          <w:tcPr>
            <w:tcW w:w="42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477</w:t>
            </w:r>
          </w:p>
        </w:tc>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Boeing Jetliners</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1,417</w:t>
            </w:r>
          </w:p>
        </w:tc>
        <w:tc>
          <w:tcPr>
            <w:tcW w:w="42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723</w:t>
            </w:r>
          </w:p>
        </w:tc>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1,012</w:t>
            </w:r>
          </w:p>
        </w:tc>
        <w:tc>
          <w:tcPr>
            <w:tcW w:w="3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1,485</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1,155</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E-2</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727</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ECM</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w:t>
            </w:r>
          </w:p>
        </w:tc>
        <w:tc>
          <w:tcPr>
            <w:tcW w:w="42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540</w:t>
            </w:r>
          </w:p>
        </w:tc>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467</w:t>
            </w:r>
          </w:p>
        </w:tc>
        <w:tc>
          <w:tcPr>
            <w:tcW w:w="3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484</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468</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E-8 Joint STARS</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806</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Data Systems and Other Services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w:t>
            </w:r>
          </w:p>
        </w:tc>
        <w:tc>
          <w:tcPr>
            <w:tcW w:w="42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w:t>
            </w:r>
          </w:p>
        </w:tc>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w:t>
            </w:r>
          </w:p>
        </w:tc>
        <w:tc>
          <w:tcPr>
            <w:tcW w:w="3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TSSAM</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w:t>
            </w:r>
          </w:p>
        </w:tc>
        <w:tc>
          <w:tcPr>
            <w:tcW w:w="42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367</w:t>
            </w:r>
          </w:p>
        </w:tc>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298</w:t>
            </w:r>
          </w:p>
        </w:tc>
        <w:tc>
          <w:tcPr>
            <w:tcW w:w="3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214</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C-17</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BAT</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42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w:t>
            </w:r>
          </w:p>
        </w:tc>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3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w:t>
            </w: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2,166</w:t>
            </w:r>
          </w:p>
        </w:tc>
        <w:tc>
          <w:tcPr>
            <w:tcW w:w="42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385</w:t>
            </w:r>
          </w:p>
        </w:tc>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422</w:t>
            </w:r>
          </w:p>
        </w:tc>
        <w:tc>
          <w:tcPr>
            <w:tcW w:w="3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535</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697</w:t>
            </w:r>
          </w:p>
        </w:tc>
      </w:tr>
      <w:tr>
        <w:trPr>
          <w:trHeight w:val="203"/>
        </w:trPr>
        <w:tc>
          <w:tcPr>
            <w:tcW w:w="30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$12,173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6,919</w:t>
            </w: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7,175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8,561</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6,703</w:t>
            </w:r>
          </w:p>
        </w:tc>
      </w:tr>
    </w:tbl>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Total U.S. Government orders, including those made on behalf of foreign governments (FMS), comprised 80 percent of the backlog at the end of 1994 compared with 89 percent at the end of 1993, 85 percent at the end of 1992, and 82 percent at the end of both 1991 and 1990. Total foreign customer orders, including FMS, accounted for 9 percent of the backlog at the end of 1994 compared with 3 percent in 1993, 2 percent in 1992, 3 percent in 1991, and 4 percent in 1990. Domestic commercial business remaining in backlog at the end of 1994 was 14 percent, 11 percent at the end of 1993, 14 percent at the end of 1992 and 17 percent for both 1991 and 1990.</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Measures of Performance</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company's operating margin has improved in each of its two largest and most mature industry segments military and commercial aircraft and electronics and systems integration. These improvements stem from overall improved operating margin rates in Northrop Grumman's continuing programs as well as the addition of the Grumman and Vought programs. Company-wide efforts to reduce costs, install tighter business controls, improve cash management, dispose of excess assets and more effectively utilizing productive assets are all goals aimed at contributing to the future success of Northrop Grumman. This financial report demonstrates the degree to which the accomplishment of these goals is being achieved.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ectPr>
          <w:pgSz w:w="11900" w:h="16838" w:orient="portrait"/>
          <w:cols w:equalWidth="0" w:num="1">
            <w:col w:w="10219"/>
          </w:cols>
          <w:pgMar w:left="240" w:top="339" w:right="1440" w:bottom="0" w:gutter="0" w:footer="0" w:header="0"/>
        </w:sectPr>
      </w:pPr>
    </w:p>
    <w:bookmarkStart w:id="12" w:name="page13"/>
    <w:bookmarkEnd w:id="12"/>
    <w:p>
      <w:pPr>
        <w:ind w:right="2739" w:firstLine="527"/>
        <w:spacing w:after="0" w:line="270" w:lineRule="auto"/>
        <w:rPr>
          <w:sz w:val="20"/>
          <w:szCs w:val="20"/>
          <w:color w:val="auto"/>
        </w:rPr>
      </w:pPr>
      <w:r>
        <w:rPr>
          <w:rFonts w:ascii="Courier New" w:cs="Courier New" w:eastAsia="Courier New" w:hAnsi="Courier New"/>
          <w:sz w:val="16"/>
          <w:szCs w:val="16"/>
          <w:color w:val="auto"/>
        </w:rPr>
        <w:t>Operating profit in the military and commercial aircraft industry segment increased to its highest level ever in 1994, exceeding the previous high reached in 1993, as margin rates improved on the B-2 and F/A-18 programs. The rate and amount of operating margin recorded on the F/A-18E/F increased in 1994 due to an approximately one and one half percent increase in the rate of operating margin being recorded on the EMD contract, which was made during the fourth quarter. This resulted from the continuing evaluation of the overall operating margin to be earned on this phase of the program. The F/A-18 program operating margin improved in 1994 and 1993 despite reduced F/A-18C/D shipset deliveries in each of these years versus the previous year.</w:t>
      </w:r>
    </w:p>
    <w:p>
      <w:pPr>
        <w:spacing w:after="0" w:line="189" w:lineRule="exact"/>
        <w:rPr>
          <w:sz w:val="20"/>
          <w:szCs w:val="20"/>
          <w:color w:val="auto"/>
        </w:rPr>
      </w:pPr>
    </w:p>
    <w:p>
      <w:pPr>
        <w:ind w:right="2739" w:firstLine="527"/>
        <w:spacing w:after="0" w:line="238" w:lineRule="auto"/>
        <w:rPr>
          <w:sz w:val="20"/>
          <w:szCs w:val="20"/>
          <w:color w:val="auto"/>
        </w:rPr>
      </w:pPr>
      <w:r>
        <w:rPr>
          <w:rFonts w:ascii="Courier New" w:cs="Courier New" w:eastAsia="Courier New" w:hAnsi="Courier New"/>
          <w:sz w:val="18"/>
          <w:szCs w:val="18"/>
          <w:color w:val="auto"/>
        </w:rPr>
        <w:t>The B-2 operating margin improved in 1994 where the amount of margin recorded on the four deliveries more than offset reduced operating margin from lower production and EMD sales. Following the award of the last increment of production funding for the B-2, the company began recording future operating margin increases on all production aircraft as these units are delivered and accepted by the customer. At the time each unit is delivered an assessment will be made of the status of the production contract so as to estimate the amount of any probable additional margin available beyond that previously recognized. That unit's proportionate share of any such unrecognized remaining balance will then be recorded. In this fashion it is believed that margin improvements will be recognized on a more demonstrable basis. The current 15 production units are scheduled for their initial delivery over a five year period, which began in December 1993. All but two units (four equivalent units for this purpose) will be returned for scheduled retrofitting with final deliveries beginning in 1997 and ending in 2000. It is anticipated that the total of 30 equivalent units will be delivered at a rate of from three to five per year over the next six years.</w:t>
      </w:r>
    </w:p>
    <w:p>
      <w:pPr>
        <w:spacing w:after="0" w:line="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Fewer deliveries and a reduction in the rate of operating margin due to increased costs allocated, as a result of establishing a separate commercial aircraft operating element, caused decreased operating profit on the 747 program in 1994. The primary cause of military and commercial aircraft segment operating profit being higher in 1991 than 1992 was the one percentage point increase in the B-2 Low Rate Initial Production (LRIP) contract margin rate made during the fourth quarter of 1991 on sales recorded prior to that date ($40 million of margin). This 1991 margin rate adjustment followed definitization of the LRIP contract late in the year and took into account the company's production and assembly experience as of that date. Setting aside the $40 million adjustment, the B-2 program provided an increasing amount of operating margin in each of the last four years as the mix of sales continues its shift from relatively lower margin R&amp;D work to higher margin production work.</w:t>
      </w:r>
    </w:p>
    <w:p>
      <w:pPr>
        <w:spacing w:after="0" w:line="6"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Affecting the comparison of 1992 military and commercial aircraft operating profit with that of 1991 were the slightly lower rates of margin earned on fewer F/A-18C/D and 747 shipset deliveries. In addition, a low rate of margin was recorded in 1992 on the F/A-18E/F as this program was in its early phase of development.</w:t>
      </w:r>
    </w:p>
    <w:p>
      <w:pPr>
        <w:ind w:left="540"/>
        <w:spacing w:after="0"/>
        <w:rPr>
          <w:sz w:val="20"/>
          <w:szCs w:val="20"/>
          <w:color w:val="auto"/>
        </w:rPr>
      </w:pPr>
      <w:r>
        <w:rPr>
          <w:rFonts w:ascii="Courier New" w:cs="Courier New" w:eastAsia="Courier New" w:hAnsi="Courier New"/>
          <w:sz w:val="18"/>
          <w:szCs w:val="18"/>
          <w:color w:val="auto"/>
        </w:rPr>
        <w:t>Partially offsetting the B-2 margin improvement for 1991 was the</w:t>
      </w:r>
    </w:p>
    <w:p>
      <w:pPr>
        <w:spacing w:after="0" w:line="238" w:lineRule="auto"/>
        <w:rPr>
          <w:sz w:val="20"/>
          <w:szCs w:val="20"/>
          <w:color w:val="auto"/>
        </w:rPr>
      </w:pPr>
      <w:r>
        <w:rPr>
          <w:rFonts w:ascii="Courier New" w:cs="Courier New" w:eastAsia="Courier New" w:hAnsi="Courier New"/>
          <w:sz w:val="18"/>
          <w:szCs w:val="18"/>
          <w:color w:val="auto"/>
        </w:rPr>
        <w:t>lower rate of margin earned on the reduced number of F/A-18 shipsets</w:t>
      </w:r>
    </w:p>
    <w:p>
      <w:pPr>
        <w:spacing w:after="0"/>
        <w:tabs>
          <w:tab w:leader="none" w:pos="2520" w:val="left"/>
        </w:tabs>
        <w:rPr>
          <w:sz w:val="20"/>
          <w:szCs w:val="20"/>
          <w:color w:val="auto"/>
        </w:rPr>
      </w:pPr>
      <w:r>
        <w:rPr>
          <w:rFonts w:ascii="Courier New" w:cs="Courier New" w:eastAsia="Courier New" w:hAnsi="Courier New"/>
          <w:sz w:val="18"/>
          <w:szCs w:val="18"/>
          <w:color w:val="auto"/>
        </w:rPr>
        <w:t>delivered during 1991.</w:t>
      </w:r>
      <w:r>
        <w:rPr>
          <w:sz w:val="20"/>
          <w:szCs w:val="20"/>
          <w:color w:val="auto"/>
        </w:rPr>
        <w:tab/>
      </w:r>
      <w:r>
        <w:rPr>
          <w:rFonts w:ascii="Courier New" w:cs="Courier New" w:eastAsia="Courier New" w:hAnsi="Courier New"/>
          <w:sz w:val="16"/>
          <w:szCs w:val="16"/>
          <w:color w:val="auto"/>
        </w:rPr>
        <w:t>A slightly lower rate of margin was earned on</w:t>
      </w:r>
    </w:p>
    <w:p>
      <w:pPr>
        <w:spacing w:after="0" w:line="237" w:lineRule="auto"/>
        <w:rPr>
          <w:sz w:val="20"/>
          <w:szCs w:val="20"/>
          <w:color w:val="auto"/>
        </w:rPr>
      </w:pPr>
      <w:r>
        <w:rPr>
          <w:rFonts w:ascii="Courier New" w:cs="Courier New" w:eastAsia="Courier New" w:hAnsi="Courier New"/>
          <w:sz w:val="18"/>
          <w:szCs w:val="18"/>
          <w:color w:val="auto"/>
        </w:rPr>
        <w:t>higher 747 shipset deliveries generating an overall increase in the</w:t>
      </w:r>
    </w:p>
    <w:p>
      <w:pPr>
        <w:spacing w:after="0"/>
        <w:tabs>
          <w:tab w:leader="none" w:pos="2420" w:val="left"/>
        </w:tabs>
        <w:rPr>
          <w:sz w:val="20"/>
          <w:szCs w:val="20"/>
          <w:color w:val="auto"/>
        </w:rPr>
      </w:pPr>
      <w:r>
        <w:rPr>
          <w:rFonts w:ascii="Courier New" w:cs="Courier New" w:eastAsia="Courier New" w:hAnsi="Courier New"/>
          <w:sz w:val="18"/>
          <w:szCs w:val="18"/>
          <w:color w:val="auto"/>
        </w:rPr>
        <w:t>amount of 747 margin.</w:t>
      </w:r>
      <w:r>
        <w:rPr>
          <w:sz w:val="20"/>
          <w:szCs w:val="20"/>
          <w:color w:val="auto"/>
        </w:rPr>
        <w:tab/>
      </w:r>
      <w:r>
        <w:rPr>
          <w:rFonts w:ascii="Courier New" w:cs="Courier New" w:eastAsia="Courier New" w:hAnsi="Courier New"/>
          <w:sz w:val="16"/>
          <w:szCs w:val="16"/>
          <w:color w:val="auto"/>
        </w:rPr>
        <w:t>Affecting comparison of 1991 military and commercial</w:t>
      </w:r>
    </w:p>
    <w:p>
      <w:pPr>
        <w:spacing w:after="0"/>
        <w:rPr>
          <w:sz w:val="20"/>
          <w:szCs w:val="20"/>
          <w:color w:val="auto"/>
        </w:rPr>
      </w:pPr>
      <w:r>
        <w:rPr>
          <w:rFonts w:ascii="Courier New" w:cs="Courier New" w:eastAsia="Courier New" w:hAnsi="Courier New"/>
          <w:sz w:val="18"/>
          <w:szCs w:val="18"/>
          <w:color w:val="auto"/>
        </w:rPr>
        <w:t>aircraft segment operating profit with that of the previous year is the</w:t>
      </w:r>
    </w:p>
    <w:p>
      <w:pPr>
        <w:spacing w:after="0"/>
        <w:tabs>
          <w:tab w:leader="none" w:pos="7360" w:val="left"/>
        </w:tabs>
        <w:rPr>
          <w:sz w:val="20"/>
          <w:szCs w:val="20"/>
          <w:color w:val="auto"/>
        </w:rPr>
      </w:pPr>
      <w:r>
        <w:rPr>
          <w:rFonts w:ascii="Courier New" w:cs="Courier New" w:eastAsia="Courier New" w:hAnsi="Courier New"/>
          <w:sz w:val="18"/>
          <w:szCs w:val="18"/>
          <w:color w:val="auto"/>
        </w:rPr>
        <w:t>$66 million invested and written off on the ATF program during 1990.</w:t>
      </w:r>
      <w:r>
        <w:rPr>
          <w:sz w:val="20"/>
          <w:szCs w:val="20"/>
          <w:color w:val="auto"/>
        </w:rPr>
        <w:tab/>
      </w:r>
      <w:r>
        <w:rPr>
          <w:rFonts w:ascii="Courier New" w:cs="Courier New" w:eastAsia="Courier New" w:hAnsi="Courier New"/>
          <w:sz w:val="16"/>
          <w:szCs w:val="16"/>
          <w:color w:val="auto"/>
        </w:rPr>
        <w:t>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completion of the DEM/VAL phase of ATF in 1990 the company discontinued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making any material amount of expenditures for company-sponsored R&amp;D.</w:t>
      </w:r>
    </w:p>
    <w:p>
      <w:pPr>
        <w:spacing w:after="0" w:line="4"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Operating profit in the electronics and systems integration segment also reached a record level in 1994. This was due primarily to the addition of Grumman's E-2, E-8 Joint STARS and various other military electronics programs and an increased rate of margin recorded in the company's electronic countermeasures business, which more than offset the $8 million in provisions recorded by the ESID-Norwood operation for unrecoverable costs incurred.</w:t>
      </w:r>
    </w:p>
    <w:p>
      <w:pPr>
        <w:spacing w:after="0" w:line="9"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13 percent sales decline in the electronics and systems integration segment for 1993 from the level achieved in 1992 was accompanied by an 11 percent decline in operating profit. An increase in ECM operating margin and the benefit of a $5 million reduced loss at the ESID-Norwood operation offset lower margins in the sensor product area and on the BAT program.</w:t>
      </w:r>
    </w:p>
    <w:p>
      <w:pPr>
        <w:spacing w:after="0" w:line="7" w:lineRule="exact"/>
        <w:rPr>
          <w:sz w:val="20"/>
          <w:szCs w:val="20"/>
          <w:color w:val="auto"/>
        </w:rPr>
      </w:pPr>
    </w:p>
    <w:p>
      <w:pPr>
        <w:ind w:right="2739" w:firstLine="527"/>
        <w:spacing w:after="0" w:line="271" w:lineRule="auto"/>
        <w:rPr>
          <w:sz w:val="20"/>
          <w:szCs w:val="20"/>
          <w:color w:val="auto"/>
        </w:rPr>
      </w:pPr>
      <w:r>
        <w:rPr>
          <w:rFonts w:ascii="Courier New" w:cs="Courier New" w:eastAsia="Courier New" w:hAnsi="Courier New"/>
          <w:sz w:val="16"/>
          <w:szCs w:val="16"/>
          <w:color w:val="auto"/>
        </w:rPr>
        <w:t>The amount and rate of operating profit earned by the electronics and systems integration segment increased during 1992 despite the loss incurred by ESID-Norwood. ESID-Norwood's operating loss declined $7 million from that of 1991. In 1992 the ESID-Norwood operation suffered from the effects of a 24 percent sales decline coupled with a $6 million write-off of unrecoverable inventoried costs. Also influencing the trend in the electronics and systems integration segment operating profit has been the replacement of higher margin Peacekeeper production</w:t>
      </w:r>
    </w:p>
    <w:p>
      <w:pPr>
        <w:sectPr>
          <w:pgSz w:w="11900" w:h="16838" w:orient="portrait"/>
          <w:cols w:equalWidth="0" w:num="1">
            <w:col w:w="10219"/>
          </w:cols>
          <w:pgMar w:left="240" w:top="344"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revenue by lower margin BAT development revenue.</w:t>
      </w:r>
    </w:p>
    <w:p>
      <w:pPr>
        <w:spacing w:after="0" w:line="4" w:lineRule="exact"/>
        <w:rPr>
          <w:sz w:val="20"/>
          <w:szCs w:val="20"/>
          <w:color w:val="auto"/>
        </w:rPr>
      </w:pPr>
    </w:p>
    <w:p>
      <w:pPr>
        <w:ind w:right="2739" w:firstLine="527"/>
        <w:spacing w:after="0" w:line="268" w:lineRule="auto"/>
        <w:rPr>
          <w:sz w:val="20"/>
          <w:szCs w:val="20"/>
          <w:color w:val="auto"/>
        </w:rPr>
      </w:pPr>
      <w:r>
        <w:rPr>
          <w:rFonts w:ascii="Courier New" w:cs="Courier New" w:eastAsia="Courier New" w:hAnsi="Courier New"/>
          <w:sz w:val="16"/>
          <w:szCs w:val="16"/>
          <w:color w:val="auto"/>
        </w:rPr>
        <w:t>While the rate of operating profit for 1991 improved slightly for the electronics and systems integration segment, the amount of profit declined $2 million. The rate increase was largely achieved by the ECM area where improved margins accompanied higher sales of the AN/ALQ-135 system developed for the F-15 fighter aircraft. Offsetting this increase was the cost of settling various legal and product disputes, principally for the ESID-Norwood operation. Of the aggregate of $31 million in provisions made during 1991 for these issues, $12 million is reported in Other Deductions in the Consolidated Statements of Income.</w:t>
      </w:r>
    </w:p>
    <w:p>
      <w:pPr>
        <w:spacing w:after="0" w:line="2" w:lineRule="exact"/>
        <w:rPr>
          <w:sz w:val="20"/>
          <w:szCs w:val="20"/>
          <w:color w:val="auto"/>
        </w:rPr>
      </w:pPr>
    </w:p>
    <w:p>
      <w:pPr>
        <w:ind w:right="2739" w:firstLine="527"/>
        <w:spacing w:after="0" w:line="269" w:lineRule="auto"/>
        <w:rPr>
          <w:sz w:val="20"/>
          <w:szCs w:val="20"/>
          <w:color w:val="auto"/>
        </w:rPr>
      </w:pPr>
      <w:r>
        <w:rPr>
          <w:rFonts w:ascii="Courier New" w:cs="Courier New" w:eastAsia="Courier New" w:hAnsi="Courier New"/>
          <w:sz w:val="16"/>
          <w:szCs w:val="16"/>
          <w:color w:val="auto"/>
        </w:rPr>
        <w:t>The loss provision made during 1994 on the TSSAM development contract was $20 million, and followed provisions aggregating $201 million in 1993 and a similar provision of $152 million in 1992. The recording of the expected loss from the performance of this classified long-term fixed-price R&amp;D contract caused major losses in the MUVS segment during four of the last six years. Most of these provisions resulted from additional costs necessary to comply with contractual requirements. Production delays caused increased amounts of sustaining labor to be absorbed by the development phase of the program in which the company has invested over $600 million. The ultimate loss on this contract will depend on the company's negotiation of costs claims with the U.S. Government in connection with the contract termination for convenience notice received by the company in February 1995. The company will seek to recoup its investment in plant and equipment made for the production phase of the program from the government. As previously indicated, the company does not expect the termination of the program to have a material financial impact on the company.</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After being profitable in each of the previous four years, the company's traditional line of aerial targets incurred a $2 million operating loss in 1994 resulting from $4 million in provisions for unrecoverable inventories recorded in the fourth quarter. The overall increase in MUVS operating profit in 1991 versus 1990 resulted from the completion of the Tacit Rainbow missile program at less cost than had previously been estimated.</w:t>
      </w:r>
    </w:p>
    <w:p>
      <w:pPr>
        <w:spacing w:after="0" w:line="9" w:lineRule="exact"/>
        <w:rPr>
          <w:sz w:val="20"/>
          <w:szCs w:val="20"/>
          <w:color w:val="auto"/>
        </w:rPr>
      </w:pPr>
    </w:p>
    <w:p>
      <w:pPr>
        <w:ind w:right="2739" w:firstLine="527"/>
        <w:spacing w:after="0" w:line="268" w:lineRule="auto"/>
        <w:rPr>
          <w:sz w:val="20"/>
          <w:szCs w:val="20"/>
          <w:color w:val="auto"/>
        </w:rPr>
      </w:pPr>
      <w:r>
        <w:rPr>
          <w:rFonts w:ascii="Courier New" w:cs="Courier New" w:eastAsia="Courier New" w:hAnsi="Courier New"/>
          <w:sz w:val="16"/>
          <w:szCs w:val="16"/>
          <w:color w:val="auto"/>
        </w:rPr>
        <w:t>Operating margin in 1994 was reduced by $282 million to record the effect of an early retirement incentive program. Operating margin in 1994 also included $36 million of pension income compared with $71 million in 1993, $83 million in 1992 and $23 million in 1991. Also contributing to the change from net retiree benefit income in 1993 to a net retiree benefit cost in 1994 was 1994's increase in the cost of providing retiree health care and life insurance benefits - $69 million in 1994 versus $32 million in 1993, $41 million in 1992, and $47 million in 1991. A major contributor to the 1994 net retiree benefit cost was the addition of the Grumman and Vought retiree plans.</w:t>
      </w:r>
    </w:p>
    <w:p>
      <w:pPr>
        <w:spacing w:after="0" w:line="2" w:lineRule="exact"/>
        <w:rPr>
          <w:sz w:val="20"/>
          <w:szCs w:val="20"/>
          <w:color w:val="auto"/>
        </w:rPr>
      </w:pPr>
    </w:p>
    <w:p>
      <w:pPr>
        <w:ind w:right="2739" w:firstLine="527"/>
        <w:spacing w:after="0" w:line="268" w:lineRule="auto"/>
        <w:rPr>
          <w:sz w:val="20"/>
          <w:szCs w:val="20"/>
          <w:color w:val="auto"/>
        </w:rPr>
      </w:pPr>
      <w:r>
        <w:rPr>
          <w:rFonts w:ascii="Courier New" w:cs="Courier New" w:eastAsia="Courier New" w:hAnsi="Courier New"/>
          <w:sz w:val="16"/>
          <w:szCs w:val="16"/>
          <w:color w:val="auto"/>
        </w:rPr>
        <w:t>The Financial Accounting Standards Board's (FASB) accounting standard No. 106 - Employers' Accounting for Postretirement Benefits Other Than Pensions - was adopted by the company in 1991. The liability representing previously unrecognized costs of $145 million for all years prior to 1991 was recorded as of January 1, 1991, with an after-tax effect on earnings of $88 million or $1.86 per share. The company's adoption in 1992 of the new FASB accounting standard No. 112</w:t>
      </w:r>
    </w:p>
    <w:p>
      <w:pPr>
        <w:spacing w:after="0" w:line="1" w:lineRule="exact"/>
        <w:rPr>
          <w:sz w:val="20"/>
          <w:szCs w:val="20"/>
          <w:color w:val="auto"/>
        </w:rPr>
      </w:pPr>
    </w:p>
    <w:p>
      <w:pPr>
        <w:ind w:right="2739" w:firstLine="8"/>
        <w:spacing w:after="0" w:line="268" w:lineRule="auto"/>
        <w:tabs>
          <w:tab w:leader="none" w:pos="21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Employers' Accounting for Postemployment Benefits - had no material effect on the company's financial position or operating results.</w:t>
      </w:r>
    </w:p>
    <w:p>
      <w:pPr>
        <w:ind w:right="2939" w:firstLine="527"/>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1994 the company recorded a $42 million pretax charge for the planned disposal of excess real estate and other assets. This was a result of the company's continuing efforts to reduce operating costs and dispose of assets which have become excess due to changes in the company's business strategy. This charge is reported in Other Deductions in the Consolidated Statements of Income.</w:t>
      </w:r>
    </w:p>
    <w:p>
      <w:pPr>
        <w:spacing w:after="0" w:line="1" w:lineRule="exact"/>
        <w:rPr>
          <w:rFonts w:ascii="Courier New" w:cs="Courier New" w:eastAsia="Courier New" w:hAnsi="Courier New"/>
          <w:sz w:val="16"/>
          <w:szCs w:val="16"/>
          <w:color w:val="auto"/>
        </w:rPr>
      </w:pPr>
    </w:p>
    <w:p>
      <w:pPr>
        <w:ind w:right="2739" w:firstLine="527"/>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Interest expense increased $71 million in 1994 after declining in each of the previous four years by $9 million in 1993, $33 million in 1992, $15 million in 1991, and $29 million in 1990. The increase in 1994 came primarily from the issuance of debt to finance the acquisition of Grumman. Total debt at December 31, 1994 stood at $1.9 billion compared to $160 million at the end of 1993. Nearly all of the interest expense reductions in the previous four years stemmed from debt reduction which over this period totaled $960 million.</w:t>
      </w:r>
    </w:p>
    <w:p>
      <w:pPr>
        <w:spacing w:after="0" w:line="9" w:lineRule="exact"/>
        <w:rPr>
          <w:rFonts w:ascii="Courier New" w:cs="Courier New" w:eastAsia="Courier New" w:hAnsi="Courier New"/>
          <w:sz w:val="16"/>
          <w:szCs w:val="16"/>
          <w:color w:val="auto"/>
        </w:rPr>
      </w:pPr>
    </w:p>
    <w:p>
      <w:pPr>
        <w:ind w:right="2739" w:firstLine="527"/>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1991 the company adopted FASB standard No. 109 - Accounting for Income Taxes - and recorded, as of January 1, 1991, a benefit of $21 million, or 43 cents per share. As described in the accounting policy footnote to the financial statements, any future change in the tax rate would result in the immediate recognition in current earnings of the cumulative effect on deferred tax assets and liabilities.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739" w:firstLine="527"/>
        <w:spacing w:after="0" w:line="290" w:lineRule="auto"/>
        <w:rPr>
          <w:sz w:val="20"/>
          <w:szCs w:val="20"/>
          <w:color w:val="auto"/>
        </w:rPr>
      </w:pPr>
      <w:r>
        <w:rPr>
          <w:rFonts w:ascii="Courier New" w:cs="Courier New" w:eastAsia="Courier New" w:hAnsi="Courier New"/>
          <w:sz w:val="16"/>
          <w:szCs w:val="16"/>
          <w:color w:val="auto"/>
        </w:rPr>
        <w:t>The company's effective federal income tax rate was 46.2 percent in 1994, 43.5 percent in 1993, 32.8 percent in 1992, and 3.2 percent in</w:t>
      </w:r>
    </w:p>
    <w:p>
      <w:pPr>
        <w:sectPr>
          <w:pgSz w:w="11900" w:h="16838" w:orient="portrait"/>
          <w:cols w:equalWidth="0" w:num="1">
            <w:col w:w="10219"/>
          </w:cols>
          <w:pgMar w:left="240" w:top="136" w:right="1440" w:bottom="0" w:gutter="0" w:footer="0" w:header="0"/>
        </w:sectPr>
      </w:pPr>
    </w:p>
    <w:bookmarkStart w:id="14" w:name="page15"/>
    <w:bookmarkEnd w:id="14"/>
    <w:p>
      <w:pPr>
        <w:ind w:right="2739"/>
        <w:spacing w:after="0" w:line="269" w:lineRule="auto"/>
        <w:rPr>
          <w:sz w:val="20"/>
          <w:szCs w:val="20"/>
          <w:color w:val="auto"/>
        </w:rPr>
      </w:pPr>
      <w:r>
        <w:rPr>
          <w:rFonts w:ascii="Courier New" w:cs="Courier New" w:eastAsia="Courier New" w:hAnsi="Courier New"/>
          <w:sz w:val="16"/>
          <w:szCs w:val="16"/>
          <w:color w:val="auto"/>
        </w:rPr>
        <w:t>1991. The change in the 1994 rate was caused by an increase in the amount of expenses not deductible for income taxes, primarily the amortization of goodwill. The rate for 1993 would have been 31.8 percent but for the effects of the retroactive application of The Revenue Reconciliation Act of 1993. The one percentage point increase in the federal statutory income tax rate, now 35 percent, required the redetermination of December 31, 1992 deferred tax asset and liability balances. This redetermination added $18 million to 1993's tax provision thereby reducing earnings per share by 38 cents. During 1989, final regulations were issued concerning the research tax credit. The company had taken a conservative approach in calculating its tax provisions since 1981 pursuant to uncertain proposed regulations. An exhaustive study was undertaken throughout the company to redetermine qualifying expenditures in compliance with the final regulations so as to recalculate prior years' tax credits and amend its tax returns as appropriate. The benefit resulting from the conclusion of that study was the $90 million in additional research credits recognized in the determination of the 1991 effective tax rate of 3.2 percent.</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Measures of</w:t>
            </w:r>
          </w:p>
        </w:tc>
        <w:tc>
          <w:tcPr>
            <w:tcW w:w="3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Liquidity and Capital Resources</w:t>
            </w:r>
          </w:p>
        </w:tc>
        <w:tc>
          <w:tcPr>
            <w:tcW w:w="2580" w:type="dxa"/>
            <w:vAlign w:val="bottom"/>
          </w:tcPr>
          <w:p>
            <w:pPr>
              <w:spacing w:after="0"/>
              <w:rPr>
                <w:sz w:val="17"/>
                <w:szCs w:val="17"/>
                <w:color w:val="auto"/>
              </w:rPr>
            </w:pPr>
          </w:p>
        </w:tc>
      </w:tr>
      <w:tr>
        <w:trPr>
          <w:trHeight w:val="203"/>
        </w:trPr>
        <w:tc>
          <w:tcPr>
            <w:tcW w:w="73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The improvement of the company's financial condition and liquidity,</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began</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 1990,</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continued in 1994.</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Over</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last five years</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operating cash flows</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have averaged $400 million annually.  The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$441 million of cash</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flow from operations in 1994 was an increase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$61 million</w:t>
            </w:r>
          </w:p>
        </w:tc>
        <w:tc>
          <w:tcPr>
            <w:tcW w:w="3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over 1993 which was a $96 million</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increase over that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1992, while</w:t>
            </w:r>
          </w:p>
        </w:tc>
        <w:tc>
          <w:tcPr>
            <w:tcW w:w="3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it had declined $325 million</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1992 from that of 1991.</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Much of the</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increase</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 1991's cash flow</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from</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operations resulted from</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c>
          <w:tcPr>
            <w:tcW w:w="3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finalizing the B-2 LRIP contract,</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after it was about 50</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percent complete, as</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well as follow-on contracts for 747 and F/A-18</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To a</w:t>
            </w:r>
          </w:p>
        </w:tc>
        <w:tc>
          <w:tcPr>
            <w:tcW w:w="3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great extent the pace of delivery</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B-2 production</w:t>
            </w:r>
          </w:p>
        </w:tc>
      </w:t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aircraft and the satisfactory completion</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program milestones will</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dictate the</w:t>
            </w:r>
          </w:p>
        </w:tc>
        <w:tc>
          <w:tcPr>
            <w:tcW w:w="3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future level of any required</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additional capital resources.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w w:val="98"/>
              </w:rPr>
              <w:t>Provisions for contract losses are one of</w:t>
            </w:r>
          </w:p>
        </w:tc>
        <w:tc>
          <w:tcPr>
            <w:tcW w:w="2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the important elements</w:t>
            </w:r>
          </w:p>
        </w:tc>
        <w:tc>
          <w:tcPr>
            <w:tcW w:w="540" w:type="dxa"/>
            <w:vAlign w:val="bottom"/>
          </w:tcPr>
          <w:p>
            <w:pPr>
              <w:spacing w:after="0"/>
              <w:rPr>
                <w:sz w:val="17"/>
                <w:szCs w:val="17"/>
                <w:color w:val="auto"/>
              </w:rPr>
            </w:pPr>
          </w:p>
        </w:tc>
      </w:tr>
      <w:tr>
        <w:trPr>
          <w:trHeight w:val="203"/>
        </w:trPr>
        <w:tc>
          <w:tcPr>
            <w:tcW w:w="7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depicting the difference between Net Income and cash flows from</w:t>
            </w:r>
          </w:p>
        </w:tc>
        <w:tc>
          <w:tcPr>
            <w:tcW w:w="540" w:type="dxa"/>
            <w:vAlign w:val="bottom"/>
          </w:tcPr>
          <w:p>
            <w:pPr>
              <w:spacing w:after="0"/>
              <w:rPr>
                <w:sz w:val="17"/>
                <w:szCs w:val="17"/>
                <w:color w:val="auto"/>
              </w:rPr>
            </w:pPr>
          </w:p>
        </w:tc>
      </w:tr>
      <w:tr>
        <w:trPr>
          <w:trHeight w:val="203"/>
        </w:trPr>
        <w:tc>
          <w:tcPr>
            <w:tcW w:w="7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operating activities shown in the Reconciliation section of the</w:t>
            </w:r>
          </w:p>
        </w:tc>
        <w:tc>
          <w:tcPr>
            <w:tcW w:w="540" w:type="dxa"/>
            <w:vAlign w:val="bottom"/>
          </w:tcPr>
          <w:p>
            <w:pPr>
              <w:spacing w:after="0"/>
              <w:rPr>
                <w:sz w:val="17"/>
                <w:szCs w:val="17"/>
                <w:color w:val="auto"/>
              </w:rPr>
            </w:pP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Consolidated Statements of Cash Flows.</w:t>
            </w: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6480" w:type="dxa"/>
            <w:vAlign w:val="bottom"/>
            <w:gridSpan w:val="5"/>
          </w:tcPr>
          <w:p>
            <w:pPr>
              <w:ind w:left="540"/>
              <w:spacing w:after="0" w:line="203" w:lineRule="exact"/>
              <w:rPr>
                <w:sz w:val="20"/>
                <w:szCs w:val="20"/>
                <w:color w:val="auto"/>
              </w:rPr>
            </w:pPr>
            <w:r>
              <w:rPr>
                <w:rFonts w:ascii="Courier New" w:cs="Courier New" w:eastAsia="Courier New" w:hAnsi="Courier New"/>
                <w:sz w:val="18"/>
                <w:szCs w:val="18"/>
                <w:color w:val="auto"/>
                <w:w w:val="97"/>
              </w:rPr>
              <w:t>The trend and relationship of sales volume with accounts</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receivable and inventoried cost balances, before and after the benefit</w:t>
            </w:r>
          </w:p>
        </w:tc>
        <w:tc>
          <w:tcPr>
            <w:tcW w:w="540" w:type="dxa"/>
            <w:vAlign w:val="bottom"/>
          </w:tcPr>
          <w:p>
            <w:pPr>
              <w:spacing w:after="0"/>
              <w:rPr>
                <w:sz w:val="17"/>
                <w:szCs w:val="17"/>
                <w:color w:val="auto"/>
              </w:rPr>
            </w:pPr>
          </w:p>
        </w:tc>
      </w:tr>
      <w:tr>
        <w:trPr>
          <w:trHeight w:val="203"/>
        </w:trPr>
        <w:tc>
          <w:tcPr>
            <w:tcW w:w="7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of progress payments, is a useful measure in assessing liquidity.  In</w:t>
            </w:r>
          </w:p>
        </w:tc>
        <w:tc>
          <w:tcPr>
            <w:tcW w:w="54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1989 the company's</w:t>
            </w:r>
          </w:p>
        </w:tc>
        <w:tc>
          <w:tcPr>
            <w:tcW w:w="5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net investment in these balances represented 32</w:t>
            </w:r>
          </w:p>
        </w:tc>
        <w:tc>
          <w:tcPr>
            <w:tcW w:w="54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 of sales.</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 dropped to</w:t>
            </w:r>
          </w:p>
        </w:tc>
        <w:tc>
          <w:tcPr>
            <w:tcW w:w="410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27 percent at the end of 1993 before</w:t>
            </w:r>
          </w:p>
        </w:tc>
        <w:tc>
          <w:tcPr>
            <w:tcW w:w="540" w:type="dxa"/>
            <w:vAlign w:val="bottom"/>
          </w:tcPr>
          <w:p>
            <w:pPr>
              <w:spacing w:after="0"/>
              <w:rPr>
                <w:sz w:val="17"/>
                <w:szCs w:val="17"/>
                <w:color w:val="auto"/>
              </w:rPr>
            </w:pP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rising to 33 percent at year-end</w:t>
            </w:r>
          </w:p>
        </w:tc>
        <w:tc>
          <w:tcPr>
            <w:tcW w:w="410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1994 with the acquisition of Grumman</w:t>
            </w:r>
          </w:p>
        </w:tc>
        <w:tc>
          <w:tcPr>
            <w:tcW w:w="540" w:type="dxa"/>
            <w:vAlign w:val="bottom"/>
          </w:tcPr>
          <w:p>
            <w:pPr>
              <w:spacing w:after="0"/>
              <w:rPr>
                <w:sz w:val="17"/>
                <w:szCs w:val="17"/>
                <w:color w:val="auto"/>
              </w:rPr>
            </w:pPr>
          </w:p>
        </w:tc>
      </w:tr>
      <w:tr>
        <w:trPr>
          <w:trHeight w:val="203"/>
        </w:trPr>
        <w:tc>
          <w:tcPr>
            <w:tcW w:w="7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and Vought.  The largest recent reduction in gross accounts receivable</w:t>
            </w:r>
          </w:p>
        </w:tc>
        <w:tc>
          <w:tcPr>
            <w:tcW w:w="540" w:type="dxa"/>
            <w:vAlign w:val="bottom"/>
          </w:tcPr>
          <w:p>
            <w:pPr>
              <w:spacing w:after="0"/>
              <w:rPr>
                <w:sz w:val="17"/>
                <w:szCs w:val="17"/>
                <w:color w:val="auto"/>
              </w:rPr>
            </w:pPr>
          </w:p>
        </w:tc>
      </w:tr>
      <w:tr>
        <w:trPr>
          <w:trHeight w:val="203"/>
        </w:trPr>
        <w:tc>
          <w:tcPr>
            <w:tcW w:w="4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and inventoried cost balances occurred in 1991</w:t>
            </w:r>
          </w:p>
        </w:tc>
        <w:tc>
          <w:tcPr>
            <w:tcW w:w="2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as the result of the</w:t>
            </w:r>
          </w:p>
        </w:tc>
        <w:tc>
          <w:tcPr>
            <w:tcW w:w="540" w:type="dxa"/>
            <w:vAlign w:val="bottom"/>
          </w:tcPr>
          <w:p>
            <w:pPr>
              <w:spacing w:after="0"/>
              <w:rPr>
                <w:sz w:val="17"/>
                <w:szCs w:val="17"/>
                <w:color w:val="auto"/>
              </w:rPr>
            </w:pPr>
          </w:p>
        </w:tc>
      </w:tr>
      <w:tr>
        <w:trPr>
          <w:trHeight w:val="203"/>
        </w:trPr>
        <w:tc>
          <w:tcPr>
            <w:tcW w:w="7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final billing and collection of ATF contract balances, along with the</w:t>
            </w:r>
          </w:p>
        </w:tc>
        <w:tc>
          <w:tcPr>
            <w:tcW w:w="540" w:type="dxa"/>
            <w:vAlign w:val="bottom"/>
          </w:tcPr>
          <w:p>
            <w:pPr>
              <w:spacing w:after="0"/>
              <w:rPr>
                <w:sz w:val="17"/>
                <w:szCs w:val="17"/>
                <w:color w:val="auto"/>
              </w:rPr>
            </w:pPr>
          </w:p>
        </w:tc>
      </w:tr>
      <w:tr>
        <w:trPr>
          <w:trHeight w:val="203"/>
        </w:trPr>
        <w:tc>
          <w:tcPr>
            <w:tcW w:w="7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completion of a number of B-2 contract milestones during the year.</w:t>
            </w:r>
          </w:p>
        </w:tc>
        <w:tc>
          <w:tcPr>
            <w:tcW w:w="540" w:type="dxa"/>
            <w:vAlign w:val="bottom"/>
          </w:tcPr>
          <w:p>
            <w:pPr>
              <w:spacing w:after="0"/>
              <w:rPr>
                <w:sz w:val="17"/>
                <w:szCs w:val="17"/>
                <w:color w:val="auto"/>
              </w:rPr>
            </w:pPr>
          </w:p>
        </w:tc>
      </w:tr>
      <w:tr>
        <w:trPr>
          <w:trHeight w:val="203"/>
        </w:trPr>
        <w:tc>
          <w:tcPr>
            <w:tcW w:w="7480" w:type="dxa"/>
            <w:vAlign w:val="bottom"/>
            <w:gridSpan w:val="6"/>
          </w:tcPr>
          <w:p>
            <w:pPr>
              <w:ind w:left="540"/>
              <w:spacing w:after="0" w:line="203" w:lineRule="exact"/>
              <w:rPr>
                <w:sz w:val="20"/>
                <w:szCs w:val="20"/>
                <w:color w:val="auto"/>
              </w:rPr>
            </w:pPr>
            <w:r>
              <w:rPr>
                <w:rFonts w:ascii="Courier New" w:cs="Courier New" w:eastAsia="Courier New" w:hAnsi="Courier New"/>
                <w:sz w:val="18"/>
                <w:szCs w:val="18"/>
                <w:color w:val="auto"/>
              </w:rPr>
              <w:t>The following table is a condensed summary of the detailed cash</w:t>
            </w:r>
          </w:p>
        </w:tc>
        <w:tc>
          <w:tcPr>
            <w:tcW w:w="540" w:type="dxa"/>
            <w:vAlign w:val="bottom"/>
          </w:tcPr>
          <w:p>
            <w:pPr>
              <w:spacing w:after="0"/>
              <w:rPr>
                <w:sz w:val="17"/>
                <w:szCs w:val="17"/>
                <w:color w:val="auto"/>
              </w:rPr>
            </w:pPr>
          </w:p>
        </w:tc>
      </w:tr>
      <w:tr>
        <w:trPr>
          <w:trHeight w:val="203"/>
        </w:trPr>
        <w:tc>
          <w:tcPr>
            <w:tcW w:w="7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flow information contained in the Consolidated Statements of Cash</w:t>
            </w:r>
          </w:p>
        </w:tc>
        <w:tc>
          <w:tcPr>
            <w:tcW w:w="54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Flows.</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Year ended December 31</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1994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1992</w:t>
            </w:r>
          </w:p>
        </w:tc>
        <w:tc>
          <w:tcPr>
            <w:tcW w:w="1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1991</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1990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came from</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Customers</w:t>
            </w:r>
          </w:p>
        </w:tc>
        <w:tc>
          <w:tcPr>
            <w:tcW w:w="13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98%</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Lenders</w:t>
            </w:r>
          </w:p>
        </w:tc>
        <w:tc>
          <w:tcPr>
            <w:tcW w:w="13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Buyers of assets</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went to</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Employees and suppliers of services</w:t>
            </w: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0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materials</w:t>
            </w:r>
          </w:p>
        </w:tc>
        <w:tc>
          <w:tcPr>
            <w:tcW w:w="13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93%</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3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Sellers of assets</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w:t>
            </w:r>
          </w:p>
        </w:tc>
        <w:tc>
          <w:tcPr>
            <w:tcW w:w="680" w:type="dxa"/>
            <w:vAlign w:val="bottom"/>
          </w:tcPr>
          <w:p>
            <w:pPr>
              <w:spacing w:after="0"/>
              <w:rPr>
                <w:sz w:val="17"/>
                <w:szCs w:val="17"/>
                <w:color w:val="auto"/>
              </w:rPr>
            </w:pP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Lenders</w:t>
            </w:r>
          </w:p>
        </w:tc>
        <w:tc>
          <w:tcPr>
            <w:tcW w:w="13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Suppliers of facilities</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Shareholders</w:t>
            </w:r>
          </w:p>
        </w:tc>
        <w:tc>
          <w:tcPr>
            <w:tcW w:w="13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bl>
    <w:p>
      <w:pPr>
        <w:spacing w:after="0" w:line="200" w:lineRule="exact"/>
        <w:rPr>
          <w:sz w:val="20"/>
          <w:szCs w:val="20"/>
          <w:color w:val="auto"/>
        </w:rPr>
      </w:pPr>
    </w:p>
    <w:p>
      <w:pPr>
        <w:spacing w:after="0" w:line="209"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above percentages of gross cash receipts and disbursements portray the company's ability to repay the support that was received from lenders, in 1990 and before, through improved collections from customers. The increased cash received from lenders in 1994 resulted from the acquisition of Grumman, which was financed mainly through new borrowings. Other important indicators of short-term liquidity are the trend in working capital, the current ratio, and the ratio of long-term debt to shareholders' equity. This information is reported in the table captioned Selected Financial Data.</w:t>
      </w:r>
    </w:p>
    <w:p>
      <w:pPr>
        <w:spacing w:after="0" w:line="11" w:lineRule="exact"/>
        <w:rPr>
          <w:sz w:val="20"/>
          <w:szCs w:val="20"/>
          <w:color w:val="auto"/>
        </w:rPr>
      </w:pPr>
    </w:p>
    <w:p>
      <w:pPr>
        <w:ind w:right="2839" w:firstLine="527"/>
        <w:spacing w:after="0" w:line="275" w:lineRule="auto"/>
        <w:rPr>
          <w:sz w:val="20"/>
          <w:szCs w:val="20"/>
          <w:color w:val="auto"/>
        </w:rPr>
      </w:pPr>
      <w:r>
        <w:rPr>
          <w:rFonts w:ascii="Courier New" w:cs="Courier New" w:eastAsia="Courier New" w:hAnsi="Courier New"/>
          <w:sz w:val="16"/>
          <w:szCs w:val="16"/>
          <w:color w:val="auto"/>
        </w:rPr>
        <w:t>In February of 1990 the company sold its headquarters complex in Los Angeles and applied the net proceeds of $218 million toward reducing its short-term debt. In October 1990 the company reduced its former $750 million revolving credit agreement to $400 million and</w:t>
      </w:r>
    </w:p>
    <w:p>
      <w:pPr>
        <w:sectPr>
          <w:pgSz w:w="11900" w:h="16838" w:orient="portrait"/>
          <w:cols w:equalWidth="0" w:num="1">
            <w:col w:w="10219"/>
          </w:cols>
          <w:pgMar w:left="240" w:top="142" w:right="1440" w:bottom="0" w:gutter="0" w:footer="0" w:header="0"/>
        </w:sectPr>
      </w:pPr>
    </w:p>
    <w:bookmarkStart w:id="15" w:name="page16"/>
    <w:bookmarkEnd w:id="15"/>
    <w:p>
      <w:pPr>
        <w:ind w:right="2839"/>
        <w:spacing w:after="0" w:line="237" w:lineRule="auto"/>
        <w:rPr>
          <w:sz w:val="20"/>
          <w:szCs w:val="20"/>
          <w:color w:val="auto"/>
        </w:rPr>
      </w:pPr>
      <w:r>
        <w:rPr>
          <w:rFonts w:ascii="Courier New" w:cs="Courier New" w:eastAsia="Courier New" w:hAnsi="Courier New"/>
          <w:sz w:val="18"/>
          <w:szCs w:val="18"/>
          <w:color w:val="auto"/>
        </w:rPr>
        <w:t>converted that amount of short-term debt into long-term debt repayable in 20 quarterly installments of $20 million. The company elected to prepay larger amounts. Cash flow from operations during 1992 was sufficient to enable the company to pay the four required installments totaling $80 million as well as to prepay another $60 million of this debt. In February of 1993 the last two installments totaling $40 million were prepaid and in November $210 million of notes due to institutional investors were paid. During three months of 1993 it was necessary to supplement cash provided by operations with short-term borrowings. These borrowings peaked at $232 million and none were outstanding at 1993's year end.</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connection with the financing of the Grumman acquisition the</w:t>
      </w:r>
    </w:p>
    <w:p>
      <w:pPr>
        <w:spacing w:after="0" w:line="238" w:lineRule="auto"/>
        <w:rPr>
          <w:sz w:val="20"/>
          <w:szCs w:val="20"/>
          <w:color w:val="auto"/>
        </w:rPr>
      </w:pPr>
      <w:r>
        <w:rPr>
          <w:rFonts w:ascii="Courier New" w:cs="Courier New" w:eastAsia="Courier New" w:hAnsi="Courier New"/>
          <w:sz w:val="18"/>
          <w:szCs w:val="18"/>
          <w:color w:val="auto"/>
        </w:rPr>
        <w:t>company, in April 1994, replaced the $400-million credit agreement with</w:t>
      </w:r>
    </w:p>
    <w:p>
      <w:pPr>
        <w:spacing w:after="0"/>
        <w:tabs>
          <w:tab w:leader="none" w:pos="4000" w:val="left"/>
        </w:tabs>
        <w:rPr>
          <w:sz w:val="20"/>
          <w:szCs w:val="20"/>
          <w:color w:val="auto"/>
        </w:rPr>
      </w:pPr>
      <w:r>
        <w:rPr>
          <w:rFonts w:ascii="Courier New" w:cs="Courier New" w:eastAsia="Courier New" w:hAnsi="Courier New"/>
          <w:sz w:val="18"/>
          <w:szCs w:val="18"/>
          <w:color w:val="auto"/>
        </w:rPr>
        <w:t>a new $2.8 billion Credit Agreement.</w:t>
      </w:r>
      <w:r>
        <w:rPr>
          <w:sz w:val="20"/>
          <w:szCs w:val="20"/>
          <w:color w:val="auto"/>
        </w:rPr>
        <w:tab/>
      </w:r>
      <w:r>
        <w:rPr>
          <w:rFonts w:ascii="Courier New" w:cs="Courier New" w:eastAsia="Courier New" w:hAnsi="Courier New"/>
          <w:sz w:val="16"/>
          <w:szCs w:val="16"/>
          <w:color w:val="auto"/>
        </w:rPr>
        <w:t>The new facility provided for</w:t>
      </w:r>
    </w:p>
    <w:p>
      <w:pPr>
        <w:spacing w:after="0" w:line="237" w:lineRule="auto"/>
        <w:rPr>
          <w:sz w:val="20"/>
          <w:szCs w:val="20"/>
          <w:color w:val="auto"/>
        </w:rPr>
      </w:pPr>
      <w:r>
        <w:rPr>
          <w:rFonts w:ascii="Courier New" w:cs="Courier New" w:eastAsia="Courier New" w:hAnsi="Courier New"/>
          <w:sz w:val="18"/>
          <w:szCs w:val="18"/>
          <w:color w:val="auto"/>
        </w:rPr>
        <w:t>$600 million, available on a revolving credit basis through March 1999</w:t>
      </w:r>
    </w:p>
    <w:p>
      <w:pPr>
        <w:spacing w:after="0"/>
        <w:tabs>
          <w:tab w:leader="none" w:pos="6100" w:val="left"/>
        </w:tabs>
        <w:rPr>
          <w:sz w:val="20"/>
          <w:szCs w:val="20"/>
          <w:color w:val="auto"/>
        </w:rPr>
      </w:pPr>
      <w:r>
        <w:rPr>
          <w:rFonts w:ascii="Courier New" w:cs="Courier New" w:eastAsia="Courier New" w:hAnsi="Courier New"/>
          <w:sz w:val="18"/>
          <w:szCs w:val="18"/>
          <w:color w:val="auto"/>
        </w:rPr>
        <w:t>and a $2.2 billion term loan payable through March 1999.</w:t>
      </w:r>
      <w:r>
        <w:rPr>
          <w:sz w:val="20"/>
          <w:szCs w:val="20"/>
          <w:color w:val="auto"/>
        </w:rPr>
        <w:tab/>
      </w:r>
      <w:r>
        <w:rPr>
          <w:rFonts w:ascii="Courier New" w:cs="Courier New" w:eastAsia="Courier New" w:hAnsi="Courier New"/>
          <w:sz w:val="16"/>
          <w:szCs w:val="16"/>
          <w:color w:val="auto"/>
        </w:rPr>
        <w:t>The Credit</w:t>
      </w:r>
    </w:p>
    <w:p>
      <w:pPr>
        <w:spacing w:after="0"/>
        <w:rPr>
          <w:sz w:val="20"/>
          <w:szCs w:val="20"/>
          <w:color w:val="auto"/>
        </w:rPr>
      </w:pPr>
      <w:r>
        <w:rPr>
          <w:rFonts w:ascii="Courier New" w:cs="Courier New" w:eastAsia="Courier New" w:hAnsi="Courier New"/>
          <w:sz w:val="18"/>
          <w:szCs w:val="18"/>
          <w:color w:val="auto"/>
        </w:rPr>
        <w:t>Agreement was amended in May 1994 to increase the revolving credit line</w:t>
      </w:r>
    </w:p>
    <w:p>
      <w:pPr>
        <w:spacing w:after="0"/>
        <w:tabs>
          <w:tab w:leader="none" w:pos="6000" w:val="left"/>
        </w:tabs>
        <w:rPr>
          <w:sz w:val="20"/>
          <w:szCs w:val="20"/>
          <w:color w:val="auto"/>
        </w:rPr>
      </w:pPr>
      <w:r>
        <w:rPr>
          <w:rFonts w:ascii="Courier New" w:cs="Courier New" w:eastAsia="Courier New" w:hAnsi="Courier New"/>
          <w:sz w:val="18"/>
          <w:szCs w:val="18"/>
          <w:color w:val="auto"/>
        </w:rPr>
        <w:t>to $800 million and reduce the term loan to $2 billion.</w:t>
      </w:r>
      <w:r>
        <w:rPr>
          <w:sz w:val="20"/>
          <w:szCs w:val="20"/>
          <w:color w:val="auto"/>
        </w:rPr>
        <w:tab/>
      </w:r>
      <w:r>
        <w:rPr>
          <w:rFonts w:ascii="Courier New" w:cs="Courier New" w:eastAsia="Courier New" w:hAnsi="Courier New"/>
          <w:sz w:val="16"/>
          <w:szCs w:val="16"/>
          <w:color w:val="auto"/>
        </w:rPr>
        <w:t>In October</w:t>
      </w:r>
    </w:p>
    <w:p>
      <w:pPr>
        <w:spacing w:after="0"/>
        <w:rPr>
          <w:sz w:val="20"/>
          <w:szCs w:val="20"/>
          <w:color w:val="auto"/>
        </w:rPr>
      </w:pPr>
      <w:r>
        <w:rPr>
          <w:rFonts w:ascii="Courier New" w:cs="Courier New" w:eastAsia="Courier New" w:hAnsi="Courier New"/>
          <w:sz w:val="18"/>
          <w:szCs w:val="18"/>
          <w:color w:val="auto"/>
        </w:rPr>
        <w:t>1994, the company issued $350 million of notes due in 2004 and $250</w:t>
      </w:r>
    </w:p>
    <w:p>
      <w:pPr>
        <w:spacing w:after="0"/>
        <w:tabs>
          <w:tab w:leader="none" w:pos="6940" w:val="left"/>
        </w:tabs>
        <w:rPr>
          <w:sz w:val="20"/>
          <w:szCs w:val="20"/>
          <w:color w:val="auto"/>
        </w:rPr>
      </w:pPr>
      <w:r>
        <w:rPr>
          <w:rFonts w:ascii="Courier New" w:cs="Courier New" w:eastAsia="Courier New" w:hAnsi="Courier New"/>
          <w:sz w:val="18"/>
          <w:szCs w:val="18"/>
          <w:color w:val="auto"/>
        </w:rPr>
        <w:t>million of debentures due in 2024 pursuant to a public offering.</w:t>
      </w:r>
      <w:r>
        <w:rPr>
          <w:sz w:val="20"/>
          <w:szCs w:val="20"/>
          <w:color w:val="auto"/>
        </w:rPr>
        <w:tab/>
      </w:r>
      <w:r>
        <w:rPr>
          <w:rFonts w:ascii="Courier New" w:cs="Courier New" w:eastAsia="Courier New" w:hAnsi="Courier New"/>
          <w:sz w:val="16"/>
          <w:szCs w:val="16"/>
          <w:color w:val="auto"/>
        </w:rPr>
        <w:t>The</w:t>
      </w:r>
    </w:p>
    <w:p>
      <w:pPr>
        <w:spacing w:after="0"/>
        <w:rPr>
          <w:sz w:val="20"/>
          <w:szCs w:val="20"/>
          <w:color w:val="auto"/>
        </w:rPr>
      </w:pPr>
      <w:r>
        <w:rPr>
          <w:rFonts w:ascii="Courier New" w:cs="Courier New" w:eastAsia="Courier New" w:hAnsi="Courier New"/>
          <w:sz w:val="18"/>
          <w:szCs w:val="18"/>
          <w:color w:val="auto"/>
        </w:rPr>
        <w:t>net proceeds from the offering, along with other available funds, were</w:t>
      </w:r>
    </w:p>
    <w:p>
      <w:pPr>
        <w:spacing w:after="0" w:line="237" w:lineRule="auto"/>
        <w:rPr>
          <w:sz w:val="20"/>
          <w:szCs w:val="20"/>
          <w:color w:val="auto"/>
        </w:rPr>
      </w:pPr>
      <w:r>
        <w:rPr>
          <w:rFonts w:ascii="Courier New" w:cs="Courier New" w:eastAsia="Courier New" w:hAnsi="Courier New"/>
          <w:sz w:val="18"/>
          <w:szCs w:val="18"/>
          <w:color w:val="auto"/>
        </w:rPr>
        <w:t>used to prepay $900 million in addition to paying the $100 million</w:t>
      </w:r>
    </w:p>
    <w:p>
      <w:pPr>
        <w:spacing w:after="0" w:line="238" w:lineRule="auto"/>
        <w:tabs>
          <w:tab w:leader="none" w:pos="7040" w:val="left"/>
        </w:tabs>
        <w:rPr>
          <w:sz w:val="20"/>
          <w:szCs w:val="20"/>
          <w:color w:val="auto"/>
        </w:rPr>
      </w:pPr>
      <w:r>
        <w:rPr>
          <w:rFonts w:ascii="Courier New" w:cs="Courier New" w:eastAsia="Courier New" w:hAnsi="Courier New"/>
          <w:sz w:val="18"/>
          <w:szCs w:val="18"/>
          <w:color w:val="auto"/>
        </w:rPr>
        <w:t>September quarterly installment due under the term loan facility.</w:t>
        <w:tab/>
        <w:t>In</w:t>
      </w:r>
    </w:p>
    <w:p>
      <w:pPr>
        <w:spacing w:after="0"/>
        <w:rPr>
          <w:sz w:val="20"/>
          <w:szCs w:val="20"/>
          <w:color w:val="auto"/>
        </w:rPr>
      </w:pPr>
      <w:r>
        <w:rPr>
          <w:rFonts w:ascii="Courier New" w:cs="Courier New" w:eastAsia="Courier New" w:hAnsi="Courier New"/>
          <w:sz w:val="18"/>
          <w:szCs w:val="18"/>
          <w:color w:val="auto"/>
        </w:rPr>
        <w:t>December 1994, the company amended the Credit Agreement to provide for</w:t>
      </w:r>
    </w:p>
    <w:p>
      <w:pPr>
        <w:spacing w:after="0" w:line="237" w:lineRule="auto"/>
        <w:rPr>
          <w:sz w:val="20"/>
          <w:szCs w:val="20"/>
          <w:color w:val="auto"/>
        </w:rPr>
      </w:pPr>
      <w:r>
        <w:rPr>
          <w:rFonts w:ascii="Courier New" w:cs="Courier New" w:eastAsia="Courier New" w:hAnsi="Courier New"/>
          <w:sz w:val="18"/>
          <w:szCs w:val="18"/>
          <w:color w:val="auto"/>
        </w:rPr>
        <w:t>the repayment of the remaining $1 billion balance of the term loan in</w:t>
      </w:r>
    </w:p>
    <w:p>
      <w:pPr>
        <w:spacing w:after="0"/>
        <w:rPr>
          <w:sz w:val="20"/>
          <w:szCs w:val="20"/>
          <w:color w:val="auto"/>
        </w:rPr>
      </w:pPr>
      <w:r>
        <w:rPr>
          <w:rFonts w:ascii="Courier New" w:cs="Courier New" w:eastAsia="Courier New" w:hAnsi="Courier New"/>
          <w:sz w:val="18"/>
          <w:szCs w:val="18"/>
          <w:color w:val="auto"/>
        </w:rPr>
        <w:t>14 quarterly installments of $62.5 million plus interest beginning in</w:t>
      </w:r>
    </w:p>
    <w:p>
      <w:pPr>
        <w:spacing w:after="0" w:line="237" w:lineRule="auto"/>
        <w:rPr>
          <w:sz w:val="20"/>
          <w:szCs w:val="20"/>
          <w:color w:val="auto"/>
        </w:rPr>
      </w:pPr>
      <w:r>
        <w:rPr>
          <w:rFonts w:ascii="Courier New" w:cs="Courier New" w:eastAsia="Courier New" w:hAnsi="Courier New"/>
          <w:sz w:val="18"/>
          <w:szCs w:val="18"/>
          <w:color w:val="auto"/>
        </w:rPr>
        <w:t>September 1995, with a final installment of $125 million due in March 1999.</w:t>
      </w:r>
    </w:p>
    <w:p>
      <w:pPr>
        <w:spacing w:after="0"/>
        <w:rPr>
          <w:sz w:val="20"/>
          <w:szCs w:val="20"/>
          <w:color w:val="auto"/>
        </w:rPr>
      </w:pPr>
      <w:r>
        <w:rPr>
          <w:rFonts w:ascii="Courier New" w:cs="Courier New" w:eastAsia="Courier New" w:hAnsi="Courier New"/>
          <w:sz w:val="18"/>
          <w:szCs w:val="18"/>
          <w:color w:val="auto"/>
        </w:rPr>
        <w:t>Cash flow from operations during 1994 enabled the company to prepay the</w:t>
      </w:r>
    </w:p>
    <w:p>
      <w:pPr>
        <w:spacing w:after="0" w:line="237" w:lineRule="auto"/>
        <w:rPr>
          <w:sz w:val="20"/>
          <w:szCs w:val="20"/>
          <w:color w:val="auto"/>
        </w:rPr>
      </w:pPr>
      <w:r>
        <w:rPr>
          <w:rFonts w:ascii="Courier New" w:cs="Courier New" w:eastAsia="Courier New" w:hAnsi="Courier New"/>
          <w:sz w:val="18"/>
          <w:szCs w:val="18"/>
          <w:color w:val="auto"/>
        </w:rPr>
        <w:t>$160 million of notes payable to institutional investors due in 1995 and</w:t>
      </w:r>
    </w:p>
    <w:p>
      <w:pPr>
        <w:spacing w:after="0" w:line="238" w:lineRule="auto"/>
        <w:rPr>
          <w:sz w:val="20"/>
          <w:szCs w:val="20"/>
          <w:color w:val="auto"/>
        </w:rPr>
      </w:pPr>
      <w:r>
        <w:rPr>
          <w:rFonts w:ascii="Courier New" w:cs="Courier New" w:eastAsia="Courier New" w:hAnsi="Courier New"/>
          <w:sz w:val="18"/>
          <w:szCs w:val="18"/>
          <w:color w:val="auto"/>
        </w:rPr>
        <w:t>acquire, in the open market, $58 million of notes due in 1999, while paying</w:t>
      </w:r>
    </w:p>
    <w:p>
      <w:pPr>
        <w:spacing w:after="0"/>
        <w:tabs>
          <w:tab w:leader="none" w:pos="7160" w:val="left"/>
        </w:tabs>
        <w:rPr>
          <w:sz w:val="20"/>
          <w:szCs w:val="20"/>
          <w:color w:val="auto"/>
        </w:rPr>
      </w:pPr>
      <w:r>
        <w:rPr>
          <w:rFonts w:ascii="Courier New" w:cs="Courier New" w:eastAsia="Courier New" w:hAnsi="Courier New"/>
          <w:sz w:val="18"/>
          <w:szCs w:val="18"/>
          <w:color w:val="auto"/>
        </w:rPr>
        <w:t>a net premium of $5 million for the early payments of these notes.</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charge for the premium is included in Other Deductions in the</w:t>
      </w:r>
    </w:p>
    <w:p>
      <w:pPr>
        <w:spacing w:after="0" w:line="5"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Consolidated Statements of Income. Any future near-term borrowing needs will be met through the use of short-term credit lines and the company's $800 million revolving credit agreement.</w:t>
      </w:r>
    </w:p>
    <w:p>
      <w:pPr>
        <w:spacing w:after="0" w:line="6"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To provide for long-term liquidity the company believes it could obtain additional capital from such sources as: the public or private capital markets, the further sale of assets, sale and leaseback of operating assets, and leasing rather than purchasing new assets.</w:t>
      </w:r>
    </w:p>
    <w:p>
      <w:pPr>
        <w:spacing w:after="0" w:line="1"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cash improvement program underway throughout the company since early 1989 has produced favorable results, with the expectation that further efforts will result in minimizing, if not eliminating, the need to incur additional borrowings during 1995. Cash generated from operations is expected to be sufficient in 1995 to service debt, finance capital expansion projects and continue paying dividends to the shareholders. Noncontract R&amp;D expenditures are expected to approximate $145 million in 1995 compared with $121 million in 1994.</w:t>
      </w:r>
    </w:p>
    <w:p>
      <w:pPr>
        <w:spacing w:after="0" w:line="1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Capital expenditure commitments at December 31, 1994, were approximately $115 million including $4 million for environmental control and compliance purposes. The 1995 forecast of capital expenditures is $190 million.</w:t>
      </w:r>
    </w:p>
    <w:p>
      <w:pPr>
        <w:spacing w:after="0" w:line="5"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company will continue to provide the productive capacity to perform its existing contracts, dispose of assets no longer needed to fulfill operational requirements, prepare for future contracts and conduct R&amp;D in the pursuit of developing opportunities. While these expenditures tend to limit short-term liquidity, they are made with the intention of improving the long-term growth and profitability of the company.</w:t>
      </w:r>
    </w:p>
    <w:p>
      <w:pPr>
        <w:spacing w:after="0" w:line="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Based on recent cash flow improvements, anticipated future positive cash flows, and unused and available capital resources, management believes that it is in a strong position to continue to pursue its strategic options - acquiring one or more other businesses, raising cash dividends, repurchasing outstanding common shares, or making other investments to maximize the long-term return to our shareholders.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NORTHROP</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GRUMMAN CORPORATION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Selected</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Financial Data</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08"/>
        </w:trPr>
        <w:tc>
          <w:tcPr>
            <w:tcW w:w="6220" w:type="dxa"/>
            <w:vAlign w:val="bottom"/>
            <w:gridSpan w:val="5"/>
          </w:tcPr>
          <w:p>
            <w:pPr>
              <w:spacing w:after="0"/>
              <w:rPr>
                <w:sz w:val="20"/>
                <w:szCs w:val="20"/>
                <w:color w:val="auto"/>
              </w:rPr>
            </w:pPr>
            <w:r>
              <w:rPr>
                <w:rFonts w:ascii="Courier New" w:cs="Courier New" w:eastAsia="Courier New" w:hAnsi="Courier New"/>
                <w:sz w:val="18"/>
                <w:szCs w:val="18"/>
                <w:color w:val="auto"/>
              </w:rPr>
              <w:t>Year ended December 31, $ in millions, except per share</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1990</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sales to</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United States Government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$5,672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$4,481</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$4,958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$5,102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$4,929</w:t>
            </w:r>
          </w:p>
        </w:tc>
      </w:tr>
      <w:tr>
        <w:trPr>
          <w:trHeight w:val="203"/>
        </w:trPr>
        <w:tc>
          <w:tcPr>
            <w:tcW w:w="3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 Boeing Company</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531</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w:t>
            </w:r>
          </w:p>
        </w:tc>
      </w:tr>
      <w:tr>
        <w:trPr>
          <w:trHeight w:val="203"/>
        </w:trPr>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customers</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net sales</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6,711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5,063</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5,550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5,694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5,490</w:t>
            </w:r>
          </w:p>
        </w:tc>
      </w:tr>
      <w:tr>
        <w:trPr>
          <w:trHeight w:val="405"/>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Net income</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96</w:t>
            </w: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121</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201</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210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 share</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w:t>
            </w:r>
          </w:p>
        </w:tc>
      </w:tr>
    </w:tbl>
    <w:p>
      <w:pPr>
        <w:sectPr>
          <w:pgSz w:w="11900" w:h="16838" w:orient="portrait"/>
          <w:cols w:equalWidth="0" w:num="1">
            <w:col w:w="10219"/>
          </w:cols>
          <w:pgMar w:left="240" w:top="142" w:right="1440"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Cash dividends per share</w:t>
            </w:r>
          </w:p>
        </w:tc>
        <w:tc>
          <w:tcPr>
            <w:tcW w:w="320" w:type="dxa"/>
            <w:vAlign w:val="bottom"/>
          </w:tcPr>
          <w:p>
            <w:pPr>
              <w:spacing w:after="0"/>
              <w:rPr>
                <w:sz w:val="17"/>
                <w:szCs w:val="17"/>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1.60</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1.60</w:t>
            </w:r>
          </w:p>
        </w:tc>
        <w:tc>
          <w:tcPr>
            <w:tcW w:w="320" w:type="dxa"/>
            <w:vAlign w:val="bottom"/>
          </w:tcPr>
          <w:p>
            <w:pPr>
              <w:spacing w:after="0"/>
              <w:rPr>
                <w:sz w:val="17"/>
                <w:szCs w:val="17"/>
                <w:color w:val="auto"/>
              </w:rPr>
            </w:pP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1.20</w:t>
            </w:r>
          </w:p>
        </w:tc>
        <w:tc>
          <w:tcPr>
            <w:tcW w:w="320" w:type="dxa"/>
            <w:vAlign w:val="bottom"/>
          </w:tcPr>
          <w:p>
            <w:pPr>
              <w:spacing w:after="0"/>
              <w:rPr>
                <w:sz w:val="17"/>
                <w:szCs w:val="17"/>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1.20</w:t>
            </w:r>
          </w:p>
        </w:tc>
        <w:tc>
          <w:tcPr>
            <w:tcW w:w="200" w:type="dxa"/>
            <w:vAlign w:val="bottom"/>
          </w:tcPr>
          <w:p>
            <w:pPr>
              <w:spacing w:after="0"/>
              <w:rPr>
                <w:sz w:val="17"/>
                <w:szCs w:val="17"/>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1.20</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working capital</w:t>
            </w:r>
          </w:p>
        </w:tc>
        <w:tc>
          <w:tcPr>
            <w:tcW w:w="32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467</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481</w:t>
            </w:r>
          </w:p>
        </w:tc>
        <w:tc>
          <w:tcPr>
            <w:tcW w:w="32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354</w:t>
            </w:r>
          </w:p>
        </w:tc>
        <w:tc>
          <w:tcPr>
            <w:tcW w:w="32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611</w:t>
            </w:r>
          </w:p>
        </w:tc>
        <w:tc>
          <w:tcPr>
            <w:tcW w:w="20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570</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ratio</w:t>
            </w:r>
          </w:p>
        </w:tc>
        <w:tc>
          <w:tcPr>
            <w:tcW w:w="5380" w:type="dxa"/>
            <w:vAlign w:val="bottom"/>
            <w:gridSpan w:val="9"/>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1.24 to 1 1.45 to 1 1.25 to 1 1.51 to 1 1.47 to 1</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$6,047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$2,939</w:t>
            </w: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$3,162</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$3,128</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$3,094</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32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1,633</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160</w:t>
            </w:r>
          </w:p>
        </w:tc>
        <w:tc>
          <w:tcPr>
            <w:tcW w:w="32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160</w:t>
            </w:r>
          </w:p>
        </w:tc>
        <w:tc>
          <w:tcPr>
            <w:tcW w:w="32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470</w:t>
            </w:r>
          </w:p>
        </w:tc>
        <w:tc>
          <w:tcPr>
            <w:tcW w:w="20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690</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long-term obligations</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2,757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468</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426</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688</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727</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Long-term debt as a percentage of</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126.6%</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39.8%</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66.8%</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280" w:type="dxa"/>
            <w:vAlign w:val="bottom"/>
            <w:gridSpan w:val="3"/>
          </w:tcPr>
          <w:p>
            <w:pPr>
              <w:spacing w:after="0"/>
              <w:rPr>
                <w:sz w:val="20"/>
                <w:szCs w:val="20"/>
                <w:color w:val="auto"/>
              </w:rPr>
            </w:pPr>
            <w:r>
              <w:rPr>
                <w:rFonts w:ascii="Courier New" w:cs="Courier New" w:eastAsia="Courier New" w:hAnsi="Courier New"/>
                <w:sz w:val="18"/>
                <w:szCs w:val="18"/>
                <w:color w:val="auto"/>
              </w:rPr>
              <w:t>Operating margin as a percentage of</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sales</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Average operating assets</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Net income as a percentage of</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sales</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Average assets</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Average shareholders' equity</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280" w:type="dxa"/>
            <w:vAlign w:val="bottom"/>
            <w:gridSpan w:val="3"/>
          </w:tcPr>
          <w:p>
            <w:pPr>
              <w:spacing w:after="0"/>
              <w:rPr>
                <w:sz w:val="20"/>
                <w:szCs w:val="20"/>
                <w:color w:val="auto"/>
              </w:rPr>
            </w:pPr>
            <w:r>
              <w:rPr>
                <w:rFonts w:ascii="Courier New" w:cs="Courier New" w:eastAsia="Courier New" w:hAnsi="Courier New"/>
                <w:sz w:val="18"/>
                <w:szCs w:val="18"/>
                <w:color w:val="auto"/>
              </w:rPr>
              <w:t>Research and development expenses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Contract</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$1,477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$1,603</w:t>
            </w: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$1,693</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$1,601</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$2,164</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Noncontract</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121</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Payroll and employee benefits</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2,661</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1,906</w:t>
            </w:r>
          </w:p>
        </w:tc>
        <w:tc>
          <w:tcPr>
            <w:tcW w:w="32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2,001</w:t>
            </w:r>
          </w:p>
        </w:tc>
        <w:tc>
          <w:tcPr>
            <w:tcW w:w="32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2,109</w:t>
            </w:r>
          </w:p>
        </w:tc>
        <w:tc>
          <w:tcPr>
            <w:tcW w:w="20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2,099</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employees at</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year-end</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42,400</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29,800</w:t>
            </w: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33,600</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36,200</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38,200</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shareholders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year-end</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11,241</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11,618</w:t>
            </w: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12,599</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13,607</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14,483</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Depreciation</w:t>
            </w:r>
          </w:p>
        </w:tc>
        <w:tc>
          <w:tcPr>
            <w:tcW w:w="32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  227</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214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171</w:t>
            </w:r>
          </w:p>
        </w:tc>
        <w:tc>
          <w:tcPr>
            <w:tcW w:w="20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  187</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Goodwill</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Other purchased intangibles</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Maintenance and repairs</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105</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Rent expense</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84</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280" w:type="dxa"/>
            <w:vAlign w:val="bottom"/>
            <w:gridSpan w:val="3"/>
          </w:tcPr>
          <w:p>
            <w:pPr>
              <w:spacing w:after="0"/>
              <w:rPr>
                <w:sz w:val="20"/>
                <w:szCs w:val="20"/>
                <w:color w:val="auto"/>
              </w:rPr>
            </w:pPr>
            <w:r>
              <w:rPr>
                <w:rFonts w:ascii="Courier New" w:cs="Courier New" w:eastAsia="Courier New" w:hAnsi="Courier New"/>
                <w:sz w:val="18"/>
                <w:szCs w:val="18"/>
                <w:color w:val="auto"/>
              </w:rPr>
              <w:t>Floor area (millions of square feet)</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Owned</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21.3</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Commercially leased</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7.5</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Leased from United States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Government</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9.4</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w w:val="97"/>
              </w:rPr>
              <w:t>NORTHROP GRUMMAN CORPORATION</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Item 8.  Financial Statements and Supplementary Data</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5160" w:type="dxa"/>
            <w:vAlign w:val="bottom"/>
            <w:gridSpan w:val="4"/>
          </w:tcPr>
          <w:p>
            <w:pPr>
              <w:spacing w:after="0"/>
              <w:rPr>
                <w:sz w:val="20"/>
                <w:szCs w:val="20"/>
                <w:color w:val="auto"/>
              </w:rPr>
            </w:pPr>
            <w:r>
              <w:rPr>
                <w:rFonts w:ascii="Courier New" w:cs="Courier New" w:eastAsia="Courier New" w:hAnsi="Courier New"/>
                <w:sz w:val="18"/>
                <w:szCs w:val="18"/>
                <w:color w:val="auto"/>
              </w:rPr>
              <w:t>CONSOLIDATED STATEMENTS OF FINANCIAL POSITION</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December 31, $ in millions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c>
          <w:tcPr>
            <w:tcW w:w="20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1992</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1991</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203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173</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1,202</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820</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844</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Inventoried costs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1,043</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569</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721</w:t>
            </w:r>
          </w:p>
        </w:tc>
      </w:tr>
      <w:tr>
        <w:trPr>
          <w:trHeight w:val="203"/>
        </w:trPr>
        <w:tc>
          <w:tcPr>
            <w:tcW w:w="4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Refundable federal income taxes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w:t>
            </w:r>
          </w:p>
        </w:tc>
        <w:tc>
          <w:tcPr>
            <w:tcW w:w="96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2,431</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1,560</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1,785</w:t>
            </w:r>
          </w:p>
        </w:tc>
      </w:tr>
      <w:tr>
        <w:trPr>
          <w:trHeight w:val="405"/>
        </w:trPr>
        <w:tc>
          <w:tcPr>
            <w:tcW w:w="4280" w:type="dxa"/>
            <w:vAlign w:val="bottom"/>
            <w:gridSpan w:val="3"/>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Land and land improvements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203</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857</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744</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715</w:t>
            </w:r>
          </w:p>
        </w:tc>
      </w:tr>
      <w:tr>
        <w:trPr>
          <w:trHeight w:val="203"/>
        </w:trPr>
        <w:tc>
          <w:tcPr>
            <w:tcW w:w="3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Machinery and other equipment</w:t>
            </w: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2,024</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1,898</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3,146</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2,789</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2,877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2,810</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depreciation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(1,768)</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(1,773)</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(1,753)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(1,571)</w:t>
            </w:r>
          </w:p>
        </w:tc>
      </w:tr>
      <w:tr>
        <w:trPr>
          <w:trHeight w:val="203"/>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1,378</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1,016</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1,177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1,239</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Goodwill, net of amortization of $27</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1,359</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Other purchased intangibles, net of</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amortization of $15</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376</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Prepaid pension cost, intangible</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8"/>
              </w:rPr>
              <w:t>pension asset and benefit trust fund</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222</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278</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203</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w:t>
            </w:r>
          </w:p>
        </w:tc>
        <w:tc>
          <w:tcPr>
            <w:tcW w:w="960" w:type="dxa"/>
            <w:vAlign w:val="bottom"/>
          </w:tcPr>
          <w:p>
            <w:pPr>
              <w:spacing w:after="0"/>
              <w:rPr>
                <w:sz w:val="17"/>
                <w:szCs w:val="17"/>
                <w:color w:val="auto"/>
              </w:rPr>
            </w:pPr>
          </w:p>
        </w:tc>
      </w:tr>
      <w:tr>
        <w:trPr>
          <w:trHeight w:val="203"/>
        </w:trPr>
        <w:tc>
          <w:tcPr>
            <w:tcW w:w="4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Investments in and advances to</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affiliates and sundry assets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bl>
    <w:p>
      <w:pPr>
        <w:sectPr>
          <w:pgSz w:w="11900" w:h="16838" w:orient="portrait"/>
          <w:cols w:equalWidth="0" w:num="1">
            <w:col w:w="10340"/>
          </w:cols>
          <w:pgMar w:left="240" w:top="136" w:right="131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2,238</w:t>
            </w:r>
          </w:p>
        </w:tc>
        <w:tc>
          <w:tcPr>
            <w:tcW w:w="220" w:type="dxa"/>
            <w:vAlign w:val="bottom"/>
          </w:tcPr>
          <w:p>
            <w:pPr>
              <w:spacing w:after="0"/>
              <w:rPr>
                <w:sz w:val="17"/>
                <w:szCs w:val="17"/>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363</w:t>
            </w:r>
          </w:p>
        </w:tc>
        <w:tc>
          <w:tcPr>
            <w:tcW w:w="260" w:type="dxa"/>
            <w:vAlign w:val="bottom"/>
          </w:tcPr>
          <w:p>
            <w:pPr>
              <w:spacing w:after="0"/>
              <w:rPr>
                <w:sz w:val="17"/>
                <w:szCs w:val="17"/>
                <w:color w:val="auto"/>
              </w:rPr>
            </w:pP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278</w:t>
            </w:r>
          </w:p>
        </w:tc>
        <w:tc>
          <w:tcPr>
            <w:tcW w:w="260" w:type="dxa"/>
            <w:vAlign w:val="bottom"/>
          </w:tcPr>
          <w:p>
            <w:pPr>
              <w:spacing w:after="0"/>
              <w:rPr>
                <w:sz w:val="17"/>
                <w:szCs w:val="17"/>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144</w:t>
            </w:r>
          </w:p>
        </w:tc>
        <w:tc>
          <w:tcPr>
            <w:tcW w:w="360" w:type="dxa"/>
            <w:vAlign w:val="bottom"/>
          </w:tcPr>
          <w:p>
            <w:pPr>
              <w:spacing w:after="0"/>
              <w:rPr>
                <w:sz w:val="17"/>
                <w:szCs w:val="17"/>
                <w:color w:val="auto"/>
              </w:rPr>
            </w:pP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70</w:t>
            </w:r>
          </w:p>
        </w:tc>
      </w:tr>
      <w:tr>
        <w:trPr>
          <w:trHeight w:val="203"/>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6,047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2,939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3,162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3,094</w:t>
            </w:r>
          </w:p>
        </w:tc>
      </w:tr>
      <w:tr>
        <w:trPr>
          <w:trHeight w:val="810"/>
        </w:trPr>
        <w:tc>
          <w:tcPr>
            <w:tcW w:w="3280" w:type="dxa"/>
            <w:vAlign w:val="bottom"/>
            <w:gridSpan w:val="3"/>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810"/>
        </w:trPr>
        <w:tc>
          <w:tcPr>
            <w:tcW w:w="3280" w:type="dxa"/>
            <w:vAlign w:val="bottom"/>
            <w:gridSpan w:val="3"/>
          </w:tcPr>
          <w:p>
            <w:pPr>
              <w:spacing w:after="0"/>
              <w:rPr>
                <w:sz w:val="20"/>
                <w:szCs w:val="20"/>
                <w:color w:val="auto"/>
              </w:rPr>
            </w:pPr>
            <w:r>
              <w:rPr>
                <w:rFonts w:ascii="Courier New" w:cs="Courier New" w:eastAsia="Courier New" w:hAnsi="Courier New"/>
                <w:sz w:val="18"/>
                <w:szCs w:val="18"/>
                <w:color w:val="auto"/>
              </w:rPr>
              <w:t>December 31, $ in millions</w:t>
            </w: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2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1992</w:t>
            </w:r>
          </w:p>
        </w:tc>
        <w:tc>
          <w:tcPr>
            <w:tcW w:w="2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1991</w:t>
            </w:r>
          </w:p>
        </w:tc>
        <w:tc>
          <w:tcPr>
            <w:tcW w:w="36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4900" w:type="dxa"/>
            <w:vAlign w:val="bottom"/>
            <w:gridSpan w:val="4"/>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Notes payable to banks</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171</w:t>
            </w:r>
          </w:p>
        </w:tc>
        <w:tc>
          <w:tcPr>
            <w:tcW w:w="220" w:type="dxa"/>
            <w:vAlign w:val="bottom"/>
          </w:tcPr>
          <w:p>
            <w:pPr>
              <w:spacing w:after="0"/>
              <w:rPr>
                <w:sz w:val="17"/>
                <w:szCs w:val="17"/>
                <w:color w:val="auto"/>
              </w:rPr>
            </w:pPr>
          </w:p>
        </w:tc>
        <w:tc>
          <w:tcPr>
            <w:tcW w:w="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spacing w:after="0"/>
              <w:rPr>
                <w:sz w:val="17"/>
                <w:szCs w:val="17"/>
                <w:color w:val="auto"/>
              </w:rPr>
            </w:pPr>
          </w:p>
        </w:tc>
      </w:tr>
      <w:tr>
        <w:trPr>
          <w:trHeight w:val="203"/>
        </w:trPr>
        <w:tc>
          <w:tcPr>
            <w:tcW w:w="49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w:t>
            </w:r>
          </w:p>
        </w:tc>
        <w:tc>
          <w:tcPr>
            <w:tcW w:w="3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w:t>
            </w:r>
          </w:p>
        </w:tc>
      </w:tr>
      <w:tr>
        <w:trPr>
          <w:trHeight w:val="203"/>
        </w:trPr>
        <w:tc>
          <w:tcPr>
            <w:tcW w:w="2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Trade accounts payable</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396</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324</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363</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w:t>
            </w:r>
          </w:p>
        </w:tc>
        <w:tc>
          <w:tcPr>
            <w:tcW w:w="3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330</w:t>
            </w:r>
          </w:p>
        </w:tc>
      </w:tr>
      <w:tr>
        <w:trPr>
          <w:trHeight w:val="203"/>
        </w:trPr>
        <w:tc>
          <w:tcPr>
            <w:tcW w:w="49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Accrued employees' compensation</w:t>
            </w: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228</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w:t>
            </w:r>
          </w:p>
        </w:tc>
        <w:tc>
          <w:tcPr>
            <w:tcW w:w="3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w:t>
            </w:r>
          </w:p>
        </w:tc>
      </w:tr>
      <w:tr>
        <w:trPr>
          <w:trHeight w:val="203"/>
        </w:trPr>
        <w:tc>
          <w:tcPr>
            <w:tcW w:w="2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Advances on contracts</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184</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c>
          <w:tcPr>
            <w:tcW w:w="3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2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3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2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413</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426</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389</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w:t>
            </w:r>
          </w:p>
        </w:tc>
        <w:tc>
          <w:tcPr>
            <w:tcW w:w="3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336</w:t>
            </w:r>
          </w:p>
        </w:tc>
      </w:tr>
      <w:tr>
        <w:trPr>
          <w:trHeight w:val="203"/>
        </w:trPr>
        <w:tc>
          <w:tcPr>
            <w:tcW w:w="3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387</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w:t>
            </w:r>
          </w:p>
        </w:tc>
        <w:tc>
          <w:tcPr>
            <w:tcW w:w="3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w:t>
            </w:r>
          </w:p>
        </w:tc>
      </w:tr>
      <w:tr>
        <w:trPr>
          <w:trHeight w:val="203"/>
        </w:trPr>
        <w:tc>
          <w:tcPr>
            <w:tcW w:w="3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1,964</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1,079</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1,406</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1,196</w:t>
            </w:r>
          </w:p>
        </w:tc>
        <w:tc>
          <w:tcPr>
            <w:tcW w:w="3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1,215</w:t>
            </w: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Long-term debt</w:t>
            </w: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1,633</w:t>
            </w:r>
          </w:p>
        </w:tc>
        <w:tc>
          <w:tcPr>
            <w:tcW w:w="2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w:t>
            </w:r>
          </w:p>
        </w:tc>
        <w:tc>
          <w:tcPr>
            <w:tcW w:w="26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w:t>
            </w:r>
          </w:p>
        </w:tc>
        <w:tc>
          <w:tcPr>
            <w:tcW w:w="2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470</w:t>
            </w:r>
          </w:p>
        </w:tc>
        <w:tc>
          <w:tcPr>
            <w:tcW w:w="36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690</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Accrued retiree benefits</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1,070</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308</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266</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w:t>
            </w:r>
          </w:p>
        </w:tc>
        <w:tc>
          <w:tcPr>
            <w:tcW w:w="3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Other long term obligations</w:t>
            </w: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Deferred gain on sale/leaseback</w:t>
            </w: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3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c>
          <w:tcPr>
            <w:tcW w:w="3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w:t>
            </w: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Shareholders' equity</w:t>
            </w: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2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Paid-in capital</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90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Preferred stock, 10,000,000 shares</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90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authorized; and none issued</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90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Common stock, 200,000,000 shares</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90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authorized; issued and outstanding</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1994</w:t>
            </w:r>
          </w:p>
        </w:tc>
        <w:tc>
          <w:tcPr>
            <w:tcW w:w="1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49,241,642;</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48,913,403;</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1992</w:t>
            </w:r>
          </w:p>
        </w:tc>
        <w:tc>
          <w:tcPr>
            <w:tcW w:w="1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47,398,303;</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1991</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47,090,248;</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1990</w:t>
            </w:r>
          </w:p>
        </w:tc>
        <w:tc>
          <w:tcPr>
            <w:tcW w:w="1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46,937,671</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256</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207</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w:t>
            </w:r>
          </w:p>
        </w:tc>
        <w:tc>
          <w:tcPr>
            <w:tcW w:w="3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w:t>
            </w:r>
          </w:p>
        </w:tc>
      </w:tr>
      <w:tr>
        <w:trPr>
          <w:trHeight w:val="203"/>
        </w:trPr>
        <w:tc>
          <w:tcPr>
            <w:tcW w:w="2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1,026</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1,070</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1,051</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987</w:t>
            </w:r>
          </w:p>
        </w:tc>
        <w:tc>
          <w:tcPr>
            <w:tcW w:w="3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843</w:t>
            </w:r>
          </w:p>
        </w:tc>
      </w:tr>
      <w:tr>
        <w:trPr>
          <w:trHeight w:val="203"/>
        </w:trPr>
        <w:tc>
          <w:tcPr>
            <w:tcW w:w="49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Unvested employee restricted award shares</w:t>
            </w:r>
          </w:p>
        </w:tc>
        <w:tc>
          <w:tcPr>
            <w:tcW w:w="5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3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9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Unfunded pension losses, net of taxes</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1,290</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1,322</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1,254</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1,182</w:t>
            </w:r>
          </w:p>
        </w:tc>
        <w:tc>
          <w:tcPr>
            <w:tcW w:w="3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1,033</w:t>
            </w:r>
          </w:p>
        </w:tc>
      </w:tr>
      <w:tr>
        <w:trPr>
          <w:trHeight w:val="203"/>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6,047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2,939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3,162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3,094</w:t>
            </w:r>
          </w:p>
        </w:tc>
      </w:tr>
    </w:tbl>
    <w:p>
      <w:pPr>
        <w:spacing w:after="0" w:line="200" w:lineRule="exact"/>
        <w:rPr>
          <w:sz w:val="20"/>
          <w:szCs w:val="20"/>
          <w:color w:val="auto"/>
        </w:rPr>
      </w:pPr>
    </w:p>
    <w:p>
      <w:pPr>
        <w:spacing w:after="0" w:line="209" w:lineRule="exact"/>
        <w:rPr>
          <w:sz w:val="20"/>
          <w:szCs w:val="20"/>
          <w:color w:val="auto"/>
        </w:rPr>
      </w:pPr>
    </w:p>
    <w:p>
      <w:pPr>
        <w:ind w:right="2440"/>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CONSOLIDATED STATEMENTS OF INCOME</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Year ended December 31, $ in millions,</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except per share</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1992</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1991</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1990</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6,711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5,063</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5,550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5,694</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5,490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costs</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5,477</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4,385</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4,877</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4,817</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4,746</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and general expenses</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753</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485</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455</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531</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451</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Special termination benefits</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282</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193</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218</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346</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income(deductions)</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 on sale of Corporate Headquarters</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6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6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(38)</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 and cumulative</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 of accounting principle changes</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170</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277</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and foreign income taxes</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cumulative effect of</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principle changes</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on prior years of</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accounting principles for</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Retiree health care and life insurance</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benefits</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Weighted average common shares</w:t>
      </w:r>
    </w:p>
    <w:p>
      <w:pPr>
        <w:sectPr>
          <w:pgSz w:w="11900" w:h="16838" w:orient="portrait"/>
          <w:cols w:equalWidth="0" w:num="1">
            <w:col w:w="10340"/>
          </w:cols>
          <w:pgMar w:left="240" w:top="136" w:right="131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4"/>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outstanding, in millions</w:t>
            </w:r>
          </w:p>
        </w:tc>
        <w:tc>
          <w:tcPr>
            <w:tcW w:w="800" w:type="dxa"/>
            <w:vAlign w:val="bottom"/>
          </w:tcPr>
          <w:p>
            <w:pPr>
              <w:spacing w:after="0"/>
              <w:rPr>
                <w:sz w:val="17"/>
                <w:szCs w:val="17"/>
                <w:color w:val="auto"/>
              </w:rPr>
            </w:pP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49.2</w:t>
            </w:r>
          </w:p>
        </w:tc>
        <w:tc>
          <w:tcPr>
            <w:tcW w:w="380" w:type="dxa"/>
            <w:vAlign w:val="bottom"/>
          </w:tcPr>
          <w:p>
            <w:pPr>
              <w:spacing w:after="0"/>
              <w:rPr>
                <w:sz w:val="17"/>
                <w:szCs w:val="17"/>
                <w:color w:val="auto"/>
              </w:rPr>
            </w:pPr>
          </w:p>
        </w:tc>
        <w:tc>
          <w:tcPr>
            <w:tcW w:w="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48.1</w:t>
            </w:r>
          </w:p>
        </w:tc>
        <w:tc>
          <w:tcPr>
            <w:tcW w:w="360" w:type="dxa"/>
            <w:vAlign w:val="bottom"/>
          </w:tcPr>
          <w:p>
            <w:pPr>
              <w:spacing w:after="0"/>
              <w:rPr>
                <w:sz w:val="17"/>
                <w:szCs w:val="17"/>
                <w:color w:val="auto"/>
              </w:rPr>
            </w:pP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47.2</w:t>
            </w:r>
          </w:p>
        </w:tc>
        <w:tc>
          <w:tcPr>
            <w:tcW w:w="320" w:type="dxa"/>
            <w:vAlign w:val="bottom"/>
          </w:tcPr>
          <w:p>
            <w:pPr>
              <w:spacing w:after="0"/>
              <w:rPr>
                <w:sz w:val="17"/>
                <w:szCs w:val="17"/>
                <w:color w:val="auto"/>
              </w:rPr>
            </w:pP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47.1</w:t>
            </w:r>
          </w:p>
        </w:tc>
        <w:tc>
          <w:tcPr>
            <w:tcW w:w="3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47.0</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Earnings per share before cumulative</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accounting principle changes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on prior years of</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accounting principles, per</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 for</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Retiree health care and life</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insurance benefits</w:t>
            </w: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(1.86)</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40"/>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CHANGES</w:t>
      </w:r>
    </w:p>
    <w:p>
      <w:pPr>
        <w:spacing w:after="0" w:line="238" w:lineRule="auto"/>
        <w:rPr>
          <w:sz w:val="20"/>
          <w:szCs w:val="20"/>
          <w:color w:val="auto"/>
        </w:rPr>
      </w:pPr>
      <w:r>
        <w:rPr>
          <w:rFonts w:ascii="Courier New" w:cs="Courier New" w:eastAsia="Courier New" w:hAnsi="Courier New"/>
          <w:sz w:val="18"/>
          <w:szCs w:val="18"/>
          <w:color w:val="auto"/>
        </w:rPr>
        <w:t>IN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Year ended December 31, $ in millions,</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except per</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1992</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1991</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1990</w:t>
            </w:r>
          </w:p>
        </w:tc>
      </w:tr>
      <w:tr>
        <w:trPr>
          <w:trHeight w:val="608"/>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w w:val="96"/>
              </w:rPr>
              <w:t>Paid-in Capital</w:t>
            </w: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At</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of year</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w:t>
            </w:r>
          </w:p>
        </w:tc>
      </w:tr>
      <w:tr>
        <w:trPr>
          <w:trHeight w:val="203"/>
        </w:trPr>
        <w:tc>
          <w:tcPr>
            <w:tcW w:w="4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Employee stock awards and options</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exercised, net of forfeitures</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At</w:t>
            </w:r>
          </w:p>
        </w:tc>
        <w:tc>
          <w:tcPr>
            <w:tcW w:w="4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end of year</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265</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256</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w:t>
            </w:r>
          </w:p>
        </w:tc>
      </w:tr>
      <w:tr>
        <w:trPr>
          <w:trHeight w:val="405"/>
        </w:trPr>
        <w:tc>
          <w:tcPr>
            <w:tcW w:w="4860" w:type="dxa"/>
            <w:vAlign w:val="bottom"/>
            <w:gridSpan w:val="3"/>
          </w:tcPr>
          <w:p>
            <w:pPr>
              <w:spacing w:after="0"/>
              <w:rPr>
                <w:sz w:val="20"/>
                <w:szCs w:val="20"/>
                <w:color w:val="auto"/>
              </w:rPr>
            </w:pPr>
            <w:r>
              <w:rPr>
                <w:rFonts w:ascii="Courier New" w:cs="Courier New" w:eastAsia="Courier New" w:hAnsi="Courier New"/>
                <w:sz w:val="18"/>
                <w:szCs w:val="18"/>
                <w:color w:val="auto"/>
              </w:rPr>
              <w:t>Retained Earnings</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At</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of year</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1,070</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1,051</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987</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843</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689</w:t>
            </w:r>
          </w:p>
        </w:tc>
      </w:tr>
      <w:tr>
        <w:trPr>
          <w:trHeight w:val="203"/>
        </w:trPr>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201</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w:t>
            </w:r>
          </w:p>
        </w:tc>
      </w:tr>
      <w:tr>
        <w:trPr>
          <w:trHeight w:val="203"/>
        </w:trPr>
        <w:tc>
          <w:tcPr>
            <w:tcW w:w="4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Cash dividends</w:t>
            </w:r>
          </w:p>
        </w:tc>
        <w:tc>
          <w:tcPr>
            <w:tcW w:w="6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(77)</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At</w:t>
            </w:r>
          </w:p>
        </w:tc>
        <w:tc>
          <w:tcPr>
            <w:tcW w:w="4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end of year</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1,026</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1,070</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1,051</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987</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843</w:t>
            </w:r>
          </w:p>
        </w:tc>
      </w:tr>
      <w:tr>
        <w:trPr>
          <w:trHeight w:val="405"/>
        </w:trPr>
        <w:tc>
          <w:tcPr>
            <w:tcW w:w="4860" w:type="dxa"/>
            <w:vAlign w:val="bottom"/>
            <w:gridSpan w:val="3"/>
          </w:tcPr>
          <w:p>
            <w:pPr>
              <w:spacing w:after="0"/>
              <w:rPr>
                <w:sz w:val="20"/>
                <w:szCs w:val="20"/>
                <w:color w:val="auto"/>
              </w:rPr>
            </w:pPr>
            <w:r>
              <w:rPr>
                <w:rFonts w:ascii="Courier New" w:cs="Courier New" w:eastAsia="Courier New" w:hAnsi="Courier New"/>
                <w:sz w:val="18"/>
                <w:szCs w:val="18"/>
                <w:color w:val="auto"/>
              </w:rPr>
              <w:t>Unvested Employee Restricted Award Shares</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At</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of year</w:t>
            </w:r>
          </w:p>
        </w:tc>
        <w:tc>
          <w:tcPr>
            <w:tcW w:w="6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Forfeitures,</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of grants</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At</w:t>
            </w:r>
          </w:p>
        </w:tc>
        <w:tc>
          <w:tcPr>
            <w:tcW w:w="4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end of year</w:t>
            </w:r>
          </w:p>
        </w:tc>
        <w:tc>
          <w:tcPr>
            <w:tcW w:w="6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4860" w:type="dxa"/>
            <w:vAlign w:val="bottom"/>
            <w:gridSpan w:val="3"/>
          </w:tcPr>
          <w:p>
            <w:pPr>
              <w:spacing w:after="0"/>
              <w:rPr>
                <w:sz w:val="20"/>
                <w:szCs w:val="20"/>
                <w:color w:val="auto"/>
              </w:rPr>
            </w:pPr>
            <w:r>
              <w:rPr>
                <w:rFonts w:ascii="Courier New" w:cs="Courier New" w:eastAsia="Courier New" w:hAnsi="Courier New"/>
                <w:sz w:val="18"/>
                <w:szCs w:val="18"/>
                <w:color w:val="auto"/>
              </w:rPr>
              <w:t>Unfunded Pension Losses, Net of Taxes</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At</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of year</w:t>
            </w:r>
          </w:p>
        </w:tc>
        <w:tc>
          <w:tcPr>
            <w:tcW w:w="6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Change in excess of additional</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minimum liability over</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unrecognized prior service costs</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At</w:t>
            </w:r>
          </w:p>
        </w:tc>
        <w:tc>
          <w:tcPr>
            <w:tcW w:w="4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end of year</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1,290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1,322</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1,254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1,182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1,033</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Book</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value per</w:t>
            </w:r>
          </w:p>
        </w:tc>
        <w:tc>
          <w:tcPr>
            <w:tcW w:w="3280" w:type="dxa"/>
            <w:vAlign w:val="bottom"/>
          </w:tcPr>
          <w:p>
            <w:pPr>
              <w:spacing w:after="0"/>
              <w:rPr>
                <w:sz w:val="20"/>
                <w:szCs w:val="20"/>
                <w:color w:val="auto"/>
              </w:rPr>
            </w:pPr>
            <w:r>
              <w:rPr>
                <w:rFonts w:ascii="Courier New" w:cs="Courier New" w:eastAsia="Courier New" w:hAnsi="Courier New"/>
                <w:sz w:val="18"/>
                <w:szCs w:val="18"/>
                <w:color w:val="auto"/>
              </w:rPr>
              <w:t>share</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26.20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27.04</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26.46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25.11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22.00</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Cash</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dividends</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 share</w:t>
            </w:r>
          </w:p>
        </w:tc>
        <w:tc>
          <w:tcPr>
            <w:tcW w:w="6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40"/>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CONSOLIDATED STATEMENTS OF CASH FLOWS</w:t>
            </w: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Year ended December 31, $ in millions</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1994</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1992</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1991</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Sources of Cash</w:t>
            </w: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received from customers</w:t>
            </w: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Progress payments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$ 2,616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$ 2,028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$ 2,647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$ 2,647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$ 2,618</w:t>
            </w:r>
          </w:p>
        </w:tc>
      </w:tr>
      <w:tr>
        <w:trPr>
          <w:trHeight w:val="203"/>
        </w:trPr>
        <w:tc>
          <w:tcPr>
            <w:tcW w:w="4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 collections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4,767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2,924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3,050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2,977</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received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 refunds received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106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cash receipts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7,413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4,963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5,570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5,724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5,615</w:t>
            </w:r>
          </w:p>
        </w:tc>
      </w:tr>
    </w:tbl>
    <w:p>
      <w:pPr>
        <w:sectPr>
          <w:pgSz w:w="11900" w:h="16838" w:orient="portrait"/>
          <w:cols w:equalWidth="0" w:num="1">
            <w:col w:w="10340"/>
          </w:cols>
          <w:pgMar w:left="240" w:top="136" w:right="131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ind w:left="220"/>
              <w:spacing w:after="0"/>
              <w:rPr>
                <w:sz w:val="20"/>
                <w:szCs w:val="20"/>
                <w:color w:val="auto"/>
              </w:rPr>
            </w:pPr>
            <w:r>
              <w:rPr>
                <w:rFonts w:ascii="Courier New" w:cs="Courier New" w:eastAsia="Courier New" w:hAnsi="Courier New"/>
                <w:sz w:val="18"/>
                <w:szCs w:val="18"/>
                <w:color w:val="auto"/>
              </w:rPr>
              <w:t>Uses of Cash</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paid to suppliers and employees</w:t>
            </w: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6,786</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4,484</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5,186</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4,986</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5,220</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paid</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cash payments</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used in operating activities</w:t>
            </w: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6,972</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4,583</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5,286</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5,115</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5,349</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441</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380</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284</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609</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266</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for purchase, net of cash acquired, of</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Grumman Corporation</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(1,842)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Vought Aircraft Company</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to property, plant and equipment</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(134)</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marketable securities</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Proceeds from sale of property, plant and equipment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252</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Funding of retiree benefit trust</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affiliates</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from affiliates, net of</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investments</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investing activities</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(1,963)</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(165)</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Borrowings under lines of credit</w:t>
            </w: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2,371</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750</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borrowings under</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lines of credit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(1,200)</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(920)</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of long-term</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debt/capital leases</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(251)</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stock</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financing activities</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1,439</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(456)</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Increase(decrease) in cash and cash equivalents</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balance at</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230</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203</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balance at end of year</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173</w:t>
            </w:r>
          </w:p>
        </w:tc>
      </w:tr>
      <w:tr>
        <w:trPr>
          <w:trHeight w:val="1013"/>
        </w:trPr>
        <w:tc>
          <w:tcPr>
            <w:tcW w:w="5220" w:type="dxa"/>
            <w:vAlign w:val="bottom"/>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10"/>
        </w:trPr>
        <w:tc>
          <w:tcPr>
            <w:tcW w:w="5220" w:type="dxa"/>
            <w:vAlign w:val="bottom"/>
          </w:tcPr>
          <w:p>
            <w:pPr>
              <w:ind w:left="220"/>
              <w:spacing w:after="0"/>
              <w:rPr>
                <w:sz w:val="20"/>
                <w:szCs w:val="20"/>
                <w:color w:val="auto"/>
              </w:rPr>
            </w:pPr>
            <w:r>
              <w:rPr>
                <w:rFonts w:ascii="Courier New" w:cs="Courier New" w:eastAsia="Courier New" w:hAnsi="Courier New"/>
                <w:sz w:val="18"/>
                <w:szCs w:val="18"/>
                <w:color w:val="auto"/>
              </w:rPr>
              <w:t>Year ended December 31, $ in millions</w:t>
            </w:r>
          </w:p>
        </w:tc>
        <w:tc>
          <w:tcPr>
            <w:tcW w:w="38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1994</w:t>
            </w:r>
          </w:p>
        </w:tc>
        <w:tc>
          <w:tcPr>
            <w:tcW w:w="26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1992</w:t>
            </w:r>
          </w:p>
        </w:tc>
        <w:tc>
          <w:tcPr>
            <w:tcW w:w="20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1991</w:t>
            </w:r>
          </w:p>
        </w:tc>
        <w:tc>
          <w:tcPr>
            <w:tcW w:w="2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Reconciliation of Net Income to Net Cash</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227</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214</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171</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intangible assets</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issued to employees</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restricted award shares</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Loss(gain) on disposals of property,</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plant and equipment</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on prior years of</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accounting principles for</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Retiree health care and life insurance</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benefits</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Noncash retiree pension cost(income)</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Special termination benefits</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Amortization of deferred gain on sale/leaseback</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Decrease(increase) in</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209</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339</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1,058</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(1,085)</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Inventoried costs</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(368)</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142</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Refundable income taxes</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Increase(decrease) in</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Progress payments</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407</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(340)</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(1,054)</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1,204</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 and accruals</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(268)</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Provisions for contract losses</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Provisions for disposal of real estate and</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 assets</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8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w:t>
            </w:r>
          </w:p>
        </w:tc>
      </w:tr>
    </w:tbl>
    <w:p>
      <w:pPr>
        <w:sectPr>
          <w:pgSz w:w="11900" w:h="16838" w:orient="portrait"/>
          <w:cols w:equalWidth="0" w:num="1">
            <w:col w:w="10340"/>
          </w:cols>
          <w:pgMar w:left="240" w:top="339" w:right="131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ind w:left="540"/>
              <w:spacing w:after="0"/>
              <w:rPr>
                <w:sz w:val="20"/>
                <w:szCs w:val="20"/>
                <w:color w:val="auto"/>
              </w:rPr>
            </w:pPr>
            <w:r>
              <w:rPr>
                <w:rFonts w:ascii="Courier New" w:cs="Courier New" w:eastAsia="Courier New" w:hAnsi="Courier New"/>
                <w:sz w:val="18"/>
                <w:szCs w:val="18"/>
                <w:color w:val="auto"/>
              </w:rPr>
              <w:t>Income</w:t>
            </w:r>
          </w:p>
        </w:tc>
        <w:tc>
          <w:tcPr>
            <w:tcW w:w="3680" w:type="dxa"/>
            <w:vAlign w:val="bottom"/>
          </w:tcPr>
          <w:p>
            <w:pPr>
              <w:ind w:left="60"/>
              <w:spacing w:after="0"/>
              <w:rPr>
                <w:sz w:val="20"/>
                <w:szCs w:val="20"/>
                <w:color w:val="auto"/>
              </w:rPr>
            </w:pPr>
            <w:r>
              <w:rPr>
                <w:rFonts w:ascii="Courier New" w:cs="Courier New" w:eastAsia="Courier New" w:hAnsi="Courier New"/>
                <w:sz w:val="18"/>
                <w:szCs w:val="18"/>
                <w:color w:val="auto"/>
              </w:rPr>
              <w:t>taxes payable</w:t>
            </w: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c>
          <w:tcPr>
            <w:tcW w:w="320" w:type="dxa"/>
            <w:vAlign w:val="bottom"/>
          </w:tcPr>
          <w:p>
            <w:pPr>
              <w:spacing w:after="0"/>
              <w:rPr>
                <w:sz w:val="17"/>
                <w:szCs w:val="17"/>
                <w:color w:val="auto"/>
              </w:rPr>
            </w:pP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w:t>
            </w:r>
          </w:p>
        </w:tc>
        <w:tc>
          <w:tcPr>
            <w:tcW w:w="42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rPr>
              <w:t>(25)</w:t>
            </w:r>
          </w:p>
        </w:tc>
        <w:tc>
          <w:tcPr>
            <w:tcW w:w="360" w:type="dxa"/>
            <w:vAlign w:val="bottom"/>
          </w:tcPr>
          <w:p>
            <w:pPr>
              <w:spacing w:after="0"/>
              <w:rPr>
                <w:sz w:val="17"/>
                <w:szCs w:val="17"/>
                <w:color w:val="auto"/>
              </w:rPr>
            </w:pP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w:t>
            </w:r>
          </w:p>
        </w:tc>
        <w:tc>
          <w:tcPr>
            <w:tcW w:w="3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r>
      <w:tr>
        <w:trPr>
          <w:trHeight w:val="203"/>
        </w:trPr>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noncash transactions</w:t>
            </w:r>
          </w:p>
        </w:tc>
        <w:tc>
          <w:tcPr>
            <w:tcW w:w="4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441</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284</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609</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266</w:t>
            </w: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Noncash Investing and Financing Activities:</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w:t>
            </w:r>
          </w:p>
        </w:tc>
        <w:tc>
          <w:tcPr>
            <w:tcW w:w="3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Grumman Corporation</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Fair value of assets acquired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3,495</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w:t>
            </w:r>
          </w:p>
        </w:tc>
        <w:tc>
          <w:tcPr>
            <w:tcW w:w="3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(2,129)</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Liabilities assumed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1,366</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Purchase of</w:t>
            </w:r>
          </w:p>
        </w:tc>
        <w:tc>
          <w:tcPr>
            <w:tcW w:w="3680" w:type="dxa"/>
            <w:vAlign w:val="bottom"/>
          </w:tcPr>
          <w:p>
            <w:pPr>
              <w:ind w:left="60"/>
              <w:spacing w:after="0"/>
              <w:rPr>
                <w:sz w:val="20"/>
                <w:szCs w:val="20"/>
                <w:color w:val="auto"/>
              </w:rPr>
            </w:pPr>
            <w:r>
              <w:rPr>
                <w:rFonts w:ascii="Courier New" w:cs="Courier New" w:eastAsia="Courier New" w:hAnsi="Courier New"/>
                <w:sz w:val="18"/>
                <w:szCs w:val="18"/>
                <w:color w:val="auto"/>
              </w:rPr>
              <w:t>Vought Aircraft Company</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Fair value of assets acquired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722</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w:t>
            </w:r>
          </w:p>
        </w:tc>
        <w:tc>
          <w:tcPr>
            <w:tcW w:w="3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Liabilities assumed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592</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40"/>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Significant Accounting Policies</w:t>
      </w:r>
    </w:p>
    <w:p>
      <w:pPr>
        <w:spacing w:after="0" w:line="238" w:lineRule="auto"/>
        <w:rPr>
          <w:sz w:val="20"/>
          <w:szCs w:val="20"/>
          <w:color w:val="auto"/>
        </w:rPr>
      </w:pPr>
      <w:r>
        <w:rPr>
          <w:rFonts w:ascii="Courier New" w:cs="Courier New" w:eastAsia="Courier New" w:hAnsi="Courier New"/>
          <w:sz w:val="18"/>
          <w:szCs w:val="18"/>
          <w:color w:val="auto"/>
        </w:rPr>
        <w:t>Principles of Consolidation</w:t>
      </w:r>
    </w:p>
    <w:p>
      <w:pPr>
        <w:spacing w:after="0" w:line="5" w:lineRule="exact"/>
        <w:rPr>
          <w:sz w:val="20"/>
          <w:szCs w:val="20"/>
          <w:color w:val="auto"/>
        </w:rPr>
      </w:pPr>
    </w:p>
    <w:p>
      <w:pPr>
        <w:ind w:right="3060"/>
        <w:spacing w:after="0" w:line="236" w:lineRule="auto"/>
        <w:rPr>
          <w:sz w:val="20"/>
          <w:szCs w:val="20"/>
          <w:color w:val="auto"/>
        </w:rPr>
      </w:pPr>
      <w:r>
        <w:rPr>
          <w:rFonts w:ascii="Courier New" w:cs="Courier New" w:eastAsia="Courier New" w:hAnsi="Courier New"/>
          <w:sz w:val="18"/>
          <w:szCs w:val="18"/>
          <w:color w:val="auto"/>
        </w:rPr>
        <w:t>The consolidated financial statements include the accounts of the corporation and its subsidiaries. All material intercompany accounts, transactions and profits are eliminated in consolidation.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Segment and Major Customer Data</w:t>
      </w:r>
    </w:p>
    <w:p>
      <w:pPr>
        <w:spacing w:after="0" w:line="4" w:lineRule="exact"/>
        <w:rPr>
          <w:sz w:val="20"/>
          <w:szCs w:val="20"/>
          <w:color w:val="auto"/>
        </w:rPr>
      </w:pPr>
    </w:p>
    <w:p>
      <w:pPr>
        <w:ind w:right="3060"/>
        <w:spacing w:after="0" w:line="269" w:lineRule="auto"/>
        <w:rPr>
          <w:sz w:val="20"/>
          <w:szCs w:val="20"/>
          <w:color w:val="auto"/>
        </w:rPr>
      </w:pPr>
      <w:r>
        <w:rPr>
          <w:rFonts w:ascii="Courier New" w:cs="Courier New" w:eastAsia="Courier New" w:hAnsi="Courier New"/>
          <w:sz w:val="16"/>
          <w:szCs w:val="16"/>
          <w:color w:val="auto"/>
        </w:rPr>
        <w:t>Descriptions of the company's principal products and services can be found in the Management's Discussion and Analysis section of this report. Intersegment sales are transacted at cost incurred with no profit added. Operating profit is defined to include the Other Income earned by each industry segment, but exclude costs allocated to them for general corporate expenses and state and local income taxes. For segment reporting, the amount of the costs of retiree benefit plans (pension and nonpension) allocable to contracts as determined by government cost accounting standards captioned Retiree Benefit Cost Included in Contract Costs and the income(cost) of retiree benefit plans (pension and nonpension) as calculated in conformity with financial accounting standards captioned Retiree Benefit Income(Cost) are shown separately from general corporate expenses so as not to distort operating profit as reported by industry segment. General corporate assets include cash and cash equivalents, corporate office furnishings and equipment, other unallocable property, investments in affiliates, prepaid pension cost, intangible pension asset, benefit trust fund assets and certain assets held for sale.</w:t>
      </w:r>
    </w:p>
    <w:p>
      <w:pPr>
        <w:spacing w:after="0" w:line="193" w:lineRule="exact"/>
        <w:rPr>
          <w:sz w:val="20"/>
          <w:szCs w:val="20"/>
          <w:color w:val="auto"/>
        </w:rPr>
      </w:pPr>
    </w:p>
    <w:p>
      <w:pPr>
        <w:ind w:right="2960" w:firstLine="316"/>
        <w:spacing w:after="0" w:line="237" w:lineRule="auto"/>
        <w:rPr>
          <w:sz w:val="20"/>
          <w:szCs w:val="20"/>
          <w:color w:val="auto"/>
        </w:rPr>
      </w:pPr>
      <w:r>
        <w:rPr>
          <w:rFonts w:ascii="Courier New" w:cs="Courier New" w:eastAsia="Courier New" w:hAnsi="Courier New"/>
          <w:sz w:val="18"/>
          <w:szCs w:val="18"/>
          <w:color w:val="auto"/>
        </w:rPr>
        <w:t>Sales to the company's major customer, the U.S. Government (including foreign military sales), are reported within each industry segment and in total in Selected Financial Data. The company does not conduct a significant volume of activity through foreign operations or in foreign currencies.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4" w:lineRule="exact"/>
        <w:rPr>
          <w:sz w:val="20"/>
          <w:szCs w:val="20"/>
          <w:color w:val="auto"/>
        </w:rPr>
      </w:pPr>
    </w:p>
    <w:p>
      <w:pPr>
        <w:ind w:right="2860"/>
        <w:spacing w:after="0" w:line="238" w:lineRule="auto"/>
        <w:rPr>
          <w:sz w:val="20"/>
          <w:szCs w:val="20"/>
          <w:color w:val="auto"/>
        </w:rPr>
      </w:pPr>
      <w:r>
        <w:rPr>
          <w:rFonts w:ascii="Courier New" w:cs="Courier New" w:eastAsia="Courier New" w:hAnsi="Courier New"/>
          <w:sz w:val="18"/>
          <w:szCs w:val="18"/>
          <w:color w:val="auto"/>
        </w:rPr>
        <w:t>Sales under cost-reimbursement, service, research and development, and construction-type contracts are recorded as costs are incurred and include estimated earned fees or profits calculated on the basis of the relationship between costs incurred and total estimated costs (cost-to-cost type of percentage-of-completion method of accounting). Construction-type contracts embrace those fixed-price type contracts that provide for the delivery at a low volume per year or a small number of units after a lengthy period of time over which a significant amount of costs have been incurred. Sales under other types of contracts are recorded as deliveries are made and are computed on the basis of the estimated final average unit cost plus profit (units-of-delivery type of percentage-of-completion method of accounting).</w:t>
      </w:r>
    </w:p>
    <w:p>
      <w:pPr>
        <w:spacing w:after="0" w:line="5" w:lineRule="exact"/>
        <w:rPr>
          <w:sz w:val="20"/>
          <w:szCs w:val="20"/>
          <w:color w:val="auto"/>
        </w:rPr>
      </w:pPr>
    </w:p>
    <w:p>
      <w:pPr>
        <w:ind w:right="2960" w:firstLine="316"/>
        <w:spacing w:after="0" w:line="271" w:lineRule="auto"/>
        <w:rPr>
          <w:sz w:val="20"/>
          <w:szCs w:val="20"/>
          <w:color w:val="auto"/>
        </w:rPr>
      </w:pPr>
      <w:r>
        <w:rPr>
          <w:rFonts w:ascii="Courier New" w:cs="Courier New" w:eastAsia="Courier New" w:hAnsi="Courier New"/>
          <w:sz w:val="16"/>
          <w:szCs w:val="16"/>
          <w:color w:val="auto"/>
        </w:rPr>
        <w:t>Certain contracts contain provisions for price redetermination or for cost or performance incentives. Such redetermined amounts or incentives are included in sales when the amounts can reasonably be determined. In the case of the B-2 bomber production contract any future increases in operating margin will be recognized on a units-of-delivery basis and recorded as each equivalent production unit is delivered. Amounts representing contract change orders, claims or limitations in funding are included in sales only when they can be reliably estimated and realization is probable. In the period in which</w:t>
      </w:r>
    </w:p>
    <w:p>
      <w:pPr>
        <w:sectPr>
          <w:pgSz w:w="11900" w:h="16838" w:orient="portrait"/>
          <w:cols w:equalWidth="0" w:num="1">
            <w:col w:w="10340"/>
          </w:cols>
          <w:pgMar w:left="240" w:top="136" w:right="1319" w:bottom="0" w:gutter="0" w:footer="0" w:header="0"/>
        </w:sectPr>
      </w:pPr>
    </w:p>
    <w:bookmarkStart w:id="21" w:name="page22"/>
    <w:bookmarkEnd w:id="21"/>
    <w:p>
      <w:pPr>
        <w:ind w:right="2739"/>
        <w:spacing w:after="0" w:line="270" w:lineRule="auto"/>
        <w:rPr>
          <w:sz w:val="20"/>
          <w:szCs w:val="20"/>
          <w:color w:val="auto"/>
        </w:rPr>
      </w:pPr>
      <w:r>
        <w:rPr>
          <w:rFonts w:ascii="Courier New" w:cs="Courier New" w:eastAsia="Courier New" w:hAnsi="Courier New"/>
          <w:sz w:val="16"/>
          <w:szCs w:val="16"/>
          <w:color w:val="auto"/>
        </w:rPr>
        <w:t>it is determined that a loss will result from the performance of a contract, the entire amount of the estimated ultimate loss is charged against income. Loss provisions are first offset against costs that are included in assets, with any remaining amount reflected in Other Current Liabilities. Other changes in estimates of sales, costs, and profits are recognized using the cumulative catch-up method of accounting. This method recognizes in the current period the cumulative effect of the changes on current and prior periods. Hence, the effect of the changes on future periods of contract performance is recognized as if the revised estimates had been the original estimates.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Research and Development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Customer-sponsored research and development costs (direct and indirect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incurred pursuant to contractual arrangements) are accounted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like other contract costs.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Noncontract Research and Development</w:t>
      </w:r>
    </w:p>
    <w:p>
      <w:pPr>
        <w:spacing w:after="0" w:line="4" w:lineRule="exact"/>
        <w:rPr>
          <w:sz w:val="20"/>
          <w:szCs w:val="20"/>
          <w:color w:val="auto"/>
        </w:rPr>
      </w:pPr>
    </w:p>
    <w:p>
      <w:pPr>
        <w:ind w:right="2939"/>
        <w:spacing w:after="0" w:line="271" w:lineRule="auto"/>
        <w:rPr>
          <w:sz w:val="20"/>
          <w:szCs w:val="20"/>
          <w:color w:val="auto"/>
        </w:rPr>
      </w:pPr>
      <w:r>
        <w:rPr>
          <w:rFonts w:ascii="Courier New" w:cs="Courier New" w:eastAsia="Courier New" w:hAnsi="Courier New"/>
          <w:sz w:val="16"/>
          <w:szCs w:val="16"/>
          <w:color w:val="auto"/>
        </w:rPr>
        <w:t>This category includes independent research and development costs (indirect costs allocable to U.S. Government contracts) and company-sponsored research and development costs (direct and indirect costs not recoverable under contractual arrangements). Independent research and development (IR&amp;D) costs are included in administrative and general expenses while company-sponsored research and development costs are charged against income as incurred.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Costs</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Environmental liabilities are accrued when the company determines its responsibility for cleanup costs and such amounts are reasonably estimable. When only a range of amounts is established and no amount within the range is better than another, the minimum amount in the range is recorded. The company does not anticipate and record insurance recoveries before collection is probable.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Swap Agreements</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company enters into interest rate swap agreements to offset the variable rate characteristic of certain term loans outstanding under the company's Credit Agreement. Interest on these interest rate swap agreements is recognized as interest income or expense in the period incurred.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Provisions for federal, state and local income taxes are calculated on reported financial statement pretax income based on current tax law and also include, in the current period, the cumulative effect of any changes in tax rates from those used previously in determining deferred tax assets and liabilities. Such provisions differ from the amounts currently payable because certain items of income and expense are recognized in different time periods for financial reporting purposes than for income tax purposes.</w:t>
      </w:r>
    </w:p>
    <w:p>
      <w:pPr>
        <w:spacing w:after="0" w:line="10" w:lineRule="exact"/>
        <w:rPr>
          <w:sz w:val="20"/>
          <w:szCs w:val="20"/>
          <w:color w:val="auto"/>
        </w:rPr>
      </w:pPr>
    </w:p>
    <w:p>
      <w:pPr>
        <w:ind w:right="3039" w:firstLine="316"/>
        <w:spacing w:after="0" w:line="237" w:lineRule="auto"/>
        <w:rPr>
          <w:sz w:val="20"/>
          <w:szCs w:val="20"/>
          <w:color w:val="auto"/>
        </w:rPr>
      </w:pPr>
      <w:r>
        <w:rPr>
          <w:rFonts w:ascii="Courier New" w:cs="Courier New" w:eastAsia="Courier New" w:hAnsi="Courier New"/>
          <w:sz w:val="18"/>
          <w:szCs w:val="18"/>
          <w:color w:val="auto"/>
        </w:rPr>
        <w:t>The company accounts for certain contracts in process using different methods of accounting for financial statements and tax reporting and thus provides deferred taxes on the difference between the financial and taxable income reported during the performance of such contracts.</w:t>
      </w:r>
    </w:p>
    <w:p>
      <w:pPr>
        <w:spacing w:after="0" w:line="6" w:lineRule="exact"/>
        <w:rPr>
          <w:sz w:val="20"/>
          <w:szCs w:val="20"/>
          <w:color w:val="auto"/>
        </w:rPr>
      </w:pPr>
    </w:p>
    <w:p>
      <w:pPr>
        <w:ind w:right="2839" w:firstLine="316"/>
        <w:spacing w:after="0" w:line="235" w:lineRule="auto"/>
        <w:rPr>
          <w:sz w:val="20"/>
          <w:szCs w:val="20"/>
          <w:color w:val="auto"/>
        </w:rPr>
      </w:pPr>
      <w:r>
        <w:rPr>
          <w:rFonts w:ascii="Courier New" w:cs="Courier New" w:eastAsia="Courier New" w:hAnsi="Courier New"/>
          <w:sz w:val="18"/>
          <w:szCs w:val="18"/>
          <w:color w:val="auto"/>
        </w:rPr>
        <w:t>State and local income and franchise tax provisions are included in administrative and general expenses.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 per Share</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Earnings per Share are based on the weighted average number of shares of common stock outstanding during each period, after giving recognition to stock splits and stock dividends. The dilutive effect of common stock equivalents, shares under stock options, was insignificant.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w:t>
      </w:r>
    </w:p>
    <w:p>
      <w:pPr>
        <w:spacing w:after="0" w:line="4"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Included are interest-earning debt instruments that mature in three months or less from the date purchased. Amounts reported in the Consolidated Statements of Financial Position approximate their fair value.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Receivable</w:t>
      </w:r>
    </w:p>
    <w:p>
      <w:pPr>
        <w:spacing w:after="0" w:line="4"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Included are amounts billed and currently due from customers under all types of contracts; amounts currently due but unbilled (primarily related to contracts accounted for under the</w:t>
      </w:r>
    </w:p>
    <w:p>
      <w:pPr>
        <w:spacing w:after="0" w:line="6"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cost-to-cost type of percentage-of-completion method of accounting); certain estimated contract changes; and claims in negotiation and amounts retained pending contract completion.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Inventoried Costs</w:t>
      </w:r>
    </w:p>
    <w:p>
      <w:pPr>
        <w:sectPr>
          <w:pgSz w:w="11900" w:h="16838" w:orient="portrait"/>
          <w:cols w:equalWidth="0" w:num="1">
            <w:col w:w="10219"/>
          </w:cols>
          <w:pgMar w:left="240" w:top="142" w:right="1440" w:bottom="0" w:gutter="0" w:footer="0" w:header="0"/>
        </w:sectPr>
      </w:pPr>
    </w:p>
    <w:bookmarkStart w:id="22" w:name="page23"/>
    <w:bookmarkEnd w:id="22"/>
    <w:p>
      <w:pPr>
        <w:ind w:right="2739"/>
        <w:spacing w:after="0" w:line="237" w:lineRule="auto"/>
        <w:rPr>
          <w:sz w:val="20"/>
          <w:szCs w:val="20"/>
          <w:color w:val="auto"/>
        </w:rPr>
      </w:pPr>
      <w:r>
        <w:rPr>
          <w:rFonts w:ascii="Courier New" w:cs="Courier New" w:eastAsia="Courier New" w:hAnsi="Courier New"/>
          <w:sz w:val="18"/>
          <w:szCs w:val="18"/>
          <w:color w:val="auto"/>
        </w:rPr>
        <w:t>Inventoried costs primarily relate to work in process under fixed-price type contracts (excluding those included in unbilled accounts receivable as previously described). They represent accumulated contract costs less the portion of such costs allocated to delivered items. Accumulated contract costs include direct production costs, factory and engineering overhead, production tooling costs, and allowable administrative and general expenses (except for general corporate expenses and IR&amp;D allocable to commercial contracts, which are charged against income as incurred).</w:t>
      </w:r>
    </w:p>
    <w:p>
      <w:pPr>
        <w:spacing w:after="0" w:line="11" w:lineRule="exact"/>
        <w:rPr>
          <w:sz w:val="20"/>
          <w:szCs w:val="20"/>
          <w:color w:val="auto"/>
        </w:rPr>
      </w:pPr>
    </w:p>
    <w:p>
      <w:pPr>
        <w:ind w:right="2839" w:firstLine="316"/>
        <w:spacing w:after="0" w:line="236" w:lineRule="auto"/>
        <w:rPr>
          <w:sz w:val="20"/>
          <w:szCs w:val="20"/>
          <w:color w:val="auto"/>
        </w:rPr>
      </w:pPr>
      <w:r>
        <w:rPr>
          <w:rFonts w:ascii="Courier New" w:cs="Courier New" w:eastAsia="Courier New" w:hAnsi="Courier New"/>
          <w:sz w:val="18"/>
          <w:szCs w:val="18"/>
          <w:color w:val="auto"/>
        </w:rPr>
        <w:t>In accordance with industry practice, inventoried costs are classified as a current asset and include amounts related to contracts having production cycles longer than one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38" w:lineRule="auto"/>
        <w:rPr>
          <w:sz w:val="20"/>
          <w:szCs w:val="20"/>
          <w:color w:val="auto"/>
        </w:rPr>
      </w:pPr>
      <w:r>
        <w:rPr>
          <w:rFonts w:ascii="Courier New" w:cs="Courier New" w:eastAsia="Courier New" w:hAnsi="Courier New"/>
          <w:sz w:val="18"/>
          <w:szCs w:val="18"/>
          <w:color w:val="auto"/>
        </w:rPr>
        <w:t>Depreciable Properties</w:t>
      </w:r>
    </w:p>
    <w:p>
      <w:pPr>
        <w:spacing w:after="0" w:line="5"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Property, plant and equipment owned by the company are depreciated over the estimated useful lives of individual assets. Capital leases providing for the transfer of ownership upon their expiration or containing bargain purchase options are amortized over the estimated useful lives of individual assets. Most of these assets are depreciated using declining-balance methods, with the remainder using the</w:t>
      </w:r>
    </w:p>
    <w:tbl>
      <w:tblPr>
        <w:tblLayout w:type="fixed"/>
        <w:tblInd w:w="0" w:type="dxa"/>
        <w:tblCellMar>
          <w:top w:w="0" w:type="dxa"/>
          <w:left w:w="0" w:type="dxa"/>
          <w:bottom w:w="0" w:type="dxa"/>
          <w:right w:w="0" w:type="dxa"/>
        </w:tblCellMar>
      </w:tblPr>
      <w:tr>
        <w:trPr>
          <w:trHeight w:val="199"/>
        </w:trPr>
        <w:tc>
          <w:tcPr>
            <w:tcW w:w="5020" w:type="dxa"/>
            <w:vAlign w:val="bottom"/>
            <w:gridSpan w:val="2"/>
          </w:tcPr>
          <w:p>
            <w:pPr>
              <w:spacing w:after="0" w:line="199" w:lineRule="exact"/>
              <w:rPr>
                <w:sz w:val="20"/>
                <w:szCs w:val="20"/>
                <w:color w:val="auto"/>
              </w:rPr>
            </w:pPr>
            <w:r>
              <w:rPr>
                <w:rFonts w:ascii="Courier New" w:cs="Courier New" w:eastAsia="Courier New" w:hAnsi="Courier New"/>
                <w:sz w:val="18"/>
                <w:szCs w:val="18"/>
                <w:color w:val="auto"/>
                <w:w w:val="98"/>
              </w:rPr>
              <w:t>straight-line method, with the following lives:</w:t>
            </w:r>
          </w:p>
        </w:tc>
        <w:tc>
          <w:tcPr>
            <w:tcW w:w="100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41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Land improvements</w:t>
            </w:r>
          </w:p>
        </w:tc>
        <w:tc>
          <w:tcPr>
            <w:tcW w:w="86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4-25</w:t>
            </w:r>
          </w:p>
        </w:tc>
      </w:tr>
      <w:tr>
        <w:trPr>
          <w:trHeight w:val="203"/>
        </w:trPr>
        <w:tc>
          <w:tcPr>
            <w:tcW w:w="41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Buildings</w:t>
            </w:r>
          </w:p>
        </w:tc>
        <w:tc>
          <w:tcPr>
            <w:tcW w:w="86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4-45</w:t>
            </w:r>
          </w:p>
        </w:tc>
      </w:tr>
      <w:tr>
        <w:trPr>
          <w:trHeight w:val="203"/>
        </w:trPr>
        <w:tc>
          <w:tcPr>
            <w:tcW w:w="502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2-20</w:t>
            </w:r>
          </w:p>
        </w:tc>
      </w:tr>
      <w:tr>
        <w:trPr>
          <w:trHeight w:val="203"/>
        </w:trPr>
        <w:tc>
          <w:tcPr>
            <w:tcW w:w="41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8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6"/>
              </w:rPr>
              <w:t>Length of lease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Goodwill and Other Purchased Intangible Assets</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Goodwill and other purchased intangible assets are amortized on a straight-line basis over periods of 40 years and a weighted average 23 years, respectively. Goodwill and other purchased intangibles balances are included in the identifiable assets of the industry segment to which they have been assigned and amortization is charged against the respective industry segment operating profit. The future profitability and cash flow of the operations to which they relate are evaluated annually. These factors, along with management's plans with respect to the operations are considered in assessing the recoverability of goodwill and other purchased intangibles.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In April 1994, the company purchased the outstanding stock of Grumman Corporation (Grumman) at a cost of $2.1 billion and financed the transaction mainly with new borrowings. The operations of Grumman since acquisition are included in the industry segments to which products are associated.</w:t>
      </w:r>
    </w:p>
    <w:p>
      <w:pPr>
        <w:spacing w:after="0" w:line="6" w:lineRule="exact"/>
        <w:rPr>
          <w:sz w:val="20"/>
          <w:szCs w:val="20"/>
          <w:color w:val="auto"/>
        </w:rPr>
      </w:pPr>
    </w:p>
    <w:p>
      <w:pPr>
        <w:ind w:right="3039" w:firstLine="316"/>
        <w:spacing w:after="0" w:line="237" w:lineRule="auto"/>
        <w:rPr>
          <w:sz w:val="20"/>
          <w:szCs w:val="20"/>
          <w:color w:val="auto"/>
        </w:rPr>
      </w:pPr>
      <w:r>
        <w:rPr>
          <w:rFonts w:ascii="Courier New" w:cs="Courier New" w:eastAsia="Courier New" w:hAnsi="Courier New"/>
          <w:sz w:val="18"/>
          <w:szCs w:val="18"/>
          <w:color w:val="auto"/>
        </w:rPr>
        <w:t>In August 1994 the company purchased the remaining 51 percent interest in Vought Aircraft Company (Vought) for $130 million cash. The company had previously purchased a 49 percent interest in Vought for $45 million in September 1992. The operations of Vought since August 1994 are included in the military and commercial aircraft industry segment.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839" w:firstLine="316"/>
        <w:spacing w:after="0" w:line="237" w:lineRule="auto"/>
        <w:rPr>
          <w:sz w:val="20"/>
          <w:szCs w:val="20"/>
          <w:color w:val="auto"/>
        </w:rPr>
      </w:pPr>
      <w:r>
        <w:rPr>
          <w:rFonts w:ascii="Courier New" w:cs="Courier New" w:eastAsia="Courier New" w:hAnsi="Courier New"/>
          <w:sz w:val="18"/>
          <w:szCs w:val="18"/>
          <w:color w:val="auto"/>
        </w:rPr>
        <w:t>The purchase method of accounting was used to record both acquisitions with estimated fair values being assigned to assets and liabilities. The excess of the purchase price over the net tangible assets acquired was assigned to identifiable intangible assets and the balance to goodwill.</w:t>
      </w:r>
    </w:p>
    <w:p>
      <w:pPr>
        <w:spacing w:after="0" w:line="6"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Northrop Corporation was renamed Northrop Grumman Corporation effective May 18, 1994. The following unaudited proforma financial information combines Northrop's, Grumman's and Vought's results of operations as if the acquisitions had taken place on January 1, 1993, and is not necessarily indicative of future operating results for Northrop Grumman.</w:t>
      </w:r>
    </w:p>
    <w:p>
      <w:pPr>
        <w:spacing w:after="0" w:line="200" w:lineRule="exact"/>
        <w:rPr>
          <w:sz w:val="20"/>
          <w:szCs w:val="20"/>
          <w:color w:val="auto"/>
        </w:rPr>
      </w:pPr>
    </w:p>
    <w:p>
      <w:pPr>
        <w:spacing w:after="0" w:line="207"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 in millions, except per share</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$7,770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$8,653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 Reclassification</w:t>
      </w:r>
    </w:p>
    <w:p>
      <w:pPr>
        <w:spacing w:after="0" w:line="4"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To conform to the presentation in 1994, certain liabilities and other deductions have been reclassified in the Consolidated Statements of Financial Position and Consolidated Statements of Income for 1993 and prior years. The reclassifications had no effect on total liabilities or net income for any period presented.</w:t>
      </w:r>
    </w:p>
    <w:p>
      <w:pPr>
        <w:sectPr>
          <w:pgSz w:w="11900" w:h="16838" w:orient="portrait"/>
          <w:cols w:equalWidth="0" w:num="1">
            <w:col w:w="10219"/>
          </w:cols>
          <w:pgMar w:left="240" w:top="142"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Accounts Receivable</w:t>
      </w:r>
    </w:p>
    <w:p>
      <w:pPr>
        <w:spacing w:after="0" w:line="4" w:lineRule="exact"/>
        <w:rPr>
          <w:sz w:val="20"/>
          <w:szCs w:val="20"/>
          <w:color w:val="auto"/>
        </w:rPr>
      </w:pPr>
    </w:p>
    <w:p>
      <w:pPr>
        <w:ind w:right="3280"/>
        <w:spacing w:after="0" w:line="268" w:lineRule="auto"/>
        <w:rPr>
          <w:sz w:val="20"/>
          <w:szCs w:val="20"/>
          <w:color w:val="auto"/>
        </w:rPr>
      </w:pPr>
      <w:r>
        <w:rPr>
          <w:rFonts w:ascii="Courier New" w:cs="Courier New" w:eastAsia="Courier New" w:hAnsi="Courier New"/>
          <w:sz w:val="16"/>
          <w:szCs w:val="16"/>
          <w:color w:val="auto"/>
        </w:rPr>
        <w:t>Unbilled amounts represent sales for which billings have not been presented to customers at year end, including differences between actual and estimated overhead and margin rates. These amounts are usually billed and collected within one year, progress payments are however received on a number of fixed-price contracts accounted for using the cost-to-cost type percentage-of-completion method.</w:t>
      </w:r>
    </w:p>
    <w:p>
      <w:pPr>
        <w:spacing w:after="0" w:line="1" w:lineRule="exact"/>
        <w:rPr>
          <w:sz w:val="20"/>
          <w:szCs w:val="20"/>
          <w:color w:val="auto"/>
        </w:rPr>
      </w:pPr>
    </w:p>
    <w:p>
      <w:pPr>
        <w:ind w:right="2860" w:firstLine="316"/>
        <w:spacing w:after="0" w:line="235" w:lineRule="auto"/>
        <w:rPr>
          <w:sz w:val="20"/>
          <w:szCs w:val="20"/>
          <w:color w:val="auto"/>
        </w:rPr>
      </w:pPr>
      <w:r>
        <w:rPr>
          <w:rFonts w:ascii="Courier New" w:cs="Courier New" w:eastAsia="Courier New" w:hAnsi="Courier New"/>
          <w:sz w:val="18"/>
          <w:szCs w:val="18"/>
          <w:color w:val="auto"/>
        </w:rPr>
        <w:t>Amounts due upon contract completion are retained by customers until work is completed and customer acceptance is obtained.</w:t>
      </w:r>
    </w:p>
    <w:p>
      <w:pPr>
        <w:spacing w:after="0" w:line="6" w:lineRule="exact"/>
        <w:rPr>
          <w:sz w:val="20"/>
          <w:szCs w:val="20"/>
          <w:color w:val="auto"/>
        </w:rPr>
      </w:pPr>
    </w:p>
    <w:p>
      <w:pPr>
        <w:ind w:right="2960" w:firstLine="316"/>
        <w:spacing w:after="0" w:line="237" w:lineRule="auto"/>
        <w:rPr>
          <w:sz w:val="20"/>
          <w:szCs w:val="20"/>
          <w:color w:val="auto"/>
        </w:rPr>
      </w:pPr>
      <w:r>
        <w:rPr>
          <w:rFonts w:ascii="Courier New" w:cs="Courier New" w:eastAsia="Courier New" w:hAnsi="Courier New"/>
          <w:sz w:val="18"/>
          <w:szCs w:val="18"/>
          <w:color w:val="auto"/>
        </w:rPr>
        <w:t>Accounts receivable at December 31, 1994, are expected to be collected in 1995 except for approximately $31 million due in 1996 and $7 million due in 1997 and later. These amounts principally relate to long-term contracts with the U.S. Government.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jc w:val="both"/>
        <w:ind w:right="3600" w:firstLine="316"/>
        <w:spacing w:after="0" w:line="236" w:lineRule="auto"/>
        <w:rPr>
          <w:sz w:val="20"/>
          <w:szCs w:val="20"/>
          <w:color w:val="auto"/>
        </w:rPr>
      </w:pPr>
      <w:r>
        <w:rPr>
          <w:rFonts w:ascii="Courier New" w:cs="Courier New" w:eastAsia="Courier New" w:hAnsi="Courier New"/>
          <w:sz w:val="18"/>
          <w:szCs w:val="18"/>
          <w:color w:val="auto"/>
        </w:rPr>
        <w:t>Allowances for doubtful amounts represent mainly estimates of overhead type costs which may not be successfully negotiated and collected.</w:t>
      </w:r>
    </w:p>
    <w:p>
      <w:pPr>
        <w:spacing w:after="0" w:line="6" w:lineRule="exact"/>
        <w:rPr>
          <w:sz w:val="20"/>
          <w:szCs w:val="20"/>
          <w:color w:val="auto"/>
        </w:rPr>
      </w:pPr>
    </w:p>
    <w:p>
      <w:pPr>
        <w:jc w:val="both"/>
        <w:ind w:right="3600" w:firstLine="105"/>
        <w:spacing w:after="0" w:line="268" w:lineRule="auto"/>
        <w:rPr>
          <w:sz w:val="20"/>
          <w:szCs w:val="20"/>
          <w:color w:val="auto"/>
        </w:rPr>
      </w:pPr>
      <w:r>
        <w:rPr>
          <w:rFonts w:ascii="Courier New" w:cs="Courier New" w:eastAsia="Courier New" w:hAnsi="Courier New"/>
          <w:sz w:val="16"/>
          <w:szCs w:val="16"/>
          <w:color w:val="auto"/>
        </w:rPr>
        <w:t>Contract loss provisions are reflected as an offset to accounts receivable to the extent related costs are contained therein.</w:t>
      </w:r>
    </w:p>
    <w:p>
      <w:pPr>
        <w:ind w:left="320"/>
        <w:spacing w:after="0" w:line="233" w:lineRule="auto"/>
        <w:rPr>
          <w:sz w:val="20"/>
          <w:szCs w:val="20"/>
          <w:color w:val="auto"/>
        </w:rPr>
      </w:pPr>
      <w:r>
        <w:rPr>
          <w:rFonts w:ascii="Courier New" w:cs="Courier New" w:eastAsia="Courier New" w:hAnsi="Courier New"/>
          <w:sz w:val="18"/>
          <w:szCs w:val="18"/>
          <w:color w:val="auto"/>
        </w:rPr>
        <w:t>Accounts receivable were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360" w:type="dxa"/>
            <w:vAlign w:val="bottom"/>
          </w:tcPr>
          <w:p>
            <w:pPr>
              <w:spacing w:after="0"/>
              <w:rPr>
                <w:sz w:val="17"/>
                <w:szCs w:val="17"/>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220" w:type="dxa"/>
            <w:vAlign w:val="bottom"/>
          </w:tcPr>
          <w:p>
            <w:pPr>
              <w:spacing w:after="0"/>
              <w:rPr>
                <w:sz w:val="17"/>
                <w:szCs w:val="17"/>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c>
          <w:tcPr>
            <w:tcW w:w="200" w:type="dxa"/>
            <w:vAlign w:val="bottom"/>
          </w:tcPr>
          <w:p>
            <w:pPr>
              <w:spacing w:after="0"/>
              <w:rPr>
                <w:sz w:val="17"/>
                <w:szCs w:val="17"/>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1992</w:t>
            </w:r>
          </w:p>
        </w:tc>
        <w:tc>
          <w:tcPr>
            <w:tcW w:w="200" w:type="dxa"/>
            <w:vAlign w:val="bottom"/>
          </w:tcPr>
          <w:p>
            <w:pPr>
              <w:spacing w:after="0"/>
              <w:rPr>
                <w:sz w:val="17"/>
                <w:szCs w:val="17"/>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1991</w:t>
            </w:r>
          </w:p>
        </w:tc>
        <w:tc>
          <w:tcPr>
            <w:tcW w:w="22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Due from U.S. Government, long-term contracts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accounts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Billed</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Unbilled</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3,140</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3,050</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3,100</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3,518</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4,467</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Progress payments received</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(2,532)</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(2,410)</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(2,467)</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(2,777)</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(3,757)</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current accounts</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1,028</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705</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715</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811</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775</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Due upon contract completion</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1,083</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719</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734</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815</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785</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Due from other customers, long-term contracts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accounts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Billed</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Unbilled</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due, long-term contracts</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1,198</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828</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813</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867</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882</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Trade and other accounts receivable</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Due from U.S. Government</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Due from other customers</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due, trade and other</w:t>
            </w: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1,266</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877</w:t>
            </w:r>
          </w:p>
        </w:tc>
        <w:tc>
          <w:tcPr>
            <w:tcW w:w="2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848</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912</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926</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Allowances for doubtful amounts</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502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Inventoried Costs</w:t>
      </w:r>
    </w:p>
    <w:p>
      <w:pPr>
        <w:spacing w:after="0" w:line="238" w:lineRule="auto"/>
        <w:rPr>
          <w:sz w:val="20"/>
          <w:szCs w:val="20"/>
          <w:color w:val="auto"/>
        </w:rPr>
      </w:pPr>
      <w:r>
        <w:rPr>
          <w:rFonts w:ascii="Courier New" w:cs="Courier New" w:eastAsia="Courier New" w:hAnsi="Courier New"/>
          <w:sz w:val="18"/>
          <w:szCs w:val="18"/>
          <w:color w:val="auto"/>
        </w:rPr>
        <w:t>Inventoried costs were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17"/>
                <w:szCs w:val="17"/>
                <w:color w:val="auto"/>
              </w:rPr>
            </w:pPr>
          </w:p>
        </w:tc>
        <w:tc>
          <w:tcPr>
            <w:tcW w:w="7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1993</w:t>
            </w:r>
          </w:p>
        </w:tc>
        <w:tc>
          <w:tcPr>
            <w:tcW w:w="280" w:type="dxa"/>
            <w:vAlign w:val="bottom"/>
          </w:tcPr>
          <w:p>
            <w:pPr>
              <w:spacing w:after="0"/>
              <w:rPr>
                <w:sz w:val="17"/>
                <w:szCs w:val="17"/>
                <w:color w:val="auto"/>
              </w:rPr>
            </w:pP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1992</w:t>
            </w:r>
          </w:p>
        </w:tc>
        <w:tc>
          <w:tcPr>
            <w:tcW w:w="260" w:type="dxa"/>
            <w:vAlign w:val="bottom"/>
          </w:tcPr>
          <w:p>
            <w:pPr>
              <w:spacing w:after="0"/>
              <w:rPr>
                <w:sz w:val="17"/>
                <w:szCs w:val="17"/>
                <w:color w:val="auto"/>
              </w:rPr>
            </w:pP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1991</w:t>
            </w:r>
          </w:p>
        </w:tc>
        <w:tc>
          <w:tcPr>
            <w:tcW w:w="260" w:type="dxa"/>
            <w:vAlign w:val="bottom"/>
          </w:tcPr>
          <w:p>
            <w:pPr>
              <w:spacing w:after="0"/>
              <w:rPr>
                <w:sz w:val="17"/>
                <w:szCs w:val="17"/>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Production costs of contracts in</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process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$1,384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1,050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 and general expenses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270</w:t>
            </w:r>
          </w:p>
        </w:tc>
        <w:tc>
          <w:tcPr>
            <w:tcW w:w="32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w:t>
            </w:r>
          </w:p>
        </w:tc>
      </w:tr>
      <w:tr>
        <w:trPr>
          <w:trHeight w:val="203"/>
        </w:trPr>
        <w:tc>
          <w:tcPr>
            <w:tcW w:w="454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1,654</w:t>
            </w:r>
          </w:p>
        </w:tc>
        <w:tc>
          <w:tcPr>
            <w:tcW w:w="32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895</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1,029</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1,082</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1,184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Progress payments received</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(611)</w:t>
            </w:r>
          </w:p>
        </w:tc>
        <w:tc>
          <w:tcPr>
            <w:tcW w:w="320" w:type="dxa"/>
            <w:vAlign w:val="bottom"/>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(326)</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(359)</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(389)</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(463)</w:t>
            </w:r>
          </w:p>
        </w:tc>
      </w:tr>
      <w:tr>
        <w:trPr>
          <w:trHeight w:val="203"/>
        </w:trPr>
        <w:tc>
          <w:tcPr>
            <w:tcW w:w="454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$1,043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569</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60" w:firstLine="421"/>
        <w:spacing w:after="0" w:line="273" w:lineRule="auto"/>
        <w:rPr>
          <w:sz w:val="20"/>
          <w:szCs w:val="20"/>
          <w:color w:val="auto"/>
        </w:rPr>
      </w:pPr>
      <w:r>
        <w:rPr>
          <w:rFonts w:ascii="Courier New" w:cs="Courier New" w:eastAsia="Courier New" w:hAnsi="Courier New"/>
          <w:sz w:val="16"/>
          <w:szCs w:val="16"/>
          <w:color w:val="auto"/>
        </w:rPr>
        <w:t>Inventoried costs relate to long-term contracts in process and include expenditures for raw materials and work in process beyond what is required for recorded orders. These expenditures are incurred to help maintain stable and efficient production schedules. However, no material amount representing claims, learning curve, unamortized</w:t>
      </w:r>
    </w:p>
    <w:p>
      <w:pPr>
        <w:sectPr>
          <w:pgSz w:w="11900" w:h="16838" w:orient="portrait"/>
          <w:cols w:equalWidth="0" w:num="1">
            <w:col w:w="10340"/>
          </w:cols>
          <w:pgMar w:left="240" w:top="136" w:right="1319" w:bottom="0" w:gutter="0" w:footer="0" w:header="0"/>
        </w:sectPr>
      </w:pPr>
    </w:p>
    <w:bookmarkStart w:id="24" w:name="page25"/>
    <w:bookmarkEnd w:id="24"/>
    <w:p>
      <w:pPr>
        <w:ind w:left="420" w:right="3280" w:hanging="420"/>
        <w:spacing w:after="0" w:line="268" w:lineRule="auto"/>
        <w:rPr>
          <w:sz w:val="20"/>
          <w:szCs w:val="20"/>
          <w:color w:val="auto"/>
        </w:rPr>
      </w:pPr>
      <w:r>
        <w:rPr>
          <w:rFonts w:ascii="Courier New" w:cs="Courier New" w:eastAsia="Courier New" w:hAnsi="Courier New"/>
          <w:sz w:val="16"/>
          <w:szCs w:val="16"/>
          <w:color w:val="auto"/>
        </w:rPr>
        <w:t>tooling or other deferred costs is included in inventoried costs. The ratio of inventoried administrative and general expenses to</w:t>
      </w:r>
    </w:p>
    <w:p>
      <w:pPr>
        <w:ind w:right="2860"/>
        <w:spacing w:after="0" w:line="235" w:lineRule="auto"/>
        <w:rPr>
          <w:sz w:val="20"/>
          <w:szCs w:val="20"/>
          <w:color w:val="auto"/>
        </w:rPr>
      </w:pPr>
      <w:r>
        <w:rPr>
          <w:rFonts w:ascii="Courier New" w:cs="Courier New" w:eastAsia="Courier New" w:hAnsi="Courier New"/>
          <w:sz w:val="18"/>
          <w:szCs w:val="18"/>
          <w:color w:val="auto"/>
        </w:rPr>
        <w:t>total inventoried costs is assumed to be the same as the ratio of total administrative and general expenses to total contract costs.</w:t>
      </w:r>
    </w:p>
    <w:p>
      <w:pPr>
        <w:spacing w:after="0" w:line="6" w:lineRule="exact"/>
        <w:rPr>
          <w:sz w:val="20"/>
          <w:szCs w:val="20"/>
          <w:color w:val="auto"/>
        </w:rPr>
      </w:pPr>
    </w:p>
    <w:p>
      <w:pPr>
        <w:ind w:right="3280" w:firstLine="421"/>
        <w:spacing w:after="0" w:line="236" w:lineRule="auto"/>
        <w:rPr>
          <w:sz w:val="20"/>
          <w:szCs w:val="20"/>
          <w:color w:val="auto"/>
        </w:rPr>
      </w:pPr>
      <w:r>
        <w:rPr>
          <w:rFonts w:ascii="Courier New" w:cs="Courier New" w:eastAsia="Courier New" w:hAnsi="Courier New"/>
          <w:sz w:val="18"/>
          <w:szCs w:val="18"/>
          <w:color w:val="auto"/>
        </w:rPr>
        <w:t>According to the provisions of U.S. Government contracts, the customer has title to, or a security interest in, substantially all inventories related to such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NORTHROP GRUMMAN</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CORPORATION</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2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83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9"/>
              </w:rPr>
              <w:t>Income tax expense, both federal and foreign (which arises primarily from work</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performed abroad</w:t>
            </w:r>
          </w:p>
        </w:tc>
        <w:tc>
          <w:tcPr>
            <w:tcW w:w="5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by domestic operations), was comprised of the following:</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2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24"/>
                <w:szCs w:val="24"/>
                <w:color w:val="auto"/>
              </w:rPr>
            </w:pPr>
          </w:p>
        </w:tc>
        <w:tc>
          <w:tcPr>
            <w:tcW w:w="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c>
          <w:tcPr>
            <w:tcW w:w="42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1992</w:t>
            </w:r>
          </w:p>
        </w:tc>
        <w:tc>
          <w:tcPr>
            <w:tcW w:w="320" w:type="dxa"/>
            <w:vAlign w:val="bottom"/>
          </w:tcPr>
          <w:p>
            <w:pPr>
              <w:spacing w:after="0"/>
              <w:rPr>
                <w:sz w:val="24"/>
                <w:szCs w:val="24"/>
                <w:color w:val="auto"/>
              </w:rPr>
            </w:pPr>
          </w:p>
        </w:tc>
        <w:tc>
          <w:tcPr>
            <w:tcW w:w="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1991</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w w:val="96"/>
              </w:rPr>
              <w:t>Currently payable</w:t>
            </w:r>
          </w:p>
        </w:tc>
        <w:tc>
          <w:tcPr>
            <w:tcW w:w="2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Federal income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Foreign income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80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42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w:t>
            </w:r>
          </w:p>
        </w:tc>
        <w:tc>
          <w:tcPr>
            <w:tcW w:w="32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w:t>
            </w:r>
          </w:p>
        </w:tc>
        <w:tc>
          <w:tcPr>
            <w:tcW w:w="42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32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32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Change in deferred federal income taxes</w:t>
            </w:r>
          </w:p>
        </w:tc>
        <w:tc>
          <w:tcPr>
            <w:tcW w:w="80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w:t>
            </w:r>
          </w:p>
        </w:tc>
        <w:tc>
          <w:tcPr>
            <w:tcW w:w="32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w:t>
            </w:r>
          </w:p>
        </w:tc>
        <w:tc>
          <w:tcPr>
            <w:tcW w:w="42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1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20" w:firstLine="527"/>
        <w:spacing w:after="0" w:line="236" w:lineRule="auto"/>
        <w:rPr>
          <w:sz w:val="20"/>
          <w:szCs w:val="20"/>
          <w:color w:val="auto"/>
        </w:rPr>
      </w:pPr>
      <w:r>
        <w:rPr>
          <w:rFonts w:ascii="Courier New" w:cs="Courier New" w:eastAsia="Courier New" w:hAnsi="Courier New"/>
          <w:sz w:val="18"/>
          <w:szCs w:val="18"/>
          <w:color w:val="auto"/>
        </w:rPr>
        <w:t>Income tax expense differs from the amount computed by multiplying the statutory federal income tax rate times the income before income taxes due to the following: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840" w:type="dxa"/>
            <w:vAlign w:val="bottom"/>
          </w:tcPr>
          <w:p>
            <w:pPr>
              <w:spacing w:after="0"/>
              <w:rPr>
                <w:sz w:val="17"/>
                <w:szCs w:val="17"/>
                <w:color w:val="auto"/>
              </w:rPr>
            </w:pP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1994</w:t>
            </w:r>
          </w:p>
        </w:tc>
        <w:tc>
          <w:tcPr>
            <w:tcW w:w="280" w:type="dxa"/>
            <w:vAlign w:val="bottom"/>
          </w:tcPr>
          <w:p>
            <w:pPr>
              <w:spacing w:after="0"/>
              <w:rPr>
                <w:sz w:val="17"/>
                <w:szCs w:val="17"/>
                <w:color w:val="auto"/>
              </w:rPr>
            </w:pPr>
          </w:p>
        </w:tc>
        <w:tc>
          <w:tcPr>
            <w:tcW w:w="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1992</w:t>
            </w:r>
          </w:p>
        </w:tc>
        <w:tc>
          <w:tcPr>
            <w:tcW w:w="32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1991</w:t>
            </w:r>
          </w:p>
        </w:tc>
        <w:tc>
          <w:tcPr>
            <w:tcW w:w="32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Income tax expense at statutory rate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23</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59</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61</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amortization</w:t>
            </w:r>
          </w:p>
        </w:tc>
        <w:tc>
          <w:tcPr>
            <w:tcW w:w="84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nondeductible expenses</w:t>
            </w:r>
          </w:p>
        </w:tc>
        <w:tc>
          <w:tcPr>
            <w:tcW w:w="84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w:t>
            </w:r>
          </w:p>
        </w:tc>
        <w:tc>
          <w:tcPr>
            <w:tcW w:w="28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16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320" w:type="dxa"/>
            <w:vAlign w:val="bottom"/>
          </w:tcPr>
          <w:p>
            <w:pPr>
              <w:spacing w:after="0"/>
              <w:rPr>
                <w:sz w:val="17"/>
                <w:szCs w:val="17"/>
                <w:color w:val="auto"/>
              </w:rPr>
            </w:pP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from ESOP dividends</w:t>
            </w:r>
          </w:p>
        </w:tc>
        <w:tc>
          <w:tcPr>
            <w:tcW w:w="8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28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w:t>
            </w:r>
          </w:p>
        </w:tc>
        <w:tc>
          <w:tcPr>
            <w:tcW w:w="1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exclusion</w:t>
            </w:r>
          </w:p>
        </w:tc>
        <w:tc>
          <w:tcPr>
            <w:tcW w:w="8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Retroactive effect of statutory rate</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experimentation tax credit</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tax credit, net</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w:t>
            </w:r>
          </w:p>
        </w:tc>
      </w:tr>
      <w:tr>
        <w:trPr>
          <w:trHeight w:val="810"/>
        </w:trPr>
        <w:tc>
          <w:tcPr>
            <w:tcW w:w="4700" w:type="dxa"/>
            <w:vAlign w:val="bottom"/>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5"/>
        </w:trPr>
        <w:tc>
          <w:tcPr>
            <w:tcW w:w="7480" w:type="dxa"/>
            <w:vAlign w:val="bottom"/>
            <w:gridSpan w:val="5"/>
          </w:tcPr>
          <w:p>
            <w:pPr>
              <w:ind w:left="320"/>
              <w:spacing w:after="0"/>
              <w:rPr>
                <w:sz w:val="20"/>
                <w:szCs w:val="20"/>
                <w:color w:val="auto"/>
              </w:rPr>
            </w:pPr>
            <w:r>
              <w:rPr>
                <w:rFonts w:ascii="Courier New" w:cs="Courier New" w:eastAsia="Courier New" w:hAnsi="Courier New"/>
                <w:sz w:val="18"/>
                <w:szCs w:val="18"/>
                <w:color w:val="auto"/>
              </w:rPr>
              <w:t>The research and experimentation tax credit shown for 1991 was the</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7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result of an internal company study that determined the amount earned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over the years 1981 through 1990 in excess of the amount previously</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recognized for those years pending final government regulations which</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were not issued until 1989.</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480" w:type="dxa"/>
            <w:vAlign w:val="bottom"/>
            <w:gridSpan w:val="5"/>
          </w:tcPr>
          <w:p>
            <w:pPr>
              <w:ind w:left="320"/>
              <w:spacing w:after="0" w:line="203" w:lineRule="exact"/>
              <w:rPr>
                <w:sz w:val="20"/>
                <w:szCs w:val="20"/>
                <w:color w:val="auto"/>
              </w:rPr>
            </w:pPr>
            <w:r>
              <w:rPr>
                <w:rFonts w:ascii="Courier New" w:cs="Courier New" w:eastAsia="Courier New" w:hAnsi="Courier New"/>
                <w:sz w:val="18"/>
                <w:szCs w:val="18"/>
                <w:color w:val="auto"/>
                <w:w w:val="98"/>
              </w:rPr>
              <w:t>Deferred income taxes arise because of differences in the treatment</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of income and expense items for financial reporting and income tax</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purposes. The principal type of temporary difference stems from the</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recognition of income on contracts being reported under different</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methods for tax purposes than for financial reporting. Effective</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January, 1991, the company adopted FASB Statement No. 109 - Accounting</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Income Taxes.</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3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The tax effects of significant temporary differences and</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carryforwards that gave rise to year-end deferred federal and state tax</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balances, as broadly categorized in the Consolidated Statements of</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Position, were as follows:</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810"/>
        </w:trPr>
        <w:tc>
          <w:tcPr>
            <w:tcW w:w="470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840" w:type="dxa"/>
            <w:vAlign w:val="bottom"/>
          </w:tcPr>
          <w:p>
            <w:pPr>
              <w:spacing w:after="0"/>
              <w:rPr>
                <w:sz w:val="24"/>
                <w:szCs w:val="24"/>
                <w:color w:val="auto"/>
              </w:rPr>
            </w:pP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1994</w:t>
            </w:r>
          </w:p>
        </w:tc>
        <w:tc>
          <w:tcPr>
            <w:tcW w:w="280" w:type="dxa"/>
            <w:vAlign w:val="bottom"/>
          </w:tcPr>
          <w:p>
            <w:pPr>
              <w:spacing w:after="0"/>
              <w:rPr>
                <w:sz w:val="24"/>
                <w:szCs w:val="24"/>
                <w:color w:val="auto"/>
              </w:rPr>
            </w:pPr>
          </w:p>
        </w:tc>
        <w:tc>
          <w:tcPr>
            <w:tcW w:w="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24"/>
                <w:szCs w:val="24"/>
                <w:color w:val="auto"/>
              </w:rPr>
            </w:pPr>
          </w:p>
        </w:tc>
        <w:tc>
          <w:tcPr>
            <w:tcW w:w="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1992</w:t>
            </w:r>
          </w:p>
        </w:tc>
        <w:tc>
          <w:tcPr>
            <w:tcW w:w="320" w:type="dxa"/>
            <w:vAlign w:val="bottom"/>
          </w:tcPr>
          <w:p>
            <w:pPr>
              <w:spacing w:after="0"/>
              <w:rPr>
                <w:sz w:val="24"/>
                <w:szCs w:val="24"/>
                <w:color w:val="auto"/>
              </w:rPr>
            </w:pPr>
          </w:p>
        </w:tc>
        <w:tc>
          <w:tcPr>
            <w:tcW w:w="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1991</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Deductible temporary differences</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Retiree benefit plan expense</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409</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 for estimated expenses</w:t>
            </w:r>
          </w:p>
        </w:tc>
        <w:tc>
          <w:tcPr>
            <w:tcW w:w="84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w:t>
            </w:r>
          </w:p>
        </w:tc>
        <w:tc>
          <w:tcPr>
            <w:tcW w:w="28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w:t>
            </w:r>
          </w:p>
        </w:tc>
        <w:tc>
          <w:tcPr>
            <w:tcW w:w="16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w:t>
            </w:r>
          </w:p>
        </w:tc>
        <w:tc>
          <w:tcPr>
            <w:tcW w:w="32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on contracts</w:t>
            </w:r>
          </w:p>
        </w:tc>
        <w:tc>
          <w:tcPr>
            <w:tcW w:w="84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w:t>
            </w:r>
          </w:p>
        </w:tc>
        <w:tc>
          <w:tcPr>
            <w:tcW w:w="28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w:t>
            </w:r>
          </w:p>
        </w:tc>
        <w:tc>
          <w:tcPr>
            <w:tcW w:w="16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32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84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52</w:t>
            </w:r>
          </w:p>
        </w:tc>
        <w:tc>
          <w:tcPr>
            <w:tcW w:w="28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16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ectPr>
          <w:pgSz w:w="11900" w:h="16838" w:orient="portrait"/>
          <w:cols w:equalWidth="0" w:num="1">
            <w:col w:w="10340"/>
          </w:cols>
          <w:pgMar w:left="240" w:top="142" w:right="131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517</w:t>
            </w:r>
          </w:p>
        </w:tc>
        <w:tc>
          <w:tcPr>
            <w:tcW w:w="260" w:type="dxa"/>
            <w:vAlign w:val="bottom"/>
          </w:tcPr>
          <w:p>
            <w:pPr>
              <w:spacing w:after="0"/>
              <w:rPr>
                <w:sz w:val="17"/>
                <w:szCs w:val="17"/>
                <w:color w:val="auto"/>
              </w:rPr>
            </w:pP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72</w:t>
            </w:r>
          </w:p>
        </w:tc>
        <w:tc>
          <w:tcPr>
            <w:tcW w:w="32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63</w:t>
            </w:r>
          </w:p>
        </w:tc>
        <w:tc>
          <w:tcPr>
            <w:tcW w:w="32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Taxable temporary differences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Purchased intangibles</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Excess tax over book depreciation</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Retiree benefit plan income</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Administrative and general expenses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period-costed for tax purposes</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516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liabilities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Taxable temporary differences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on contracts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772</w:t>
            </w: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Administrative and general expenses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period-costed for tax purposes</w:t>
            </w:r>
          </w:p>
        </w:tc>
        <w:tc>
          <w:tcPr>
            <w:tcW w:w="3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w:t>
            </w:r>
          </w:p>
        </w:tc>
        <w:tc>
          <w:tcPr>
            <w:tcW w:w="32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w:t>
            </w:r>
          </w:p>
        </w:tc>
        <w:tc>
          <w:tcPr>
            <w:tcW w:w="3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Retiree benefit plan income</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w:t>
            </w:r>
          </w:p>
        </w:tc>
        <w:tc>
          <w:tcPr>
            <w:tcW w:w="32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w:t>
            </w:r>
          </w:p>
        </w:tc>
        <w:tc>
          <w:tcPr>
            <w:tcW w:w="3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Excess tax over book depreciation</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w:t>
            </w:r>
          </w:p>
        </w:tc>
        <w:tc>
          <w:tcPr>
            <w:tcW w:w="32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w:t>
            </w:r>
          </w:p>
        </w:tc>
        <w:tc>
          <w:tcPr>
            <w:tcW w:w="3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771</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993</w:t>
            </w:r>
          </w:p>
        </w:tc>
        <w:tc>
          <w:tcPr>
            <w:tcW w:w="32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960</w:t>
            </w:r>
          </w:p>
        </w:tc>
        <w:tc>
          <w:tcPr>
            <w:tcW w:w="3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917</w:t>
            </w:r>
          </w:p>
        </w:tc>
      </w:tr>
      <w:tr>
        <w:trPr>
          <w:trHeight w:val="405"/>
        </w:trPr>
        <w:tc>
          <w:tcPr>
            <w:tcW w:w="5160" w:type="dxa"/>
            <w:vAlign w:val="bottom"/>
          </w:tcPr>
          <w:p>
            <w:pPr>
              <w:ind w:left="220"/>
              <w:spacing w:after="0"/>
              <w:rPr>
                <w:sz w:val="20"/>
                <w:szCs w:val="20"/>
                <w:color w:val="auto"/>
              </w:rPr>
            </w:pPr>
            <w:r>
              <w:rPr>
                <w:rFonts w:ascii="Courier New" w:cs="Courier New" w:eastAsia="Courier New" w:hAnsi="Courier New"/>
                <w:sz w:val="18"/>
                <w:szCs w:val="18"/>
                <w:color w:val="auto"/>
              </w:rPr>
              <w:t>Deductible temporary differences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 for estimated expenses</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(135)</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Retiree benefit plan expense</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(106)</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(250)</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(224)</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carryforwards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Tax credits</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(129)</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Alternative minimum tax credit</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(87)</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Operating losses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(54)</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w:t>
            </w:r>
          </w:p>
        </w:tc>
      </w:tr>
      <w:tr>
        <w:trPr>
          <w:trHeight w:val="203"/>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(270)</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(297)</w:t>
            </w:r>
          </w:p>
        </w:tc>
        <w:tc>
          <w:tcPr>
            <w:tcW w:w="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w:t>
            </w:r>
          </w:p>
        </w:tc>
      </w:tr>
      <w:tr>
        <w:trPr>
          <w:trHeight w:val="203"/>
        </w:trPr>
        <w:tc>
          <w:tcPr>
            <w:tcW w:w="516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386</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deferred tax liability</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deferred tax liabilities (taxable</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temporary differences above)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1,047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1,012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930</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total deferred tax assets (deductible</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temporary differences and tax carryforwards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above)</w:t>
            </w:r>
          </w:p>
        </w:tc>
        <w:tc>
          <w:tcPr>
            <w:tcW w:w="3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859</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592</w:t>
            </w:r>
          </w:p>
        </w:tc>
        <w:tc>
          <w:tcPr>
            <w:tcW w:w="32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584</w:t>
            </w:r>
          </w:p>
        </w:tc>
        <w:tc>
          <w:tcPr>
            <w:tcW w:w="32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584</w:t>
            </w:r>
          </w:p>
        </w:tc>
      </w:tr>
      <w:tr>
        <w:trPr>
          <w:trHeight w:val="608"/>
        </w:trPr>
        <w:tc>
          <w:tcPr>
            <w:tcW w:w="5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420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394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tax carryforward benefits are expected to be used in the periods that net deferred tax liabilities mature. The expiration dates for these tax credit carryforwards are in various amounts over the years 1995 through 2005. The alternative minimum tax credit can be carried forward indefinitely.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Payable to Banks and Long-Term Debt</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company has available short-term credit lines in the form of money market facilities with several banks. The amount of and conditions for borrowing under these credit lines depend on the availability and terms prevailing in the marketplace. No fees or compensating balances are required for these credit facilities. The average outstanding balance for days on which borrowings were made during 1994 was $66 million, at a weighted average interest rate of 5.4 percent. The maximum amount outstanding during the year occurred on November 14, 1994 - $179 million at a weighted average interest rate of 5.6 percent. At December 31, 1994, $171 million was outstanding at a weighted average interest rate of 7.0 percent.</w:t>
      </w:r>
    </w:p>
    <w:p>
      <w:pPr>
        <w:spacing w:after="0" w:line="13"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Additionally, the company began 1994 with a $400 million credit agreement with a group of domestic and foreign banks. During 1994, the company replaced the $400-million credit agreement with a new credit agreement with a group of domestic and foreign banks. This new Credit Agreement provides for two credit facilities: $800 million available on a revolving credit basis through March 1999 and, used to finance the acquisition of Grumman Corporation, a floating interest rate $2 billion term loan payable quarterly through March 1999.</w:t>
      </w:r>
    </w:p>
    <w:p>
      <w:pPr>
        <w:spacing w:after="0" w:line="10"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During 1994 the company prepaid $900 million in addition to paying the $100 million September quarterly installment under the term loan facility. In December 1994 the company amended the Credit Agreement to provide for repayment of the $1 billion balance of the term loan in 14 quarterly installments of $62.5 million plus interest beginning in September 1995, with a final installment of $125 million due in March 1999.</w:t>
      </w:r>
    </w:p>
    <w:p>
      <w:pPr>
        <w:spacing w:after="0" w:line="9" w:lineRule="exact"/>
        <w:rPr>
          <w:sz w:val="20"/>
          <w:szCs w:val="20"/>
          <w:color w:val="auto"/>
        </w:rPr>
      </w:pPr>
    </w:p>
    <w:p>
      <w:pPr>
        <w:ind w:right="2839" w:firstLine="527"/>
        <w:spacing w:after="0" w:line="279" w:lineRule="auto"/>
        <w:rPr>
          <w:sz w:val="20"/>
          <w:szCs w:val="20"/>
          <w:color w:val="auto"/>
        </w:rPr>
      </w:pPr>
      <w:r>
        <w:rPr>
          <w:rFonts w:ascii="Courier New" w:cs="Courier New" w:eastAsia="Courier New" w:hAnsi="Courier New"/>
          <w:sz w:val="16"/>
          <w:szCs w:val="16"/>
          <w:color w:val="auto"/>
        </w:rPr>
        <w:t>In 1994 there were no borrowings under any of the company's revolving credit facilities. The company paid an average facility fee in 1994 of .20 percent per annum on the total amount of the revolving</w:t>
      </w:r>
    </w:p>
    <w:p>
      <w:pPr>
        <w:sectPr>
          <w:pgSz w:w="11900" w:h="16838" w:orient="portrait"/>
          <w:cols w:equalWidth="0" w:num="1">
            <w:col w:w="10219"/>
          </w:cols>
          <w:pgMar w:left="240" w:top="136" w:right="1440" w:bottom="0" w:gutter="0" w:footer="0" w:header="0"/>
        </w:sectPr>
      </w:pPr>
    </w:p>
    <w:bookmarkStart w:id="26" w:name="page27"/>
    <w:bookmarkEnd w:id="26"/>
    <w:p>
      <w:pPr>
        <w:ind w:right="2840"/>
        <w:spacing w:after="0" w:line="236" w:lineRule="auto"/>
        <w:rPr>
          <w:sz w:val="20"/>
          <w:szCs w:val="20"/>
          <w:color w:val="auto"/>
        </w:rPr>
      </w:pPr>
      <w:r>
        <w:rPr>
          <w:rFonts w:ascii="Courier New" w:cs="Courier New" w:eastAsia="Courier New" w:hAnsi="Courier New"/>
          <w:sz w:val="18"/>
          <w:szCs w:val="18"/>
          <w:color w:val="auto"/>
        </w:rPr>
        <w:t>credit facility. Under these agreements, in the event of a "change in control," the banks are relieved of their commitments. Compensating balances are not required under these agreements.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740" w:firstLine="527"/>
        <w:spacing w:after="0" w:line="237" w:lineRule="auto"/>
        <w:rPr>
          <w:sz w:val="20"/>
          <w:szCs w:val="20"/>
          <w:color w:val="auto"/>
        </w:rPr>
      </w:pPr>
      <w:r>
        <w:rPr>
          <w:rFonts w:ascii="Courier New" w:cs="Courier New" w:eastAsia="Courier New" w:hAnsi="Courier New"/>
          <w:sz w:val="18"/>
          <w:szCs w:val="18"/>
          <w:color w:val="auto"/>
        </w:rPr>
        <w:t>The company's credit agreements contain restrictions relating to the payment of dividends, acquisition of the company's stock, aggregate indebtedness for borrowed money and the maintenance of shareholders' equity. At December 31, 1994, $331 million of retained earnings were unrestricted as to the payment of dividends. Total indebtedness for all types of borrowed money is limited under the company's credit agreement covenants. At December 31, 1994, indebtedness was limited to $3.5 billion.</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Long-term debt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1992</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1991</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Notes due 1999,</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rPr>
              <w:t>8.4%</w:t>
            </w:r>
          </w:p>
        </w:tc>
        <w:tc>
          <w:tcPr>
            <w:tcW w:w="2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153</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Notes due 2004,</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8.625%</w:t>
            </w:r>
          </w:p>
        </w:tc>
        <w:tc>
          <w:tcPr>
            <w:tcW w:w="2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Debentures due 2024, 9.375%</w:t>
            </w:r>
          </w:p>
        </w:tc>
        <w:tc>
          <w:tcPr>
            <w:tcW w:w="2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Notes payable to institutional investors</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Mortgages and notes payable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 rates from</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4.3% to 12.5%</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with maturities through 2001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Term loans payable to banks</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due in quarterly</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installments through 1999</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 floating rates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Term loans payable to banks</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 floating rates</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w:t>
            </w:r>
          </w:p>
        </w:tc>
      </w:tr>
      <w:tr>
        <w:trPr>
          <w:trHeight w:val="203"/>
        </w:trPr>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2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w:t>
            </w:r>
          </w:p>
        </w:tc>
      </w:tr>
      <w:tr>
        <w:trPr>
          <w:trHeight w:val="203"/>
        </w:trPr>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$1,633</w:t>
            </w:r>
          </w:p>
        </w:tc>
        <w:tc>
          <w:tcPr>
            <w:tcW w:w="26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470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40" w:firstLine="421"/>
        <w:spacing w:after="0" w:line="238" w:lineRule="auto"/>
        <w:rPr>
          <w:sz w:val="20"/>
          <w:szCs w:val="20"/>
          <w:color w:val="auto"/>
        </w:rPr>
      </w:pPr>
      <w:r>
        <w:rPr>
          <w:rFonts w:ascii="Courier New" w:cs="Courier New" w:eastAsia="Courier New" w:hAnsi="Courier New"/>
          <w:sz w:val="18"/>
          <w:szCs w:val="18"/>
          <w:color w:val="auto"/>
        </w:rPr>
        <w:t>In October 1994, the company issued $350 million of 8.625 percent notes and $250 million of 9.375 percent debentures, pursuant to a public offering. The net proceeds from the offering were used to prepay $600 million of indebtedness under the company's existing term loan facility. In September 1994, the company paid the $160 million notes payable to institutional investors due in 1995, incurring an early payment penalty of $7 million. In 1994 the company also acquired in the open market $58 million of the notes due in 1999 and recorded a gain of $2 million. The notes due in 1999 are callable at any time after January 1, 1996 at par and the debentures due in 2024 are callable after October 15, 2004 at a premium of 4 percent declining to par after 2013.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borrowings under the term loans bear interest at various rates</w:t>
      </w:r>
    </w:p>
    <w:p>
      <w:pPr>
        <w:spacing w:after="0" w:line="238" w:lineRule="auto"/>
        <w:rPr>
          <w:sz w:val="20"/>
          <w:szCs w:val="20"/>
          <w:color w:val="auto"/>
        </w:rPr>
      </w:pPr>
      <w:r>
        <w:rPr>
          <w:rFonts w:ascii="Courier New" w:cs="Courier New" w:eastAsia="Courier New" w:hAnsi="Courier New"/>
          <w:sz w:val="18"/>
          <w:szCs w:val="18"/>
          <w:color w:val="auto"/>
        </w:rPr>
        <w:t>generally equal to the London Interbank Offered Rate (LIBOR) plus .43</w:t>
      </w:r>
    </w:p>
    <w:p>
      <w:pPr>
        <w:spacing w:after="0"/>
        <w:tabs>
          <w:tab w:leader="none" w:pos="1040" w:val="left"/>
        </w:tabs>
        <w:rPr>
          <w:sz w:val="20"/>
          <w:szCs w:val="20"/>
          <w:color w:val="auto"/>
        </w:rPr>
      </w:pPr>
      <w:r>
        <w:rPr>
          <w:rFonts w:ascii="Courier New" w:cs="Courier New" w:eastAsia="Courier New" w:hAnsi="Courier New"/>
          <w:sz w:val="18"/>
          <w:szCs w:val="18"/>
          <w:color w:val="auto"/>
        </w:rPr>
        <w:t>percent.</w:t>
      </w:r>
      <w:r>
        <w:rPr>
          <w:sz w:val="20"/>
          <w:szCs w:val="20"/>
          <w:color w:val="auto"/>
        </w:rPr>
        <w:tab/>
      </w:r>
      <w:r>
        <w:rPr>
          <w:rFonts w:ascii="Courier New" w:cs="Courier New" w:eastAsia="Courier New" w:hAnsi="Courier New"/>
          <w:sz w:val="16"/>
          <w:szCs w:val="16"/>
          <w:color w:val="auto"/>
        </w:rPr>
        <w:t>To mitigate the variable rate characteristic of the term</w:t>
      </w:r>
    </w:p>
    <w:p>
      <w:pPr>
        <w:spacing w:after="0" w:line="237" w:lineRule="auto"/>
        <w:rPr>
          <w:sz w:val="20"/>
          <w:szCs w:val="20"/>
          <w:color w:val="auto"/>
        </w:rPr>
      </w:pPr>
      <w:r>
        <w:rPr>
          <w:rFonts w:ascii="Courier New" w:cs="Courier New" w:eastAsia="Courier New" w:hAnsi="Courier New"/>
          <w:sz w:val="18"/>
          <w:szCs w:val="18"/>
          <w:color w:val="auto"/>
        </w:rPr>
        <w:t>loans, the company entered into interest rate swap agreements with</w:t>
      </w:r>
    </w:p>
    <w:p>
      <w:pPr>
        <w:spacing w:after="0" w:line="238" w:lineRule="auto"/>
        <w:rPr>
          <w:sz w:val="20"/>
          <w:szCs w:val="20"/>
          <w:color w:val="auto"/>
        </w:rPr>
      </w:pPr>
      <w:r>
        <w:rPr>
          <w:rFonts w:ascii="Courier New" w:cs="Courier New" w:eastAsia="Courier New" w:hAnsi="Courier New"/>
          <w:sz w:val="18"/>
          <w:szCs w:val="18"/>
          <w:color w:val="auto"/>
        </w:rPr>
        <w:t>several banks resulting in a fixed interest rate of 6.47 percent on</w:t>
      </w:r>
    </w:p>
    <w:p>
      <w:pPr>
        <w:spacing w:after="0"/>
        <w:tabs>
          <w:tab w:leader="none" w:pos="3360" w:val="left"/>
        </w:tabs>
        <w:rPr>
          <w:sz w:val="20"/>
          <w:szCs w:val="20"/>
          <w:color w:val="auto"/>
        </w:rPr>
      </w:pPr>
      <w:r>
        <w:rPr>
          <w:rFonts w:ascii="Courier New" w:cs="Courier New" w:eastAsia="Courier New" w:hAnsi="Courier New"/>
          <w:sz w:val="18"/>
          <w:szCs w:val="18"/>
          <w:color w:val="auto"/>
        </w:rPr>
        <w:t>$200 million through May 1997.</w:t>
      </w:r>
      <w:r>
        <w:rPr>
          <w:sz w:val="20"/>
          <w:szCs w:val="20"/>
          <w:color w:val="auto"/>
        </w:rPr>
        <w:tab/>
      </w:r>
      <w:r>
        <w:rPr>
          <w:rFonts w:ascii="Courier New" w:cs="Courier New" w:eastAsia="Courier New" w:hAnsi="Courier New"/>
          <w:sz w:val="16"/>
          <w:szCs w:val="16"/>
          <w:color w:val="auto"/>
        </w:rPr>
        <w:t>The maximum outstanding under the term</w:t>
      </w:r>
    </w:p>
    <w:p>
      <w:pPr>
        <w:spacing w:after="0" w:line="237" w:lineRule="auto"/>
        <w:rPr>
          <w:sz w:val="20"/>
          <w:szCs w:val="20"/>
          <w:color w:val="auto"/>
        </w:rPr>
      </w:pPr>
      <w:r>
        <w:rPr>
          <w:rFonts w:ascii="Courier New" w:cs="Courier New" w:eastAsia="Courier New" w:hAnsi="Courier New"/>
          <w:sz w:val="18"/>
          <w:szCs w:val="18"/>
          <w:color w:val="auto"/>
        </w:rPr>
        <w:t>loan during 1994 was $2 billion from August 31 to September 21 at a</w:t>
      </w:r>
    </w:p>
    <w:p>
      <w:pPr>
        <w:spacing w:after="0"/>
        <w:rPr>
          <w:sz w:val="20"/>
          <w:szCs w:val="20"/>
          <w:color w:val="auto"/>
        </w:rPr>
      </w:pPr>
      <w:r>
        <w:rPr>
          <w:rFonts w:ascii="Courier New" w:cs="Courier New" w:eastAsia="Courier New" w:hAnsi="Courier New"/>
          <w:sz w:val="18"/>
          <w:szCs w:val="18"/>
          <w:color w:val="auto"/>
        </w:rPr>
        <w:t>weighted average interest rate of 5.46 percent and the average</w:t>
      </w:r>
    </w:p>
    <w:p>
      <w:pPr>
        <w:spacing w:after="0" w:line="237" w:lineRule="auto"/>
        <w:rPr>
          <w:sz w:val="20"/>
          <w:szCs w:val="20"/>
          <w:color w:val="auto"/>
        </w:rPr>
      </w:pPr>
      <w:r>
        <w:rPr>
          <w:rFonts w:ascii="Courier New" w:cs="Courier New" w:eastAsia="Courier New" w:hAnsi="Courier New"/>
          <w:sz w:val="18"/>
          <w:szCs w:val="18"/>
          <w:color w:val="auto"/>
        </w:rPr>
        <w:t>outstanding in 1994 was $1.5 billion at a weighted average interest</w:t>
      </w:r>
    </w:p>
    <w:p>
      <w:pPr>
        <w:spacing w:after="0"/>
        <w:tabs>
          <w:tab w:leader="none" w:pos="2420" w:val="left"/>
        </w:tabs>
        <w:rPr>
          <w:sz w:val="20"/>
          <w:szCs w:val="20"/>
          <w:color w:val="auto"/>
        </w:rPr>
      </w:pPr>
      <w:r>
        <w:rPr>
          <w:rFonts w:ascii="Courier New" w:cs="Courier New" w:eastAsia="Courier New" w:hAnsi="Courier New"/>
          <w:sz w:val="18"/>
          <w:szCs w:val="18"/>
          <w:color w:val="auto"/>
        </w:rPr>
        <w:t>rate of 5.58 percent.</w:t>
      </w:r>
      <w:r>
        <w:rPr>
          <w:sz w:val="20"/>
          <w:szCs w:val="20"/>
          <w:color w:val="auto"/>
        </w:rPr>
        <w:tab/>
      </w:r>
      <w:r>
        <w:rPr>
          <w:rFonts w:ascii="Courier New" w:cs="Courier New" w:eastAsia="Courier New" w:hAnsi="Courier New"/>
          <w:sz w:val="16"/>
          <w:szCs w:val="16"/>
          <w:color w:val="auto"/>
        </w:rPr>
        <w:t>Principal payments permanently reduce the amount</w:t>
      </w:r>
    </w:p>
    <w:p>
      <w:pPr>
        <w:spacing w:after="0" w:line="237" w:lineRule="auto"/>
        <w:rPr>
          <w:sz w:val="20"/>
          <w:szCs w:val="20"/>
          <w:color w:val="auto"/>
        </w:rPr>
      </w:pPr>
      <w:r>
        <w:rPr>
          <w:rFonts w:ascii="Courier New" w:cs="Courier New" w:eastAsia="Courier New" w:hAnsi="Courier New"/>
          <w:sz w:val="18"/>
          <w:szCs w:val="18"/>
          <w:color w:val="auto"/>
        </w:rPr>
        <w:t>available under this agreement as well as the debt outstanding.</w:t>
      </w:r>
    </w:p>
    <w:p>
      <w:pPr>
        <w:spacing w:after="0" w:line="5" w:lineRule="exact"/>
        <w:rPr>
          <w:sz w:val="20"/>
          <w:szCs w:val="20"/>
          <w:color w:val="auto"/>
        </w:rPr>
      </w:pPr>
    </w:p>
    <w:p>
      <w:pPr>
        <w:ind w:right="2740" w:firstLine="316"/>
        <w:spacing w:after="0" w:line="237" w:lineRule="auto"/>
        <w:rPr>
          <w:sz w:val="20"/>
          <w:szCs w:val="20"/>
          <w:color w:val="auto"/>
        </w:rPr>
      </w:pPr>
      <w:r>
        <w:rPr>
          <w:rFonts w:ascii="Courier New" w:cs="Courier New" w:eastAsia="Courier New" w:hAnsi="Courier New"/>
          <w:sz w:val="18"/>
          <w:szCs w:val="18"/>
          <w:color w:val="auto"/>
        </w:rPr>
        <w:t>The principal amount of long-term debt outstanding at December 31, 1994, is due in: 1995 - $130 million, 1996 - $255 million, 1997 - $253 million, 1998 - $252 million, 1999 - $272 million and after five years $601 million.</w:t>
      </w:r>
    </w:p>
    <w:p>
      <w:pPr>
        <w:spacing w:after="0" w:line="5" w:lineRule="exact"/>
        <w:rPr>
          <w:sz w:val="20"/>
          <w:szCs w:val="20"/>
          <w:color w:val="auto"/>
        </w:rPr>
      </w:pPr>
    </w:p>
    <w:p>
      <w:pPr>
        <w:ind w:right="2740" w:firstLine="316"/>
        <w:spacing w:after="0" w:line="237" w:lineRule="auto"/>
        <w:rPr>
          <w:sz w:val="20"/>
          <w:szCs w:val="20"/>
          <w:color w:val="auto"/>
        </w:rPr>
      </w:pPr>
      <w:r>
        <w:rPr>
          <w:rFonts w:ascii="Courier New" w:cs="Courier New" w:eastAsia="Courier New" w:hAnsi="Courier New"/>
          <w:sz w:val="18"/>
          <w:szCs w:val="18"/>
          <w:color w:val="auto"/>
        </w:rPr>
        <w:t>The fair value of long-term debt at each yearend was calculated based on interest rates available for debt with terms and due dates similar to the company's. The estimated fair value of debt outstanding at each respective year-end was: 1994 - $1,758 million, 1993 - $160 million and 1992 - $443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Retirement Benefits</w:t>
      </w:r>
    </w:p>
    <w:p>
      <w:pPr>
        <w:spacing w:after="0" w:line="4" w:lineRule="exact"/>
        <w:rPr>
          <w:sz w:val="20"/>
          <w:szCs w:val="20"/>
          <w:color w:val="auto"/>
        </w:rPr>
      </w:pPr>
    </w:p>
    <w:p>
      <w:pPr>
        <w:ind w:right="2840"/>
        <w:spacing w:after="0" w:line="271" w:lineRule="auto"/>
        <w:rPr>
          <w:sz w:val="20"/>
          <w:szCs w:val="20"/>
          <w:color w:val="auto"/>
        </w:rPr>
      </w:pPr>
      <w:r>
        <w:rPr>
          <w:rFonts w:ascii="Courier New" w:cs="Courier New" w:eastAsia="Courier New" w:hAnsi="Courier New"/>
          <w:sz w:val="16"/>
          <w:szCs w:val="16"/>
          <w:color w:val="auto"/>
        </w:rPr>
        <w:t>The company sponsors several defined-benefit pension plans covering substantially all employees. Pension benefits for most employees are based on the employee's years of service and compensation during the last ten years before retirement. It is the policy of the company to fund at least the minimum amount required for all qualified plans, using actuarial cost methods and assumptions acceptable under U.S. Government regulations, by making payments into a trust separate from the company. Three of the eight qualified plans, including two of the</w:t>
      </w:r>
    </w:p>
    <w:p>
      <w:pPr>
        <w:sectPr>
          <w:pgSz w:w="11900" w:h="16838" w:orient="portrait"/>
          <w:cols w:equalWidth="0" w:num="1">
            <w:col w:w="10220"/>
          </w:cols>
          <w:pgMar w:left="240" w:top="142" w:right="1439" w:bottom="0" w:gutter="0" w:footer="0" w:header="0"/>
        </w:sectPr>
      </w:pPr>
    </w:p>
    <w:bookmarkStart w:id="27" w:name="page28"/>
    <w:bookmarkEnd w:id="27"/>
    <w:p>
      <w:pPr>
        <w:ind w:right="840"/>
        <w:spacing w:after="0" w:line="237" w:lineRule="auto"/>
        <w:rPr>
          <w:sz w:val="20"/>
          <w:szCs w:val="20"/>
          <w:color w:val="auto"/>
        </w:rPr>
      </w:pPr>
      <w:r>
        <w:rPr>
          <w:rFonts w:ascii="Courier New" w:cs="Courier New" w:eastAsia="Courier New" w:hAnsi="Courier New"/>
          <w:sz w:val="18"/>
          <w:szCs w:val="18"/>
          <w:color w:val="auto"/>
        </w:rPr>
        <w:t>three main plans which cover over 80 percent of all employees, were in a legally defined full-funding limitation status. No contributions have been made to the Northrop Grumman Retirement Plan since 1986. To protect the surplus of assets in the master trust from a "change in control" the trust agreement and the Northrop Grumman Retirement Plan were appropriately amended during 1991.</w:t>
      </w:r>
    </w:p>
    <w:p>
      <w:pPr>
        <w:spacing w:after="0" w:line="7" w:lineRule="exact"/>
        <w:rPr>
          <w:sz w:val="20"/>
          <w:szCs w:val="20"/>
          <w:color w:val="auto"/>
        </w:rPr>
      </w:pPr>
    </w:p>
    <w:p>
      <w:pPr>
        <w:ind w:right="740" w:firstLine="316"/>
        <w:spacing w:after="0" w:line="237" w:lineRule="auto"/>
        <w:rPr>
          <w:sz w:val="20"/>
          <w:szCs w:val="20"/>
          <w:color w:val="auto"/>
        </w:rPr>
      </w:pPr>
      <w:r>
        <w:rPr>
          <w:rFonts w:ascii="Courier New" w:cs="Courier New" w:eastAsia="Courier New" w:hAnsi="Courier New"/>
          <w:sz w:val="18"/>
          <w:szCs w:val="18"/>
          <w:color w:val="auto"/>
        </w:rPr>
        <w:t>The company and subsidiaries also sponsor defined-contribution plans in which all employees are eligible to participate. Company contributions, up to 4 percent of compensation, are based on a formula resulting in the matching of employee contributions.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740" w:firstLine="527"/>
        <w:spacing w:after="0" w:line="268" w:lineRule="auto"/>
        <w:rPr>
          <w:sz w:val="20"/>
          <w:szCs w:val="20"/>
          <w:color w:val="auto"/>
        </w:rPr>
      </w:pPr>
      <w:r>
        <w:rPr>
          <w:rFonts w:ascii="Courier New" w:cs="Courier New" w:eastAsia="Courier New" w:hAnsi="Courier New"/>
          <w:sz w:val="16"/>
          <w:szCs w:val="16"/>
          <w:color w:val="auto"/>
        </w:rPr>
        <w:t>In addition, the company and its subsidiaries provide certain health care and life insurance benefits for retired employees. Employees achieve eligibility to participate in these contributory plans upon retirement from active service and if they meet specified age and years of service requirements. Election to participate must be made at the date of retirement. Qualifying dependents are also eligible for medical coverage. Approximately 80 percent of the company's current retirees participate in the medical plans. The cost and funded status for the medical and life benefits are combined in the tables that</w:t>
      </w:r>
    </w:p>
    <w:p>
      <w:pPr>
        <w:spacing w:after="0" w:line="2" w:lineRule="exact"/>
        <w:rPr>
          <w:sz w:val="20"/>
          <w:szCs w:val="20"/>
          <w:color w:val="auto"/>
        </w:rPr>
      </w:pPr>
    </w:p>
    <w:p>
      <w:pPr>
        <w:ind w:right="420"/>
        <w:spacing w:after="0" w:line="237" w:lineRule="auto"/>
        <w:rPr>
          <w:sz w:val="20"/>
          <w:szCs w:val="20"/>
          <w:color w:val="auto"/>
        </w:rPr>
      </w:pPr>
      <w:r>
        <w:rPr>
          <w:rFonts w:ascii="Courier New" w:cs="Courier New" w:eastAsia="Courier New" w:hAnsi="Courier New"/>
          <w:sz w:val="18"/>
          <w:szCs w:val="18"/>
          <w:color w:val="auto"/>
        </w:rPr>
        <w:t>follow because (1) life benefits constitute an insignificant amount of the combined cost, and (2) for those plans with assets, the assets in trust for each plan can be used to pay benefits under either plan. Plan documents reserve the company's right to amend or terminate the plans</w:t>
      </w:r>
    </w:p>
    <w:p>
      <w:pPr>
        <w:spacing w:after="0" w:line="5" w:lineRule="exact"/>
        <w:rPr>
          <w:sz w:val="20"/>
          <w:szCs w:val="20"/>
          <w:color w:val="auto"/>
        </w:rPr>
      </w:pPr>
    </w:p>
    <w:p>
      <w:pPr>
        <w:ind w:right="740"/>
        <w:spacing w:after="0" w:line="270" w:lineRule="auto"/>
        <w:rPr>
          <w:sz w:val="20"/>
          <w:szCs w:val="20"/>
          <w:color w:val="auto"/>
        </w:rPr>
      </w:pPr>
      <w:r>
        <w:rPr>
          <w:rFonts w:ascii="Courier New" w:cs="Courier New" w:eastAsia="Courier New" w:hAnsi="Courier New"/>
          <w:sz w:val="16"/>
          <w:szCs w:val="16"/>
          <w:color w:val="auto"/>
        </w:rPr>
        <w:t>at any time. Premiums charged retirees for medical coverage are based on years of service and are annually adjusted for the cost of the plan as determined by an independent actuary. In addition to this medical inflation cost-sharing feature, the plan also has provisions for deductibles, copayments, coinsurance percentages, out-of-pocket limits, schedule of reasonable fees, managed care providers, maintenance of benefits with other plans, Medicare carve-out and a maximum lifetime benefit of from $250,000 to $1,000,000 per covered individual. It is the policy of the company to fund the maximum amount deductible for income taxes into the VEBA trust established for the Northrop Retiree Health Care Plan for Retired Employees for payment of benefits. Until 1991, the costs accrued for these plans were determined by the aggregate actuarial cost method with such amounts paid by the company, along with retiree contributions, into a separate trust. The company elected to implement the new accounting standard, FASB Statement No.</w:t>
      </w:r>
    </w:p>
    <w:p>
      <w:pPr>
        <w:spacing w:after="0" w:line="184" w:lineRule="exact"/>
        <w:rPr>
          <w:sz w:val="20"/>
          <w:szCs w:val="20"/>
          <w:color w:val="auto"/>
        </w:rPr>
      </w:pPr>
    </w:p>
    <w:p>
      <w:pPr>
        <w:ind w:right="840"/>
        <w:spacing w:after="0" w:line="237" w:lineRule="auto"/>
        <w:rPr>
          <w:sz w:val="20"/>
          <w:szCs w:val="20"/>
          <w:color w:val="auto"/>
        </w:rPr>
      </w:pPr>
      <w:r>
        <w:rPr>
          <w:rFonts w:ascii="Courier New" w:cs="Courier New" w:eastAsia="Courier New" w:hAnsi="Courier New"/>
          <w:sz w:val="18"/>
          <w:szCs w:val="18"/>
          <w:color w:val="auto"/>
        </w:rPr>
        <w:t>106 Employer's Accounting for Postretirement Benefits Other Than Pensions, for 1991 by immediately recognizing the January 1, 1991, accumulated postretirement benefit obligation of $437 million. This amount was offset by $292 million, the fair value of plan assets held in trust outside the company, in recording a net obligation and pretax charge to operations of $145 million. NORTHROP GRUMMAN CORPORATION</w:t>
      </w:r>
    </w:p>
    <w:p>
      <w:pPr>
        <w:spacing w:after="0" w:line="211" w:lineRule="exact"/>
        <w:rPr>
          <w:sz w:val="20"/>
          <w:szCs w:val="20"/>
          <w:color w:val="auto"/>
        </w:rPr>
      </w:pPr>
    </w:p>
    <w:p>
      <w:pPr>
        <w:ind w:right="1040" w:firstLine="527"/>
        <w:spacing w:after="0" w:line="235" w:lineRule="auto"/>
        <w:rPr>
          <w:sz w:val="20"/>
          <w:szCs w:val="20"/>
          <w:color w:val="auto"/>
        </w:rPr>
      </w:pPr>
      <w:r>
        <w:rPr>
          <w:rFonts w:ascii="Courier New" w:cs="Courier New" w:eastAsia="Courier New" w:hAnsi="Courier New"/>
          <w:sz w:val="18"/>
          <w:szCs w:val="18"/>
          <w:color w:val="auto"/>
        </w:rPr>
        <w:t>The cost to the company of these plans in each of the last five years is shown in the following table.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20" w:type="dxa"/>
            <w:vAlign w:val="bottom"/>
          </w:tcPr>
          <w:p>
            <w:pPr>
              <w:spacing w:after="0"/>
              <w:rPr>
                <w:sz w:val="17"/>
                <w:szCs w:val="17"/>
                <w:color w:val="auto"/>
              </w:rPr>
            </w:pPr>
          </w:p>
        </w:tc>
        <w:tc>
          <w:tcPr>
            <w:tcW w:w="7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1994</w:t>
            </w:r>
          </w:p>
        </w:tc>
        <w:tc>
          <w:tcPr>
            <w:tcW w:w="320" w:type="dxa"/>
            <w:vAlign w:val="bottom"/>
          </w:tcPr>
          <w:p>
            <w:pPr>
              <w:spacing w:after="0"/>
              <w:rPr>
                <w:sz w:val="17"/>
                <w:szCs w:val="17"/>
                <w:color w:val="auto"/>
              </w:rPr>
            </w:pP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1993</w:t>
            </w:r>
          </w:p>
        </w:tc>
        <w:tc>
          <w:tcPr>
            <w:tcW w:w="320" w:type="dxa"/>
            <w:vAlign w:val="bottom"/>
          </w:tcPr>
          <w:p>
            <w:pPr>
              <w:spacing w:after="0"/>
              <w:rPr>
                <w:sz w:val="17"/>
                <w:szCs w:val="17"/>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1992</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Defined-benefit pension plans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Actual return on assets</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(449)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(298)</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Deferral of actual return on assets</w:t>
            </w:r>
          </w:p>
        </w:tc>
        <w:tc>
          <w:tcPr>
            <w:tcW w:w="1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(541)</w:t>
            </w:r>
          </w:p>
        </w:tc>
        <w:tc>
          <w:tcPr>
            <w:tcW w:w="3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153</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Expected return on assets</w:t>
            </w:r>
          </w:p>
        </w:tc>
        <w:tc>
          <w:tcPr>
            <w:tcW w:w="1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(516)</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(296)</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(260)</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 cost</w:t>
            </w:r>
          </w:p>
        </w:tc>
        <w:tc>
          <w:tcPr>
            <w:tcW w:w="120" w:type="dxa"/>
            <w:vAlign w:val="bottom"/>
          </w:tcPr>
          <w:p>
            <w:pPr>
              <w:spacing w:after="0"/>
              <w:rPr>
                <w:sz w:val="17"/>
                <w:szCs w:val="17"/>
                <w:color w:val="auto"/>
              </w:rPr>
            </w:pPr>
          </w:p>
        </w:tc>
        <w:tc>
          <w:tcPr>
            <w:tcW w:w="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176</w:t>
            </w:r>
          </w:p>
        </w:tc>
        <w:tc>
          <w:tcPr>
            <w:tcW w:w="3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cost</w:t>
            </w:r>
          </w:p>
        </w:tc>
        <w:tc>
          <w:tcPr>
            <w:tcW w:w="120" w:type="dxa"/>
            <w:vAlign w:val="bottom"/>
          </w:tcPr>
          <w:p>
            <w:pPr>
              <w:spacing w:after="0"/>
              <w:rPr>
                <w:sz w:val="17"/>
                <w:szCs w:val="17"/>
                <w:color w:val="auto"/>
              </w:rPr>
            </w:pPr>
          </w:p>
        </w:tc>
        <w:tc>
          <w:tcPr>
            <w:tcW w:w="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372</w:t>
            </w:r>
          </w:p>
        </w:tc>
        <w:tc>
          <w:tcPr>
            <w:tcW w:w="3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190</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unrecognized items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Transition asset, net</w:t>
            </w:r>
          </w:p>
        </w:tc>
        <w:tc>
          <w:tcPr>
            <w:tcW w:w="1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Prior service costs</w:t>
            </w:r>
          </w:p>
        </w:tc>
        <w:tc>
          <w:tcPr>
            <w:tcW w:w="120" w:type="dxa"/>
            <w:vAlign w:val="bottom"/>
          </w:tcPr>
          <w:p>
            <w:pPr>
              <w:spacing w:after="0"/>
              <w:rPr>
                <w:sz w:val="17"/>
                <w:szCs w:val="17"/>
                <w:color w:val="auto"/>
              </w:rPr>
            </w:pPr>
          </w:p>
        </w:tc>
        <w:tc>
          <w:tcPr>
            <w:tcW w:w="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w:t>
            </w:r>
          </w:p>
        </w:tc>
        <w:tc>
          <w:tcPr>
            <w:tcW w:w="3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gain from previous years</w:t>
            </w:r>
          </w:p>
        </w:tc>
        <w:tc>
          <w:tcPr>
            <w:tcW w:w="1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periodic pension income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Defined-contribution plans</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47</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7"/>
              </w:rPr>
              <w:t>Retiree health care and life insurance benefit plans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Actual return on assets</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Deferral of actual return on assets</w:t>
            </w:r>
          </w:p>
        </w:tc>
        <w:tc>
          <w:tcPr>
            <w:tcW w:w="1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Expected return on assets</w:t>
            </w:r>
          </w:p>
        </w:tc>
        <w:tc>
          <w:tcPr>
            <w:tcW w:w="1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 cost</w:t>
            </w:r>
          </w:p>
        </w:tc>
        <w:tc>
          <w:tcPr>
            <w:tcW w:w="120" w:type="dxa"/>
            <w:vAlign w:val="bottom"/>
          </w:tcPr>
          <w:p>
            <w:pPr>
              <w:spacing w:after="0"/>
              <w:rPr>
                <w:sz w:val="17"/>
                <w:szCs w:val="17"/>
                <w:color w:val="auto"/>
              </w:rPr>
            </w:pPr>
          </w:p>
        </w:tc>
        <w:tc>
          <w:tcPr>
            <w:tcW w:w="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28</w:t>
            </w:r>
          </w:p>
        </w:tc>
        <w:tc>
          <w:tcPr>
            <w:tcW w:w="3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cost</w:t>
            </w:r>
          </w:p>
        </w:tc>
        <w:tc>
          <w:tcPr>
            <w:tcW w:w="120" w:type="dxa"/>
            <w:vAlign w:val="bottom"/>
          </w:tcPr>
          <w:p>
            <w:pPr>
              <w:spacing w:after="0"/>
              <w:rPr>
                <w:sz w:val="17"/>
                <w:szCs w:val="17"/>
                <w:color w:val="auto"/>
              </w:rPr>
            </w:pPr>
          </w:p>
        </w:tc>
        <w:tc>
          <w:tcPr>
            <w:tcW w:w="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61</w:t>
            </w:r>
          </w:p>
        </w:tc>
        <w:tc>
          <w:tcPr>
            <w:tcW w:w="3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w:t>
            </w:r>
          </w:p>
        </w:tc>
        <w:tc>
          <w:tcPr>
            <w:tcW w:w="3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unrecognized gain from</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previous years</w:t>
            </w:r>
          </w:p>
        </w:tc>
        <w:tc>
          <w:tcPr>
            <w:tcW w:w="1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Excess dependent cost</w:t>
            </w:r>
          </w:p>
        </w:tc>
        <w:tc>
          <w:tcPr>
            <w:tcW w:w="120" w:type="dxa"/>
            <w:vAlign w:val="bottom"/>
          </w:tcPr>
          <w:p>
            <w:pPr>
              <w:spacing w:after="0"/>
              <w:rPr>
                <w:sz w:val="17"/>
                <w:szCs w:val="17"/>
                <w:color w:val="auto"/>
              </w:rPr>
            </w:pPr>
          </w:p>
        </w:tc>
        <w:tc>
          <w:tcPr>
            <w:tcW w:w="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periodic postretirement benefit cost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8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1991</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1990</w:t>
            </w:r>
          </w:p>
        </w:tc>
      </w:tr>
      <w:tr>
        <w:trPr>
          <w:trHeight w:val="608"/>
        </w:trPr>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$(825)</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26</w:t>
            </w:r>
          </w:p>
        </w:tc>
      </w:tr>
      <w:tr>
        <w:trPr>
          <w:trHeight w:val="203"/>
        </w:trPr>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604</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w:t>
            </w:r>
          </w:p>
        </w:tc>
      </w:tr>
    </w:tbl>
    <w:p>
      <w:pPr>
        <w:ind w:left="1160" w:hanging="1049"/>
        <w:spacing w:after="0" w:line="238"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(229)</w:t>
      </w:r>
    </w:p>
    <w:p>
      <w:pPr>
        <w:ind w:left="1380" w:hanging="1058"/>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w:t>
      </w:r>
    </w:p>
    <w:p>
      <w:pPr>
        <w:ind w:left="1280" w:hanging="1063"/>
        <w:spacing w:after="0" w:line="238"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147</w:t>
      </w:r>
    </w:p>
    <w:p>
      <w:pPr>
        <w:spacing w:after="0" w:line="207" w:lineRule="exact"/>
        <w:rPr>
          <w:sz w:val="20"/>
          <w:szCs w:val="20"/>
          <w:color w:val="auto"/>
        </w:rPr>
      </w:pPr>
    </w:p>
    <w:p>
      <w:pPr>
        <w:ind w:left="1280" w:hanging="1063"/>
        <w:spacing w:after="0"/>
        <w:tabs>
          <w:tab w:leader="none" w:pos="12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14</w:t>
      </w:r>
    </w:p>
    <w:p>
      <w:pPr>
        <w:spacing w:after="0" w:line="5" w:lineRule="exact"/>
        <w:rPr>
          <w:sz w:val="20"/>
          <w:szCs w:val="20"/>
          <w:color w:val="auto"/>
        </w:rPr>
      </w:pPr>
    </w:p>
    <w:p>
      <w:pPr>
        <w:ind w:left="1280" w:hanging="1063"/>
        <w:spacing w:after="0"/>
        <w:tabs>
          <w:tab w:leader="none" w:pos="1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45</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44</w:t>
            </w:r>
          </w:p>
        </w:tc>
      </w:tr>
      <w:tr>
        <w:trPr>
          <w:trHeight w:val="608"/>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(85)</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160" w:type="dxa"/>
            <w:vAlign w:val="bottom"/>
          </w:tcPr>
          <w:p>
            <w:pPr>
              <w:spacing w:after="0"/>
              <w:rPr>
                <w:sz w:val="17"/>
                <w:szCs w:val="17"/>
                <w:color w:val="auto"/>
              </w:rPr>
            </w:pPr>
          </w:p>
        </w:tc>
        <w:tc>
          <w:tcPr>
            <w:tcW w:w="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69</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10"/>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47</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w:t>
            </w:r>
          </w:p>
        </w:tc>
      </w:tr>
    </w:tbl>
    <w:p>
      <w:pPr>
        <w:sectPr>
          <w:pgSz w:w="11900" w:h="16838" w:orient="portrait"/>
          <w:cols w:equalWidth="0" w:num="2">
            <w:col w:w="8220" w:space="420"/>
            <w:col w:w="1700"/>
          </w:cols>
          <w:pgMar w:left="240" w:top="142" w:right="1319" w:bottom="0" w:gutter="0" w:footer="0" w:header="0"/>
        </w:sectPr>
      </w:pPr>
    </w:p>
    <w:bookmarkStart w:id="28" w:name="page29"/>
    <w:bookmarkEnd w:id="28"/>
    <w:p>
      <w:pPr>
        <w:ind w:right="3260" w:firstLine="527"/>
        <w:spacing w:after="0" w:line="272" w:lineRule="auto"/>
        <w:rPr>
          <w:sz w:val="20"/>
          <w:szCs w:val="20"/>
          <w:color w:val="auto"/>
        </w:rPr>
      </w:pPr>
      <w:r>
        <w:rPr>
          <w:rFonts w:ascii="Courier New" w:cs="Courier New" w:eastAsia="Courier New" w:hAnsi="Courier New"/>
          <w:sz w:val="16"/>
          <w:szCs w:val="16"/>
          <w:color w:val="auto"/>
        </w:rPr>
        <w:t>In addition to the net periodic pension income and postretirement benefit cost, in 1994 the company recognized the effect of an early retirement incentive program of $250 million for pension and $32 million for postretirement benefits. The total $282 million effect on the company's 1994 operating margin is shown in the Consolidated Statements of Income under the caption Special Termination Benefits.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3260" w:firstLine="527"/>
        <w:spacing w:after="0" w:line="268" w:lineRule="auto"/>
        <w:rPr>
          <w:sz w:val="20"/>
          <w:szCs w:val="20"/>
          <w:color w:val="auto"/>
        </w:rPr>
      </w:pPr>
      <w:r>
        <w:rPr>
          <w:rFonts w:ascii="Courier New" w:cs="Courier New" w:eastAsia="Courier New" w:hAnsi="Courier New"/>
          <w:sz w:val="16"/>
          <w:szCs w:val="16"/>
          <w:color w:val="auto"/>
        </w:rPr>
        <w:t>Major assumptions as of each year-end used in the accounting for the defined-benefit plans are shown in the following table. Pension cost is determined using all three factors as of the beginning of each year, whereas the funded status of the plans, shown later, uses only the first two factors, as of the end of each year.</w:t>
      </w:r>
    </w:p>
    <w:p>
      <w:pPr>
        <w:spacing w:after="0" w:line="1" w:lineRule="exact"/>
        <w:rPr>
          <w:sz w:val="20"/>
          <w:szCs w:val="20"/>
          <w:color w:val="auto"/>
        </w:rPr>
      </w:pPr>
    </w:p>
    <w:p>
      <w:pPr>
        <w:ind w:right="3260" w:firstLine="527"/>
        <w:spacing w:after="0" w:line="237" w:lineRule="auto"/>
        <w:rPr>
          <w:sz w:val="20"/>
          <w:szCs w:val="20"/>
          <w:color w:val="auto"/>
        </w:rPr>
      </w:pPr>
      <w:r>
        <w:rPr>
          <w:rFonts w:ascii="Courier New" w:cs="Courier New" w:eastAsia="Courier New" w:hAnsi="Courier New"/>
          <w:sz w:val="18"/>
          <w:szCs w:val="18"/>
          <w:color w:val="auto"/>
        </w:rPr>
        <w:t>The company changed the discount rate for obligations and rate of increase for compensation assumptions in calculating the funded status of the plans at December 31, 1994. The changes resulted in a $499 million decrease in the projected benefit obligation for pension plans and an $85 million decrease in the accumulated postretirement benefit obligation.</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840" w:type="dxa"/>
            <w:vAlign w:val="bottom"/>
          </w:tcPr>
          <w:p>
            <w:pPr>
              <w:ind w:left="1040"/>
              <w:spacing w:after="0"/>
              <w:rPr>
                <w:sz w:val="20"/>
                <w:szCs w:val="20"/>
                <w:color w:val="auto"/>
              </w:rPr>
            </w:pPr>
            <w:r>
              <w:rPr>
                <w:rFonts w:ascii="Courier New" w:cs="Courier New" w:eastAsia="Courier New" w:hAnsi="Courier New"/>
                <w:sz w:val="18"/>
                <w:szCs w:val="18"/>
                <w:color w:val="auto"/>
              </w:rPr>
              <w:t>1994</w:t>
            </w:r>
          </w:p>
        </w:tc>
        <w:tc>
          <w:tcPr>
            <w:tcW w:w="1060" w:type="dxa"/>
            <w:vAlign w:val="bottom"/>
          </w:tcPr>
          <w:p>
            <w:pPr>
              <w:ind w:left="260"/>
              <w:spacing w:after="0"/>
              <w:rPr>
                <w:sz w:val="20"/>
                <w:szCs w:val="20"/>
                <w:color w:val="auto"/>
              </w:rPr>
            </w:pPr>
            <w:r>
              <w:rPr>
                <w:rFonts w:ascii="Courier New" w:cs="Courier New" w:eastAsia="Courier New" w:hAnsi="Courier New"/>
                <w:sz w:val="18"/>
                <w:szCs w:val="18"/>
                <w:color w:val="auto"/>
              </w:rPr>
              <w:t>1993</w:t>
            </w:r>
          </w:p>
        </w:tc>
        <w:tc>
          <w:tcPr>
            <w:tcW w:w="1040" w:type="dxa"/>
            <w:vAlign w:val="bottom"/>
          </w:tcPr>
          <w:p>
            <w:pPr>
              <w:ind w:left="260"/>
              <w:spacing w:after="0"/>
              <w:rPr>
                <w:sz w:val="20"/>
                <w:szCs w:val="20"/>
                <w:color w:val="auto"/>
              </w:rPr>
            </w:pPr>
            <w:r>
              <w:rPr>
                <w:rFonts w:ascii="Courier New" w:cs="Courier New" w:eastAsia="Courier New" w:hAnsi="Courier New"/>
                <w:sz w:val="18"/>
                <w:szCs w:val="18"/>
                <w:color w:val="auto"/>
              </w:rPr>
              <w:t>1992</w:t>
            </w:r>
          </w:p>
        </w:tc>
        <w:tc>
          <w:tcPr>
            <w:tcW w:w="1060" w:type="dxa"/>
            <w:vAlign w:val="bottom"/>
          </w:tcPr>
          <w:p>
            <w:pPr>
              <w:ind w:left="260"/>
              <w:spacing w:after="0"/>
              <w:rPr>
                <w:sz w:val="20"/>
                <w:szCs w:val="20"/>
                <w:color w:val="auto"/>
              </w:rPr>
            </w:pPr>
            <w:r>
              <w:rPr>
                <w:rFonts w:ascii="Courier New" w:cs="Courier New" w:eastAsia="Courier New" w:hAnsi="Courier New"/>
                <w:sz w:val="18"/>
                <w:szCs w:val="18"/>
                <w:color w:val="auto"/>
              </w:rPr>
              <w:t>1991</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Discount rate for obligations</w:t>
            </w:r>
          </w:p>
        </w:tc>
        <w:tc>
          <w:tcPr>
            <w:tcW w:w="1840" w:type="dxa"/>
            <w:vAlign w:val="bottom"/>
          </w:tcPr>
          <w:p>
            <w:pPr>
              <w:ind w:left="1040"/>
              <w:spacing w:after="0"/>
              <w:rPr>
                <w:sz w:val="20"/>
                <w:szCs w:val="20"/>
                <w:color w:val="auto"/>
              </w:rPr>
            </w:pPr>
            <w:r>
              <w:rPr>
                <w:rFonts w:ascii="Courier New" w:cs="Courier New" w:eastAsia="Courier New" w:hAnsi="Courier New"/>
                <w:sz w:val="18"/>
                <w:szCs w:val="18"/>
                <w:color w:val="auto"/>
              </w:rPr>
              <w:t>8.25%</w:t>
            </w:r>
          </w:p>
        </w:tc>
        <w:tc>
          <w:tcPr>
            <w:tcW w:w="1060" w:type="dxa"/>
            <w:vAlign w:val="bottom"/>
          </w:tcPr>
          <w:p>
            <w:pPr>
              <w:ind w:left="260"/>
              <w:spacing w:after="0"/>
              <w:rPr>
                <w:sz w:val="20"/>
                <w:szCs w:val="20"/>
                <w:color w:val="auto"/>
              </w:rPr>
            </w:pPr>
            <w:r>
              <w:rPr>
                <w:rFonts w:ascii="Courier New" w:cs="Courier New" w:eastAsia="Courier New" w:hAnsi="Courier New"/>
                <w:sz w:val="18"/>
                <w:szCs w:val="18"/>
                <w:color w:val="auto"/>
              </w:rPr>
              <w:t>7.00%</w:t>
            </w:r>
          </w:p>
        </w:tc>
        <w:tc>
          <w:tcPr>
            <w:tcW w:w="1040" w:type="dxa"/>
            <w:vAlign w:val="bottom"/>
          </w:tcPr>
          <w:p>
            <w:pPr>
              <w:ind w:left="260"/>
              <w:spacing w:after="0"/>
              <w:rPr>
                <w:sz w:val="20"/>
                <w:szCs w:val="20"/>
                <w:color w:val="auto"/>
              </w:rPr>
            </w:pPr>
            <w:r>
              <w:rPr>
                <w:rFonts w:ascii="Courier New" w:cs="Courier New" w:eastAsia="Courier New" w:hAnsi="Courier New"/>
                <w:sz w:val="18"/>
                <w:szCs w:val="18"/>
                <w:color w:val="auto"/>
              </w:rPr>
              <w:t>8.00%</w:t>
            </w:r>
          </w:p>
        </w:tc>
        <w:tc>
          <w:tcPr>
            <w:tcW w:w="1060" w:type="dxa"/>
            <w:vAlign w:val="bottom"/>
          </w:tcPr>
          <w:p>
            <w:pPr>
              <w:ind w:left="260"/>
              <w:spacing w:after="0"/>
              <w:rPr>
                <w:sz w:val="20"/>
                <w:szCs w:val="20"/>
                <w:color w:val="auto"/>
              </w:rPr>
            </w:pPr>
            <w:r>
              <w:rPr>
                <w:rFonts w:ascii="Courier New" w:cs="Courier New" w:eastAsia="Courier New" w:hAnsi="Courier New"/>
                <w:sz w:val="18"/>
                <w:szCs w:val="18"/>
                <w:color w:val="auto"/>
              </w:rPr>
              <w:t>8.00%</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w w:val="92"/>
              </w:rPr>
              <w:t>8.50%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Rate of increase for compensation</w:t>
            </w:r>
          </w:p>
        </w:tc>
        <w:tc>
          <w:tcPr>
            <w:tcW w:w="18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5.25</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5.50</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5.50</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5.50</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5.50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Expected long-term rate of return on</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 assets</w:t>
            </w:r>
          </w:p>
        </w:tc>
        <w:tc>
          <w:tcPr>
            <w:tcW w:w="18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8.75</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8.25</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8.25</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8.25</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160" w:firstLine="527"/>
        <w:spacing w:after="0" w:line="238" w:lineRule="auto"/>
        <w:rPr>
          <w:sz w:val="20"/>
          <w:szCs w:val="20"/>
          <w:color w:val="auto"/>
        </w:rPr>
      </w:pPr>
      <w:r>
        <w:rPr>
          <w:rFonts w:ascii="Courier New" w:cs="Courier New" w:eastAsia="Courier New" w:hAnsi="Courier New"/>
          <w:sz w:val="18"/>
          <w:szCs w:val="18"/>
          <w:color w:val="auto"/>
        </w:rPr>
        <w:t>These assumptions were also used in retiree health care and life insurance benefit calculations with one modification. Since, unlike the pension trust, the earnings of the VEBA trust are taxable, the above 8.75 percent expected rate of return on plan assets was reduced accordingly to 5.25 percent after taxes. A significant factor used in estimating future per capita cost, for the company and its retirees, of covered health care benefits is the health care cost trend rate assumption. The rate used was 9 percent for 1994 and is assumed to decrease gradually to 6 percent for 2006 and remain at that level thereafter. An additional one-percentage-point of increase each year in that rate would result in an $11 million annual increase in the aggregate of the service and interest cost components of net periodic postretirement benefit cost, and a $109 million increase in the accumulated postretirement benefit obligation at December 31, 1994.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3160" w:firstLine="527"/>
        <w:spacing w:after="0" w:line="237" w:lineRule="auto"/>
        <w:rPr>
          <w:sz w:val="20"/>
          <w:szCs w:val="20"/>
          <w:color w:val="auto"/>
        </w:rPr>
      </w:pPr>
      <w:r>
        <w:rPr>
          <w:rFonts w:ascii="Courier New" w:cs="Courier New" w:eastAsia="Courier New" w:hAnsi="Courier New"/>
          <w:sz w:val="18"/>
          <w:szCs w:val="18"/>
          <w:color w:val="auto"/>
        </w:rPr>
        <w:t>The following tables set forth the funded status and amounts recognized in the Consolidated Statements of Financial Position at each year-end for the company's defined-benefit pension and retiree health care and life insurance benefit plans. The summary showing pension plans whose accumulated benefits are in excess of assets at December 31, 1994, is comprised of five qualified plans along with ten unfunded nonqualified plans for benefits provided to directors, officers and employees either beyond those provided by, or payable under, the company's main plans.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1992</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1991</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Pension plans whose assets exceed</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benefits</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Actuarial present value of benefit obligations</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Vested benefits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$ 2,487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$ 2,059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$ 1,690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$ 1,538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$ 1,335</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Nonvested benefits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benefit obligations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2,715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2,234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1,843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1,685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1,460</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 of assumed salary rate increases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325</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Projected benefit obligations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3,124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2,687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2,264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2,072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1,785</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market value of plan assets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4,210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3,970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3,642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3,458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2,708</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assets over projected benefit</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(1,283)</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(1,378)</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items</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transition asset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501</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Prior service costs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gain</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retiree benefits pension asset</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ectPr>
          <w:pgSz w:w="11900" w:h="16838" w:orient="portrait"/>
          <w:cols w:equalWidth="0" w:num="1">
            <w:col w:w="10640"/>
          </w:cols>
          <w:pgMar w:left="240" w:top="547" w:right="101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ind w:left="220"/>
              <w:spacing w:after="0"/>
              <w:rPr>
                <w:sz w:val="20"/>
                <w:szCs w:val="20"/>
                <w:color w:val="auto"/>
              </w:rPr>
            </w:pPr>
            <w:r>
              <w:rPr>
                <w:rFonts w:ascii="Courier New" w:cs="Courier New" w:eastAsia="Courier New" w:hAnsi="Courier New"/>
                <w:sz w:val="18"/>
                <w:szCs w:val="18"/>
                <w:color w:val="auto"/>
              </w:rPr>
              <w:t>included in Consolidated Statements of</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Financial Position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(259)</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Pension plans whose accumulated benefits</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exceed assets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Actuarial present value of benefit obligations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Vested benefits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2,865</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Nonvested benefits</w:t>
            </w:r>
          </w:p>
        </w:tc>
        <w:tc>
          <w:tcPr>
            <w:tcW w:w="3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252</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benefit obligations</w:t>
            </w:r>
          </w:p>
        </w:tc>
        <w:tc>
          <w:tcPr>
            <w:tcW w:w="3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3,117</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w:t>
            </w:r>
          </w:p>
        </w:tc>
        <w:tc>
          <w:tcPr>
            <w:tcW w:w="36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w:t>
            </w:r>
          </w:p>
        </w:tc>
        <w:tc>
          <w:tcPr>
            <w:tcW w:w="380" w:type="dxa"/>
            <w:vAlign w:val="bottom"/>
          </w:tcPr>
          <w:p>
            <w:pPr>
              <w:spacing w:after="0"/>
              <w:rPr>
                <w:sz w:val="17"/>
                <w:szCs w:val="17"/>
                <w:color w:val="auto"/>
              </w:rPr>
            </w:pP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 of assumed salary rate increases</w:t>
            </w:r>
          </w:p>
        </w:tc>
        <w:tc>
          <w:tcPr>
            <w:tcW w:w="3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36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c>
          <w:tcPr>
            <w:tcW w:w="380" w:type="dxa"/>
            <w:vAlign w:val="bottom"/>
          </w:tcPr>
          <w:p>
            <w:pPr>
              <w:spacing w:after="0"/>
              <w:rPr>
                <w:sz w:val="17"/>
                <w:szCs w:val="17"/>
                <w:color w:val="auto"/>
              </w:rPr>
            </w:pP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Projected benefit obligations</w:t>
            </w:r>
          </w:p>
        </w:tc>
        <w:tc>
          <w:tcPr>
            <w:tcW w:w="3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3,133</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w:t>
            </w:r>
          </w:p>
        </w:tc>
        <w:tc>
          <w:tcPr>
            <w:tcW w:w="36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w:t>
            </w:r>
          </w:p>
        </w:tc>
        <w:tc>
          <w:tcPr>
            <w:tcW w:w="380" w:type="dxa"/>
            <w:vAlign w:val="bottom"/>
          </w:tcPr>
          <w:p>
            <w:pPr>
              <w:spacing w:after="0"/>
              <w:rPr>
                <w:sz w:val="17"/>
                <w:szCs w:val="17"/>
                <w:color w:val="auto"/>
              </w:rPr>
            </w:pP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market value of plan assets</w:t>
            </w:r>
          </w:p>
        </w:tc>
        <w:tc>
          <w:tcPr>
            <w:tcW w:w="3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2,872</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projected benefit obligations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over assets</w:t>
            </w:r>
          </w:p>
        </w:tc>
        <w:tc>
          <w:tcPr>
            <w:tcW w:w="3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261</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w:t>
            </w:r>
          </w:p>
        </w:tc>
        <w:tc>
          <w:tcPr>
            <w:tcW w:w="36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w:t>
            </w:r>
          </w:p>
        </w:tc>
        <w:tc>
          <w:tcPr>
            <w:tcW w:w="380" w:type="dxa"/>
            <w:vAlign w:val="bottom"/>
          </w:tcPr>
          <w:p>
            <w:pPr>
              <w:spacing w:after="0"/>
              <w:rPr>
                <w:sz w:val="17"/>
                <w:szCs w:val="17"/>
                <w:color w:val="auto"/>
              </w:rPr>
            </w:pP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items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transition obligation</w:t>
            </w:r>
          </w:p>
        </w:tc>
        <w:tc>
          <w:tcPr>
            <w:tcW w:w="3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c>
          <w:tcPr>
            <w:tcW w:w="3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Prior service costs</w:t>
            </w:r>
          </w:p>
        </w:tc>
        <w:tc>
          <w:tcPr>
            <w:tcW w:w="3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gain(loss)</w:t>
            </w:r>
          </w:p>
        </w:tc>
        <w:tc>
          <w:tcPr>
            <w:tcW w:w="3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36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c>
          <w:tcPr>
            <w:tcW w:w="380" w:type="dxa"/>
            <w:vAlign w:val="bottom"/>
          </w:tcPr>
          <w:p>
            <w:pPr>
              <w:spacing w:after="0"/>
              <w:rPr>
                <w:sz w:val="17"/>
                <w:szCs w:val="17"/>
                <w:color w:val="auto"/>
              </w:rPr>
            </w:pP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minimum liability</w:t>
            </w:r>
          </w:p>
        </w:tc>
        <w:tc>
          <w:tcPr>
            <w:tcW w:w="3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36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c>
          <w:tcPr>
            <w:tcW w:w="380" w:type="dxa"/>
            <w:vAlign w:val="bottom"/>
          </w:tcPr>
          <w:p>
            <w:pPr>
              <w:spacing w:after="0"/>
              <w:rPr>
                <w:sz w:val="17"/>
                <w:szCs w:val="17"/>
                <w:color w:val="auto"/>
              </w:rPr>
            </w:pP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retiree benefits liability</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included in Consolidated Statements of</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 Position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256</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right="2860" w:firstLine="527"/>
        <w:spacing w:after="0" w:line="237" w:lineRule="auto"/>
        <w:rPr>
          <w:sz w:val="20"/>
          <w:szCs w:val="20"/>
          <w:color w:val="auto"/>
        </w:rPr>
      </w:pPr>
      <w:r>
        <w:rPr>
          <w:rFonts w:ascii="Courier New" w:cs="Courier New" w:eastAsia="Courier New" w:hAnsi="Courier New"/>
          <w:sz w:val="18"/>
          <w:szCs w:val="18"/>
          <w:color w:val="auto"/>
        </w:rPr>
        <w:t>Pension plan assets at December 31, 1994, were comprised of 46 percent domestic equity type investments in listed companies (including five percent in Northrop Grumman common stock), 11 percent equity investments listed on international exchanges, three percent in cash and venture capital real estate and 40 percent in fixed income type investments, principally in U.S. Government securities. The investment in Northrop Grumman represents 5,985,060 shares, or 12 percent of the company's total shares outstanding.</w:t>
      </w:r>
    </w:p>
    <w:p>
      <w:pPr>
        <w:spacing w:after="0" w:line="10" w:lineRule="exact"/>
        <w:rPr>
          <w:sz w:val="20"/>
          <w:szCs w:val="20"/>
          <w:color w:val="auto"/>
        </w:rPr>
      </w:pPr>
    </w:p>
    <w:p>
      <w:pPr>
        <w:ind w:right="2960" w:firstLine="527"/>
        <w:spacing w:after="0" w:line="273" w:lineRule="auto"/>
        <w:rPr>
          <w:sz w:val="20"/>
          <w:szCs w:val="20"/>
          <w:color w:val="auto"/>
        </w:rPr>
      </w:pPr>
      <w:r>
        <w:rPr>
          <w:rFonts w:ascii="Courier New" w:cs="Courier New" w:eastAsia="Courier New" w:hAnsi="Courier New"/>
          <w:sz w:val="16"/>
          <w:szCs w:val="16"/>
          <w:color w:val="auto"/>
        </w:rPr>
        <w:t>Effective January 1, 1995, the company adopted amendments to two of the company's retirement plans to cap the maximum years of service credit that an employee can earn and adjusted the amount of service credit earned each year. The effect of these changes was to increase the projected benefit obligation at December 31, 1994 by $210 million.</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78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380" w:type="dxa"/>
            <w:vAlign w:val="bottom"/>
          </w:tcPr>
          <w:p>
            <w:pPr>
              <w:spacing w:after="0"/>
              <w:rPr>
                <w:sz w:val="17"/>
                <w:szCs w:val="17"/>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1992</w:t>
            </w:r>
          </w:p>
        </w:tc>
        <w:tc>
          <w:tcPr>
            <w:tcW w:w="36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1991</w:t>
            </w:r>
          </w:p>
        </w:tc>
        <w:tc>
          <w:tcPr>
            <w:tcW w:w="26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Retiree health care and life insurance</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 plans</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postretirement benefit</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 (APBO)</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Retirees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575</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274</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eligible active employees</w:t>
            </w:r>
          </w:p>
        </w:tc>
        <w:tc>
          <w:tcPr>
            <w:tcW w:w="78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172</w:t>
            </w:r>
          </w:p>
        </w:tc>
        <w:tc>
          <w:tcPr>
            <w:tcW w:w="3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w:t>
            </w:r>
          </w:p>
        </w:tc>
        <w:tc>
          <w:tcPr>
            <w:tcW w:w="3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w:t>
            </w:r>
          </w:p>
        </w:tc>
        <w:tc>
          <w:tcPr>
            <w:tcW w:w="2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Active employees not yet eligible</w:t>
            </w:r>
          </w:p>
        </w:tc>
        <w:tc>
          <w:tcPr>
            <w:tcW w:w="78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258</w:t>
            </w:r>
          </w:p>
        </w:tc>
        <w:tc>
          <w:tcPr>
            <w:tcW w:w="3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w:t>
            </w:r>
          </w:p>
        </w:tc>
        <w:tc>
          <w:tcPr>
            <w:tcW w:w="3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172</w:t>
            </w:r>
          </w:p>
        </w:tc>
        <w:tc>
          <w:tcPr>
            <w:tcW w:w="2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w:t>
            </w:r>
          </w:p>
        </w:tc>
      </w:tr>
      <w:tr>
        <w:trPr>
          <w:trHeight w:val="203"/>
        </w:trPr>
        <w:tc>
          <w:tcPr>
            <w:tcW w:w="4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1,005</w:t>
            </w:r>
          </w:p>
        </w:tc>
        <w:tc>
          <w:tcPr>
            <w:tcW w:w="3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552</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519</w:t>
            </w:r>
          </w:p>
        </w:tc>
        <w:tc>
          <w:tcPr>
            <w:tcW w:w="3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509</w:t>
            </w:r>
          </w:p>
        </w:tc>
        <w:tc>
          <w:tcPr>
            <w:tcW w:w="2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market value of plan assets</w:t>
            </w:r>
          </w:p>
        </w:tc>
        <w:tc>
          <w:tcPr>
            <w:tcW w:w="78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353</w:t>
            </w:r>
          </w:p>
        </w:tc>
        <w:tc>
          <w:tcPr>
            <w:tcW w:w="3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373</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369</w:t>
            </w:r>
          </w:p>
        </w:tc>
        <w:tc>
          <w:tcPr>
            <w:tcW w:w="3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w:t>
            </w:r>
          </w:p>
        </w:tc>
        <w:tc>
          <w:tcPr>
            <w:tcW w:w="2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APBO over assets</w:t>
            </w:r>
          </w:p>
        </w:tc>
        <w:tc>
          <w:tcPr>
            <w:tcW w:w="78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652</w:t>
            </w:r>
          </w:p>
        </w:tc>
        <w:tc>
          <w:tcPr>
            <w:tcW w:w="3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179</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w:t>
            </w:r>
          </w:p>
        </w:tc>
        <w:tc>
          <w:tcPr>
            <w:tcW w:w="3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w:t>
            </w:r>
          </w:p>
        </w:tc>
        <w:tc>
          <w:tcPr>
            <w:tcW w:w="2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items</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transition obligation</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gain</w:t>
            </w:r>
          </w:p>
        </w:tc>
        <w:tc>
          <w:tcPr>
            <w:tcW w:w="78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w:t>
            </w:r>
          </w:p>
        </w:tc>
        <w:tc>
          <w:tcPr>
            <w:tcW w:w="3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w:t>
            </w:r>
          </w:p>
        </w:tc>
        <w:tc>
          <w:tcPr>
            <w:tcW w:w="3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retiree benefits liability</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included in Consolidated</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Statements of Financial Position</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808</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253</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w:t>
            </w:r>
          </w:p>
        </w:tc>
        <w:tc>
          <w:tcPr>
            <w:tcW w:w="260" w:type="dxa"/>
            <w:vAlign w:val="bottom"/>
          </w:tcPr>
          <w:p>
            <w:pPr>
              <w:spacing w:after="0"/>
              <w:rPr>
                <w:sz w:val="17"/>
                <w:szCs w:val="17"/>
                <w:color w:val="auto"/>
              </w:rPr>
            </w:pPr>
          </w:p>
        </w:tc>
        <w:tc>
          <w:tcPr>
            <w:tcW w:w="7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7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60" w:firstLine="527"/>
        <w:spacing w:after="0" w:line="236" w:lineRule="auto"/>
        <w:rPr>
          <w:sz w:val="20"/>
          <w:szCs w:val="20"/>
          <w:color w:val="auto"/>
        </w:rPr>
      </w:pPr>
      <w:r>
        <w:rPr>
          <w:rFonts w:ascii="Courier New" w:cs="Courier New" w:eastAsia="Courier New" w:hAnsi="Courier New"/>
          <w:sz w:val="18"/>
          <w:szCs w:val="18"/>
          <w:color w:val="auto"/>
        </w:rPr>
        <w:t>Retiree health care and life insurance plan assets at December 31, 1994, were almost entirely comprised of equity type investments in listed companies.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4" w:lineRule="exact"/>
        <w:rPr>
          <w:sz w:val="20"/>
          <w:szCs w:val="20"/>
          <w:color w:val="auto"/>
        </w:rPr>
      </w:pPr>
    </w:p>
    <w:p>
      <w:pPr>
        <w:ind w:right="3060"/>
        <w:spacing w:after="0" w:line="271" w:lineRule="auto"/>
        <w:rPr>
          <w:sz w:val="20"/>
          <w:szCs w:val="20"/>
          <w:color w:val="auto"/>
        </w:rPr>
      </w:pPr>
      <w:r>
        <w:rPr>
          <w:rFonts w:ascii="Courier New" w:cs="Courier New" w:eastAsia="Courier New" w:hAnsi="Courier New"/>
          <w:sz w:val="16"/>
          <w:szCs w:val="16"/>
          <w:color w:val="auto"/>
        </w:rPr>
        <w:t>The corporation and its subsidiaries have been named as defendants in various legal actions. Based upon available information, it is the company's expectation that those actions are either without merit or will have no material adverse effect on the company's results of operations or financial position. Minimum rental commitments under long-term noncancellable operating leases total $226 million which is payable as follows; 1995 - $66 million, 1996 - $43 million, 1997 - $33 million, 1998 - $23 million, 1999 - $19 million, and</w:t>
      </w:r>
    </w:p>
    <w:p>
      <w:pPr>
        <w:sectPr>
          <w:pgSz w:w="11900" w:h="16838" w:orient="portrait"/>
          <w:cols w:equalWidth="0" w:num="1">
            <w:col w:w="10340"/>
          </w:cols>
          <w:pgMar w:left="240" w:top="136" w:right="1319"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2000 and thereafter - $42 million.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Rights</w:t>
      </w:r>
    </w:p>
    <w:p>
      <w:pPr>
        <w:spacing w:after="0" w:line="4" w:lineRule="exact"/>
        <w:rPr>
          <w:sz w:val="20"/>
          <w:szCs w:val="20"/>
          <w:color w:val="auto"/>
        </w:rPr>
      </w:pPr>
    </w:p>
    <w:p>
      <w:pPr>
        <w:ind w:right="220"/>
        <w:spacing w:after="0" w:line="237" w:lineRule="auto"/>
        <w:rPr>
          <w:sz w:val="20"/>
          <w:szCs w:val="20"/>
          <w:color w:val="auto"/>
        </w:rPr>
      </w:pPr>
      <w:r>
        <w:rPr>
          <w:rFonts w:ascii="Courier New" w:cs="Courier New" w:eastAsia="Courier New" w:hAnsi="Courier New"/>
          <w:sz w:val="18"/>
          <w:szCs w:val="18"/>
          <w:color w:val="auto"/>
        </w:rPr>
        <w:t>On September 21, 1988, the company adopted a Common Stock Purchase Rights plan. One right for each outstanding share of common stock was issued to shareholders of record on October 5, 1988. The rights will become exercisable on the tenth business day after a person or group has acquired 15 percent or more of the general voting power of the company, or announces an intention to make a tender offer for 30 percent or more of such voting power, without the prior consent of the Board of Directors. If the rights become exercisable, a holder will be entitled to purchase one share of common stock from the company at an initial exercise price of $105.</w:t>
      </w:r>
    </w:p>
    <w:p>
      <w:pPr>
        <w:spacing w:after="0" w:line="12" w:lineRule="exact"/>
        <w:rPr>
          <w:sz w:val="20"/>
          <w:szCs w:val="20"/>
          <w:color w:val="auto"/>
        </w:rPr>
      </w:pPr>
    </w:p>
    <w:p>
      <w:pPr>
        <w:ind w:right="120" w:firstLine="527"/>
        <w:spacing w:after="0" w:line="237" w:lineRule="auto"/>
        <w:rPr>
          <w:sz w:val="20"/>
          <w:szCs w:val="20"/>
          <w:color w:val="auto"/>
        </w:rPr>
      </w:pPr>
      <w:r>
        <w:rPr>
          <w:rFonts w:ascii="Courier New" w:cs="Courier New" w:eastAsia="Courier New" w:hAnsi="Courier New"/>
          <w:sz w:val="18"/>
          <w:szCs w:val="18"/>
          <w:color w:val="auto"/>
        </w:rPr>
        <w:t>If a person acquires more than 15 percent of the then outstanding voting power of the company or if the company is combined with an acquiror, each right will entitle its holder to receive, upon exercise, shares of the company's or the acquiror's (depending upon which is the surviving company) common stock having a value equal to two times the exercise price of the right.</w:t>
      </w:r>
    </w:p>
    <w:p>
      <w:pPr>
        <w:spacing w:after="0" w:line="7" w:lineRule="exact"/>
        <w:rPr>
          <w:sz w:val="20"/>
          <w:szCs w:val="20"/>
          <w:color w:val="auto"/>
        </w:rPr>
      </w:pPr>
    </w:p>
    <w:p>
      <w:pPr>
        <w:ind w:right="220" w:firstLine="527"/>
        <w:spacing w:after="0" w:line="237" w:lineRule="auto"/>
        <w:rPr>
          <w:sz w:val="20"/>
          <w:szCs w:val="20"/>
          <w:color w:val="auto"/>
        </w:rPr>
      </w:pPr>
      <w:r>
        <w:rPr>
          <w:rFonts w:ascii="Courier New" w:cs="Courier New" w:eastAsia="Courier New" w:hAnsi="Courier New"/>
          <w:sz w:val="18"/>
          <w:szCs w:val="18"/>
          <w:color w:val="auto"/>
        </w:rPr>
        <w:t>The company will be entitled to redeem the rights at $.02 per right at any time prior to the earlier of the date that a person has acquired or obtained the right to acquire 15 percent of the general voting power of the company or the expiration of the rights in October 1998. The rights are not exercisable until after the date on which the company's prerogative to redeem the rights has expired. The rights do not have voting or dividend privilege and cannot be traded independently from the company's common stock until such time as they become exercisable.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 Stock Plan</w:t>
      </w:r>
    </w:p>
    <w:p>
      <w:pPr>
        <w:spacing w:after="0" w:line="4" w:lineRule="exact"/>
        <w:rPr>
          <w:sz w:val="20"/>
          <w:szCs w:val="20"/>
          <w:color w:val="auto"/>
        </w:rPr>
      </w:pPr>
    </w:p>
    <w:p>
      <w:pPr>
        <w:ind w:right="320"/>
        <w:spacing w:after="0" w:line="268" w:lineRule="auto"/>
        <w:rPr>
          <w:sz w:val="20"/>
          <w:szCs w:val="20"/>
          <w:color w:val="auto"/>
        </w:rPr>
      </w:pPr>
      <w:r>
        <w:rPr>
          <w:rFonts w:ascii="Courier New" w:cs="Courier New" w:eastAsia="Courier New" w:hAnsi="Courier New"/>
          <w:sz w:val="16"/>
          <w:szCs w:val="16"/>
          <w:color w:val="auto"/>
        </w:rPr>
        <w:t>The company's 1993 Long-Term Incentive Stock Plan provides for stock options, stock appreciation rights (SARs) and stock awards to key employees. This plan added 2,300,000 shares, of which up to one-half may be in the form of stock awards, to the pool available for future grants. The number of shares reserved for future grants shown in the following table reflects both stock options and stock awards.</w:t>
      </w:r>
    </w:p>
    <w:p>
      <w:pPr>
        <w:spacing w:after="0" w:line="1" w:lineRule="exact"/>
        <w:rPr>
          <w:sz w:val="20"/>
          <w:szCs w:val="20"/>
          <w:color w:val="auto"/>
        </w:rPr>
      </w:pPr>
    </w:p>
    <w:p>
      <w:pPr>
        <w:ind w:right="120" w:firstLine="527"/>
        <w:spacing w:after="0" w:line="268" w:lineRule="auto"/>
        <w:rPr>
          <w:sz w:val="20"/>
          <w:szCs w:val="20"/>
          <w:color w:val="auto"/>
        </w:rPr>
      </w:pPr>
      <w:r>
        <w:rPr>
          <w:rFonts w:ascii="Courier New" w:cs="Courier New" w:eastAsia="Courier New" w:hAnsi="Courier New"/>
          <w:sz w:val="16"/>
          <w:szCs w:val="16"/>
          <w:color w:val="auto"/>
        </w:rPr>
        <w:t>Stock awards, in the form of restricted performance stock rights, are granted to key employees without payment to the company. Recipients of the rights earn shares of stock based on a total shareholder return measure of performance over a five year period with interim distributions beginning three years after grant. If at the end of the five year period the performance objectives have not been met, 70 percent of the original grant will be forfeited. Compensation expense is estimated and accrued over the vesting period.</w:t>
      </w:r>
    </w:p>
    <w:p>
      <w:pPr>
        <w:spacing w:after="0" w:line="1" w:lineRule="exact"/>
        <w:rPr>
          <w:sz w:val="20"/>
          <w:szCs w:val="20"/>
          <w:color w:val="auto"/>
        </w:rPr>
      </w:pPr>
    </w:p>
    <w:p>
      <w:pPr>
        <w:ind w:right="120" w:firstLine="527"/>
        <w:spacing w:after="0" w:line="237" w:lineRule="auto"/>
        <w:rPr>
          <w:sz w:val="20"/>
          <w:szCs w:val="20"/>
          <w:color w:val="auto"/>
        </w:rPr>
      </w:pPr>
      <w:r>
        <w:rPr>
          <w:rFonts w:ascii="Courier New" w:cs="Courier New" w:eastAsia="Courier New" w:hAnsi="Courier New"/>
          <w:sz w:val="18"/>
          <w:szCs w:val="18"/>
          <w:color w:val="auto"/>
        </w:rPr>
        <w:t>Each grant of a stock option is made at the closing market price on the date of the grant. When stock options are exercised, the amount of the cash proceeds to the company is added to paid-in capital. Under current accounting standards there are no additions to or deductions from income in connection with these options.</w:t>
      </w:r>
    </w:p>
    <w:p>
      <w:pPr>
        <w:spacing w:after="0" w:line="6" w:lineRule="exact"/>
        <w:rPr>
          <w:sz w:val="20"/>
          <w:szCs w:val="20"/>
          <w:color w:val="auto"/>
        </w:rPr>
      </w:pPr>
    </w:p>
    <w:p>
      <w:pPr>
        <w:ind w:right="220" w:firstLine="527"/>
        <w:spacing w:after="0" w:line="235" w:lineRule="auto"/>
        <w:rPr>
          <w:sz w:val="20"/>
          <w:szCs w:val="20"/>
          <w:color w:val="auto"/>
        </w:rPr>
      </w:pPr>
      <w:r>
        <w:rPr>
          <w:rFonts w:ascii="Courier New" w:cs="Courier New" w:eastAsia="Courier New" w:hAnsi="Courier New"/>
          <w:sz w:val="18"/>
          <w:szCs w:val="18"/>
          <w:color w:val="auto"/>
        </w:rPr>
        <w:t>Termination of employment can result in forfeiture of some or all of the benefits extended under the plans.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Stock option activity for the last five years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2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5540" w:type="dxa"/>
            <w:vAlign w:val="bottom"/>
          </w:tcPr>
          <w:p>
            <w:pPr>
              <w:spacing w:after="0"/>
              <w:rPr>
                <w:sz w:val="17"/>
                <w:szCs w:val="17"/>
                <w:color w:val="auto"/>
              </w:rPr>
            </w:pPr>
          </w:p>
        </w:tc>
        <w:tc>
          <w:tcPr>
            <w:tcW w:w="2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Under Option</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Outstanding at January 1, 1990, nonstatutory</w:t>
            </w:r>
          </w:p>
        </w:tc>
        <w:tc>
          <w:tcPr>
            <w:tcW w:w="2060" w:type="dxa"/>
            <w:vAlign w:val="bottom"/>
          </w:tcPr>
          <w:p>
            <w:pPr>
              <w:spacing w:after="0"/>
              <w:rPr>
                <w:sz w:val="24"/>
                <w:szCs w:val="24"/>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options with 1,800,000 SARs, at $17 to $47</w:t>
            </w:r>
          </w:p>
        </w:tc>
        <w:tc>
          <w:tcPr>
            <w:tcW w:w="2060" w:type="dxa"/>
            <w:vAlign w:val="bottom"/>
          </w:tcPr>
          <w:p>
            <w:pPr>
              <w:spacing w:after="0"/>
              <w:rPr>
                <w:sz w:val="17"/>
                <w:szCs w:val="17"/>
                <w:color w:val="auto"/>
              </w:rPr>
            </w:pP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per share</w:t>
            </w:r>
          </w:p>
        </w:tc>
        <w:tc>
          <w:tcPr>
            <w:tcW w:w="2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2,143,520</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w:t>
            </w:r>
          </w:p>
        </w:tc>
        <w:tc>
          <w:tcPr>
            <w:tcW w:w="2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739,600</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Cancelled</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(36,800)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December 31, 1990, nonstatutory</w:t>
            </w:r>
          </w:p>
        </w:tc>
        <w:tc>
          <w:tcPr>
            <w:tcW w:w="206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options with 1,800,000 SARs, at $15 to $47</w:t>
            </w:r>
          </w:p>
        </w:tc>
        <w:tc>
          <w:tcPr>
            <w:tcW w:w="2060" w:type="dxa"/>
            <w:vAlign w:val="bottom"/>
          </w:tcPr>
          <w:p>
            <w:pPr>
              <w:spacing w:after="0"/>
              <w:rPr>
                <w:sz w:val="17"/>
                <w:szCs w:val="17"/>
                <w:color w:val="auto"/>
              </w:rPr>
            </w:pP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per share</w:t>
            </w:r>
          </w:p>
        </w:tc>
        <w:tc>
          <w:tcPr>
            <w:tcW w:w="2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2,846,320</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w:t>
            </w:r>
          </w:p>
        </w:tc>
        <w:tc>
          <w:tcPr>
            <w:tcW w:w="2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67,000</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Cancelled</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(54,420)</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 or surrendered, at $17 to $19 per</w:t>
            </w:r>
          </w:p>
        </w:tc>
        <w:tc>
          <w:tcPr>
            <w:tcW w:w="2060" w:type="dxa"/>
            <w:vAlign w:val="bottom"/>
          </w:tcPr>
          <w:p>
            <w:pPr>
              <w:spacing w:after="0"/>
              <w:rPr>
                <w:sz w:val="17"/>
                <w:szCs w:val="17"/>
                <w:color w:val="auto"/>
              </w:rPr>
            </w:pP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(35,030)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December 31, 1991, nonstatutory</w:t>
            </w:r>
          </w:p>
        </w:tc>
        <w:tc>
          <w:tcPr>
            <w:tcW w:w="206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options with 1,800,000 SARs, at $15 to $47</w:t>
            </w:r>
          </w:p>
        </w:tc>
        <w:tc>
          <w:tcPr>
            <w:tcW w:w="2060" w:type="dxa"/>
            <w:vAlign w:val="bottom"/>
          </w:tcPr>
          <w:p>
            <w:pPr>
              <w:spacing w:after="0"/>
              <w:rPr>
                <w:sz w:val="17"/>
                <w:szCs w:val="17"/>
                <w:color w:val="auto"/>
              </w:rPr>
            </w:pP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per share</w:t>
            </w:r>
          </w:p>
        </w:tc>
        <w:tc>
          <w:tcPr>
            <w:tcW w:w="2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2,823,870</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w:t>
            </w:r>
          </w:p>
        </w:tc>
        <w:tc>
          <w:tcPr>
            <w:tcW w:w="2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635,700</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Cancelled</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(43,380)</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 or surrendered, at $16 to $29 per</w:t>
            </w:r>
          </w:p>
        </w:tc>
        <w:tc>
          <w:tcPr>
            <w:tcW w:w="20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ind w:firstLine="316"/>
        <w:spacing w:after="0" w:line="235" w:lineRule="auto"/>
        <w:rPr>
          <w:sz w:val="20"/>
          <w:szCs w:val="20"/>
          <w:color w:val="auto"/>
        </w:rPr>
      </w:pPr>
      <w:r>
        <w:rPr>
          <w:rFonts w:ascii="Courier New" w:cs="Courier New" w:eastAsia="Courier New" w:hAnsi="Courier New"/>
          <w:sz w:val="18"/>
          <w:szCs w:val="18"/>
          <w:color w:val="auto"/>
        </w:rPr>
        <w:t>Shares Reserved for Exercisable Future Grants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tabs>
          <w:tab w:leader="none" w:pos="1560" w:val="left"/>
        </w:tabs>
        <w:rPr>
          <w:sz w:val="20"/>
          <w:szCs w:val="20"/>
          <w:color w:val="auto"/>
        </w:rPr>
      </w:pPr>
      <w:r>
        <w:rPr>
          <w:rFonts w:ascii="Courier New" w:cs="Courier New" w:eastAsia="Courier New" w:hAnsi="Courier New"/>
          <w:sz w:val="18"/>
          <w:szCs w:val="18"/>
          <w:color w:val="auto"/>
        </w:rPr>
        <w:t>1,419,120</w:t>
      </w:r>
      <w:r>
        <w:rPr>
          <w:sz w:val="20"/>
          <w:szCs w:val="20"/>
          <w:color w:val="auto"/>
        </w:rPr>
        <w:tab/>
      </w:r>
      <w:r>
        <w:rPr>
          <w:rFonts w:ascii="Courier New" w:cs="Courier New" w:eastAsia="Courier New" w:hAnsi="Courier New"/>
          <w:sz w:val="18"/>
          <w:szCs w:val="18"/>
          <w:color w:val="auto"/>
        </w:rPr>
        <w:t>2,056,467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tabs>
          <w:tab w:leader="none" w:pos="1560" w:val="left"/>
        </w:tabs>
        <w:rPr>
          <w:sz w:val="20"/>
          <w:szCs w:val="20"/>
          <w:color w:val="auto"/>
        </w:rPr>
      </w:pPr>
      <w:r>
        <w:rPr>
          <w:rFonts w:ascii="Courier New" w:cs="Courier New" w:eastAsia="Courier New" w:hAnsi="Courier New"/>
          <w:sz w:val="18"/>
          <w:szCs w:val="18"/>
          <w:color w:val="auto"/>
        </w:rPr>
        <w:t>1,491,420</w:t>
      </w:r>
      <w:r>
        <w:rPr>
          <w:sz w:val="20"/>
          <w:szCs w:val="20"/>
          <w:color w:val="auto"/>
        </w:rPr>
        <w:tab/>
      </w:r>
      <w:r>
        <w:rPr>
          <w:rFonts w:ascii="Courier New" w:cs="Courier New" w:eastAsia="Courier New" w:hAnsi="Courier New"/>
          <w:sz w:val="18"/>
          <w:szCs w:val="18"/>
          <w:color w:val="auto"/>
        </w:rPr>
        <w:t>1,161,149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tabs>
          <w:tab w:leader="none" w:pos="1560" w:val="left"/>
        </w:tabs>
        <w:rPr>
          <w:sz w:val="20"/>
          <w:szCs w:val="20"/>
          <w:color w:val="auto"/>
        </w:rPr>
      </w:pPr>
      <w:r>
        <w:rPr>
          <w:rFonts w:ascii="Courier New" w:cs="Courier New" w:eastAsia="Courier New" w:hAnsi="Courier New"/>
          <w:sz w:val="18"/>
          <w:szCs w:val="18"/>
          <w:color w:val="auto"/>
        </w:rPr>
        <w:t>1,841,070</w:t>
      </w:r>
      <w:r>
        <w:rPr>
          <w:sz w:val="20"/>
          <w:szCs w:val="20"/>
          <w:color w:val="auto"/>
        </w:rPr>
        <w:tab/>
      </w:r>
      <w:r>
        <w:rPr>
          <w:rFonts w:ascii="Courier New" w:cs="Courier New" w:eastAsia="Courier New" w:hAnsi="Courier New"/>
          <w:sz w:val="18"/>
          <w:szCs w:val="18"/>
          <w:color w:val="auto"/>
        </w:rPr>
        <w:t>1,152,902</w:t>
      </w:r>
    </w:p>
    <w:p>
      <w:pPr>
        <w:sectPr>
          <w:pgSz w:w="11900" w:h="16838" w:orient="portrait"/>
          <w:cols w:equalWidth="0" w:num="2">
            <w:col w:w="7600" w:space="300"/>
            <w:col w:w="2740"/>
          </w:cols>
          <w:pgMar w:left="240" w:top="136" w:right="101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4"/>
        </w:trPr>
        <w:tc>
          <w:tcPr>
            <w:tcW w:w="5540" w:type="dxa"/>
            <w:vAlign w:val="bottom"/>
          </w:tcPr>
          <w:p>
            <w:pPr>
              <w:ind w:left="540"/>
              <w:spacing w:after="0"/>
              <w:rPr>
                <w:sz w:val="20"/>
                <w:szCs w:val="20"/>
                <w:color w:val="auto"/>
              </w:rPr>
            </w:pPr>
            <w:r>
              <w:rPr>
                <w:rFonts w:ascii="Courier New" w:cs="Courier New" w:eastAsia="Courier New" w:hAnsi="Courier New"/>
                <w:sz w:val="18"/>
                <w:szCs w:val="18"/>
                <w:color w:val="auto"/>
              </w:rPr>
              <w:t>share</w:t>
            </w:r>
          </w:p>
        </w:tc>
        <w:tc>
          <w:tcPr>
            <w:tcW w:w="9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(281,660)</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December 31, 1992, nonstatutory</w:t>
            </w: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options at $15 to $47 per share</w:t>
            </w:r>
          </w:p>
        </w:tc>
        <w:tc>
          <w:tcPr>
            <w:tcW w:w="900" w:type="dxa"/>
            <w:vAlign w:val="bottom"/>
          </w:tcPr>
          <w:p>
            <w:pPr>
              <w:spacing w:after="0"/>
              <w:rPr>
                <w:sz w:val="17"/>
                <w:szCs w:val="17"/>
                <w:color w:val="auto"/>
              </w:rPr>
            </w:pP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3,134,530</w:t>
            </w:r>
          </w:p>
        </w:tc>
        <w:tc>
          <w:tcPr>
            <w:tcW w:w="36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1,798,550</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413,780</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w:t>
            </w:r>
          </w:p>
        </w:tc>
        <w:tc>
          <w:tcPr>
            <w:tcW w:w="900" w:type="dxa"/>
            <w:vAlign w:val="bottom"/>
          </w:tcPr>
          <w:p>
            <w:pPr>
              <w:spacing w:after="0"/>
              <w:rPr>
                <w:sz w:val="17"/>
                <w:szCs w:val="17"/>
                <w:color w:val="auto"/>
              </w:rPr>
            </w:pP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515,300</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Cancelled</w:t>
            </w:r>
          </w:p>
        </w:tc>
        <w:tc>
          <w:tcPr>
            <w:tcW w:w="9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(96,640)</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 or surrendered, at $15 to $30 per</w:t>
            </w: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w:t>
            </w:r>
          </w:p>
        </w:tc>
        <w:tc>
          <w:tcPr>
            <w:tcW w:w="9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(1,405,330)</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December 31, 1993, nonstatutory</w:t>
            </w: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options at $15 to $36 per share</w:t>
            </w:r>
          </w:p>
        </w:tc>
        <w:tc>
          <w:tcPr>
            <w:tcW w:w="900" w:type="dxa"/>
            <w:vAlign w:val="bottom"/>
          </w:tcPr>
          <w:p>
            <w:pPr>
              <w:spacing w:after="0"/>
              <w:rPr>
                <w:sz w:val="17"/>
                <w:szCs w:val="17"/>
                <w:color w:val="auto"/>
              </w:rPr>
            </w:pP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2,147,860</w:t>
            </w:r>
          </w:p>
        </w:tc>
        <w:tc>
          <w:tcPr>
            <w:tcW w:w="36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738,300</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1,618,640</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w:t>
            </w:r>
          </w:p>
        </w:tc>
        <w:tc>
          <w:tcPr>
            <w:tcW w:w="900" w:type="dxa"/>
            <w:vAlign w:val="bottom"/>
          </w:tcPr>
          <w:p>
            <w:pPr>
              <w:spacing w:after="0"/>
              <w:rPr>
                <w:sz w:val="17"/>
                <w:szCs w:val="17"/>
                <w:color w:val="auto"/>
              </w:rPr>
            </w:pP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708,700</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Cancelled</w:t>
            </w:r>
          </w:p>
        </w:tc>
        <w:tc>
          <w:tcPr>
            <w:tcW w:w="9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(61,215)</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 or surrendered, at $15 to $36 per</w:t>
            </w: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w:t>
            </w:r>
          </w:p>
        </w:tc>
        <w:tc>
          <w:tcPr>
            <w:tcW w:w="9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(265,430)</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December 31, 1994, nonstatutory</w:t>
            </w: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options at $15 to $43 per share</w:t>
            </w:r>
          </w:p>
        </w:tc>
        <w:tc>
          <w:tcPr>
            <w:tcW w:w="900" w:type="dxa"/>
            <w:vAlign w:val="bottom"/>
          </w:tcPr>
          <w:p>
            <w:pPr>
              <w:spacing w:after="0"/>
              <w:rPr>
                <w:sz w:val="17"/>
                <w:szCs w:val="17"/>
                <w:color w:val="auto"/>
              </w:rPr>
            </w:pP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2,529,915</w:t>
            </w:r>
          </w:p>
        </w:tc>
        <w:tc>
          <w:tcPr>
            <w:tcW w:w="360" w:type="dxa"/>
            <w:vAlign w:val="bottom"/>
          </w:tcPr>
          <w:p>
            <w:pPr>
              <w:spacing w:after="0"/>
              <w:rPr>
                <w:sz w:val="17"/>
                <w:szCs w:val="17"/>
                <w:color w:val="auto"/>
              </w:rPr>
            </w:pP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817,660</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816,485</w:t>
            </w:r>
          </w:p>
        </w:tc>
      </w:tr>
      <w:tr>
        <w:trPr>
          <w:trHeight w:val="810"/>
        </w:trPr>
        <w:tc>
          <w:tcPr>
            <w:tcW w:w="5540" w:type="dxa"/>
            <w:vAlign w:val="bottom"/>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Unaudited Selected Quarterly Data</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76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Quarterly financial results, previously reported in unaudited quarterly</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6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reports to shareholders, are set forth in the following tables together</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6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with dividend and common stock price data.  Operating margin(loss) for</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6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1993 and the first three quarters of 1994 has been restated to reflect</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reclassification of losses on disposals of machinery and other</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6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equipment previously included in the "Other, net" classification in the</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 Statements of Income.</w:t>
            </w: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5540" w:type="dxa"/>
            <w:vAlign w:val="bottom"/>
          </w:tcPr>
          <w:p>
            <w:pPr>
              <w:spacing w:after="0"/>
              <w:rPr>
                <w:sz w:val="20"/>
                <w:szCs w:val="20"/>
                <w:color w:val="auto"/>
              </w:rPr>
            </w:pPr>
            <w:r>
              <w:rPr>
                <w:rFonts w:ascii="Courier New" w:cs="Courier New" w:eastAsia="Courier New" w:hAnsi="Courier New"/>
                <w:sz w:val="18"/>
                <w:szCs w:val="18"/>
                <w:color w:val="auto"/>
              </w:rPr>
              <w:t>1994 Quarters, $ in millions, except per share</w:t>
            </w:r>
          </w:p>
        </w:tc>
        <w:tc>
          <w:tcPr>
            <w:tcW w:w="90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w:t>
            </w:r>
          </w:p>
        </w:tc>
        <w:tc>
          <w:tcPr>
            <w:tcW w:w="4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58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w:t>
            </w:r>
          </w:p>
        </w:tc>
        <w:tc>
          <w:tcPr>
            <w:tcW w:w="420" w:type="dxa"/>
            <w:vAlign w:val="bottom"/>
          </w:tcPr>
          <w:p>
            <w:pPr>
              <w:spacing w:after="0"/>
              <w:rPr>
                <w:sz w:val="24"/>
                <w:szCs w:val="24"/>
                <w:color w:val="auto"/>
              </w:rPr>
            </w:pP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$1,880</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$1,927</w:t>
            </w:r>
          </w:p>
        </w:tc>
        <w:tc>
          <w:tcPr>
            <w:tcW w:w="1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$1,686</w:t>
            </w:r>
          </w:p>
        </w:tc>
        <w:tc>
          <w:tcPr>
            <w:tcW w:w="12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$1,218</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margin(loss)</w:t>
            </w:r>
          </w:p>
        </w:tc>
        <w:tc>
          <w:tcPr>
            <w:tcW w:w="9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(107)</w:t>
            </w:r>
          </w:p>
        </w:tc>
        <w:tc>
          <w:tcPr>
            <w:tcW w:w="4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w:t>
            </w:r>
          </w:p>
        </w:tc>
        <w:tc>
          <w:tcPr>
            <w:tcW w:w="58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w:t>
            </w:r>
          </w:p>
        </w:tc>
        <w:tc>
          <w:tcPr>
            <w:tcW w:w="4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income(loss)</w:t>
            </w:r>
          </w:p>
        </w:tc>
        <w:tc>
          <w:tcPr>
            <w:tcW w:w="9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(121)</w:t>
            </w:r>
          </w:p>
        </w:tc>
        <w:tc>
          <w:tcPr>
            <w:tcW w:w="4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58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w:t>
            </w:r>
          </w:p>
        </w:tc>
        <w:tc>
          <w:tcPr>
            <w:tcW w:w="4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Earnings(loss) per share</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(2.45)</w:t>
            </w:r>
          </w:p>
        </w:tc>
        <w:tc>
          <w:tcPr>
            <w:tcW w:w="4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.79</w:t>
            </w:r>
          </w:p>
        </w:tc>
        <w:tc>
          <w:tcPr>
            <w:tcW w:w="58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1.33</w:t>
            </w:r>
          </w:p>
        </w:tc>
        <w:tc>
          <w:tcPr>
            <w:tcW w:w="4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1.05</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per share</w:t>
            </w:r>
          </w:p>
        </w:tc>
        <w:tc>
          <w:tcPr>
            <w:tcW w:w="9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w:t>
            </w:r>
          </w:p>
        </w:tc>
        <w:tc>
          <w:tcPr>
            <w:tcW w:w="4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.40</w:t>
            </w:r>
          </w:p>
        </w:tc>
        <w:tc>
          <w:tcPr>
            <w:tcW w:w="58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4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price:</w:t>
            </w: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High</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3/8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Low</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3/4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60" w:firstLine="527"/>
        <w:spacing w:after="0" w:line="237" w:lineRule="auto"/>
        <w:rPr>
          <w:sz w:val="20"/>
          <w:szCs w:val="20"/>
          <w:color w:val="auto"/>
        </w:rPr>
      </w:pPr>
      <w:r>
        <w:rPr>
          <w:rFonts w:ascii="Courier New" w:cs="Courier New" w:eastAsia="Courier New" w:hAnsi="Courier New"/>
          <w:sz w:val="18"/>
          <w:szCs w:val="18"/>
          <w:color w:val="auto"/>
        </w:rPr>
        <w:t>The operating loss in the fourth quarter of 1994 resulted from a $282 million charge for a voluntary early retirement incentive program offered in 1994 and a $42 million provision for the planned disposal of real estate and other assets.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20"/>
                <w:szCs w:val="20"/>
                <w:color w:val="auto"/>
              </w:rPr>
            </w:pPr>
            <w:r>
              <w:rPr>
                <w:rFonts w:ascii="Courier New" w:cs="Courier New" w:eastAsia="Courier New" w:hAnsi="Courier New"/>
                <w:sz w:val="18"/>
                <w:szCs w:val="18"/>
                <w:color w:val="auto"/>
              </w:rPr>
              <w:t>1993 Quarters, $ in millions, except per share</w:t>
            </w:r>
          </w:p>
        </w:tc>
        <w:tc>
          <w:tcPr>
            <w:tcW w:w="900" w:type="dxa"/>
            <w:vAlign w:val="bottom"/>
          </w:tcPr>
          <w:p>
            <w:pPr>
              <w:spacing w:after="0"/>
              <w:rPr>
                <w:sz w:val="17"/>
                <w:szCs w:val="17"/>
                <w:color w:val="auto"/>
              </w:rPr>
            </w:pP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w:t>
            </w:r>
          </w:p>
        </w:tc>
        <w:tc>
          <w:tcPr>
            <w:tcW w:w="260" w:type="dxa"/>
            <w:vAlign w:val="bottom"/>
          </w:tcPr>
          <w:p>
            <w:pPr>
              <w:spacing w:after="0"/>
              <w:rPr>
                <w:sz w:val="17"/>
                <w:szCs w:val="17"/>
                <w:color w:val="auto"/>
              </w:rPr>
            </w:pP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17"/>
                <w:szCs w:val="17"/>
                <w:color w:val="auto"/>
              </w:rPr>
            </w:pP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w:t>
            </w: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7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$1,256</w:t>
            </w:r>
          </w:p>
        </w:tc>
        <w:tc>
          <w:tcPr>
            <w:tcW w:w="8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2"/>
              </w:rPr>
              <w:t>$1,220</w:t>
            </w:r>
          </w:p>
        </w:tc>
        <w:tc>
          <w:tcPr>
            <w:tcW w:w="10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$1,312</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$1,275</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margin(loss)</w:t>
            </w:r>
          </w:p>
        </w:tc>
        <w:tc>
          <w:tcPr>
            <w:tcW w:w="90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w:t>
            </w:r>
          </w:p>
        </w:tc>
        <w:tc>
          <w:tcPr>
            <w:tcW w:w="26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w:t>
            </w:r>
          </w:p>
        </w:tc>
        <w:tc>
          <w:tcPr>
            <w:tcW w:w="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income(loss)</w:t>
            </w:r>
          </w:p>
        </w:tc>
        <w:tc>
          <w:tcPr>
            <w:tcW w:w="90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26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w:t>
            </w:r>
          </w:p>
        </w:tc>
        <w:tc>
          <w:tcPr>
            <w:tcW w:w="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Earnings(loss) per share</w:t>
            </w:r>
          </w:p>
        </w:tc>
        <w:tc>
          <w:tcPr>
            <w:tcW w:w="90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(.73)</w:t>
            </w:r>
          </w:p>
        </w:tc>
        <w:tc>
          <w:tcPr>
            <w:tcW w:w="26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1.12</w:t>
            </w:r>
          </w:p>
        </w:tc>
        <w:tc>
          <w:tcPr>
            <w:tcW w:w="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1.09</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per share</w:t>
            </w:r>
          </w:p>
        </w:tc>
        <w:tc>
          <w:tcPr>
            <w:tcW w:w="90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w:t>
            </w:r>
          </w:p>
        </w:tc>
        <w:tc>
          <w:tcPr>
            <w:tcW w:w="26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4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price:</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High</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42</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Low</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8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33</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810"/>
        </w:trPr>
        <w:tc>
          <w:tcPr>
            <w:tcW w:w="5540" w:type="dxa"/>
            <w:vAlign w:val="bottom"/>
          </w:tcPr>
          <w:p>
            <w:pPr>
              <w:spacing w:after="0"/>
              <w:rPr>
                <w:sz w:val="20"/>
                <w:szCs w:val="20"/>
                <w:color w:val="auto"/>
              </w:rPr>
            </w:pPr>
            <w:r>
              <w:rPr>
                <w:rFonts w:ascii="Courier New" w:cs="Courier New" w:eastAsia="Courier New" w:hAnsi="Courier New"/>
                <w:sz w:val="18"/>
                <w:szCs w:val="18"/>
                <w:color w:val="auto"/>
              </w:rPr>
              <w:t>NORTHROP GRUMMAN CORPORATION</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6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sum of quarterly earnings per share for 1993 does not</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equal</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earnings per share for the year because the average number of</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shares outstanding for the second half of 1993 was disproportionately</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higher than the full year average due to the stock options exercised</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during the second half.</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6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Net income and earnings per share in the third quarter of</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1993 were</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reduced for the cumulative effect of the retroactive application of The</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Revenue Reconciliation Act of 1993 signed into law August 10,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The one percentage point increase in the federal statutory income tax</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rate required the redetermination of prior deferred tax asset</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liability balances as well as an increase in the taxes provided on</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pretax earnings for the first three quarters of 1993.  Third quarter</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1993 net income and earnings per share were accordingly reduced by $18</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million, 38 cents per share, and $2 million, 5 cents per share,</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respectively.</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ectPr>
          <w:pgSz w:w="11900" w:h="16838" w:orient="portrait"/>
          <w:cols w:equalWidth="0" w:num="1">
            <w:col w:w="10440"/>
          </w:cols>
          <w:pgMar w:left="240" w:top="136" w:right="1219" w:bottom="0" w:gutter="0" w:footer="0" w:header="0"/>
        </w:sectPr>
      </w:pPr>
    </w:p>
    <w:bookmarkStart w:id="32" w:name="page33"/>
    <w:bookmarkEnd w:id="32"/>
    <w:p>
      <w:pPr>
        <w:ind w:right="3039" w:firstLine="421"/>
        <w:spacing w:after="0" w:line="237" w:lineRule="auto"/>
        <w:rPr>
          <w:sz w:val="20"/>
          <w:szCs w:val="20"/>
          <w:color w:val="auto"/>
        </w:rPr>
      </w:pPr>
      <w:r>
        <w:rPr>
          <w:rFonts w:ascii="Courier New" w:cs="Courier New" w:eastAsia="Courier New" w:hAnsi="Courier New"/>
          <w:sz w:val="18"/>
          <w:szCs w:val="18"/>
          <w:color w:val="auto"/>
        </w:rPr>
        <w:t>The operating loss in the fourth quarter of 1993 resulted from a $164 million provision for an increase in the estimated cost to complete the TSSAM development contract. This provision followed similar ones amounting to $14 million, $5 million and $18 million in each of the three preceding quarters, respectively.</w:t>
      </w:r>
    </w:p>
    <w:p>
      <w:pPr>
        <w:spacing w:after="0" w:line="6"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The corporation's common stock is traded on the New York and Pacific Stock Exchanges (trading symbol NOC). The approximate number of holders of record of the corporation's common stock at January 31, 1995, was 11,195.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38" w:lineRule="auto"/>
        <w:rPr>
          <w:sz w:val="20"/>
          <w:szCs w:val="20"/>
          <w:color w:val="auto"/>
        </w:rPr>
      </w:pPr>
      <w:r>
        <w:rPr>
          <w:rFonts w:ascii="Courier New" w:cs="Courier New" w:eastAsia="Courier New" w:hAnsi="Courier New"/>
          <w:sz w:val="18"/>
          <w:szCs w:val="18"/>
          <w:color w:val="auto"/>
        </w:rPr>
        <w:t>INDEPENDENT AUDITORS' REPORT</w:t>
      </w:r>
    </w:p>
    <w:p>
      <w:pPr>
        <w:spacing w:after="0"/>
        <w:rPr>
          <w:sz w:val="20"/>
          <w:szCs w:val="20"/>
          <w:color w:val="auto"/>
        </w:rPr>
      </w:pPr>
      <w:r>
        <w:rPr>
          <w:rFonts w:ascii="Courier New" w:cs="Courier New" w:eastAsia="Courier New" w:hAnsi="Courier New"/>
          <w:sz w:val="18"/>
          <w:szCs w:val="18"/>
          <w:color w:val="auto"/>
        </w:rPr>
        <w:t>Board of Directors and Shareholders</w:t>
      </w:r>
    </w:p>
    <w:p>
      <w:pPr>
        <w:spacing w:after="0" w:line="237" w:lineRule="auto"/>
        <w:rPr>
          <w:sz w:val="20"/>
          <w:szCs w:val="20"/>
          <w:color w:val="auto"/>
        </w:rPr>
      </w:pPr>
      <w:r>
        <w:rPr>
          <w:rFonts w:ascii="Courier New" w:cs="Courier New" w:eastAsia="Courier New" w:hAnsi="Courier New"/>
          <w:sz w:val="18"/>
          <w:szCs w:val="18"/>
          <w:color w:val="auto"/>
        </w:rPr>
        <w:t>Northrop Grumman Corporation</w:t>
      </w:r>
    </w:p>
    <w:p>
      <w:pPr>
        <w:spacing w:after="0" w:line="238" w:lineRule="auto"/>
        <w:rPr>
          <w:sz w:val="20"/>
          <w:szCs w:val="20"/>
          <w:color w:val="auto"/>
        </w:rPr>
      </w:pPr>
      <w:r>
        <w:rPr>
          <w:rFonts w:ascii="Courier New" w:cs="Courier New" w:eastAsia="Courier New" w:hAnsi="Courier New"/>
          <w:sz w:val="18"/>
          <w:szCs w:val="18"/>
          <w:color w:val="auto"/>
        </w:rPr>
        <w:t>Los Angeles, California</w:t>
      </w:r>
    </w:p>
    <w:p>
      <w:pPr>
        <w:spacing w:after="0" w:line="208"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We have audited the accompanying consolidated statements of financial position of Northrop Grumman Corporation and Subsidiaries as of December 31 for each of the years 1990 through 1994, and the related consolidated statements of income, changes in shareholders' equity and cash flows for the years then ended. Our audits also included the financial statement schedule listed in the Index at Item 14. These financial statements and financial statement schedule are the responsibility of the company's management. Our responsibility is to express an opinion on the financial statements and financial statement schedule based on our audits.</w:t>
      </w:r>
    </w:p>
    <w:p>
      <w:pPr>
        <w:spacing w:after="0" w:line="12"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In our opinion, such consolidated financial statements present fairly, in all material respects, the financial position of Northrop Grumman Corporation and Subsidiaries at December 31 for each of the years 1990 through 1994, and the results of their operations and their cash flows for the years then ended in conformity with generally accepted accounting principles. Also, in our opinion, such financial statement schedule, when considered in relation to the basic consolidated financial statements taken as a whole, presents fairly in all material respects the information set forth therein.</w:t>
      </w:r>
    </w:p>
    <w:p>
      <w:pPr>
        <w:spacing w:after="0" w:line="11"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As discussed in the footnotes to the consolidated financial statements, in 1991 the company changed its method of computing income taxes by adopting Financial Accounting Standards Board Statement No. 109 - Accounting for Income Taxes and its accounting for nonpension benefit plans by adopting Financial Accounting Standards Board Statement No. 106 - Employers' Accounting for Postretirement Benefits Other Than Pensions.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38" w:lineRule="auto"/>
        <w:rPr>
          <w:sz w:val="20"/>
          <w:szCs w:val="20"/>
          <w:color w:val="auto"/>
        </w:rPr>
      </w:pPr>
      <w:r>
        <w:rPr>
          <w:rFonts w:ascii="Courier New" w:cs="Courier New" w:eastAsia="Courier New" w:hAnsi="Courier New"/>
          <w:sz w:val="18"/>
          <w:szCs w:val="18"/>
          <w:color w:val="auto"/>
        </w:rPr>
        <w:t>Los Angeles, California</w:t>
      </w:r>
    </w:p>
    <w:p>
      <w:pPr>
        <w:spacing w:after="0"/>
        <w:rPr>
          <w:sz w:val="20"/>
          <w:szCs w:val="20"/>
          <w:color w:val="auto"/>
        </w:rPr>
      </w:pPr>
      <w:r>
        <w:rPr>
          <w:rFonts w:ascii="Courier New" w:cs="Courier New" w:eastAsia="Courier New" w:hAnsi="Courier New"/>
          <w:sz w:val="18"/>
          <w:szCs w:val="18"/>
          <w:color w:val="auto"/>
        </w:rPr>
        <w:t>February 15, 1995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7" w:lineRule="exact"/>
        <w:rPr>
          <w:sz w:val="20"/>
          <w:szCs w:val="20"/>
          <w:color w:val="auto"/>
        </w:rPr>
      </w:pPr>
    </w:p>
    <w:p>
      <w:pPr>
        <w:ind w:left="960" w:right="26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9.</w:t>
        <w:tab/>
        <w:t>Changes in and Disagreements with Accountants on Accounting and Financial Disclosure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information is required in response to this Item.</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information as to Directors will be incorporated herein by reference to the Proxy Statement for the 1995 Annual Meeting of Stockholders to be filed within 120 days after the end of the company's fiscal year.</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The information as to Executive Officers is contained in Part I of this report as permitted by General Instruction G(3).</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7" w:lineRule="exact"/>
        <w:rPr>
          <w:sz w:val="20"/>
          <w:szCs w:val="20"/>
          <w:color w:val="auto"/>
        </w:rPr>
      </w:pPr>
    </w:p>
    <w:p>
      <w:pPr>
        <w:ind w:right="2839" w:firstLine="527"/>
        <w:spacing w:after="0" w:line="290" w:lineRule="auto"/>
        <w:rPr>
          <w:sz w:val="20"/>
          <w:szCs w:val="20"/>
          <w:color w:val="auto"/>
        </w:rPr>
      </w:pPr>
      <w:r>
        <w:rPr>
          <w:rFonts w:ascii="Courier New" w:cs="Courier New" w:eastAsia="Courier New" w:hAnsi="Courier New"/>
          <w:sz w:val="16"/>
          <w:szCs w:val="16"/>
          <w:color w:val="auto"/>
        </w:rPr>
        <w:t>The information required by this Item will be incorporated herein by reference to the Proxy Statement for the 1995 Annual Meeting of</w:t>
      </w:r>
    </w:p>
    <w:p>
      <w:pPr>
        <w:sectPr>
          <w:pgSz w:w="11900" w:h="16838" w:orient="portrait"/>
          <w:cols w:equalWidth="0" w:num="1">
            <w:col w:w="10219"/>
          </w:cols>
          <w:pgMar w:left="240" w:top="142" w:right="1440" w:bottom="0" w:gutter="0" w:footer="0" w:header="0"/>
        </w:sectPr>
      </w:pPr>
    </w:p>
    <w:bookmarkStart w:id="33" w:name="page34"/>
    <w:bookmarkEnd w:id="33"/>
    <w:p>
      <w:pPr>
        <w:ind w:right="2739"/>
        <w:spacing w:after="0" w:line="235" w:lineRule="auto"/>
        <w:rPr>
          <w:sz w:val="20"/>
          <w:szCs w:val="20"/>
          <w:color w:val="auto"/>
        </w:rPr>
      </w:pPr>
      <w:r>
        <w:rPr>
          <w:rFonts w:ascii="Courier New" w:cs="Courier New" w:eastAsia="Courier New" w:hAnsi="Courier New"/>
          <w:sz w:val="18"/>
          <w:szCs w:val="18"/>
          <w:color w:val="auto"/>
        </w:rPr>
        <w:t>Stockholders to be filed within 120 days after the end of the company's fiscal year.</w:t>
      </w:r>
    </w:p>
    <w:p>
      <w:pPr>
        <w:spacing w:after="0" w:line="208"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Item 12. Security Ownership of Certain Beneficial Owners and Management</w:t>
      </w:r>
    </w:p>
    <w:p>
      <w:pPr>
        <w:spacing w:after="0" w:line="208"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information required by this Item will be incorporated herein by reference to the Proxy Statement for the 1995 Annual Meeting of Stockholders to be filed within 120 days after the end of the company's fiscal year.</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information required by this Item will be incorporated herein by reference to the Proxy Statement for the 1995 Annual Meeting of Stockholders to be filed within 120 days after the end of the company's fiscal year.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Financial Statements</w:t>
      </w:r>
    </w:p>
    <w:p>
      <w:pPr>
        <w:spacing w:after="0" w:line="206" w:lineRule="exact"/>
        <w:rPr>
          <w:rFonts w:ascii="Courier New" w:cs="Courier New" w:eastAsia="Courier New" w:hAnsi="Courier New"/>
          <w:sz w:val="18"/>
          <w:szCs w:val="18"/>
          <w:color w:val="auto"/>
        </w:rPr>
      </w:pPr>
    </w:p>
    <w:p>
      <w:pPr>
        <w:ind w:left="540" w:right="4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of Financial Position Consolidated Statements of Income</w:t>
      </w:r>
    </w:p>
    <w:p>
      <w:pPr>
        <w:spacing w:after="0" w:line="5" w:lineRule="exact"/>
        <w:rPr>
          <w:rFonts w:ascii="Courier New" w:cs="Courier New" w:eastAsia="Courier New" w:hAnsi="Courier New"/>
          <w:sz w:val="18"/>
          <w:szCs w:val="18"/>
          <w:color w:val="auto"/>
        </w:rPr>
      </w:pPr>
    </w:p>
    <w:p>
      <w:pPr>
        <w:ind w:left="540"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of Changes in Shareholders' Equity Consolidated Statements of Cash Flows</w:t>
      </w:r>
    </w:p>
    <w:p>
      <w:pPr>
        <w:spacing w:after="0" w:line="5" w:lineRule="exact"/>
        <w:rPr>
          <w:rFonts w:ascii="Courier New" w:cs="Courier New" w:eastAsia="Courier New" w:hAnsi="Courier New"/>
          <w:sz w:val="18"/>
          <w:szCs w:val="18"/>
          <w:color w:val="auto"/>
        </w:rPr>
      </w:pPr>
    </w:p>
    <w:p>
      <w:pPr>
        <w:ind w:left="540" w:right="5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Consolidated Financial Statements Independent Auditors' Report</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  Financial Statement Schedule</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Schedule II - Valuation and Qualifying Accounts</w:t>
      </w:r>
    </w:p>
    <w:p>
      <w:pPr>
        <w:spacing w:after="0" w:line="207"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All other schedules are omitted either because they are not applicable or not required or because the required information is included in the financial statements or notes thereto.</w:t>
      </w:r>
    </w:p>
    <w:p>
      <w:pPr>
        <w:spacing w:after="0" w:line="1" w:lineRule="exact"/>
        <w:rPr>
          <w:sz w:val="20"/>
          <w:szCs w:val="20"/>
          <w:color w:val="auto"/>
        </w:rPr>
      </w:pPr>
    </w:p>
    <w:p>
      <w:pPr>
        <w:ind w:right="2839" w:firstLine="527"/>
        <w:spacing w:after="0" w:line="273" w:lineRule="auto"/>
        <w:rPr>
          <w:sz w:val="20"/>
          <w:szCs w:val="20"/>
          <w:color w:val="auto"/>
        </w:rPr>
      </w:pPr>
      <w:r>
        <w:rPr>
          <w:rFonts w:ascii="Courier New" w:cs="Courier New" w:eastAsia="Courier New" w:hAnsi="Courier New"/>
          <w:sz w:val="16"/>
          <w:szCs w:val="16"/>
          <w:color w:val="auto"/>
        </w:rPr>
        <w:t>Separate financial statements of the parent company are omitted since it is primarily an operating company and minority equity interests in and/or nonguaranteed long-term debt of subsidiaries held by others than the company are in amounts which together do not exceed 5 percent of the total consolidated assets at December 31, 1994.</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740" w:right="2939" w:hanging="519"/>
        <w:spacing w:after="0" w:line="236" w:lineRule="auto"/>
        <w:tabs>
          <w:tab w:leader="none" w:pos="720" w:val="left"/>
        </w:tabs>
        <w:rPr>
          <w:sz w:val="20"/>
          <w:szCs w:val="20"/>
          <w:color w:val="auto"/>
        </w:rPr>
      </w:pPr>
      <w:r>
        <w:rPr>
          <w:rFonts w:ascii="Courier New" w:cs="Courier New" w:eastAsia="Courier New" w:hAnsi="Courier New"/>
          <w:sz w:val="18"/>
          <w:szCs w:val="18"/>
          <w:color w:val="auto"/>
        </w:rPr>
        <w:t>3(a)</w:t>
        <w:tab/>
        <w:t>Certificate of Incorporation, as amended (incorporated by reference to Form S-3 Registration Statement, filed August 18, 1994)</w:t>
      </w:r>
    </w:p>
    <w:p>
      <w:pPr>
        <w:spacing w:after="0" w:line="209" w:lineRule="exact"/>
        <w:rPr>
          <w:sz w:val="20"/>
          <w:szCs w:val="20"/>
          <w:color w:val="auto"/>
        </w:rPr>
      </w:pPr>
    </w:p>
    <w:p>
      <w:pPr>
        <w:jc w:val="both"/>
        <w:ind w:left="740" w:right="3039" w:hanging="519"/>
        <w:spacing w:after="0" w:line="236" w:lineRule="auto"/>
        <w:tabs>
          <w:tab w:leader="none" w:pos="720" w:val="left"/>
        </w:tabs>
        <w:rPr>
          <w:sz w:val="20"/>
          <w:szCs w:val="20"/>
          <w:color w:val="auto"/>
        </w:rPr>
      </w:pPr>
      <w:r>
        <w:rPr>
          <w:rFonts w:ascii="Courier New" w:cs="Courier New" w:eastAsia="Courier New" w:hAnsi="Courier New"/>
          <w:sz w:val="18"/>
          <w:szCs w:val="18"/>
          <w:color w:val="auto"/>
        </w:rPr>
        <w:t>3(b)</w:t>
        <w:tab/>
        <w:t>Northrop Grumman Corporation Bylaws, as amended (incorporated by reference to Form S-3 Registration Statement, filed August 18, 1994).</w:t>
      </w:r>
    </w:p>
    <w:p>
      <w:pPr>
        <w:spacing w:after="0" w:line="209" w:lineRule="exact"/>
        <w:rPr>
          <w:sz w:val="20"/>
          <w:szCs w:val="20"/>
          <w:color w:val="auto"/>
        </w:rPr>
      </w:pPr>
    </w:p>
    <w:p>
      <w:pPr>
        <w:ind w:left="740" w:right="2839" w:hanging="519"/>
        <w:spacing w:after="0" w:line="273" w:lineRule="auto"/>
        <w:tabs>
          <w:tab w:leader="none" w:pos="720" w:val="left"/>
        </w:tabs>
        <w:rPr>
          <w:sz w:val="20"/>
          <w:szCs w:val="20"/>
          <w:color w:val="auto"/>
        </w:rPr>
      </w:pPr>
      <w:r>
        <w:rPr>
          <w:rFonts w:ascii="Courier New" w:cs="Courier New" w:eastAsia="Courier New" w:hAnsi="Courier New"/>
          <w:sz w:val="16"/>
          <w:szCs w:val="16"/>
          <w:color w:val="auto"/>
        </w:rPr>
        <w:t>4(a)</w:t>
        <w:tab/>
        <w:t>Common Stock Purchase Rights Agreement (incorporated by reference to Form 8-A filed September 22, 1988, amended on August 2, 1991 (incorporated by reference to Form 8 filed August 2, 1991) and amended on September 28, 1994 (incorporated by reference to Form 8/A-A filed October 7, 1994).</w:t>
      </w:r>
    </w:p>
    <w:p>
      <w:pPr>
        <w:spacing w:after="0" w:line="185" w:lineRule="exact"/>
        <w:rPr>
          <w:sz w:val="20"/>
          <w:szCs w:val="20"/>
          <w:color w:val="auto"/>
        </w:rPr>
      </w:pPr>
    </w:p>
    <w:p>
      <w:pPr>
        <w:ind w:left="740" w:right="2939" w:hanging="519"/>
        <w:spacing w:after="0" w:line="290" w:lineRule="auto"/>
        <w:tabs>
          <w:tab w:leader="none" w:pos="720" w:val="left"/>
        </w:tabs>
        <w:rPr>
          <w:sz w:val="20"/>
          <w:szCs w:val="20"/>
          <w:color w:val="auto"/>
        </w:rPr>
      </w:pPr>
      <w:r>
        <w:rPr>
          <w:rFonts w:ascii="Courier New" w:cs="Courier New" w:eastAsia="Courier New" w:hAnsi="Courier New"/>
          <w:sz w:val="16"/>
          <w:szCs w:val="16"/>
          <w:color w:val="auto"/>
        </w:rPr>
        <w:t>4(b)</w:t>
        <w:tab/>
        <w:t>Indenture Agreement dated as of October 15, 1994 (incorporated by reference to Form 8-K filed October 25, 1994).</w:t>
      </w:r>
    </w:p>
    <w:p>
      <w:pPr>
        <w:spacing w:after="0" w:line="170" w:lineRule="exact"/>
        <w:rPr>
          <w:sz w:val="20"/>
          <w:szCs w:val="20"/>
          <w:color w:val="auto"/>
        </w:rPr>
      </w:pPr>
    </w:p>
    <w:p>
      <w:pPr>
        <w:ind w:left="740" w:right="3039" w:hanging="619"/>
        <w:spacing w:after="0" w:line="237" w:lineRule="auto"/>
        <w:tabs>
          <w:tab w:leader="none" w:pos="720" w:val="left"/>
        </w:tabs>
        <w:rPr>
          <w:sz w:val="20"/>
          <w:szCs w:val="20"/>
          <w:color w:val="auto"/>
        </w:rPr>
      </w:pPr>
      <w:r>
        <w:rPr>
          <w:rFonts w:ascii="Courier New" w:cs="Courier New" w:eastAsia="Courier New" w:hAnsi="Courier New"/>
          <w:sz w:val="18"/>
          <w:szCs w:val="18"/>
          <w:color w:val="auto"/>
        </w:rPr>
        <w:t>10(a)</w:t>
        <w:tab/>
        <w:t>Northrop Grumman Corporation Amended and Restated Credit Agreement dated as of April 15, 1994, as amended and restated as of April 18, 1994 (incorporated by reference to Report on Form 10-Q filed May 9, 1994), amended as of May 11, 1994, and amended as of December 9, 1994.</w:t>
      </w:r>
    </w:p>
    <w:p>
      <w:pPr>
        <w:spacing w:after="0" w:line="209" w:lineRule="exact"/>
        <w:rPr>
          <w:sz w:val="20"/>
          <w:szCs w:val="20"/>
          <w:color w:val="auto"/>
        </w:rPr>
      </w:pPr>
    </w:p>
    <w:p>
      <w:pPr>
        <w:ind w:left="740" w:right="3159" w:hanging="619"/>
        <w:spacing w:after="0" w:line="237" w:lineRule="auto"/>
        <w:tabs>
          <w:tab w:leader="none" w:pos="720" w:val="left"/>
        </w:tabs>
        <w:rPr>
          <w:sz w:val="20"/>
          <w:szCs w:val="20"/>
          <w:color w:val="auto"/>
        </w:rPr>
      </w:pPr>
      <w:r>
        <w:rPr>
          <w:rFonts w:ascii="Courier New" w:cs="Courier New" w:eastAsia="Courier New" w:hAnsi="Courier New"/>
          <w:sz w:val="18"/>
          <w:szCs w:val="18"/>
          <w:color w:val="auto"/>
        </w:rPr>
        <w:t>10(b)</w:t>
        <w:tab/>
        <w:t>Uncommitted Credit Facility dated October 10, 1994, between Northrop Grumman Corporation and Wachovia Bank of Georgia, N.A., which is substantially identical to facilities between Northrop Grumman Corporation and certain banks some of which are parties to the Credit Agreement filed as Exhibit (10)(a) hereto.</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 1973 Incentive Compensation Plan (incorporated by reference to</w:t>
      </w:r>
    </w:p>
    <w:p>
      <w:pPr>
        <w:sectPr>
          <w:pgSz w:w="11900" w:h="16838" w:orient="portrait"/>
          <w:cols w:equalWidth="0" w:num="1">
            <w:col w:w="10219"/>
          </w:cols>
          <w:pgMar w:left="240" w:top="142" w:right="1440" w:bottom="0" w:gutter="0" w:footer="0" w:header="0"/>
        </w:sectPr>
      </w:pPr>
    </w:p>
    <w:bookmarkStart w:id="34" w:name="page35"/>
    <w:bookmarkEnd w:id="34"/>
    <w:p>
      <w:pPr>
        <w:ind w:left="740"/>
        <w:spacing w:after="0"/>
        <w:rPr>
          <w:sz w:val="20"/>
          <w:szCs w:val="20"/>
          <w:color w:val="auto"/>
        </w:rPr>
      </w:pPr>
      <w:r>
        <w:rPr>
          <w:rFonts w:ascii="Courier New" w:cs="Courier New" w:eastAsia="Courier New" w:hAnsi="Courier New"/>
          <w:sz w:val="18"/>
          <w:szCs w:val="18"/>
          <w:color w:val="auto"/>
        </w:rPr>
        <w:t>Form 8-B filed June 21, 1985).</w:t>
      </w:r>
    </w:p>
    <w:p>
      <w:pPr>
        <w:spacing w:after="0" w:line="207" w:lineRule="exact"/>
        <w:rPr>
          <w:sz w:val="20"/>
          <w:szCs w:val="20"/>
          <w:color w:val="auto"/>
        </w:rPr>
      </w:pPr>
    </w:p>
    <w:p>
      <w:pPr>
        <w:ind w:left="740" w:right="315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*10(d)</w:t>
        <w:tab/>
        <w:t>1973 Performance Achievement Plan (incorporated by reference to Form 8-B filed June 21, 1985).</w:t>
      </w:r>
    </w:p>
    <w:p>
      <w:pPr>
        <w:spacing w:after="0" w:line="208" w:lineRule="exact"/>
        <w:rPr>
          <w:sz w:val="20"/>
          <w:szCs w:val="20"/>
          <w:color w:val="auto"/>
        </w:rPr>
      </w:pPr>
    </w:p>
    <w:p>
      <w:pPr>
        <w:ind w:left="740" w:right="283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*10(e)</w:t>
        <w:tab/>
        <w:t>Northrop Supplemental Plan 2 (incorporated by reference to Form 10-K filed February 28, 1994)</w:t>
      </w:r>
    </w:p>
    <w:p>
      <w:pPr>
        <w:spacing w:after="0" w:line="208" w:lineRule="exact"/>
        <w:rPr>
          <w:sz w:val="20"/>
          <w:szCs w:val="20"/>
          <w:color w:val="auto"/>
        </w:rPr>
      </w:pPr>
    </w:p>
    <w:p>
      <w:pPr>
        <w:ind w:left="740" w:right="283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*10(f)</w:t>
        <w:tab/>
        <w:t>Northrop Corporation ERISA Supplemental Plan 1 (incorporated by reference to Form 10-K filed February 28, 1994).</w:t>
      </w:r>
    </w:p>
    <w:p>
      <w:pPr>
        <w:spacing w:after="0" w:line="208" w:lineRule="exact"/>
        <w:rPr>
          <w:sz w:val="20"/>
          <w:szCs w:val="20"/>
          <w:color w:val="auto"/>
        </w:rPr>
      </w:pPr>
    </w:p>
    <w:p>
      <w:pPr>
        <w:ind w:left="740" w:right="283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*10(g)</w:t>
        <w:tab/>
        <w:t>Retirement Plan for Independent Outside Directors (incorporated by reference to Form SE filed March 29, 1991), amended September 21, 1994.</w:t>
      </w:r>
    </w:p>
    <w:p>
      <w:pPr>
        <w:spacing w:after="0" w:line="209" w:lineRule="exact"/>
        <w:rPr>
          <w:sz w:val="20"/>
          <w:szCs w:val="20"/>
          <w:color w:val="auto"/>
        </w:rPr>
      </w:pPr>
    </w:p>
    <w:p>
      <w:pPr>
        <w:ind w:left="740" w:right="335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*10(h)</w:t>
        <w:tab/>
        <w:t>1987 Long-Term Incentive Plan, as amended (incorporated by reference to Form SE filed March 30, 1989).</w:t>
      </w:r>
    </w:p>
    <w:p>
      <w:pPr>
        <w:spacing w:after="0" w:line="208" w:lineRule="exact"/>
        <w:rPr>
          <w:sz w:val="20"/>
          <w:szCs w:val="20"/>
          <w:color w:val="auto"/>
        </w:rPr>
      </w:pPr>
    </w:p>
    <w:p>
      <w:pPr>
        <w:ind w:left="740" w:right="283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*10(i)</w:t>
        <w:tab/>
        <w:t>Deferred Compensation Arrangement under Performance Achievement Plan (incorporated by reference to Form 8-B filed June 21, 1985).</w:t>
      </w:r>
    </w:p>
    <w:p>
      <w:pPr>
        <w:spacing w:after="0" w:line="209" w:lineRule="exact"/>
        <w:rPr>
          <w:sz w:val="20"/>
          <w:szCs w:val="20"/>
          <w:color w:val="auto"/>
        </w:rPr>
      </w:pPr>
    </w:p>
    <w:p>
      <w:pPr>
        <w:ind w:left="740" w:right="303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*10(j)</w:t>
        <w:tab/>
        <w:t>Supplemental Life Insurance Policy (incorporated by reference to Form 8B filed June 21, 1985).</w:t>
      </w:r>
    </w:p>
    <w:p>
      <w:pPr>
        <w:spacing w:after="0" w:line="208" w:lineRule="exact"/>
        <w:rPr>
          <w:sz w:val="20"/>
          <w:szCs w:val="20"/>
          <w:color w:val="auto"/>
        </w:rPr>
      </w:pPr>
    </w:p>
    <w:p>
      <w:pPr>
        <w:ind w:left="740" w:right="315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*10(k)</w:t>
        <w:tab/>
        <w:t>Supplemental Accidental Death and Dismemberment Insurance Policy (incorporated by reference to Form 8-B filed June 21, 1985).</w:t>
      </w:r>
    </w:p>
    <w:p>
      <w:pPr>
        <w:spacing w:after="0" w:line="209" w:lineRule="exact"/>
        <w:rPr>
          <w:sz w:val="20"/>
          <w:szCs w:val="20"/>
          <w:color w:val="auto"/>
        </w:rPr>
      </w:pPr>
    </w:p>
    <w:p>
      <w:pPr>
        <w:ind w:left="740" w:right="3159" w:hanging="739"/>
        <w:spacing w:after="0" w:line="290" w:lineRule="auto"/>
        <w:tabs>
          <w:tab w:leader="none" w:pos="720" w:val="left"/>
        </w:tabs>
        <w:rPr>
          <w:sz w:val="20"/>
          <w:szCs w:val="20"/>
          <w:color w:val="auto"/>
        </w:rPr>
      </w:pPr>
      <w:r>
        <w:rPr>
          <w:rFonts w:ascii="Courier New" w:cs="Courier New" w:eastAsia="Courier New" w:hAnsi="Courier New"/>
          <w:sz w:val="16"/>
          <w:szCs w:val="16"/>
          <w:color w:val="auto"/>
        </w:rPr>
        <w:t>*10(l)</w:t>
        <w:tab/>
        <w:t>Supplemental Long-Term Disability Insurance Policy (incorporated by reference to Form 8-B filed June 21, 1985).</w:t>
      </w:r>
    </w:p>
    <w:p>
      <w:pPr>
        <w:spacing w:after="0" w:line="170" w:lineRule="exact"/>
        <w:rPr>
          <w:sz w:val="20"/>
          <w:szCs w:val="20"/>
          <w:color w:val="auto"/>
        </w:rPr>
      </w:pPr>
    </w:p>
    <w:p>
      <w:pPr>
        <w:ind w:left="740" w:right="283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*10(m)</w:t>
        <w:tab/>
        <w:t>Supplemental Health Insurance Policy (incorporated by reference to Form 8-B filed June 21, 1985).</w:t>
      </w:r>
    </w:p>
    <w:p>
      <w:pPr>
        <w:spacing w:after="0" w:line="208" w:lineRule="exact"/>
        <w:rPr>
          <w:sz w:val="20"/>
          <w:szCs w:val="20"/>
          <w:color w:val="auto"/>
        </w:rPr>
      </w:pPr>
    </w:p>
    <w:p>
      <w:pPr>
        <w:ind w:left="740" w:right="283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*10(n)</w:t>
        <w:tab/>
        <w:t>Supplemental Dental Insurance Policy (incorporated by reference to Form 8-B filed June 21, 1985).</w:t>
      </w:r>
    </w:p>
    <w:p>
      <w:pPr>
        <w:spacing w:after="0" w:line="208" w:lineRule="exact"/>
        <w:rPr>
          <w:sz w:val="20"/>
          <w:szCs w:val="20"/>
          <w:color w:val="auto"/>
        </w:rPr>
      </w:pPr>
    </w:p>
    <w:p>
      <w:pPr>
        <w:ind w:left="740" w:right="2939" w:hanging="739"/>
        <w:spacing w:after="0" w:line="237" w:lineRule="auto"/>
        <w:tabs>
          <w:tab w:leader="none" w:pos="720" w:val="left"/>
        </w:tabs>
        <w:rPr>
          <w:sz w:val="20"/>
          <w:szCs w:val="20"/>
          <w:color w:val="auto"/>
        </w:rPr>
      </w:pPr>
      <w:r>
        <w:rPr>
          <w:rFonts w:ascii="Courier New" w:cs="Courier New" w:eastAsia="Courier New" w:hAnsi="Courier New"/>
          <w:sz w:val="18"/>
          <w:szCs w:val="18"/>
          <w:color w:val="auto"/>
        </w:rPr>
        <w:t>*10(o)</w:t>
        <w:tab/>
        <w:t>Employment Agreement dated October 18, 1989 between Northrop Corporation and Oliver C. Boileau, Jr. (incorporated by reference to Form SE filed March 30, 1993), and Amended on May 15, 1994.</w:t>
      </w:r>
    </w:p>
    <w:p>
      <w:pPr>
        <w:spacing w:after="0" w:line="207" w:lineRule="exact"/>
        <w:rPr>
          <w:sz w:val="20"/>
          <w:szCs w:val="20"/>
          <w:color w:val="auto"/>
        </w:rPr>
      </w:pPr>
    </w:p>
    <w:p>
      <w:pPr>
        <w:ind w:left="740" w:right="303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*10(p)</w:t>
        <w:tab/>
        <w:t>Northrop Corporation 1993 Long-Term Incentive Stock Plan (incorporated by reference to Northrop Corporation 1993 Proxy Statement filed March 30, 1993).</w:t>
      </w:r>
    </w:p>
    <w:p>
      <w:pPr>
        <w:spacing w:after="0" w:line="209" w:lineRule="exact"/>
        <w:rPr>
          <w:sz w:val="20"/>
          <w:szCs w:val="20"/>
          <w:color w:val="auto"/>
        </w:rPr>
      </w:pPr>
    </w:p>
    <w:p>
      <w:pPr>
        <w:ind w:left="740" w:right="2839" w:hanging="739"/>
        <w:spacing w:after="0" w:line="237" w:lineRule="auto"/>
        <w:tabs>
          <w:tab w:leader="none" w:pos="720" w:val="left"/>
        </w:tabs>
        <w:rPr>
          <w:sz w:val="20"/>
          <w:szCs w:val="20"/>
          <w:color w:val="auto"/>
        </w:rPr>
      </w:pPr>
      <w:r>
        <w:rPr>
          <w:rFonts w:ascii="Courier New" w:cs="Courier New" w:eastAsia="Courier New" w:hAnsi="Courier New"/>
          <w:sz w:val="18"/>
          <w:szCs w:val="18"/>
          <w:color w:val="auto"/>
        </w:rPr>
        <w:t>*10(q)</w:t>
        <w:tab/>
        <w:t>Northrop Corporation 1993 Stock Plan for Non-Employee Directors (incorporated by reference to Northrop Corporation 1993 Proxy Statement filed March 30, 1993), amended as of September 21, 1994.</w:t>
      </w:r>
    </w:p>
    <w:p>
      <w:pPr>
        <w:spacing w:after="0" w:line="207" w:lineRule="exact"/>
        <w:rPr>
          <w:sz w:val="20"/>
          <w:szCs w:val="20"/>
          <w:color w:val="auto"/>
        </w:rPr>
      </w:pPr>
    </w:p>
    <w:p>
      <w:pPr>
        <w:ind w:left="740" w:right="315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*10(r)</w:t>
        <w:tab/>
        <w:t>Northrop Corporation Special Severance Pay Agreement (incorporated by reference to Northrop Corporation Report on Form 10-K filed February 28, 1994.)</w:t>
      </w:r>
    </w:p>
    <w:p>
      <w:pPr>
        <w:spacing w:after="0" w:line="209" w:lineRule="exact"/>
        <w:rPr>
          <w:sz w:val="20"/>
          <w:szCs w:val="20"/>
          <w:color w:val="auto"/>
        </w:rPr>
      </w:pPr>
    </w:p>
    <w:p>
      <w:pPr>
        <w:ind w:left="740" w:right="283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*10(s)</w:t>
        <w:tab/>
        <w:t>Employment Agreement dated October 14, 1993 between Vought Aircraft Company (acquired by Registrant in 1994) and Gordon L. Williams.</w:t>
      </w:r>
    </w:p>
    <w:p>
      <w:pPr>
        <w:spacing w:after="0" w:line="209" w:lineRule="exact"/>
        <w:rPr>
          <w:sz w:val="20"/>
          <w:szCs w:val="20"/>
          <w:color w:val="auto"/>
        </w:rPr>
      </w:pPr>
    </w:p>
    <w:p>
      <w:pPr>
        <w:ind w:left="740" w:right="3359" w:hanging="739"/>
        <w:spacing w:after="0" w:line="290" w:lineRule="auto"/>
        <w:tabs>
          <w:tab w:leader="none" w:pos="720" w:val="left"/>
        </w:tabs>
        <w:rPr>
          <w:sz w:val="20"/>
          <w:szCs w:val="20"/>
          <w:color w:val="auto"/>
        </w:rPr>
      </w:pPr>
      <w:r>
        <w:rPr>
          <w:rFonts w:ascii="Courier New" w:cs="Courier New" w:eastAsia="Courier New" w:hAnsi="Courier New"/>
          <w:sz w:val="16"/>
          <w:szCs w:val="16"/>
          <w:color w:val="auto"/>
        </w:rPr>
        <w:t>*10(t)</w:t>
        <w:tab/>
        <w:t>Executive Deferred Compensation Plan Design Outline and Election Form executed by Kent Kresa on December 29, 1994.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*10(u) Northrop Grumman Transition Project Incentive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4" w:lineRule="exact"/>
        <w:rPr>
          <w:sz w:val="20"/>
          <w:szCs w:val="20"/>
          <w:color w:val="auto"/>
        </w:rPr>
      </w:pPr>
    </w:p>
    <w:p>
      <w:pPr>
        <w:ind w:left="740" w:hanging="627"/>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ind w:left="740" w:hanging="627"/>
        <w:spacing w:after="0" w:line="238"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subsidiaries of registrant</w:t>
      </w:r>
    </w:p>
    <w:p>
      <w:pPr>
        <w:ind w:left="740" w:hanging="627"/>
        <w:spacing w:after="0" w:line="238"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Auditors' Consent</w:t>
      </w:r>
    </w:p>
    <w:p>
      <w:pPr>
        <w:ind w:left="740" w:hanging="627"/>
        <w:spacing w:after="0" w:line="238"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w:t>
      </w:r>
    </w:p>
    <w:p>
      <w:pPr>
        <w:ind w:left="740" w:hanging="627"/>
        <w:spacing w:after="0" w:line="238"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Listed as Exhibits pursuant to Item 601(b)(10) of Regulation S-K</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w:t>
        <w:tab/>
        <w:t>One Report on Form 8-K was filed during the last quarter of the</w:t>
      </w:r>
    </w:p>
    <w:p>
      <w:pPr>
        <w:sectPr>
          <w:pgSz w:w="11900" w:h="16838" w:orient="portrait"/>
          <w:cols w:equalWidth="0" w:num="1">
            <w:col w:w="10219"/>
          </w:cols>
          <w:pgMar w:left="240" w:top="136" w:right="1440" w:bottom="0" w:gutter="0" w:footer="0" w:header="0"/>
        </w:sectPr>
      </w:pPr>
    </w:p>
    <w:bookmarkStart w:id="35" w:name="page36"/>
    <w:bookmarkEnd w:id="35"/>
    <w:p>
      <w:pPr>
        <w:ind w:right="2960"/>
        <w:spacing w:after="0" w:line="237" w:lineRule="auto"/>
        <w:rPr>
          <w:sz w:val="20"/>
          <w:szCs w:val="20"/>
          <w:color w:val="auto"/>
        </w:rPr>
      </w:pPr>
      <w:r>
        <w:rPr>
          <w:rFonts w:ascii="Courier New" w:cs="Courier New" w:eastAsia="Courier New" w:hAnsi="Courier New"/>
          <w:sz w:val="18"/>
          <w:szCs w:val="18"/>
          <w:color w:val="auto"/>
        </w:rPr>
        <w:t>period covered by this report. The Report on Form 8-K was filed October 25, 1994 in connection with the offer and sale by Northrop Grumman Corporation of $600,000,000 aggregate principal amount of debt securities consisting of 8-5/8% Notes due 2004 and 9-3/8% Debentures due 2024.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960"/>
        <w:spacing w:after="0" w:line="237"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 on the 20th day of March 1995.</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ind w:left="244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&amp;&amp;PINAZ2928</w:t>
      </w:r>
    </w:p>
    <w:p>
      <w:pPr>
        <w:ind w:left="3800"/>
        <w:spacing w:after="0" w:line="238" w:lineRule="auto"/>
        <w:rPr>
          <w:sz w:val="20"/>
          <w:szCs w:val="20"/>
          <w:color w:val="auto"/>
        </w:rPr>
      </w:pPr>
      <w:r>
        <w:rPr>
          <w:rFonts w:ascii="Courier New" w:cs="Courier New" w:eastAsia="Courier New" w:hAnsi="Courier New"/>
          <w:sz w:val="18"/>
          <w:szCs w:val="18"/>
          <w:color w:val="auto"/>
        </w:rPr>
        <w:t>Nelson F. Gibbs</w:t>
      </w:r>
    </w:p>
    <w:p>
      <w:pPr>
        <w:ind w:left="2740"/>
        <w:spacing w:after="0"/>
        <w:rPr>
          <w:sz w:val="20"/>
          <w:szCs w:val="20"/>
          <w:color w:val="auto"/>
        </w:rPr>
      </w:pPr>
      <w:r>
        <w:rPr>
          <w:rFonts w:ascii="Courier New" w:cs="Courier New" w:eastAsia="Courier New" w:hAnsi="Courier New"/>
          <w:sz w:val="18"/>
          <w:szCs w:val="18"/>
          <w:color w:val="auto"/>
        </w:rPr>
        <w:t>Corporate Vice President and Controller</w:t>
      </w:r>
    </w:p>
    <w:p>
      <w:pPr>
        <w:ind w:left="3380"/>
        <w:spacing w:after="0" w:line="237" w:lineRule="auto"/>
        <w:rPr>
          <w:sz w:val="20"/>
          <w:szCs w:val="20"/>
          <w:color w:val="auto"/>
        </w:rPr>
      </w:pPr>
      <w:r>
        <w:rPr>
          <w:rFonts w:ascii="Courier New" w:cs="Courier New" w:eastAsia="Courier New" w:hAnsi="Courier New"/>
          <w:sz w:val="18"/>
          <w:szCs w:val="18"/>
          <w:color w:val="auto"/>
        </w:rPr>
        <w:t>(Principal Accounting Officer)</w:t>
      </w:r>
    </w:p>
    <w:p>
      <w:pPr>
        <w:spacing w:after="0" w:line="207" w:lineRule="exact"/>
        <w:rPr>
          <w:sz w:val="20"/>
          <w:szCs w:val="20"/>
          <w:color w:val="auto"/>
        </w:rPr>
      </w:pPr>
    </w:p>
    <w:p>
      <w:pPr>
        <w:ind w:right="3060"/>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on behalf of the registrant this 20th day of March 1995, by the following persons and in the capacities indicated.</w:t>
      </w:r>
    </w:p>
    <w:p>
      <w:pPr>
        <w:sectPr>
          <w:pgSz w:w="11900" w:h="16838" w:orient="portrait"/>
          <w:cols w:equalWidth="0" w:num="1">
            <w:col w:w="10340"/>
          </w:cols>
          <w:pgMar w:left="240" w:top="142" w:right="1319" w:bottom="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Kent Kresa*</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Title</w:t>
      </w:r>
    </w:p>
    <w:p>
      <w:pPr>
        <w:spacing w:after="0" w:line="238" w:lineRule="auto"/>
        <w:rPr>
          <w:sz w:val="20"/>
          <w:szCs w:val="20"/>
          <w:color w:val="auto"/>
        </w:rPr>
      </w:pPr>
      <w:r>
        <w:rPr>
          <w:rFonts w:ascii="Courier New" w:cs="Courier New" w:eastAsia="Courier New" w:hAnsi="Courier New"/>
          <w:sz w:val="18"/>
          <w:szCs w:val="18"/>
          <w:color w:val="auto"/>
        </w:rPr>
        <w:t>Chairman of the Board, President and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Chief Executive Officer and Director</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2">
            <w:col w:w="2340" w:space="720"/>
            <w:col w:w="7280"/>
          </w:cols>
          <w:pgMar w:left="240" w:top="142" w:right="1319"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Jack R. Borsting*</w:t>
      </w:r>
    </w:p>
    <w:p>
      <w:pPr>
        <w:spacing w:after="0" w:line="238" w:lineRule="auto"/>
        <w:rPr>
          <w:sz w:val="20"/>
          <w:szCs w:val="20"/>
          <w:color w:val="auto"/>
        </w:rPr>
      </w:pPr>
      <w:r>
        <w:rPr>
          <w:rFonts w:ascii="Courier New" w:cs="Courier New" w:eastAsia="Courier New" w:hAnsi="Courier New"/>
          <w:sz w:val="18"/>
          <w:szCs w:val="18"/>
          <w:color w:val="auto"/>
        </w:rPr>
        <w:t>John T. Chain, Jr.*</w:t>
      </w:r>
    </w:p>
    <w:p>
      <w:pPr>
        <w:spacing w:after="0"/>
        <w:rPr>
          <w:sz w:val="20"/>
          <w:szCs w:val="20"/>
          <w:color w:val="auto"/>
        </w:rPr>
      </w:pPr>
      <w:r>
        <w:rPr>
          <w:rFonts w:ascii="Courier New" w:cs="Courier New" w:eastAsia="Courier New" w:hAnsi="Courier New"/>
          <w:sz w:val="18"/>
          <w:szCs w:val="18"/>
          <w:color w:val="auto"/>
        </w:rPr>
        <w:t>Jack Edwards*</w:t>
      </w:r>
    </w:p>
    <w:p>
      <w:pPr>
        <w:spacing w:after="0" w:line="237" w:lineRule="auto"/>
        <w:rPr>
          <w:sz w:val="20"/>
          <w:szCs w:val="20"/>
          <w:color w:val="auto"/>
        </w:rPr>
      </w:pPr>
      <w:r>
        <w:rPr>
          <w:rFonts w:ascii="Courier New" w:cs="Courier New" w:eastAsia="Courier New" w:hAnsi="Courier New"/>
          <w:sz w:val="18"/>
          <w:szCs w:val="18"/>
          <w:color w:val="auto"/>
        </w:rPr>
        <w:t>Barbara C. Jordan*</w:t>
      </w:r>
    </w:p>
    <w:p>
      <w:pPr>
        <w:spacing w:after="0" w:line="238" w:lineRule="auto"/>
        <w:rPr>
          <w:sz w:val="20"/>
          <w:szCs w:val="20"/>
          <w:color w:val="auto"/>
        </w:rPr>
      </w:pPr>
      <w:r>
        <w:rPr>
          <w:rFonts w:ascii="Courier New" w:cs="Courier New" w:eastAsia="Courier New" w:hAnsi="Courier New"/>
          <w:sz w:val="18"/>
          <w:szCs w:val="18"/>
          <w:color w:val="auto"/>
        </w:rPr>
        <w:t>Aulana L. Peters*</w:t>
      </w:r>
    </w:p>
    <w:p>
      <w:pPr>
        <w:spacing w:after="0"/>
        <w:rPr>
          <w:sz w:val="20"/>
          <w:szCs w:val="20"/>
          <w:color w:val="auto"/>
        </w:rPr>
      </w:pPr>
      <w:r>
        <w:rPr>
          <w:rFonts w:ascii="Courier New" w:cs="Courier New" w:eastAsia="Courier New" w:hAnsi="Courier New"/>
          <w:sz w:val="18"/>
          <w:szCs w:val="18"/>
          <w:color w:val="auto"/>
        </w:rPr>
        <w:t>John E. Robson*</w:t>
      </w:r>
    </w:p>
    <w:p>
      <w:pPr>
        <w:spacing w:after="0" w:line="237" w:lineRule="auto"/>
        <w:rPr>
          <w:sz w:val="20"/>
          <w:szCs w:val="20"/>
          <w:color w:val="auto"/>
        </w:rPr>
      </w:pPr>
      <w:r>
        <w:rPr>
          <w:rFonts w:ascii="Courier New" w:cs="Courier New" w:eastAsia="Courier New" w:hAnsi="Courier New"/>
          <w:sz w:val="18"/>
          <w:szCs w:val="18"/>
          <w:color w:val="auto"/>
        </w:rPr>
        <w:t>Richard R. Rosenberg*</w:t>
      </w:r>
    </w:p>
    <w:p>
      <w:pPr>
        <w:spacing w:after="0"/>
        <w:rPr>
          <w:sz w:val="20"/>
          <w:szCs w:val="20"/>
          <w:color w:val="auto"/>
        </w:rPr>
      </w:pPr>
      <w:r>
        <w:rPr>
          <w:rFonts w:ascii="Courier New" w:cs="Courier New" w:eastAsia="Courier New" w:hAnsi="Courier New"/>
          <w:sz w:val="18"/>
          <w:szCs w:val="18"/>
          <w:color w:val="auto"/>
        </w:rPr>
        <w:t>William F. Schmied*</w:t>
      </w:r>
    </w:p>
    <w:p>
      <w:pPr>
        <w:spacing w:after="0" w:line="237" w:lineRule="auto"/>
        <w:rPr>
          <w:sz w:val="20"/>
          <w:szCs w:val="20"/>
          <w:color w:val="auto"/>
        </w:rPr>
      </w:pPr>
      <w:r>
        <w:rPr>
          <w:rFonts w:ascii="Courier New" w:cs="Courier New" w:eastAsia="Courier New" w:hAnsi="Courier New"/>
          <w:sz w:val="18"/>
          <w:szCs w:val="18"/>
          <w:color w:val="auto"/>
        </w:rPr>
        <w:t>Brent Scowcroft*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Brooks Slaughter*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Wallace C. Solberg*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J. Stegemeier*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B. Waugh,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Vice President and Chief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2">
            <w:col w:w="2340" w:space="720"/>
            <w:col w:w="7280"/>
          </w:cols>
          <w:pgMar w:left="240" w:top="142" w:right="131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Courier New" w:cs="Courier New" w:eastAsia="Courier New" w:hAnsi="Courier New"/>
          <w:sz w:val="18"/>
          <w:szCs w:val="18"/>
          <w:color w:val="auto"/>
        </w:rPr>
        <w:t>&amp;&amp;PINAD1368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Sheila M. Gibbons, Attorney-in-Fact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pursuant to a power of attorney</w:t>
      </w:r>
    </w:p>
    <w:p>
      <w:pPr>
        <w:spacing w:after="0" w:line="200" w:lineRule="exact"/>
        <w:rPr>
          <w:sz w:val="20"/>
          <w:szCs w:val="20"/>
          <w:color w:val="auto"/>
        </w:rPr>
      </w:pPr>
    </w:p>
    <w:p>
      <w:pPr>
        <w:sectPr>
          <w:pgSz w:w="11900" w:h="16838" w:orient="portrait"/>
          <w:cols w:equalWidth="0" w:num="2">
            <w:col w:w="420" w:space="120"/>
            <w:col w:w="9800"/>
          </w:cols>
          <w:pgMar w:left="240" w:top="142" w:right="1319"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NORTHROP GRUMMAN CORPORATION</w:t>
      </w:r>
    </w:p>
    <w:p>
      <w:pPr>
        <w:sectPr>
          <w:pgSz w:w="11900" w:h="16838" w:orient="portrait"/>
          <w:cols w:equalWidth="0" w:num="1">
            <w:col w:w="10340"/>
          </w:cols>
          <w:pgMar w:left="240" w:top="142" w:right="1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8"/>
          <w:szCs w:val="18"/>
          <w:color w:val="auto"/>
        </w:rPr>
        <w:t>COL. A</w:t>
      </w:r>
    </w:p>
    <w:p>
      <w:pPr>
        <w:spacing w:after="0" w:line="200" w:lineRule="exact"/>
        <w:rPr>
          <w:sz w:val="20"/>
          <w:szCs w:val="20"/>
          <w:color w:val="auto"/>
        </w:rPr>
      </w:pPr>
    </w:p>
    <w:p>
      <w:pPr>
        <w:spacing w:after="0" w:line="209"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Classification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II - VALUATION AND QUALIFYING ACCOUNTS</w:t>
      </w:r>
    </w:p>
    <w:p>
      <w:pPr>
        <w:ind w:left="1360"/>
        <w:spacing w:after="0" w:line="238" w:lineRule="auto"/>
        <w:rPr>
          <w:sz w:val="20"/>
          <w:szCs w:val="20"/>
          <w:color w:val="auto"/>
        </w:rPr>
      </w:pPr>
      <w:r>
        <w:rPr>
          <w:rFonts w:ascii="Courier New" w:cs="Courier New" w:eastAsia="Courier New" w:hAnsi="Courier New"/>
          <w:sz w:val="18"/>
          <w:szCs w:val="18"/>
          <w:color w:val="auto"/>
        </w:rPr>
        <w:t>(Dollars in Thousands)</w:t>
      </w:r>
    </w:p>
    <w:p>
      <w:pPr>
        <w:ind w:left="2000"/>
        <w:spacing w:after="0"/>
        <w:tabs>
          <w:tab w:leader="none" w:pos="3660" w:val="left"/>
          <w:tab w:leader="none" w:pos="5140" w:val="left"/>
        </w:tabs>
        <w:rPr>
          <w:sz w:val="20"/>
          <w:szCs w:val="20"/>
          <w:color w:val="auto"/>
        </w:rPr>
      </w:pPr>
      <w:r>
        <w:rPr>
          <w:rFonts w:ascii="Courier New" w:cs="Courier New" w:eastAsia="Courier New" w:hAnsi="Courier New"/>
          <w:sz w:val="18"/>
          <w:szCs w:val="18"/>
          <w:color w:val="auto"/>
        </w:rPr>
        <w:t>COL. B</w:t>
      </w:r>
      <w:r>
        <w:rPr>
          <w:sz w:val="20"/>
          <w:szCs w:val="20"/>
          <w:color w:val="auto"/>
        </w:rPr>
        <w:tab/>
      </w:r>
      <w:r>
        <w:rPr>
          <w:rFonts w:ascii="Courier New" w:cs="Courier New" w:eastAsia="Courier New" w:hAnsi="Courier New"/>
          <w:sz w:val="18"/>
          <w:szCs w:val="18"/>
          <w:color w:val="auto"/>
        </w:rPr>
        <w:t>COL. C</w:t>
      </w:r>
      <w:r>
        <w:rPr>
          <w:sz w:val="20"/>
          <w:szCs w:val="20"/>
          <w:color w:val="auto"/>
        </w:rPr>
        <w:tab/>
      </w:r>
      <w:r>
        <w:rPr>
          <w:rFonts w:ascii="Courier New" w:cs="Courier New" w:eastAsia="Courier New" w:hAnsi="Courier New"/>
          <w:sz w:val="16"/>
          <w:szCs w:val="16"/>
          <w:color w:val="auto"/>
        </w:rPr>
        <w:t>COL. D</w:t>
      </w:r>
    </w:p>
    <w:p>
      <w:pPr>
        <w:ind w:left="5260"/>
        <w:spacing w:after="0" w:line="237" w:lineRule="auto"/>
        <w:rPr>
          <w:sz w:val="20"/>
          <w:szCs w:val="20"/>
          <w:color w:val="auto"/>
        </w:rPr>
      </w:pPr>
      <w:r>
        <w:rPr>
          <w:rFonts w:ascii="Courier New" w:cs="Courier New" w:eastAsia="Courier New" w:hAnsi="Courier New"/>
          <w:sz w:val="18"/>
          <w:szCs w:val="18"/>
          <w:color w:val="auto"/>
        </w:rPr>
        <w:t>Other</w:t>
      </w:r>
    </w:p>
    <w:p>
      <w:pPr>
        <w:ind w:left="1780"/>
        <w:spacing w:after="0"/>
        <w:tabs>
          <w:tab w:leader="none" w:pos="5040" w:val="left"/>
        </w:tabs>
        <w:rPr>
          <w:sz w:val="20"/>
          <w:szCs w:val="20"/>
          <w:color w:val="auto"/>
        </w:rPr>
      </w:pPr>
      <w:r>
        <w:rPr>
          <w:rFonts w:ascii="Courier New" w:cs="Courier New" w:eastAsia="Courier New" w:hAnsi="Courier New"/>
          <w:sz w:val="18"/>
          <w:szCs w:val="18"/>
          <w:color w:val="auto"/>
        </w:rPr>
        <w:t>Balance at</w:t>
      </w:r>
      <w:r>
        <w:rPr>
          <w:sz w:val="20"/>
          <w:szCs w:val="20"/>
          <w:color w:val="auto"/>
        </w:rPr>
        <w:tab/>
      </w:r>
      <w:r>
        <w:rPr>
          <w:rFonts w:ascii="Courier New" w:cs="Courier New" w:eastAsia="Courier New" w:hAnsi="Courier New"/>
          <w:sz w:val="16"/>
          <w:szCs w:val="16"/>
          <w:color w:val="auto"/>
        </w:rPr>
        <w:t>Changes--</w:t>
      </w:r>
    </w:p>
    <w:p>
      <w:pPr>
        <w:ind w:left="1900"/>
        <w:spacing w:after="0"/>
        <w:tabs>
          <w:tab w:leader="none" w:pos="3460" w:val="left"/>
          <w:tab w:leader="none" w:pos="5140" w:val="left"/>
        </w:tabs>
        <w:rPr>
          <w:sz w:val="20"/>
          <w:szCs w:val="20"/>
          <w:color w:val="auto"/>
        </w:rPr>
      </w:pPr>
      <w:r>
        <w:rPr>
          <w:rFonts w:ascii="Courier New" w:cs="Courier New" w:eastAsia="Courier New" w:hAnsi="Courier New"/>
          <w:sz w:val="18"/>
          <w:szCs w:val="18"/>
          <w:color w:val="auto"/>
        </w:rPr>
        <w:t>Beginning</w:t>
      </w:r>
      <w:r>
        <w:rPr>
          <w:sz w:val="20"/>
          <w:szCs w:val="20"/>
          <w:color w:val="auto"/>
        </w:rPr>
        <w:tab/>
      </w:r>
      <w:r>
        <w:rPr>
          <w:rFonts w:ascii="Courier New" w:cs="Courier New" w:eastAsia="Courier New" w:hAnsi="Courier New"/>
          <w:sz w:val="18"/>
          <w:szCs w:val="18"/>
          <w:color w:val="auto"/>
        </w:rPr>
        <w:t>Additions</w:t>
      </w:r>
      <w:r>
        <w:rPr>
          <w:sz w:val="20"/>
          <w:szCs w:val="20"/>
          <w:color w:val="auto"/>
        </w:rPr>
        <w:tab/>
      </w:r>
      <w:r>
        <w:rPr>
          <w:rFonts w:ascii="Courier New" w:cs="Courier New" w:eastAsia="Courier New" w:hAnsi="Courier New"/>
          <w:sz w:val="16"/>
          <w:szCs w:val="16"/>
          <w:color w:val="auto"/>
        </w:rPr>
        <w:t>Add</w:t>
      </w:r>
    </w:p>
    <w:p>
      <w:pPr>
        <w:ind w:left="1780"/>
        <w:spacing w:after="0"/>
        <w:tabs>
          <w:tab w:leader="none" w:pos="3560" w:val="left"/>
          <w:tab w:leader="none" w:pos="4820" w:val="left"/>
        </w:tabs>
        <w:rPr>
          <w:sz w:val="20"/>
          <w:szCs w:val="20"/>
          <w:color w:val="auto"/>
        </w:rPr>
      </w:pPr>
      <w:r>
        <w:rPr>
          <w:rFonts w:ascii="Courier New" w:cs="Courier New" w:eastAsia="Courier New" w:hAnsi="Courier New"/>
          <w:sz w:val="18"/>
          <w:szCs w:val="18"/>
          <w:color w:val="auto"/>
        </w:rPr>
        <w:t>of Period</w:t>
      </w:r>
      <w:r>
        <w:rPr>
          <w:sz w:val="20"/>
          <w:szCs w:val="20"/>
          <w:color w:val="auto"/>
        </w:rPr>
        <w:tab/>
      </w:r>
      <w:r>
        <w:rPr>
          <w:rFonts w:ascii="Courier New" w:cs="Courier New" w:eastAsia="Courier New" w:hAnsi="Courier New"/>
          <w:sz w:val="18"/>
          <w:szCs w:val="18"/>
          <w:color w:val="auto"/>
        </w:rPr>
        <w:t>At Cost</w:t>
      </w:r>
      <w:r>
        <w:rPr>
          <w:sz w:val="20"/>
          <w:szCs w:val="20"/>
          <w:color w:val="auto"/>
        </w:rPr>
        <w:tab/>
      </w:r>
      <w:r>
        <w:rPr>
          <w:rFonts w:ascii="Courier New" w:cs="Courier New" w:eastAsia="Courier New" w:hAnsi="Courier New"/>
          <w:sz w:val="16"/>
          <w:szCs w:val="16"/>
          <w:color w:val="auto"/>
        </w:rPr>
        <w:t>(Deduct)(1)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COL. E</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Balance</w:t>
      </w:r>
    </w:p>
    <w:p>
      <w:pPr>
        <w:ind w:left="100"/>
        <w:spacing w:after="0" w:line="238" w:lineRule="auto"/>
        <w:rPr>
          <w:sz w:val="20"/>
          <w:szCs w:val="20"/>
          <w:color w:val="auto"/>
        </w:rPr>
      </w:pPr>
      <w:r>
        <w:rPr>
          <w:rFonts w:ascii="Courier New" w:cs="Courier New" w:eastAsia="Courier New" w:hAnsi="Courier New"/>
          <w:sz w:val="18"/>
          <w:szCs w:val="18"/>
          <w:color w:val="auto"/>
        </w:rPr>
        <w:t>at End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Period</w:t>
      </w:r>
    </w:p>
    <w:p>
      <w:pPr>
        <w:spacing w:after="0" w:line="17" w:lineRule="exact"/>
        <w:rPr>
          <w:sz w:val="20"/>
          <w:szCs w:val="20"/>
          <w:color w:val="auto"/>
        </w:rPr>
      </w:pPr>
    </w:p>
    <w:p>
      <w:pPr>
        <w:sectPr>
          <w:pgSz w:w="11900" w:h="16838" w:orient="portrait"/>
          <w:cols w:equalWidth="0" w:num="3">
            <w:col w:w="2240" w:space="720"/>
            <w:col w:w="6000" w:space="420"/>
            <w:col w:w="960"/>
          </w:cols>
          <w:pgMar w:left="240" w:top="142" w:right="1319"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Description: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December 31, 1990</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Reserves and allowances deducted</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from asset accounts:</w:t>
      </w:r>
    </w:p>
    <w:p>
      <w:pPr>
        <w:ind w:left="420"/>
        <w:spacing w:after="0" w:line="238" w:lineRule="auto"/>
        <w:rPr>
          <w:sz w:val="20"/>
          <w:szCs w:val="20"/>
          <w:color w:val="auto"/>
        </w:rPr>
      </w:pPr>
      <w:r>
        <w:rPr>
          <w:rFonts w:ascii="Courier New" w:cs="Courier New" w:eastAsia="Courier New" w:hAnsi="Courier New"/>
          <w:sz w:val="18"/>
          <w:szCs w:val="18"/>
          <w:color w:val="auto"/>
        </w:rPr>
        <w:t>Allowances for doubtful</w:t>
      </w:r>
    </w:p>
    <w:p>
      <w:pPr>
        <w:sectPr>
          <w:pgSz w:w="11900" w:h="16838" w:orient="portrait"/>
          <w:cols w:equalWidth="0" w:num="1">
            <w:col w:w="10340"/>
          </w:cols>
          <w:pgMar w:left="240" w:top="142" w:right="1319" w:bottom="0" w:gutter="0" w:footer="0" w:header="0"/>
          <w:type w:val="continuous"/>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amounts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$72,844</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6"/>
          <w:szCs w:val="16"/>
          <w:color w:val="auto"/>
        </w:rPr>
        <w:t>$27,862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$(18,625)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$82,081</w:t>
      </w:r>
    </w:p>
    <w:p>
      <w:pPr>
        <w:spacing w:after="0" w:line="200" w:lineRule="exact"/>
        <w:rPr>
          <w:sz w:val="20"/>
          <w:szCs w:val="20"/>
          <w:color w:val="auto"/>
        </w:rPr>
      </w:pPr>
    </w:p>
    <w:p>
      <w:pPr>
        <w:sectPr>
          <w:pgSz w:w="11900" w:h="16838" w:orient="portrait"/>
          <w:cols w:equalWidth="0" w:num="5">
            <w:col w:w="4340" w:space="720"/>
            <w:col w:w="760" w:space="720"/>
            <w:col w:w="760" w:space="720"/>
            <w:col w:w="940" w:space="640"/>
            <w:col w:w="740"/>
          </w:cols>
          <w:pgMar w:left="240" w:top="142" w:right="1319"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December 31, 1991</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Reserves and allowances deducted</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from asset accounts:</w:t>
      </w:r>
    </w:p>
    <w:p>
      <w:pPr>
        <w:ind w:left="420"/>
        <w:spacing w:after="0" w:line="238" w:lineRule="auto"/>
        <w:rPr>
          <w:sz w:val="20"/>
          <w:szCs w:val="20"/>
          <w:color w:val="auto"/>
        </w:rPr>
      </w:pPr>
      <w:r>
        <w:rPr>
          <w:rFonts w:ascii="Courier New" w:cs="Courier New" w:eastAsia="Courier New" w:hAnsi="Courier New"/>
          <w:sz w:val="18"/>
          <w:szCs w:val="18"/>
          <w:color w:val="auto"/>
        </w:rPr>
        <w:t>Allowances for doubtful</w:t>
      </w:r>
    </w:p>
    <w:p>
      <w:pPr>
        <w:sectPr>
          <w:pgSz w:w="11900" w:h="16838" w:orient="portrait"/>
          <w:cols w:equalWidth="0" w:num="1">
            <w:col w:w="10340"/>
          </w:cols>
          <w:pgMar w:left="240" w:top="142" w:right="1319" w:bottom="0" w:gutter="0" w:footer="0" w:header="0"/>
          <w:type w:val="continuous"/>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amounts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$82,081</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6"/>
          <w:szCs w:val="16"/>
          <w:color w:val="auto"/>
        </w:rPr>
        <w:t>$ 8,900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$(38,980)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$52,001</w:t>
      </w:r>
    </w:p>
    <w:p>
      <w:pPr>
        <w:spacing w:after="0" w:line="200" w:lineRule="exact"/>
        <w:rPr>
          <w:sz w:val="20"/>
          <w:szCs w:val="20"/>
          <w:color w:val="auto"/>
        </w:rPr>
      </w:pPr>
    </w:p>
    <w:p>
      <w:pPr>
        <w:sectPr>
          <w:pgSz w:w="11900" w:h="16838" w:orient="portrait"/>
          <w:cols w:equalWidth="0" w:num="5">
            <w:col w:w="4340" w:space="720"/>
            <w:col w:w="760" w:space="720"/>
            <w:col w:w="760" w:space="720"/>
            <w:col w:w="940" w:space="640"/>
            <w:col w:w="740"/>
          </w:cols>
          <w:pgMar w:left="240" w:top="142" w:right="1319"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December 31, 1992</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Reserves and allowances deducted</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from asset accounts:</w:t>
      </w:r>
    </w:p>
    <w:p>
      <w:pPr>
        <w:ind w:left="420"/>
        <w:spacing w:after="0" w:line="238" w:lineRule="auto"/>
        <w:rPr>
          <w:sz w:val="20"/>
          <w:szCs w:val="20"/>
          <w:color w:val="auto"/>
        </w:rPr>
      </w:pPr>
      <w:r>
        <w:rPr>
          <w:rFonts w:ascii="Courier New" w:cs="Courier New" w:eastAsia="Courier New" w:hAnsi="Courier New"/>
          <w:sz w:val="18"/>
          <w:szCs w:val="18"/>
          <w:color w:val="auto"/>
        </w:rPr>
        <w:t>Allowances for doubtful</w:t>
      </w:r>
    </w:p>
    <w:p>
      <w:pPr>
        <w:sectPr>
          <w:pgSz w:w="11900" w:h="16838" w:orient="portrait"/>
          <w:cols w:equalWidth="0" w:num="1">
            <w:col w:w="10340"/>
          </w:cols>
          <w:pgMar w:left="240" w:top="142" w:right="1319" w:bottom="0" w:gutter="0" w:footer="0" w:header="0"/>
          <w:type w:val="continuous"/>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amounts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$52,001</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6"/>
          <w:szCs w:val="16"/>
          <w:color w:val="auto"/>
        </w:rPr>
        <w:t>$ 7,571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(2,412)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$57,160</w:t>
      </w:r>
    </w:p>
    <w:p>
      <w:pPr>
        <w:sectPr>
          <w:pgSz w:w="11900" w:h="16838" w:orient="portrait"/>
          <w:cols w:equalWidth="0" w:num="5">
            <w:col w:w="4340" w:space="720"/>
            <w:col w:w="760" w:space="720"/>
            <w:col w:w="760" w:space="720"/>
            <w:col w:w="940" w:space="640"/>
            <w:col w:w="740"/>
          </w:cols>
          <w:pgMar w:left="240" w:top="142" w:right="1319" w:bottom="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04"/>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Year ended</w:t>
            </w:r>
          </w:p>
        </w:tc>
        <w:tc>
          <w:tcPr>
            <w:tcW w:w="5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December 31, 1993</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Reserves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4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allowances deducted</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1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from asset accounts:</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Allowances</w:t>
            </w:r>
          </w:p>
        </w:tc>
        <w:tc>
          <w:tcPr>
            <w:tcW w:w="4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doubtful</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amounts</w:t>
            </w:r>
          </w:p>
        </w:tc>
        <w:tc>
          <w:tcPr>
            <w:tcW w:w="4640" w:type="dxa"/>
            <w:vAlign w:val="bottom"/>
          </w:tcPr>
          <w:p>
            <w:pPr>
              <w:ind w:left="3520"/>
              <w:spacing w:after="0" w:line="203" w:lineRule="exact"/>
              <w:rPr>
                <w:sz w:val="20"/>
                <w:szCs w:val="20"/>
                <w:color w:val="auto"/>
              </w:rPr>
            </w:pPr>
            <w:r>
              <w:rPr>
                <w:rFonts w:ascii="Courier New" w:cs="Courier New" w:eastAsia="Courier New" w:hAnsi="Courier New"/>
                <w:sz w:val="18"/>
                <w:szCs w:val="18"/>
                <w:color w:val="auto"/>
              </w:rPr>
              <w:t>$57,160</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$ 9,304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(9,759)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$56,705</w:t>
            </w:r>
          </w:p>
        </w:tc>
      </w:tr>
      <w:tr>
        <w:trPr>
          <w:trHeight w:val="405"/>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Year ended</w:t>
            </w:r>
          </w:p>
        </w:tc>
        <w:tc>
          <w:tcPr>
            <w:tcW w:w="5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December 31, 1994</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Reserves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4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allowances deducted</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1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from asset accounts:</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Allowances</w:t>
            </w:r>
          </w:p>
        </w:tc>
        <w:tc>
          <w:tcPr>
            <w:tcW w:w="4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doubtful</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amounts</w:t>
            </w:r>
          </w:p>
        </w:tc>
        <w:tc>
          <w:tcPr>
            <w:tcW w:w="4640" w:type="dxa"/>
            <w:vAlign w:val="bottom"/>
          </w:tcPr>
          <w:p>
            <w:pPr>
              <w:ind w:left="3520"/>
              <w:spacing w:after="0" w:line="203" w:lineRule="exact"/>
              <w:rPr>
                <w:sz w:val="20"/>
                <w:szCs w:val="20"/>
                <w:color w:val="auto"/>
              </w:rPr>
            </w:pPr>
            <w:r>
              <w:rPr>
                <w:rFonts w:ascii="Courier New" w:cs="Courier New" w:eastAsia="Courier New" w:hAnsi="Courier New"/>
                <w:sz w:val="18"/>
                <w:szCs w:val="18"/>
                <w:color w:val="auto"/>
              </w:rPr>
              <w:t>$56,705</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$25,283(2)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(18,262)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$63,726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w:t>
      </w:r>
    </w:p>
    <w:p>
      <w:pPr>
        <w:ind w:left="540" w:hanging="532"/>
        <w:spacing w:after="0" w:line="238"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Uncollectible amounts written off, net of recoveries.</w:t>
      </w:r>
    </w:p>
    <w:p>
      <w:pPr>
        <w:ind w:left="540" w:hanging="532"/>
        <w:spacing w:after="0" w:line="238"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Additions include $15,625 of allowance for bad debts from acquired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8"/>
          <w:szCs w:val="18"/>
          <w:color w:val="auto"/>
        </w:rPr>
        <w:t>STATEMENT RE COMPUTATION OF PER SHARE EARNINGS</w:t>
      </w:r>
    </w:p>
    <w:p>
      <w:pPr>
        <w:jc w:val="center"/>
        <w:ind w:right="1900"/>
        <w:spacing w:after="0" w:line="238" w:lineRule="auto"/>
        <w:rPr>
          <w:sz w:val="20"/>
          <w:szCs w:val="20"/>
          <w:color w:val="auto"/>
        </w:rPr>
      </w:pPr>
      <w:r>
        <w:rPr>
          <w:rFonts w:ascii="Courier New" w:cs="Courier New" w:eastAsia="Courier New" w:hAnsi="Courier New"/>
          <w:sz w:val="18"/>
          <w:szCs w:val="18"/>
          <w:color w:val="auto"/>
        </w:rPr>
        <w:t>(in thousands, except per share)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780" w:type="dxa"/>
            <w:vAlign w:val="bottom"/>
          </w:tcPr>
          <w:p>
            <w:pPr>
              <w:spacing w:after="0"/>
              <w:rPr>
                <w:sz w:val="17"/>
                <w:szCs w:val="17"/>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1993</w:t>
            </w:r>
          </w:p>
        </w:tc>
        <w:tc>
          <w:tcPr>
            <w:tcW w:w="20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1992</w:t>
            </w:r>
          </w:p>
        </w:tc>
        <w:tc>
          <w:tcPr>
            <w:tcW w:w="220" w:type="dxa"/>
            <w:vAlign w:val="bottom"/>
          </w:tcPr>
          <w:p>
            <w:pPr>
              <w:spacing w:after="0"/>
              <w:rPr>
                <w:sz w:val="17"/>
                <w:szCs w:val="17"/>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1991</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78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49,139</w:t>
            </w:r>
          </w:p>
        </w:tc>
        <w:tc>
          <w:tcPr>
            <w:tcW w:w="2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48,085</w:t>
            </w:r>
          </w:p>
        </w:tc>
        <w:tc>
          <w:tcPr>
            <w:tcW w:w="2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47,179</w:t>
            </w:r>
          </w:p>
        </w:tc>
        <w:tc>
          <w:tcPr>
            <w:tcW w:w="2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47,075</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46,963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effect of the assumed exercise</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stock options - based on the</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treasury stock method</w:t>
            </w:r>
          </w:p>
        </w:tc>
        <w:tc>
          <w:tcPr>
            <w:tcW w:w="7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758</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792</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w:t>
            </w:r>
          </w:p>
        </w:tc>
        <w:tc>
          <w:tcPr>
            <w:tcW w:w="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Totals</w:t>
            </w:r>
          </w:p>
        </w:tc>
        <w:tc>
          <w:tcPr>
            <w:tcW w:w="7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49,897</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48,877</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47,430</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47,262</w:t>
            </w:r>
          </w:p>
        </w:tc>
        <w:tc>
          <w:tcPr>
            <w:tcW w:w="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46,964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cumulative effect</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accounting principle changes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35,264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95,755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120,922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268,256</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210,424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on prior years of</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accounting principles: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20,282</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Retiree healthcare and life</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insurance benefits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(87,717)</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35,264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95,755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120,922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200,821</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210,424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before</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accounting</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principle changes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5.68</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on prior years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change in accounting principles,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 share:</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Retiree healthcare and life</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insurance benefits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share(1)</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 outstanding</w:t>
            </w:r>
          </w:p>
        </w:tc>
        <w:tc>
          <w:tcPr>
            <w:tcW w:w="7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49,139</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48,085</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47,179</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47,075</w:t>
            </w:r>
          </w:p>
        </w:tc>
        <w:tc>
          <w:tcPr>
            <w:tcW w:w="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46,963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effect of the assumed exercise</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stock options - based on the</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treasury stock method</w:t>
            </w:r>
          </w:p>
        </w:tc>
        <w:tc>
          <w:tcPr>
            <w:tcW w:w="7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837</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872</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805</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w:t>
            </w:r>
          </w:p>
        </w:tc>
        <w:tc>
          <w:tcPr>
            <w:tcW w:w="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Totals</w:t>
            </w:r>
          </w:p>
        </w:tc>
        <w:tc>
          <w:tcPr>
            <w:tcW w:w="78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49,976</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48,957</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47,984</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47,300</w:t>
            </w:r>
          </w:p>
        </w:tc>
        <w:tc>
          <w:tcPr>
            <w:tcW w:w="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46,967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cumulative effect</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accounting principle changes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35,264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95,755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120,922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268,256</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210,424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on prior years of</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accounting principles: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20,282</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Retiree health care and life</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insurance benefits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(87,717)</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35,264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95,755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120,922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200,821</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210,424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before</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accounting</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principle changes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5.67</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on prior years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change in accounting principles,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 share:</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Retiree healthcare and life</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insurance benefits</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share(1)</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w:t>
      </w:r>
    </w:p>
    <w:p>
      <w:pPr>
        <w:sectPr>
          <w:pgSz w:w="11900" w:h="16838" w:orient="portrait"/>
          <w:cols w:equalWidth="0" w:num="1">
            <w:col w:w="10340"/>
          </w:cols>
          <w:pgMar w:left="240" w:top="339" w:right="1319" w:bottom="0" w:gutter="0" w:footer="0" w:header="0"/>
        </w:sectPr>
      </w:pPr>
    </w:p>
    <w:bookmarkStart w:id="37" w:name="page38"/>
    <w:bookmarkEnd w:id="37"/>
    <w:p>
      <w:pPr>
        <w:ind w:left="420" w:right="2199" w:hanging="412"/>
        <w:spacing w:after="0" w:line="237"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calculation was made in compliance with Item 601 of Regulation S-K. Earnings per share presented elsewhere in this report exclude from their calculation shares issuable under employee stock options, since their dilutive effect is less than 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ind w:left="3160"/>
        <w:spacing w:after="0" w:line="238" w:lineRule="auto"/>
        <w:rPr>
          <w:sz w:val="20"/>
          <w:szCs w:val="20"/>
          <w:color w:val="auto"/>
        </w:rPr>
      </w:pPr>
      <w:r>
        <w:rPr>
          <w:rFonts w:ascii="Courier New" w:cs="Courier New" w:eastAsia="Courier New" w:hAnsi="Courier New"/>
          <w:sz w:val="18"/>
          <w:szCs w:val="18"/>
          <w:color w:val="auto"/>
        </w:rPr>
        <w:t>EXHIBIT 23</w:t>
      </w:r>
    </w:p>
    <w:p>
      <w:pPr>
        <w:spacing w:after="0" w:line="202"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We consent to the incorporation by reference in Registration Statements Nos. 2-73293, 2-98614, 33-15764, 33-49667, 33-55141 and 33-55146 of Northrop Grumman Corporation (formerly Northrop Corporation) on Form S-8 of our report dated February 15, 1995, appearing in this Annual</w:t>
      </w:r>
    </w:p>
    <w:p>
      <w:pPr>
        <w:spacing w:after="0" w:line="1"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Report on Form 10-K of Northrop Grumman Corporation for the year ended December 31,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 Angeles, California</w:t>
      </w:r>
    </w:p>
    <w:p>
      <w:pPr>
        <w:spacing w:after="0" w:line="238" w:lineRule="auto"/>
        <w:rPr>
          <w:sz w:val="20"/>
          <w:szCs w:val="20"/>
          <w:color w:val="auto"/>
        </w:rPr>
      </w:pPr>
      <w:r>
        <w:rPr>
          <w:rFonts w:ascii="Courier New" w:cs="Courier New" w:eastAsia="Courier New" w:hAnsi="Courier New"/>
          <w:sz w:val="18"/>
          <w:szCs w:val="18"/>
          <w:color w:val="auto"/>
        </w:rPr>
        <w:t>March 20, 1995</w:t>
      </w:r>
    </w:p>
    <w:p>
      <w:pPr>
        <w:sectPr>
          <w:pgSz w:w="11900" w:h="16838" w:orient="portrait"/>
          <w:cols w:equalWidth="0" w:num="1">
            <w:col w:w="10219"/>
          </w:cols>
          <w:pgMar w:left="240" w:top="142"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Exhibit 10(a)</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0"/>
          <w:szCs w:val="20"/>
          <w:color w:val="auto"/>
        </w:rPr>
      </w:pPr>
    </w:p>
    <w:p>
      <w:pPr>
        <w:spacing w:after="0" w:line="209" w:lineRule="exact"/>
        <w:rPr>
          <w:sz w:val="20"/>
          <w:szCs w:val="20"/>
          <w:color w:val="auto"/>
        </w:rPr>
      </w:pPr>
    </w:p>
    <w:p>
      <w:pPr>
        <w:ind w:right="3479" w:firstLine="1369"/>
        <w:spacing w:after="0" w:line="237" w:lineRule="auto"/>
        <w:rPr>
          <w:sz w:val="20"/>
          <w:szCs w:val="20"/>
          <w:color w:val="auto"/>
        </w:rPr>
      </w:pPr>
      <w:r>
        <w:rPr>
          <w:rFonts w:ascii="Courier New" w:cs="Courier New" w:eastAsia="Courier New" w:hAnsi="Courier New"/>
          <w:sz w:val="18"/>
          <w:szCs w:val="18"/>
          <w:color w:val="auto"/>
        </w:rPr>
        <w:t>AMENDMENT NO. 1 dated as of May 11, 1994, between NORTHROP CORPORATION, a corporation duly organized and validly existing under the laws of the State of Delaware (the "Company") and each of the Banks party to the Credit Agreement referred to below.</w:t>
      </w:r>
    </w:p>
    <w:p>
      <w:pPr>
        <w:spacing w:after="0" w:line="209" w:lineRule="exact"/>
        <w:rPr>
          <w:sz w:val="20"/>
          <w:szCs w:val="20"/>
          <w:color w:val="auto"/>
        </w:rPr>
      </w:pPr>
    </w:p>
    <w:p>
      <w:pPr>
        <w:ind w:right="3039" w:firstLine="1369"/>
        <w:spacing w:after="0" w:line="237" w:lineRule="auto"/>
        <w:rPr>
          <w:sz w:val="20"/>
          <w:szCs w:val="20"/>
          <w:color w:val="auto"/>
        </w:rPr>
      </w:pPr>
      <w:r>
        <w:rPr>
          <w:rFonts w:ascii="Courier New" w:cs="Courier New" w:eastAsia="Courier New" w:hAnsi="Courier New"/>
          <w:sz w:val="18"/>
          <w:szCs w:val="18"/>
          <w:color w:val="auto"/>
        </w:rPr>
        <w:t>The Company, the Banks and the Administrative Agent are parties to a Credit Agreement dated as of April 15, 1994, as amended and restated as of April 18, 1994 (as heretofore modified and supplemented and in effect on the date hereof, the "Credit Agreement"), providing, subject to the terms and conditions thereof, for loans to be made by said Banks to the Company in an aggregate principal amount not exceeding $2,800,000,000. The Company and the Banks wish to amend the Credit Agreement in certain respects, and accordingly, the parties hereto hereby agree as follows:</w:t>
      </w:r>
    </w:p>
    <w:p>
      <w:pPr>
        <w:spacing w:after="0" w:line="215" w:lineRule="exact"/>
        <w:rPr>
          <w:sz w:val="20"/>
          <w:szCs w:val="20"/>
          <w:color w:val="auto"/>
        </w:rPr>
      </w:pPr>
    </w:p>
    <w:p>
      <w:pPr>
        <w:ind w:right="3259" w:firstLine="1369"/>
        <w:spacing w:after="0" w:line="236" w:lineRule="auto"/>
        <w:rPr>
          <w:sz w:val="20"/>
          <w:szCs w:val="20"/>
          <w:color w:val="auto"/>
        </w:rPr>
      </w:pPr>
      <w:r>
        <w:rPr>
          <w:rFonts w:ascii="Courier New" w:cs="Courier New" w:eastAsia="Courier New" w:hAnsi="Courier New"/>
          <w:sz w:val="18"/>
          <w:szCs w:val="18"/>
          <w:color w:val="auto"/>
        </w:rPr>
        <w:t>Section 1. DEFINITIONS. Except as otherwise defined in this Amendment No. 1, terms defined in the Credit Agreement are used herein as defined therein.</w:t>
      </w:r>
    </w:p>
    <w:p>
      <w:pPr>
        <w:spacing w:after="0" w:line="209" w:lineRule="exact"/>
        <w:rPr>
          <w:sz w:val="20"/>
          <w:szCs w:val="20"/>
          <w:color w:val="auto"/>
        </w:rPr>
      </w:pPr>
    </w:p>
    <w:p>
      <w:pPr>
        <w:ind w:right="3039" w:firstLine="1369"/>
        <w:spacing w:after="0" w:line="237" w:lineRule="auto"/>
        <w:rPr>
          <w:sz w:val="20"/>
          <w:szCs w:val="20"/>
          <w:color w:val="auto"/>
        </w:rPr>
      </w:pPr>
      <w:r>
        <w:rPr>
          <w:rFonts w:ascii="Courier New" w:cs="Courier New" w:eastAsia="Courier New" w:hAnsi="Courier New"/>
          <w:sz w:val="18"/>
          <w:szCs w:val="18"/>
          <w:color w:val="auto"/>
        </w:rPr>
        <w:t>Section 2. AMENDMENTS. Subject to the satisfaction of the conditions precedent specified in Section 4 below, but effective as of the date of this Amendment No. 1, the Credit Agreement shall be amended as follows:</w:t>
      </w:r>
    </w:p>
    <w:p>
      <w:pPr>
        <w:spacing w:after="0" w:line="207" w:lineRule="exact"/>
        <w:rPr>
          <w:sz w:val="20"/>
          <w:szCs w:val="20"/>
          <w:color w:val="auto"/>
        </w:rPr>
      </w:pPr>
    </w:p>
    <w:p>
      <w:pPr>
        <w:ind w:right="2939" w:firstLine="1369"/>
        <w:spacing w:after="0" w:line="235" w:lineRule="auto"/>
        <w:rPr>
          <w:sz w:val="20"/>
          <w:szCs w:val="20"/>
          <w:color w:val="auto"/>
        </w:rPr>
      </w:pPr>
      <w:r>
        <w:rPr>
          <w:rFonts w:ascii="Courier New" w:cs="Courier New" w:eastAsia="Courier New" w:hAnsi="Courier New"/>
          <w:sz w:val="18"/>
          <w:szCs w:val="18"/>
          <w:color w:val="auto"/>
        </w:rPr>
        <w:t>Section 2.01. References in the Credit Agreement to "this Agreement" and "the Notes" shall be deemed to be references</w:t>
      </w:r>
    </w:p>
    <w:p>
      <w:pPr>
        <w:spacing w:after="0" w:line="6"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to the Credit Agreement as amended hereby, and to the Notes (including the New Notes under and as defined in Section 4.02 hereof), respectively.</w:t>
      </w:r>
    </w:p>
    <w:p>
      <w:pPr>
        <w:spacing w:after="0" w:line="209" w:lineRule="exact"/>
        <w:rPr>
          <w:sz w:val="20"/>
          <w:szCs w:val="20"/>
          <w:color w:val="auto"/>
        </w:rPr>
      </w:pPr>
    </w:p>
    <w:p>
      <w:pPr>
        <w:ind w:right="3039" w:firstLine="1369"/>
        <w:spacing w:after="0" w:line="236" w:lineRule="auto"/>
        <w:rPr>
          <w:sz w:val="20"/>
          <w:szCs w:val="20"/>
          <w:color w:val="auto"/>
        </w:rPr>
      </w:pPr>
      <w:r>
        <w:rPr>
          <w:rFonts w:ascii="Courier New" w:cs="Courier New" w:eastAsia="Courier New" w:hAnsi="Courier New"/>
          <w:sz w:val="18"/>
          <w:szCs w:val="18"/>
          <w:color w:val="auto"/>
        </w:rPr>
        <w:t>Section 2.02. Section 1.01 of the Credit Agreement shall be amended by amending the following definitions to read in their entirety as follows:</w:t>
      </w:r>
    </w:p>
    <w:p>
      <w:pPr>
        <w:spacing w:after="0" w:line="209" w:lineRule="exact"/>
        <w:rPr>
          <w:sz w:val="20"/>
          <w:szCs w:val="20"/>
          <w:color w:val="auto"/>
        </w:rPr>
      </w:pPr>
    </w:p>
    <w:p>
      <w:pPr>
        <w:ind w:right="3259" w:firstLine="1369"/>
        <w:spacing w:after="0" w:line="237" w:lineRule="auto"/>
        <w:rPr>
          <w:sz w:val="20"/>
          <w:szCs w:val="20"/>
          <w:color w:val="auto"/>
        </w:rPr>
      </w:pPr>
      <w:r>
        <w:rPr>
          <w:rFonts w:ascii="Courier New" w:cs="Courier New" w:eastAsia="Courier New" w:hAnsi="Courier New"/>
          <w:sz w:val="18"/>
          <w:szCs w:val="18"/>
          <w:color w:val="auto"/>
        </w:rPr>
        <w:t>"Prime Rate" shall mean the arithmetic mean (rounded, if necessary, to the nearest 1/16 of 1%), as determined by the Administrative Agent, of the rate of interest from time to time announced by each Reference Bank at its principal office as its prime commercial lending rate.</w:t>
      </w:r>
    </w:p>
    <w:p>
      <w:pPr>
        <w:spacing w:after="0" w:line="209"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"Revolving Credit Commitment" shall mean, for each Revolving Credit Bank, the obligation of such Bank to make Revolving Loans in an aggregate principal amount at any one time outstanding up to but not exceeding the amount set opposite the name of such Bank on Schedule I hereto under the caption "Revolving Credit Commitment" (as the same may be reduced from time to time pursuant to Section 2.04 hereof). The original aggregate principal amount of the Revolving Credit Commitments is $800,000,000.</w:t>
      </w:r>
    </w:p>
    <w:p>
      <w:pPr>
        <w:spacing w:after="0" w:line="214" w:lineRule="exact"/>
        <w:rPr>
          <w:sz w:val="20"/>
          <w:szCs w:val="20"/>
          <w:color w:val="auto"/>
        </w:rPr>
      </w:pPr>
    </w:p>
    <w:p>
      <w:pPr>
        <w:ind w:right="3259" w:firstLine="1369"/>
        <w:spacing w:after="0" w:line="237" w:lineRule="auto"/>
        <w:rPr>
          <w:sz w:val="20"/>
          <w:szCs w:val="20"/>
          <w:color w:val="auto"/>
        </w:rPr>
      </w:pPr>
      <w:r>
        <w:rPr>
          <w:rFonts w:ascii="Courier New" w:cs="Courier New" w:eastAsia="Courier New" w:hAnsi="Courier New"/>
          <w:sz w:val="18"/>
          <w:szCs w:val="18"/>
          <w:color w:val="auto"/>
        </w:rPr>
        <w:t>"Term Loan Commitment" shall mean, for each Term Loan Bank, the obligation of such Bank to make one or more Term Loans in an aggregate amount up to but not exceeding the amount set opposite the name of such Bank on Schedule I hereto under the caption "Term Loan Commitment" (as the same may be reduced from time to time pursuant to Section 2.04 hereof). The original aggregate principal amount of the Term Loan Commitments is $2,000,000,000.</w:t>
      </w:r>
    </w:p>
    <w:p>
      <w:pPr>
        <w:spacing w:after="0" w:line="212" w:lineRule="exact"/>
        <w:rPr>
          <w:sz w:val="20"/>
          <w:szCs w:val="20"/>
          <w:color w:val="auto"/>
        </w:rPr>
      </w:pPr>
    </w:p>
    <w:p>
      <w:pPr>
        <w:ind w:right="3579" w:firstLine="1369"/>
        <w:spacing w:after="0" w:line="235" w:lineRule="auto"/>
        <w:rPr>
          <w:sz w:val="20"/>
          <w:szCs w:val="20"/>
          <w:color w:val="auto"/>
        </w:rPr>
      </w:pPr>
      <w:r>
        <w:rPr>
          <w:rFonts w:ascii="Courier New" w:cs="Courier New" w:eastAsia="Courier New" w:hAnsi="Courier New"/>
          <w:sz w:val="18"/>
          <w:szCs w:val="18"/>
          <w:color w:val="auto"/>
        </w:rPr>
        <w:t>"Term Loan Commitment Termination Date" shall mean September 1, 1994.</w:t>
      </w:r>
    </w:p>
    <w:p>
      <w:pPr>
        <w:spacing w:after="0" w:line="208" w:lineRule="exact"/>
        <w:rPr>
          <w:sz w:val="20"/>
          <w:szCs w:val="20"/>
          <w:color w:val="auto"/>
        </w:rPr>
      </w:pPr>
    </w:p>
    <w:p>
      <w:pPr>
        <w:ind w:right="3359" w:firstLine="1369"/>
        <w:spacing w:after="0" w:line="279" w:lineRule="auto"/>
        <w:rPr>
          <w:sz w:val="20"/>
          <w:szCs w:val="20"/>
          <w:color w:val="auto"/>
        </w:rPr>
      </w:pPr>
      <w:r>
        <w:rPr>
          <w:rFonts w:ascii="Courier New" w:cs="Courier New" w:eastAsia="Courier New" w:hAnsi="Courier New"/>
          <w:sz w:val="16"/>
          <w:szCs w:val="16"/>
          <w:color w:val="auto"/>
        </w:rPr>
        <w:t>Section 2.03. References in Section 3.01(c) of the Credit Agreement to "$110,000,000" and "$220,000,000" are amended to read as "$100,000,000" and "$200,000,000", respectively.</w:t>
      </w:r>
    </w:p>
    <w:p>
      <w:pPr>
        <w:spacing w:after="0" w:line="178" w:lineRule="exact"/>
        <w:rPr>
          <w:sz w:val="20"/>
          <w:szCs w:val="20"/>
          <w:color w:val="auto"/>
        </w:rPr>
      </w:pPr>
    </w:p>
    <w:p>
      <w:pPr>
        <w:ind w:right="3679" w:firstLine="1369"/>
        <w:spacing w:after="0" w:line="236" w:lineRule="auto"/>
        <w:rPr>
          <w:sz w:val="20"/>
          <w:szCs w:val="20"/>
          <w:color w:val="auto"/>
        </w:rPr>
      </w:pPr>
      <w:r>
        <w:rPr>
          <w:rFonts w:ascii="Courier New" w:cs="Courier New" w:eastAsia="Courier New" w:hAnsi="Courier New"/>
          <w:sz w:val="18"/>
          <w:szCs w:val="18"/>
          <w:color w:val="auto"/>
        </w:rPr>
        <w:t>Section 2.04. Schedule I attached to the Credit Agreement is deleted and Schedule I attached to this Amendment No. 1. is substituted therefor.</w:t>
      </w:r>
    </w:p>
    <w:p>
      <w:pPr>
        <w:spacing w:after="0" w:line="209" w:lineRule="exact"/>
        <w:rPr>
          <w:sz w:val="20"/>
          <w:szCs w:val="20"/>
          <w:color w:val="auto"/>
        </w:rPr>
      </w:pPr>
    </w:p>
    <w:p>
      <w:pPr>
        <w:ind w:right="3359" w:firstLine="1369"/>
        <w:spacing w:after="0" w:line="275" w:lineRule="auto"/>
        <w:rPr>
          <w:sz w:val="20"/>
          <w:szCs w:val="20"/>
          <w:color w:val="auto"/>
        </w:rPr>
      </w:pPr>
      <w:r>
        <w:rPr>
          <w:rFonts w:ascii="Courier New" w:cs="Courier New" w:eastAsia="Courier New" w:hAnsi="Courier New"/>
          <w:sz w:val="16"/>
          <w:szCs w:val="16"/>
          <w:color w:val="auto"/>
        </w:rPr>
        <w:t>Section 3. Representations and Warranties. The Company represents and warrants to the Banks that the representations and warranties set forth in Section 7 of the Credit Agreement are true in all material respects on the date of</w:t>
      </w:r>
    </w:p>
    <w:p>
      <w:pPr>
        <w:sectPr>
          <w:pgSz w:w="11900" w:h="16838" w:orient="portrait"/>
          <w:cols w:equalWidth="0" w:num="1">
            <w:col w:w="10219"/>
          </w:cols>
          <w:pgMar w:left="240" w:top="136" w:right="1440" w:bottom="0" w:gutter="0" w:footer="0" w:header="0"/>
        </w:sectPr>
      </w:pPr>
    </w:p>
    <w:bookmarkStart w:id="39" w:name="page40"/>
    <w:bookmarkEnd w:id="39"/>
    <w:p>
      <w:pPr>
        <w:ind w:right="3779"/>
        <w:spacing w:after="0" w:line="235" w:lineRule="auto"/>
        <w:rPr>
          <w:sz w:val="20"/>
          <w:szCs w:val="20"/>
          <w:color w:val="auto"/>
        </w:rPr>
      </w:pPr>
      <w:r>
        <w:rPr>
          <w:rFonts w:ascii="Courier New" w:cs="Courier New" w:eastAsia="Courier New" w:hAnsi="Courier New"/>
          <w:sz w:val="18"/>
          <w:szCs w:val="18"/>
          <w:color w:val="auto"/>
        </w:rPr>
        <w:t>this Amendment No. 1 as if made on and as of the date of this Amendment No. 1.</w:t>
      </w:r>
    </w:p>
    <w:p>
      <w:pPr>
        <w:spacing w:after="0" w:line="208"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Section 4. Condition Precedent. As provided in Section 2 above, the amendments to the Credit Agreement set forth in said Section 2 shall become effective, as of the date of this Amendment No. 1, upon the satisfaction of the following conditions precedent:</w:t>
      </w:r>
    </w:p>
    <w:p>
      <w:pPr>
        <w:spacing w:after="0" w:line="209" w:lineRule="exact"/>
        <w:rPr>
          <w:sz w:val="20"/>
          <w:szCs w:val="20"/>
          <w:color w:val="auto"/>
        </w:rPr>
      </w:pPr>
    </w:p>
    <w:p>
      <w:pPr>
        <w:ind w:right="3159" w:firstLine="1369"/>
        <w:spacing w:after="0" w:line="236" w:lineRule="auto"/>
        <w:rPr>
          <w:sz w:val="20"/>
          <w:szCs w:val="20"/>
          <w:color w:val="auto"/>
        </w:rPr>
      </w:pPr>
      <w:r>
        <w:rPr>
          <w:rFonts w:ascii="Courier New" w:cs="Courier New" w:eastAsia="Courier New" w:hAnsi="Courier New"/>
          <w:sz w:val="18"/>
          <w:szCs w:val="18"/>
          <w:color w:val="auto"/>
        </w:rPr>
        <w:t>4.01. Execution by All Parties. This Amendment No. 1 shall have been executed and delivered by the Company and each of the Banks.</w:t>
      </w:r>
    </w:p>
    <w:p>
      <w:pPr>
        <w:spacing w:after="0" w:line="209" w:lineRule="exact"/>
        <w:rPr>
          <w:sz w:val="20"/>
          <w:szCs w:val="20"/>
          <w:color w:val="auto"/>
        </w:rPr>
      </w:pPr>
    </w:p>
    <w:p>
      <w:pPr>
        <w:ind w:right="3159" w:firstLine="1369"/>
        <w:spacing w:after="0" w:line="238" w:lineRule="auto"/>
        <w:rPr>
          <w:sz w:val="20"/>
          <w:szCs w:val="20"/>
          <w:color w:val="auto"/>
        </w:rPr>
      </w:pPr>
      <w:r>
        <w:rPr>
          <w:rFonts w:ascii="Courier New" w:cs="Courier New" w:eastAsia="Courier New" w:hAnsi="Courier New"/>
          <w:sz w:val="18"/>
          <w:szCs w:val="18"/>
          <w:color w:val="auto"/>
        </w:rPr>
        <w:t>4.02. Notes. The Company shall have delivered to the Administrative Agent for each Bank, in exchange for the Term Note and Revolving Note heretofore delivered to such Bank pursuant to Section 2.08(a) of the Credit Agreement, a new Term Note and a new Revolving Note, each dated the date of the Notes being exchanged, payable to such Bank in a principal amount equal to the amount of the Term Loan Commitment and the Revolving Loan Commitment, respectively, set forth opposite such Bank's name in Schedule I attached hereto and otherwise duly completed, and each of such Term Notes and Revolving Notes delivered to the Banks shall constitute a "Note" under the Credit Agreement as amended hereby.</w:t>
      </w:r>
    </w:p>
    <w:p>
      <w:pPr>
        <w:spacing w:after="0" w:line="207" w:lineRule="exact"/>
        <w:rPr>
          <w:sz w:val="20"/>
          <w:szCs w:val="20"/>
          <w:color w:val="auto"/>
        </w:rPr>
      </w:pPr>
    </w:p>
    <w:p>
      <w:pPr>
        <w:ind w:right="3159" w:firstLine="1369"/>
        <w:spacing w:after="0" w:line="237" w:lineRule="auto"/>
        <w:rPr>
          <w:sz w:val="20"/>
          <w:szCs w:val="20"/>
          <w:color w:val="auto"/>
        </w:rPr>
      </w:pPr>
      <w:r>
        <w:rPr>
          <w:rFonts w:ascii="Courier New" w:cs="Courier New" w:eastAsia="Courier New" w:hAnsi="Courier New"/>
          <w:sz w:val="18"/>
          <w:szCs w:val="18"/>
          <w:color w:val="auto"/>
        </w:rPr>
        <w:t>Section 5. Miscellaneous. Except as herein provided, the Credit Agreement shall remain unchanged and in full force and effect. This Amendment No. 1 may be executed in any number of counterparts, all of which taken together shall constitute one and the same amendatory instrument and any of the parties hereto may execute this Amendment No. 1 by signing any such counterpart. This Amendment No. 1 shall be governed by, and construed in accordance with, the law of the State of New York.</w:t>
      </w:r>
    </w:p>
    <w:p>
      <w:pPr>
        <w:spacing w:after="0" w:line="212" w:lineRule="exact"/>
        <w:rPr>
          <w:sz w:val="20"/>
          <w:szCs w:val="20"/>
          <w:color w:val="auto"/>
        </w:rPr>
      </w:pPr>
    </w:p>
    <w:p>
      <w:pPr>
        <w:ind w:right="3039" w:firstLine="1369"/>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Amendment No. 1 to be duly executed and delivered as of the day and year first above written.</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NORTHROP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By___________________________</w:t>
      </w:r>
    </w:p>
    <w:p>
      <w:pPr>
        <w:spacing w:after="0" w:line="16"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THE BANKS</w:t>
      </w:r>
    </w:p>
    <w:p>
      <w:pPr>
        <w:spacing w:after="0" w:line="200" w:lineRule="exact"/>
        <w:rPr>
          <w:sz w:val="20"/>
          <w:szCs w:val="20"/>
          <w:color w:val="auto"/>
        </w:rPr>
      </w:pPr>
    </w:p>
    <w:p>
      <w:pPr>
        <w:spacing w:after="0" w:line="209" w:lineRule="exact"/>
        <w:rPr>
          <w:sz w:val="20"/>
          <w:szCs w:val="20"/>
          <w:color w:val="auto"/>
        </w:rPr>
      </w:pPr>
    </w:p>
    <w:p>
      <w:pPr>
        <w:jc w:val="right"/>
        <w:ind w:right="7679"/>
        <w:spacing w:after="0"/>
        <w:rPr>
          <w:sz w:val="20"/>
          <w:szCs w:val="20"/>
          <w:color w:val="auto"/>
        </w:rPr>
      </w:pPr>
      <w:r>
        <w:rPr>
          <w:rFonts w:ascii="Courier New" w:cs="Courier New" w:eastAsia="Courier New" w:hAnsi="Courier New"/>
          <w:sz w:val="16"/>
          <w:szCs w:val="16"/>
          <w:color w:val="auto"/>
        </w:rPr>
        <w:t>THE CHASE MANHATTAN BANK</w:t>
      </w:r>
    </w:p>
    <w:p>
      <w:pPr>
        <w:spacing w:after="0" w:line="16" w:lineRule="exact"/>
        <w:rPr>
          <w:sz w:val="20"/>
          <w:szCs w:val="20"/>
          <w:color w:val="auto"/>
        </w:rPr>
      </w:pPr>
    </w:p>
    <w:p>
      <w:pPr>
        <w:jc w:val="right"/>
        <w:ind w:right="7679"/>
        <w:spacing w:after="0"/>
        <w:rPr>
          <w:sz w:val="20"/>
          <w:szCs w:val="20"/>
          <w:color w:val="auto"/>
        </w:rPr>
      </w:pPr>
      <w:r>
        <w:rPr>
          <w:rFonts w:ascii="Courier New" w:cs="Courier New" w:eastAsia="Courier New" w:hAnsi="Courier New"/>
          <w:sz w:val="18"/>
          <w:szCs w:val="18"/>
          <w:color w:val="auto"/>
        </w:rPr>
        <w:t>(NATIONAL ASSOCIATION)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CHEMICAL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BANK OF AMERICA NATIONAL TRUST</w:t>
      </w:r>
    </w:p>
    <w:p>
      <w:pPr>
        <w:ind w:left="220"/>
        <w:spacing w:after="0" w:line="237" w:lineRule="auto"/>
        <w:rPr>
          <w:sz w:val="20"/>
          <w:szCs w:val="20"/>
          <w:color w:val="auto"/>
        </w:rPr>
      </w:pPr>
      <w:r>
        <w:rPr>
          <w:rFonts w:ascii="Courier New" w:cs="Courier New" w:eastAsia="Courier New" w:hAnsi="Courier New"/>
          <w:sz w:val="18"/>
          <w:szCs w:val="18"/>
          <w:color w:val="auto"/>
        </w:rPr>
        <w:t>AND SAVINGS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MONTREAL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142" w:right="1440" w:bottom="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THE BANK OF NEW YORK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THE BANK OF NOVA SCOTIA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BANKERS TRUST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CANADIAN IMPERIAL BANK OF</w:t>
      </w:r>
    </w:p>
    <w:p>
      <w:pPr>
        <w:ind w:left="220"/>
        <w:spacing w:after="0" w:line="237" w:lineRule="auto"/>
        <w:rPr>
          <w:sz w:val="20"/>
          <w:szCs w:val="20"/>
          <w:color w:val="auto"/>
        </w:rPr>
      </w:pPr>
      <w:r>
        <w:rPr>
          <w:rFonts w:ascii="Courier New" w:cs="Courier New" w:eastAsia="Courier New" w:hAnsi="Courier New"/>
          <w:sz w:val="18"/>
          <w:szCs w:val="18"/>
          <w:color w:val="auto"/>
        </w:rPr>
        <w:t>COMMERCE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CITICORP USA,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LYONNAIS CAYMANISLAND</w:t>
      </w:r>
    </w:p>
    <w:p>
      <w:pPr>
        <w:ind w:left="220"/>
        <w:spacing w:after="0" w:line="238" w:lineRule="auto"/>
        <w:rPr>
          <w:sz w:val="20"/>
          <w:szCs w:val="20"/>
          <w:color w:val="auto"/>
        </w:rPr>
      </w:pPr>
      <w:r>
        <w:rPr>
          <w:rFonts w:ascii="Courier New" w:cs="Courier New" w:eastAsia="Courier New" w:hAnsi="Courier New"/>
          <w:sz w:val="18"/>
          <w:szCs w:val="18"/>
          <w:color w:val="auto"/>
        </w:rPr>
        <w:t>BRANCH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THE FIRST NATIONAL BANK</w:t>
      </w:r>
    </w:p>
    <w:p>
      <w:pPr>
        <w:ind w:left="220"/>
        <w:spacing w:after="0" w:line="237" w:lineRule="auto"/>
        <w:rPr>
          <w:sz w:val="20"/>
          <w:szCs w:val="20"/>
          <w:color w:val="auto"/>
        </w:rPr>
      </w:pPr>
      <w:r>
        <w:rPr>
          <w:rFonts w:ascii="Courier New" w:cs="Courier New" w:eastAsia="Courier New" w:hAnsi="Courier New"/>
          <w:sz w:val="18"/>
          <w:szCs w:val="18"/>
          <w:color w:val="auto"/>
        </w:rPr>
        <w:t>OF CHICAGO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FIRST INTERSTATE BANK OF</w:t>
      </w:r>
    </w:p>
    <w:p>
      <w:pPr>
        <w:ind w:left="220"/>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5"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THE LONG-TERM CREDIT BANK OF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JAPAN, LTD., LOS ANGELES</w:t>
      </w:r>
    </w:p>
    <w:p>
      <w:pPr>
        <w:ind w:left="220"/>
        <w:spacing w:after="0" w:line="238" w:lineRule="auto"/>
        <w:rPr>
          <w:sz w:val="20"/>
          <w:szCs w:val="20"/>
          <w:color w:val="auto"/>
        </w:rPr>
      </w:pPr>
      <w:r>
        <w:rPr>
          <w:rFonts w:ascii="Courier New" w:cs="Courier New" w:eastAsia="Courier New" w:hAnsi="Courier New"/>
          <w:sz w:val="18"/>
          <w:szCs w:val="18"/>
          <w:color w:val="auto"/>
        </w:rPr>
        <w:t>AGENCY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NATIONSBANK OF TEXAS,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NATIONAL WESTMINSTER BANK PLC</w:t>
      </w:r>
    </w:p>
    <w:p>
      <w:pPr>
        <w:spacing w:after="0" w:line="237" w:lineRule="auto"/>
        <w:rPr>
          <w:sz w:val="20"/>
          <w:szCs w:val="20"/>
          <w:color w:val="auto"/>
        </w:rPr>
      </w:pPr>
      <w:r>
        <w:rPr>
          <w:rFonts w:ascii="Courier New" w:cs="Courier New" w:eastAsia="Courier New" w:hAnsi="Courier New"/>
          <w:sz w:val="18"/>
          <w:szCs w:val="18"/>
          <w:color w:val="auto"/>
        </w:rPr>
        <w:t>LOS ANGELES OVERSEAS BRANCH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ROYAL BANK OF CANADA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Title:</w:t>
      </w:r>
    </w:p>
    <w:p>
      <w:pPr>
        <w:spacing w:after="0" w:line="238" w:lineRule="auto"/>
        <w:rPr>
          <w:sz w:val="20"/>
          <w:szCs w:val="20"/>
          <w:color w:val="auto"/>
        </w:rPr>
      </w:pPr>
      <w:r>
        <w:rPr>
          <w:rFonts w:ascii="Courier New" w:cs="Courier New" w:eastAsia="Courier New" w:hAnsi="Courier New"/>
          <w:sz w:val="18"/>
          <w:szCs w:val="18"/>
          <w:color w:val="auto"/>
        </w:rPr>
        <w:t>SOCIETE GENERALE</w:t>
      </w:r>
    </w:p>
    <w:p>
      <w:pPr>
        <w:sectPr>
          <w:pgSz w:w="11900" w:h="16838" w:orient="portrait"/>
          <w:cols w:equalWidth="0" w:num="1">
            <w:col w:w="10219"/>
          </w:cols>
          <w:pgMar w:left="240" w:top="136" w:right="1440" w:bottom="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CREDIT SUISSE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5" w:lineRule="exact"/>
        <w:rPr>
          <w:sz w:val="20"/>
          <w:szCs w:val="20"/>
          <w:color w:val="auto"/>
        </w:rPr>
      </w:pPr>
    </w:p>
    <w:p>
      <w:pPr>
        <w:jc w:val="right"/>
        <w:ind w:right="7159"/>
        <w:spacing w:after="0"/>
        <w:rPr>
          <w:sz w:val="20"/>
          <w:szCs w:val="20"/>
          <w:color w:val="auto"/>
        </w:rPr>
      </w:pPr>
      <w:r>
        <w:rPr>
          <w:rFonts w:ascii="Courier New" w:cs="Courier New" w:eastAsia="Courier New" w:hAnsi="Courier New"/>
          <w:sz w:val="16"/>
          <w:szCs w:val="16"/>
          <w:color w:val="auto"/>
        </w:rPr>
        <w:t>THE INDUSTRIAL BANK OF JAPAN,</w:t>
      </w:r>
    </w:p>
    <w:p>
      <w:pPr>
        <w:spacing w:after="0" w:line="16" w:lineRule="exact"/>
        <w:rPr>
          <w:sz w:val="20"/>
          <w:szCs w:val="20"/>
          <w:color w:val="auto"/>
        </w:rPr>
      </w:pPr>
    </w:p>
    <w:p>
      <w:pPr>
        <w:jc w:val="right"/>
        <w:ind w:right="7159"/>
        <w:spacing w:after="0"/>
        <w:rPr>
          <w:sz w:val="20"/>
          <w:szCs w:val="20"/>
          <w:color w:val="auto"/>
        </w:rPr>
      </w:pPr>
      <w:r>
        <w:rPr>
          <w:rFonts w:ascii="Courier New" w:cs="Courier New" w:eastAsia="Courier New" w:hAnsi="Courier New"/>
          <w:sz w:val="18"/>
          <w:szCs w:val="18"/>
          <w:color w:val="auto"/>
        </w:rPr>
        <w:t>LIMITED, LOS ANGELES AGENCY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NBD BANK, N.A.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Title:</w:t>
      </w:r>
    </w:p>
    <w:p>
      <w:pPr>
        <w:spacing w:after="0" w:line="238" w:lineRule="auto"/>
        <w:rPr>
          <w:sz w:val="20"/>
          <w:szCs w:val="20"/>
          <w:color w:val="auto"/>
        </w:rPr>
      </w:pPr>
      <w:r>
        <w:rPr>
          <w:rFonts w:ascii="Courier New" w:cs="Courier New" w:eastAsia="Courier New" w:hAnsi="Courier New"/>
          <w:sz w:val="18"/>
          <w:szCs w:val="18"/>
          <w:color w:val="auto"/>
        </w:rPr>
        <w:t>THE SUMITOMO BANK, LIMITED</w:t>
      </w:r>
    </w:p>
    <w:p>
      <w:pPr>
        <w:ind w:left="220"/>
        <w:spacing w:after="0"/>
        <w:rPr>
          <w:sz w:val="20"/>
          <w:szCs w:val="20"/>
          <w:color w:val="auto"/>
        </w:rPr>
      </w:pPr>
      <w:r>
        <w:rPr>
          <w:rFonts w:ascii="Courier New" w:cs="Courier New" w:eastAsia="Courier New" w:hAnsi="Courier New"/>
          <w:sz w:val="18"/>
          <w:szCs w:val="18"/>
          <w:color w:val="auto"/>
        </w:rPr>
        <w:t>LOS ANGELES BRANCH</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MORGAN GUARANTY TRUST COMPANY</w:t>
      </w:r>
    </w:p>
    <w:p>
      <w:pPr>
        <w:ind w:left="220"/>
        <w:spacing w:after="0" w:line="237" w:lineRule="auto"/>
        <w:rPr>
          <w:sz w:val="20"/>
          <w:szCs w:val="20"/>
          <w:color w:val="auto"/>
        </w:rPr>
      </w:pPr>
      <w:r>
        <w:rPr>
          <w:rFonts w:ascii="Courier New" w:cs="Courier New" w:eastAsia="Courier New" w:hAnsi="Courier New"/>
          <w:sz w:val="18"/>
          <w:szCs w:val="18"/>
          <w:color w:val="auto"/>
        </w:rPr>
        <w:t>OF NEW YORK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BANCO CENTRAL</w:t>
      </w:r>
    </w:p>
    <w:p>
      <w:pPr>
        <w:spacing w:after="0" w:line="237" w:lineRule="auto"/>
        <w:rPr>
          <w:sz w:val="20"/>
          <w:szCs w:val="20"/>
          <w:color w:val="auto"/>
        </w:rPr>
      </w:pPr>
      <w:r>
        <w:rPr>
          <w:rFonts w:ascii="Courier New" w:cs="Courier New" w:eastAsia="Courier New" w:hAnsi="Courier New"/>
          <w:sz w:val="18"/>
          <w:szCs w:val="18"/>
          <w:color w:val="auto"/>
        </w:rPr>
        <w:t>HISPANOAMERICANO,</w:t>
      </w:r>
    </w:p>
    <w:p>
      <w:pPr>
        <w:ind w:left="220"/>
        <w:spacing w:after="0" w:line="238" w:lineRule="auto"/>
        <w:rPr>
          <w:sz w:val="20"/>
          <w:szCs w:val="20"/>
          <w:color w:val="auto"/>
        </w:rPr>
      </w:pPr>
      <w:r>
        <w:rPr>
          <w:rFonts w:ascii="Courier New" w:cs="Courier New" w:eastAsia="Courier New" w:hAnsi="Courier New"/>
          <w:sz w:val="18"/>
          <w:szCs w:val="18"/>
          <w:color w:val="auto"/>
        </w:rPr>
        <w:t>SAN FRANCISCO AGENCY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LLOYDS BANK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MELLON BANK, N.A.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SHAWMUT BANK, N.A.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WACHOVIA BANK OF GEORGIA, N.A.</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J.P. MORGAN DELAWARE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339"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SCHEDULE I</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64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Courier New" w:cs="Courier New" w:eastAsia="Courier New" w:hAnsi="Courier New"/>
                <w:sz w:val="18"/>
                <w:szCs w:val="18"/>
                <w:color w:val="auto"/>
              </w:rPr>
              <w:t>TERM LOAN</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REVOLVING LOAN</w:t>
            </w:r>
          </w:p>
        </w:tc>
        <w:tc>
          <w:tcPr>
            <w:tcW w:w="1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TOTAL</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BANKS</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COMMITMENTS</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COMMITMENTS</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The Chase Manhattan</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Bank (National Assn)</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$96,428,571.47</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$38,571,428.53</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Chemical Bank</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96,428,571.46</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38,571,428.54</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135,000,000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w w:val="97"/>
              </w:rPr>
              <w:t>Bank of American National</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Trust and Savings Assn</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of Montreal</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Bank of New York</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Bank of Nova Scotia</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Trust Company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Canadian Imperial Bank of</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Commerce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Citicorp USA, Inc.</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Lyonnais</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Cayman Island Branch</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National Bank</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Chicago</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Interstate Bank of</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California</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The Long-Term Credit Bank</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Japan, Lts., Los</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Angeles Agency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NationsBank of Texas,</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National Westminster Bank</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Plc Los Angeles</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Overseas Branch</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Royal Bank of Canada</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Societe Generale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Credit Suisse</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64,285,714.29</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25,714,285.71</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Industrial Bank of</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Japan, Limited, Los</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Angeles Agency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64,285,714.29</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25,714,285.71</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NBD Nank, N.A.</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64,285,714.29</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25,714,285.71</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Sumitomo Bank,</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Limited, Los Angeles</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Branch</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64,285,714.29</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25,714,285.71</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90,000,000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Morgan Guaranty Trust</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 of New York</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57,142,857.14</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22,857,142.86</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Banco Central Hispano-</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americano, San Fran-</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cisco Agency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Lloyds Bank Plc</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Mellon Bank, N.A.</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Shawmut Bank, N.A.</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Wachovia Bank of</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Georgia, N.A.</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35,714,285.71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14,285,714.29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J.P. Morgan Delaware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28,571,428.57</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11,428,571.43</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40,000,000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w w:val="96"/>
              </w:rPr>
              <w:t>$2,000,000,000</w:t>
            </w:r>
          </w:p>
        </w:tc>
        <w:tc>
          <w:tcPr>
            <w:tcW w:w="15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$800,000,000</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$2,800,000,000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December 9, 1994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AMENDED AND RESTATED CREDIT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April 15, 1994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Amended and Restated as of April 18, 1994</w:t>
      </w:r>
    </w:p>
    <w:p>
      <w:pPr>
        <w:sectPr>
          <w:pgSz w:w="11900" w:h="16838" w:orient="portrait"/>
          <w:cols w:equalWidth="0" w:num="1">
            <w:col w:w="10219"/>
          </w:cols>
          <w:pgMar w:left="240" w:top="514" w:right="1440" w:bottom="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$1,800,000,000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CHASE MANHATTAN BANK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CHEMICAL BANK</w:t>
      </w:r>
    </w:p>
    <w:p>
      <w:pPr>
        <w:spacing w:after="0" w:line="207" w:lineRule="exact"/>
        <w:rPr>
          <w:sz w:val="20"/>
          <w:szCs w:val="20"/>
          <w:color w:val="auto"/>
        </w:rPr>
      </w:pPr>
    </w:p>
    <w:p>
      <w:pPr>
        <w:ind w:right="4519"/>
        <w:spacing w:after="0" w:line="473" w:lineRule="auto"/>
        <w:rPr>
          <w:sz w:val="20"/>
          <w:szCs w:val="20"/>
          <w:color w:val="auto"/>
        </w:rPr>
      </w:pPr>
      <w:r>
        <w:rPr>
          <w:rFonts w:ascii="Courier New" w:cs="Courier New" w:eastAsia="Courier New" w:hAnsi="Courier New"/>
          <w:sz w:val="18"/>
          <w:szCs w:val="18"/>
          <w:color w:val="auto"/>
        </w:rPr>
        <w:t>BANK OF AMERICA NATIONAL TRUST AND SAVINGS ASSOCIATION MORGAN GUARANTY TRUST COMPANY OF NEW YORK, as Co-Agents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CHASE MANHATTAN BANK (NATIONAL ASSOCIATION),</w:t>
      </w:r>
    </w:p>
    <w:p>
      <w:pPr>
        <w:spacing w:after="0" w:line="238" w:lineRule="auto"/>
        <w:rPr>
          <w:sz w:val="20"/>
          <w:szCs w:val="20"/>
          <w:color w:val="auto"/>
        </w:rPr>
      </w:pPr>
      <w:r>
        <w:rPr>
          <w:rFonts w:ascii="Courier New" w:cs="Courier New" w:eastAsia="Courier New" w:hAnsi="Courier New"/>
          <w:sz w:val="18"/>
          <w:szCs w:val="18"/>
          <w:color w:val="auto"/>
        </w:rPr>
        <w:t>as Administrative Agent</w:t>
      </w:r>
    </w:p>
    <w:p>
      <w:pPr>
        <w:sectPr>
          <w:pgSz w:w="11900" w:h="16838" w:orient="portrait"/>
          <w:cols w:equalWidth="0" w:num="1">
            <w:col w:w="10219"/>
          </w:cols>
          <w:pgMar w:left="240" w:top="339" w:right="1440" w:bottom="1440" w:gutter="0" w:footer="0" w:header="0"/>
        </w:sectPr>
      </w:pPr>
    </w:p>
    <w:bookmarkStart w:id="44" w:name="page45"/>
    <w:bookmarkEnd w:id="44"/>
    <w:p>
      <w:pPr>
        <w:ind w:right="3259" w:firstLine="1369"/>
        <w:spacing w:after="0" w:line="237" w:lineRule="auto"/>
        <w:rPr>
          <w:sz w:val="20"/>
          <w:szCs w:val="20"/>
          <w:color w:val="auto"/>
        </w:rPr>
      </w:pPr>
      <w:r>
        <w:rPr>
          <w:rFonts w:ascii="Courier New" w:cs="Courier New" w:eastAsia="Courier New" w:hAnsi="Courier New"/>
          <w:sz w:val="18"/>
          <w:szCs w:val="18"/>
          <w:color w:val="auto"/>
        </w:rPr>
        <w:t>AMENDMENT NO. 2 dated as of December 9, 1994, between NORTHROP GRUMMAN CORPORATION (formerly named Northrop Corporation), a corporation duly organized and validly existing under the laws of the State of Delaware (the "Company") and each of the Banks party to the Credit Agreement referred to below.</w:t>
      </w:r>
    </w:p>
    <w:p>
      <w:pPr>
        <w:spacing w:after="0" w:line="209"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The Company, the Banks and the Administrative Agent 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parties to an Amended and Restated Credit Agreement dated as of</w:t>
      </w:r>
    </w:p>
    <w:p>
      <w:pPr>
        <w:spacing w:after="0" w:line="238" w:lineRule="auto"/>
        <w:rPr>
          <w:sz w:val="20"/>
          <w:szCs w:val="20"/>
          <w:color w:val="auto"/>
        </w:rPr>
      </w:pPr>
      <w:r>
        <w:rPr>
          <w:rFonts w:ascii="Courier New" w:cs="Courier New" w:eastAsia="Courier New" w:hAnsi="Courier New"/>
          <w:sz w:val="18"/>
          <w:szCs w:val="18"/>
          <w:color w:val="auto"/>
        </w:rPr>
        <w:t>April 15, 1994, as amended and restated as of April 18, 1994 (as</w:t>
      </w:r>
    </w:p>
    <w:p>
      <w:pPr>
        <w:spacing w:after="0"/>
        <w:rPr>
          <w:sz w:val="20"/>
          <w:szCs w:val="20"/>
          <w:color w:val="auto"/>
        </w:rPr>
      </w:pPr>
      <w:r>
        <w:rPr>
          <w:rFonts w:ascii="Courier New" w:cs="Courier New" w:eastAsia="Courier New" w:hAnsi="Courier New"/>
          <w:sz w:val="18"/>
          <w:szCs w:val="18"/>
          <w:color w:val="auto"/>
        </w:rPr>
        <w:t>heretofore modified and supplemented and in effect on the date</w:t>
      </w:r>
    </w:p>
    <w:p>
      <w:pPr>
        <w:spacing w:after="0" w:line="237" w:lineRule="auto"/>
        <w:rPr>
          <w:sz w:val="20"/>
          <w:szCs w:val="20"/>
          <w:color w:val="auto"/>
        </w:rPr>
      </w:pPr>
      <w:r>
        <w:rPr>
          <w:rFonts w:ascii="Courier New" w:cs="Courier New" w:eastAsia="Courier New" w:hAnsi="Courier New"/>
          <w:sz w:val="18"/>
          <w:szCs w:val="18"/>
          <w:color w:val="auto"/>
        </w:rPr>
        <w:t>hereof, the "Credit Agreement"), providing, subject to the terms</w:t>
      </w:r>
    </w:p>
    <w:p>
      <w:pPr>
        <w:spacing w:after="0" w:line="238" w:lineRule="auto"/>
        <w:rPr>
          <w:sz w:val="20"/>
          <w:szCs w:val="20"/>
          <w:color w:val="auto"/>
        </w:rPr>
      </w:pPr>
      <w:r>
        <w:rPr>
          <w:rFonts w:ascii="Courier New" w:cs="Courier New" w:eastAsia="Courier New" w:hAnsi="Courier New"/>
          <w:sz w:val="18"/>
          <w:szCs w:val="18"/>
          <w:color w:val="auto"/>
        </w:rPr>
        <w:t>and conditions thereof, for loans to be made by said Banks to the</w:t>
      </w:r>
    </w:p>
    <w:p>
      <w:pPr>
        <w:spacing w:after="0"/>
        <w:rPr>
          <w:sz w:val="20"/>
          <w:szCs w:val="20"/>
          <w:color w:val="auto"/>
        </w:rPr>
      </w:pPr>
      <w:r>
        <w:rPr>
          <w:rFonts w:ascii="Courier New" w:cs="Courier New" w:eastAsia="Courier New" w:hAnsi="Courier New"/>
          <w:sz w:val="18"/>
          <w:szCs w:val="18"/>
          <w:color w:val="auto"/>
        </w:rPr>
        <w:t>Company in an aggregate principal amount not exceeding</w:t>
      </w:r>
    </w:p>
    <w:p>
      <w:pPr>
        <w:spacing w:after="0"/>
        <w:tabs>
          <w:tab w:leader="none" w:pos="1780" w:val="left"/>
        </w:tabs>
        <w:rPr>
          <w:sz w:val="20"/>
          <w:szCs w:val="20"/>
          <w:color w:val="auto"/>
        </w:rPr>
      </w:pPr>
      <w:r>
        <w:rPr>
          <w:rFonts w:ascii="Courier New" w:cs="Courier New" w:eastAsia="Courier New" w:hAnsi="Courier New"/>
          <w:sz w:val="18"/>
          <w:szCs w:val="18"/>
          <w:color w:val="auto"/>
        </w:rPr>
        <w:t>$2,800,000,000.</w:t>
      </w:r>
      <w:r>
        <w:rPr>
          <w:sz w:val="20"/>
          <w:szCs w:val="20"/>
          <w:color w:val="auto"/>
        </w:rPr>
        <w:tab/>
      </w:r>
      <w:r>
        <w:rPr>
          <w:rFonts w:ascii="Courier New" w:cs="Courier New" w:eastAsia="Courier New" w:hAnsi="Courier New"/>
          <w:sz w:val="16"/>
          <w:szCs w:val="16"/>
          <w:color w:val="auto"/>
        </w:rPr>
        <w:t>Pursuant to Section 2.01.A.(a) of the Credit</w:t>
      </w:r>
    </w:p>
    <w:p>
      <w:pPr>
        <w:spacing w:after="0"/>
        <w:rPr>
          <w:sz w:val="20"/>
          <w:szCs w:val="20"/>
          <w:color w:val="auto"/>
        </w:rPr>
      </w:pPr>
      <w:r>
        <w:rPr>
          <w:rFonts w:ascii="Courier New" w:cs="Courier New" w:eastAsia="Courier New" w:hAnsi="Courier New"/>
          <w:sz w:val="18"/>
          <w:szCs w:val="18"/>
          <w:color w:val="auto"/>
        </w:rPr>
        <w:t>Agreement, the Company borrowed $2,000,000,000 of the Term Loans,</w:t>
      </w:r>
    </w:p>
    <w:p>
      <w:pPr>
        <w:spacing w:after="0" w:line="4"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$1,000,000,000 of which has been prepaid and $1,000,000,000 is the aggregate remaining balance of the Term Loans. The Company and the Banks wish to amend the Credit Agreement in certain respects, and accordingly, the parties hereto hereby agree as follows:</w:t>
      </w:r>
    </w:p>
    <w:p>
      <w:pPr>
        <w:spacing w:after="0" w:line="209" w:lineRule="exact"/>
        <w:rPr>
          <w:sz w:val="20"/>
          <w:szCs w:val="20"/>
          <w:color w:val="auto"/>
        </w:rPr>
      </w:pPr>
    </w:p>
    <w:p>
      <w:pPr>
        <w:ind w:right="3259" w:firstLine="1369"/>
        <w:spacing w:after="0" w:line="236" w:lineRule="auto"/>
        <w:rPr>
          <w:sz w:val="20"/>
          <w:szCs w:val="20"/>
          <w:color w:val="auto"/>
        </w:rPr>
      </w:pPr>
      <w:r>
        <w:rPr>
          <w:rFonts w:ascii="Courier New" w:cs="Courier New" w:eastAsia="Courier New" w:hAnsi="Courier New"/>
          <w:sz w:val="18"/>
          <w:szCs w:val="18"/>
          <w:color w:val="auto"/>
        </w:rPr>
        <w:t>Section 1. Definitions. Except as otherwise defined in this Amendment No. 2, terms defined in the Credit Agreement are used herein as defined therein.</w:t>
      </w:r>
    </w:p>
    <w:p>
      <w:pPr>
        <w:spacing w:after="0" w:line="209" w:lineRule="exact"/>
        <w:rPr>
          <w:sz w:val="20"/>
          <w:szCs w:val="20"/>
          <w:color w:val="auto"/>
        </w:rPr>
      </w:pPr>
    </w:p>
    <w:p>
      <w:pPr>
        <w:ind w:right="3039" w:firstLine="1369"/>
        <w:spacing w:after="0" w:line="237" w:lineRule="auto"/>
        <w:rPr>
          <w:sz w:val="20"/>
          <w:szCs w:val="20"/>
          <w:color w:val="auto"/>
        </w:rPr>
      </w:pPr>
      <w:r>
        <w:rPr>
          <w:rFonts w:ascii="Courier New" w:cs="Courier New" w:eastAsia="Courier New" w:hAnsi="Courier New"/>
          <w:sz w:val="18"/>
          <w:szCs w:val="18"/>
          <w:color w:val="auto"/>
        </w:rPr>
        <w:t>Section 2. Amendments. Subject to the satisfaction of the conditions precedent specified in Section 4 below, but effective as of the date of this Amendment No. 2, the Credit Agreement shall be amended as follows:</w:t>
      </w:r>
    </w:p>
    <w:p>
      <w:pPr>
        <w:spacing w:after="0" w:line="207" w:lineRule="exact"/>
        <w:rPr>
          <w:sz w:val="20"/>
          <w:szCs w:val="20"/>
          <w:color w:val="auto"/>
        </w:rPr>
      </w:pPr>
    </w:p>
    <w:p>
      <w:pPr>
        <w:ind w:right="3359" w:firstLine="1369"/>
        <w:spacing w:after="0" w:line="236" w:lineRule="auto"/>
        <w:rPr>
          <w:sz w:val="20"/>
          <w:szCs w:val="20"/>
          <w:color w:val="auto"/>
        </w:rPr>
      </w:pPr>
      <w:r>
        <w:rPr>
          <w:rFonts w:ascii="Courier New" w:cs="Courier New" w:eastAsia="Courier New" w:hAnsi="Courier New"/>
          <w:sz w:val="18"/>
          <w:szCs w:val="18"/>
          <w:color w:val="auto"/>
        </w:rPr>
        <w:t>Section 2.01. References in the Credit Agreement to "this Agreement" shall be deemed to be references to the Credit Agreement as amended hereby.</w:t>
      </w:r>
    </w:p>
    <w:p>
      <w:pPr>
        <w:spacing w:after="0" w:line="209" w:lineRule="exact"/>
        <w:rPr>
          <w:sz w:val="20"/>
          <w:szCs w:val="20"/>
          <w:color w:val="auto"/>
        </w:rPr>
      </w:pPr>
    </w:p>
    <w:p>
      <w:pPr>
        <w:ind w:right="3479" w:firstLine="1369"/>
        <w:spacing w:after="0" w:line="236" w:lineRule="auto"/>
        <w:rPr>
          <w:sz w:val="20"/>
          <w:szCs w:val="20"/>
          <w:color w:val="auto"/>
        </w:rPr>
      </w:pPr>
      <w:r>
        <w:rPr>
          <w:rFonts w:ascii="Courier New" w:cs="Courier New" w:eastAsia="Courier New" w:hAnsi="Courier New"/>
          <w:sz w:val="18"/>
          <w:szCs w:val="18"/>
          <w:color w:val="auto"/>
        </w:rPr>
        <w:t>Section 2.02. Section 1.01 of the Credit Agreement shall be amended by adding the following definitions in their appropriate alphabetic order:</w:t>
      </w:r>
    </w:p>
    <w:p>
      <w:pPr>
        <w:spacing w:after="0" w:line="209" w:lineRule="exact"/>
        <w:rPr>
          <w:sz w:val="20"/>
          <w:szCs w:val="20"/>
          <w:color w:val="auto"/>
        </w:rPr>
      </w:pPr>
    </w:p>
    <w:p>
      <w:pPr>
        <w:ind w:left="740" w:right="3259" w:firstLine="632"/>
        <w:spacing w:after="0" w:line="235" w:lineRule="auto"/>
        <w:rPr>
          <w:sz w:val="20"/>
          <w:szCs w:val="20"/>
          <w:color w:val="auto"/>
        </w:rPr>
      </w:pPr>
      <w:r>
        <w:rPr>
          <w:rFonts w:ascii="Courier New" w:cs="Courier New" w:eastAsia="Courier New" w:hAnsi="Courier New"/>
          <w:sz w:val="18"/>
          <w:szCs w:val="18"/>
          <w:color w:val="auto"/>
        </w:rPr>
        <w:t>"Amendment No. 2" shall mean Amendment No. 2 dated as of December 9, 1994 to this Agreement.</w:t>
      </w:r>
    </w:p>
    <w:p>
      <w:pPr>
        <w:spacing w:after="0" w:line="208" w:lineRule="exact"/>
        <w:rPr>
          <w:sz w:val="20"/>
          <w:szCs w:val="20"/>
          <w:color w:val="auto"/>
        </w:rPr>
      </w:pPr>
    </w:p>
    <w:p>
      <w:pPr>
        <w:ind w:left="740" w:right="3159" w:firstLine="632"/>
        <w:spacing w:after="0" w:line="237" w:lineRule="auto"/>
        <w:rPr>
          <w:sz w:val="20"/>
          <w:szCs w:val="20"/>
          <w:color w:val="auto"/>
        </w:rPr>
      </w:pPr>
      <w:r>
        <w:rPr>
          <w:rFonts w:ascii="Courier New" w:cs="Courier New" w:eastAsia="Courier New" w:hAnsi="Courier New"/>
          <w:sz w:val="18"/>
          <w:szCs w:val="18"/>
          <w:color w:val="auto"/>
        </w:rPr>
        <w:t>"Special Charges" shall mean pre-tax non-cash charges to income on or before June 30, 1996 up to but not exceeding $500,000,000 in the aggregate in connection with (i) the Company's early retirement incentive program implemented on October 1, 1994 and (ii) the sale or intended sale of plant and equipment.</w:t>
      </w:r>
    </w:p>
    <w:p>
      <w:pPr>
        <w:spacing w:after="0" w:line="210" w:lineRule="exact"/>
        <w:rPr>
          <w:sz w:val="20"/>
          <w:szCs w:val="20"/>
          <w:color w:val="auto"/>
        </w:rPr>
      </w:pPr>
    </w:p>
    <w:p>
      <w:pPr>
        <w:ind w:right="3359" w:firstLine="1369"/>
        <w:spacing w:after="0" w:line="236" w:lineRule="auto"/>
        <w:rPr>
          <w:sz w:val="20"/>
          <w:szCs w:val="20"/>
          <w:color w:val="auto"/>
        </w:rPr>
      </w:pPr>
      <w:r>
        <w:rPr>
          <w:rFonts w:ascii="Courier New" w:cs="Courier New" w:eastAsia="Courier New" w:hAnsi="Courier New"/>
          <w:sz w:val="18"/>
          <w:szCs w:val="18"/>
          <w:color w:val="auto"/>
        </w:rPr>
        <w:t>Section 2.03. Section 1.01 of the Credit Agreement shall be amended by amending the following definitions to read in their entirety as follows: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"Applicable Facility Fee Rate" with respect to the</w:t>
      </w:r>
    </w:p>
    <w:p>
      <w:pPr>
        <w:ind w:left="740"/>
        <w:spacing w:after="0" w:line="238" w:lineRule="auto"/>
        <w:rPr>
          <w:sz w:val="20"/>
          <w:szCs w:val="20"/>
          <w:color w:val="auto"/>
        </w:rPr>
      </w:pPr>
      <w:r>
        <w:rPr>
          <w:rFonts w:ascii="Courier New" w:cs="Courier New" w:eastAsia="Courier New" w:hAnsi="Courier New"/>
          <w:sz w:val="18"/>
          <w:szCs w:val="18"/>
          <w:color w:val="auto"/>
        </w:rPr>
        <w:t>Revolving Credit Commitments, and "Applicable Margin" for</w:t>
      </w:r>
    </w:p>
    <w:p>
      <w:pPr>
        <w:ind w:left="740"/>
        <w:spacing w:after="0"/>
        <w:tabs>
          <w:tab w:leader="none" w:pos="5260" w:val="left"/>
        </w:tabs>
        <w:rPr>
          <w:sz w:val="20"/>
          <w:szCs w:val="20"/>
          <w:color w:val="auto"/>
        </w:rPr>
      </w:pPr>
      <w:r>
        <w:rPr>
          <w:rFonts w:ascii="Courier New" w:cs="Courier New" w:eastAsia="Courier New" w:hAnsi="Courier New"/>
          <w:sz w:val="18"/>
          <w:szCs w:val="18"/>
          <w:color w:val="auto"/>
        </w:rPr>
        <w:t>each Type of Syndicated Loan, shall mean:</w:t>
      </w:r>
      <w:r>
        <w:rPr>
          <w:sz w:val="20"/>
          <w:szCs w:val="20"/>
          <w:color w:val="auto"/>
        </w:rPr>
        <w:tab/>
      </w:r>
      <w:r>
        <w:rPr>
          <w:rFonts w:ascii="Courier New" w:cs="Courier New" w:eastAsia="Courier New" w:hAnsi="Courier New"/>
          <w:sz w:val="16"/>
          <w:szCs w:val="16"/>
          <w:color w:val="auto"/>
        </w:rPr>
        <w:t>(a) during the</w:t>
      </w:r>
    </w:p>
    <w:p>
      <w:pPr>
        <w:ind w:left="740"/>
        <w:spacing w:after="0" w:line="237" w:lineRule="auto"/>
        <w:rPr>
          <w:sz w:val="20"/>
          <w:szCs w:val="20"/>
          <w:color w:val="auto"/>
        </w:rPr>
      </w:pPr>
      <w:r>
        <w:rPr>
          <w:rFonts w:ascii="Courier New" w:cs="Courier New" w:eastAsia="Courier New" w:hAnsi="Courier New"/>
          <w:sz w:val="18"/>
          <w:szCs w:val="18"/>
          <w:color w:val="auto"/>
        </w:rPr>
        <w:t>period from the date Amendment No. 2 becomes effective to</w:t>
      </w:r>
    </w:p>
    <w:p>
      <w:pPr>
        <w:ind w:left="740"/>
        <w:spacing w:after="0" w:line="238" w:lineRule="auto"/>
        <w:rPr>
          <w:sz w:val="20"/>
          <w:szCs w:val="20"/>
          <w:color w:val="auto"/>
        </w:rPr>
      </w:pPr>
      <w:r>
        <w:rPr>
          <w:rFonts w:ascii="Courier New" w:cs="Courier New" w:eastAsia="Courier New" w:hAnsi="Courier New"/>
          <w:sz w:val="18"/>
          <w:szCs w:val="18"/>
          <w:color w:val="auto"/>
        </w:rPr>
        <w:t>December 31, 1994, (i) the Applicable Facility Fee Rate</w:t>
      </w:r>
    </w:p>
    <w:p>
      <w:pPr>
        <w:ind w:left="740"/>
        <w:spacing w:after="0"/>
        <w:rPr>
          <w:sz w:val="20"/>
          <w:szCs w:val="20"/>
          <w:color w:val="auto"/>
        </w:rPr>
      </w:pPr>
      <w:r>
        <w:rPr>
          <w:rFonts w:ascii="Courier New" w:cs="Courier New" w:eastAsia="Courier New" w:hAnsi="Courier New"/>
          <w:sz w:val="18"/>
          <w:szCs w:val="18"/>
          <w:color w:val="auto"/>
        </w:rPr>
        <w:t>shall be 0.1750%, (ii) the Revolving Loan Applicable Margin</w:t>
      </w:r>
    </w:p>
    <w:p>
      <w:pPr>
        <w:ind w:left="740"/>
        <w:spacing w:after="0" w:line="237" w:lineRule="auto"/>
        <w:rPr>
          <w:sz w:val="20"/>
          <w:szCs w:val="20"/>
          <w:color w:val="auto"/>
        </w:rPr>
      </w:pPr>
      <w:r>
        <w:rPr>
          <w:rFonts w:ascii="Courier New" w:cs="Courier New" w:eastAsia="Courier New" w:hAnsi="Courier New"/>
          <w:sz w:val="18"/>
          <w:szCs w:val="18"/>
          <w:color w:val="auto"/>
        </w:rPr>
        <w:t>for Base Rate Loans shall be 0% and for Eurodollar Loans</w:t>
      </w:r>
    </w:p>
    <w:p>
      <w:pPr>
        <w:ind w:left="740"/>
        <w:spacing w:after="0"/>
        <w:rPr>
          <w:sz w:val="20"/>
          <w:szCs w:val="20"/>
          <w:color w:val="auto"/>
        </w:rPr>
      </w:pPr>
      <w:r>
        <w:rPr>
          <w:rFonts w:ascii="Courier New" w:cs="Courier New" w:eastAsia="Courier New" w:hAnsi="Courier New"/>
          <w:sz w:val="18"/>
          <w:szCs w:val="18"/>
          <w:color w:val="auto"/>
        </w:rPr>
        <w:t>shall be 0.2500% and (iii) the Term Loan Applicable Margin</w:t>
      </w:r>
    </w:p>
    <w:p>
      <w:pPr>
        <w:ind w:left="740"/>
        <w:spacing w:after="0" w:line="237" w:lineRule="auto"/>
        <w:rPr>
          <w:sz w:val="20"/>
          <w:szCs w:val="20"/>
          <w:color w:val="auto"/>
        </w:rPr>
      </w:pPr>
      <w:r>
        <w:rPr>
          <w:rFonts w:ascii="Courier New" w:cs="Courier New" w:eastAsia="Courier New" w:hAnsi="Courier New"/>
          <w:sz w:val="18"/>
          <w:szCs w:val="18"/>
          <w:color w:val="auto"/>
        </w:rPr>
        <w:t>for Base Rate Loans shall be 0% and for Eurodollar Loans</w:t>
      </w:r>
    </w:p>
    <w:p>
      <w:pPr>
        <w:ind w:left="740"/>
        <w:spacing w:after="0"/>
        <w:rPr>
          <w:sz w:val="20"/>
          <w:szCs w:val="20"/>
          <w:color w:val="auto"/>
        </w:rPr>
      </w:pPr>
      <w:r>
        <w:rPr>
          <w:rFonts w:ascii="Courier New" w:cs="Courier New" w:eastAsia="Courier New" w:hAnsi="Courier New"/>
          <w:sz w:val="18"/>
          <w:szCs w:val="18"/>
          <w:color w:val="auto"/>
        </w:rPr>
        <w:t>shall be 0.4250%, and (b) during each Quarterly Period</w:t>
      </w:r>
    </w:p>
    <w:p>
      <w:pPr>
        <w:ind w:left="740"/>
        <w:spacing w:after="0" w:line="237" w:lineRule="auto"/>
        <w:rPr>
          <w:sz w:val="20"/>
          <w:szCs w:val="20"/>
          <w:color w:val="auto"/>
        </w:rPr>
      </w:pPr>
      <w:r>
        <w:rPr>
          <w:rFonts w:ascii="Courier New" w:cs="Courier New" w:eastAsia="Courier New" w:hAnsi="Courier New"/>
          <w:sz w:val="18"/>
          <w:szCs w:val="18"/>
          <w:color w:val="auto"/>
        </w:rPr>
        <w:t>occurring after December 31, 1994, provided that the</w:t>
      </w:r>
    </w:p>
    <w:p>
      <w:pPr>
        <w:ind w:left="740"/>
        <w:spacing w:after="0" w:line="238" w:lineRule="auto"/>
        <w:rPr>
          <w:sz w:val="20"/>
          <w:szCs w:val="20"/>
          <w:color w:val="auto"/>
        </w:rPr>
      </w:pPr>
      <w:r>
        <w:rPr>
          <w:rFonts w:ascii="Courier New" w:cs="Courier New" w:eastAsia="Courier New" w:hAnsi="Courier New"/>
          <w:sz w:val="18"/>
          <w:szCs w:val="18"/>
          <w:color w:val="auto"/>
        </w:rPr>
        <w:t>Administrative Agent shall have received (i) the financial</w:t>
      </w:r>
    </w:p>
    <w:p>
      <w:pPr>
        <w:ind w:left="740"/>
        <w:spacing w:after="0"/>
        <w:rPr>
          <w:sz w:val="20"/>
          <w:szCs w:val="20"/>
          <w:color w:val="auto"/>
        </w:rPr>
      </w:pPr>
      <w:r>
        <w:rPr>
          <w:rFonts w:ascii="Courier New" w:cs="Courier New" w:eastAsia="Courier New" w:hAnsi="Courier New"/>
          <w:sz w:val="18"/>
          <w:szCs w:val="18"/>
          <w:color w:val="auto"/>
        </w:rPr>
        <w:t>statements described in Section 8.01 hereof as at and for</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the fiscal period ending on the preceding Quarterly Date and</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(ii) the certificate required to be delivered under</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Section 8.01(h) hereof, the respective rates set forth below</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opposite the range of the Leverage Ratio set forth below</w:t>
      </w:r>
    </w:p>
    <w:p>
      <w:pPr>
        <w:ind w:left="740"/>
        <w:spacing w:after="0" w:line="238" w:lineRule="auto"/>
        <w:rPr>
          <w:sz w:val="20"/>
          <w:szCs w:val="20"/>
          <w:color w:val="auto"/>
        </w:rPr>
      </w:pPr>
      <w:r>
        <w:rPr>
          <w:rFonts w:ascii="Courier New" w:cs="Courier New" w:eastAsia="Courier New" w:hAnsi="Courier New"/>
          <w:sz w:val="18"/>
          <w:szCs w:val="18"/>
          <w:color w:val="auto"/>
        </w:rPr>
        <w:t>which encompasses the Leverage Ratio set forth in such</w:t>
      </w:r>
    </w:p>
    <w:p>
      <w:pPr>
        <w:ind w:left="740"/>
        <w:spacing w:after="0"/>
        <w:rPr>
          <w:sz w:val="20"/>
          <w:szCs w:val="20"/>
          <w:color w:val="auto"/>
        </w:rPr>
      </w:pPr>
      <w:r>
        <w:rPr>
          <w:rFonts w:ascii="Courier New" w:cs="Courier New" w:eastAsia="Courier New" w:hAnsi="Courier New"/>
          <w:sz w:val="18"/>
          <w:szCs w:val="18"/>
          <w:color w:val="auto"/>
        </w:rPr>
        <w:t>certificate delivered under Section 8.01(h) hereof</w:t>
      </w:r>
    </w:p>
    <w:p>
      <w:pPr>
        <w:ind w:left="740"/>
        <w:spacing w:after="0" w:line="237" w:lineRule="auto"/>
        <w:rPr>
          <w:sz w:val="20"/>
          <w:szCs w:val="20"/>
          <w:color w:val="auto"/>
        </w:rPr>
      </w:pPr>
      <w:r>
        <w:rPr>
          <w:rFonts w:ascii="Courier New" w:cs="Courier New" w:eastAsia="Courier New" w:hAnsi="Courier New"/>
          <w:sz w:val="18"/>
          <w:szCs w:val="18"/>
          <w:color w:val="auto"/>
        </w:rPr>
        <w:t>(provided, further, that if the Company shall fail to</w:t>
      </w:r>
    </w:p>
    <w:p>
      <w:pPr>
        <w:ind w:left="740"/>
        <w:spacing w:after="0" w:line="238" w:lineRule="auto"/>
        <w:rPr>
          <w:sz w:val="20"/>
          <w:szCs w:val="20"/>
          <w:color w:val="auto"/>
        </w:rPr>
      </w:pPr>
      <w:r>
        <w:rPr>
          <w:rFonts w:ascii="Courier New" w:cs="Courier New" w:eastAsia="Courier New" w:hAnsi="Courier New"/>
          <w:sz w:val="18"/>
          <w:szCs w:val="18"/>
          <w:color w:val="auto"/>
        </w:rPr>
        <w:t>deliver such financial statements and certificate, the</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"Applicable Facility Fee Rate" with respect to the Revolving</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Credit Commitments, and the "Applicable Margin" for each</w:t>
      </w:r>
    </w:p>
    <w:p>
      <w:pPr>
        <w:ind w:left="740"/>
        <w:spacing w:after="0" w:line="238" w:lineRule="auto"/>
        <w:rPr>
          <w:sz w:val="20"/>
          <w:szCs w:val="20"/>
          <w:color w:val="auto"/>
        </w:rPr>
      </w:pPr>
      <w:r>
        <w:rPr>
          <w:rFonts w:ascii="Courier New" w:cs="Courier New" w:eastAsia="Courier New" w:hAnsi="Courier New"/>
          <w:sz w:val="18"/>
          <w:szCs w:val="18"/>
          <w:color w:val="auto"/>
        </w:rPr>
        <w:t>Type of Syndicated Loan, during such Quarterly Period shall</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be determined as if the relevant Leverage Ratio were greater</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than 65%):</w:t>
      </w:r>
    </w:p>
    <w:p>
      <w:pPr>
        <w:sectPr>
          <w:pgSz w:w="11900" w:h="16838" w:orient="portrait"/>
          <w:cols w:equalWidth="0" w:num="1">
            <w:col w:w="10219"/>
          </w:cols>
          <w:pgMar w:left="240" w:top="520" w:right="1440" w:bottom="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5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REVOLVING CREDIT COMMITMENTS</w:t>
            </w:r>
          </w:p>
        </w:tc>
        <w:tc>
          <w:tcPr>
            <w:tcW w:w="2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TERM LOAN COMMITMENTS</w:t>
            </w:r>
          </w:p>
        </w:tc>
      </w:tr>
      <w:tr>
        <w:trPr>
          <w:trHeight w:val="405"/>
        </w:trPr>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w w:val="99"/>
              </w:rPr>
              <w:t>APPLICABLE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MARGIN</w:t>
            </w:r>
          </w:p>
        </w:tc>
        <w:tc>
          <w:tcPr>
            <w:tcW w:w="25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APPLICABLE MARGIN</w:t>
            </w:r>
          </w:p>
        </w:tc>
      </w:tr>
      <w:tr>
        <w:trPr>
          <w:trHeight w:val="203"/>
        </w:trPr>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Applicable</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Range of</w:t>
            </w:r>
          </w:p>
        </w:tc>
        <w:tc>
          <w:tcPr>
            <w:tcW w:w="520" w:type="dxa"/>
            <w:vAlign w:val="bottom"/>
          </w:tcPr>
          <w:p>
            <w:pPr>
              <w:spacing w:after="0"/>
              <w:rPr>
                <w:sz w:val="17"/>
                <w:szCs w:val="17"/>
                <w:color w:val="auto"/>
              </w:rPr>
            </w:pP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Facility</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Base Rate  Eurodollar</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Rate</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Eurodollar</w:t>
            </w: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Leverage Ratio</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Fee Rate</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Loan</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Loan</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Loan</w:t>
            </w:r>
          </w:p>
        </w:tc>
        <w:tc>
          <w:tcPr>
            <w:tcW w:w="12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Loan</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Greater than</w:t>
            </w:r>
          </w:p>
        </w:tc>
        <w:tc>
          <w:tcPr>
            <w:tcW w:w="520" w:type="dxa"/>
            <w:vAlign w:val="bottom"/>
          </w:tcPr>
          <w:p>
            <w:pPr>
              <w:spacing w:after="0"/>
              <w:rPr>
                <w:sz w:val="17"/>
                <w:szCs w:val="17"/>
                <w:color w:val="auto"/>
              </w:rPr>
            </w:pP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0.2250%</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0.3750%</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0.6000%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or equal to</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65%</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Less than 65%</w:t>
            </w:r>
          </w:p>
        </w:tc>
        <w:tc>
          <w:tcPr>
            <w:tcW w:w="1220" w:type="dxa"/>
            <w:vAlign w:val="bottom"/>
          </w:tcPr>
          <w:p>
            <w:pPr>
              <w:ind w:left="100"/>
              <w:spacing w:after="0"/>
              <w:rPr>
                <w:sz w:val="20"/>
                <w:szCs w:val="20"/>
                <w:color w:val="auto"/>
              </w:rPr>
            </w:pPr>
            <w:r>
              <w:rPr>
                <w:rFonts w:ascii="Courier New" w:cs="Courier New" w:eastAsia="Courier New" w:hAnsi="Courier New"/>
                <w:sz w:val="18"/>
                <w:szCs w:val="18"/>
                <w:color w:val="auto"/>
              </w:rPr>
              <w:t>0.1750%</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0.2500%</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c>
          <w:tcPr>
            <w:tcW w:w="1200" w:type="dxa"/>
            <w:vAlign w:val="bottom"/>
          </w:tcPr>
          <w:p>
            <w:pPr>
              <w:ind w:left="160"/>
              <w:spacing w:after="0"/>
              <w:rPr>
                <w:sz w:val="20"/>
                <w:szCs w:val="20"/>
                <w:color w:val="auto"/>
              </w:rPr>
            </w:pPr>
            <w:r>
              <w:rPr>
                <w:rFonts w:ascii="Courier New" w:cs="Courier New" w:eastAsia="Courier New" w:hAnsi="Courier New"/>
                <w:sz w:val="18"/>
                <w:szCs w:val="18"/>
                <w:color w:val="auto"/>
              </w:rPr>
              <w:t>0.4250%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but greater</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than</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or equal to</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50%</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Less than 50%</w:t>
            </w:r>
          </w:p>
        </w:tc>
        <w:tc>
          <w:tcPr>
            <w:tcW w:w="1220" w:type="dxa"/>
            <w:vAlign w:val="bottom"/>
          </w:tcPr>
          <w:p>
            <w:pPr>
              <w:ind w:left="100"/>
              <w:spacing w:after="0"/>
              <w:rPr>
                <w:sz w:val="20"/>
                <w:szCs w:val="20"/>
                <w:color w:val="auto"/>
              </w:rPr>
            </w:pPr>
            <w:r>
              <w:rPr>
                <w:rFonts w:ascii="Courier New" w:cs="Courier New" w:eastAsia="Courier New" w:hAnsi="Courier New"/>
                <w:sz w:val="18"/>
                <w:szCs w:val="18"/>
                <w:color w:val="auto"/>
              </w:rPr>
              <w:t>0.1250%</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0.2250%</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c>
          <w:tcPr>
            <w:tcW w:w="1200" w:type="dxa"/>
            <w:vAlign w:val="bottom"/>
          </w:tcPr>
          <w:p>
            <w:pPr>
              <w:ind w:left="160"/>
              <w:spacing w:after="0"/>
              <w:rPr>
                <w:sz w:val="20"/>
                <w:szCs w:val="20"/>
                <w:color w:val="auto"/>
              </w:rPr>
            </w:pPr>
            <w:r>
              <w:rPr>
                <w:rFonts w:ascii="Courier New" w:cs="Courier New" w:eastAsia="Courier New" w:hAnsi="Courier New"/>
                <w:sz w:val="18"/>
                <w:szCs w:val="18"/>
                <w:color w:val="auto"/>
              </w:rPr>
              <w:t>0.3500%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but greater</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than</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or equal to</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40%</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Less than 40%</w:t>
            </w:r>
          </w:p>
        </w:tc>
        <w:tc>
          <w:tcPr>
            <w:tcW w:w="1220" w:type="dxa"/>
            <w:vAlign w:val="bottom"/>
          </w:tcPr>
          <w:p>
            <w:pPr>
              <w:ind w:left="100"/>
              <w:spacing w:after="0"/>
              <w:rPr>
                <w:sz w:val="20"/>
                <w:szCs w:val="20"/>
                <w:color w:val="auto"/>
              </w:rPr>
            </w:pPr>
            <w:r>
              <w:rPr>
                <w:rFonts w:ascii="Courier New" w:cs="Courier New" w:eastAsia="Courier New" w:hAnsi="Courier New"/>
                <w:sz w:val="18"/>
                <w:szCs w:val="18"/>
                <w:color w:val="auto"/>
              </w:rPr>
              <w:t>0.1000%</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0.2000%</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c>
          <w:tcPr>
            <w:tcW w:w="1200" w:type="dxa"/>
            <w:vAlign w:val="bottom"/>
          </w:tcPr>
          <w:p>
            <w:pPr>
              <w:ind w:left="160"/>
              <w:spacing w:after="0"/>
              <w:rPr>
                <w:sz w:val="20"/>
                <w:szCs w:val="20"/>
                <w:color w:val="auto"/>
              </w:rPr>
            </w:pPr>
            <w:r>
              <w:rPr>
                <w:rFonts w:ascii="Courier New" w:cs="Courier New" w:eastAsia="Courier New" w:hAnsi="Courier New"/>
                <w:sz w:val="18"/>
                <w:szCs w:val="18"/>
                <w:color w:val="auto"/>
              </w:rPr>
              <w:t>0.3000%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but greater</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than</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or equal to</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30%</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Less than 30%</w:t>
            </w:r>
          </w:p>
        </w:tc>
        <w:tc>
          <w:tcPr>
            <w:tcW w:w="1220" w:type="dxa"/>
            <w:vAlign w:val="bottom"/>
          </w:tcPr>
          <w:p>
            <w:pPr>
              <w:ind w:left="100"/>
              <w:spacing w:after="0"/>
              <w:rPr>
                <w:sz w:val="20"/>
                <w:szCs w:val="20"/>
                <w:color w:val="auto"/>
              </w:rPr>
            </w:pPr>
            <w:r>
              <w:rPr>
                <w:rFonts w:ascii="Courier New" w:cs="Courier New" w:eastAsia="Courier New" w:hAnsi="Courier New"/>
                <w:sz w:val="18"/>
                <w:szCs w:val="18"/>
                <w:color w:val="auto"/>
              </w:rPr>
              <w:t>0.0850%</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0.1650%</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c>
          <w:tcPr>
            <w:tcW w:w="1200" w:type="dxa"/>
            <w:vAlign w:val="bottom"/>
          </w:tcPr>
          <w:p>
            <w:pPr>
              <w:ind w:left="160"/>
              <w:spacing w:after="0"/>
              <w:rPr>
                <w:sz w:val="20"/>
                <w:szCs w:val="20"/>
                <w:color w:val="auto"/>
              </w:rPr>
            </w:pPr>
            <w:r>
              <w:rPr>
                <w:rFonts w:ascii="Courier New" w:cs="Courier New" w:eastAsia="Courier New" w:hAnsi="Courier New"/>
                <w:sz w:val="18"/>
                <w:szCs w:val="18"/>
                <w:color w:val="auto"/>
              </w:rPr>
              <w:t>0.2500%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6"/>
          <w:szCs w:val="16"/>
          <w:color w:val="auto"/>
        </w:rPr>
        <w:t>provided that, during any period that the Company does not have senior unsecured long term public debt that is rated at least Baa3 or BBB-, respectively, by Moody's Investors Service, Inc. (or any successor thereto) or by Standard &amp; Poor's Ratings Group (or any successor thereto), the Applicable Facility Fee Rate shall be 0.3000% and the Applicable Margin for Eurodollar Loans shall be 0.7000% for Revolving Loans and 1.0000% for Term Loans.</w:t>
      </w:r>
    </w:p>
    <w:p>
      <w:pPr>
        <w:spacing w:after="0" w:line="188" w:lineRule="exact"/>
        <w:rPr>
          <w:sz w:val="20"/>
          <w:szCs w:val="20"/>
          <w:color w:val="auto"/>
        </w:rPr>
      </w:pPr>
    </w:p>
    <w:p>
      <w:pPr>
        <w:ind w:left="740" w:right="3579" w:firstLine="632"/>
        <w:spacing w:after="0" w:line="237" w:lineRule="auto"/>
        <w:rPr>
          <w:sz w:val="20"/>
          <w:szCs w:val="20"/>
          <w:color w:val="auto"/>
        </w:rPr>
      </w:pPr>
      <w:r>
        <w:rPr>
          <w:rFonts w:ascii="Courier New" w:cs="Courier New" w:eastAsia="Courier New" w:hAnsi="Courier New"/>
          <w:sz w:val="18"/>
          <w:szCs w:val="18"/>
          <w:color w:val="auto"/>
        </w:rPr>
        <w:t>"Consolidated Shareholders' Equity" shall mean the amount of shareholders' equity of the Company and the Subsidiaries (determined on a consolidated basis without duplication in accordance with GAAP) plus the cumulative after-tax reduction in consolidated net income of the Company and the Subsidiaries resulting from Special Charges.</w:t>
      </w:r>
    </w:p>
    <w:p>
      <w:pPr>
        <w:spacing w:after="0" w:line="211" w:lineRule="exact"/>
        <w:rPr>
          <w:sz w:val="20"/>
          <w:szCs w:val="20"/>
          <w:color w:val="auto"/>
        </w:rPr>
      </w:pPr>
    </w:p>
    <w:p>
      <w:pPr>
        <w:ind w:left="740" w:right="3259" w:firstLine="632"/>
        <w:spacing w:after="0" w:line="237" w:lineRule="auto"/>
        <w:rPr>
          <w:sz w:val="20"/>
          <w:szCs w:val="20"/>
          <w:color w:val="auto"/>
        </w:rPr>
      </w:pPr>
      <w:r>
        <w:rPr>
          <w:rFonts w:ascii="Courier New" w:cs="Courier New" w:eastAsia="Courier New" w:hAnsi="Courier New"/>
          <w:sz w:val="18"/>
          <w:szCs w:val="18"/>
          <w:color w:val="auto"/>
        </w:rPr>
        <w:t>"Net Income" shall mean, for the Company and the Subsidiaries (determined on a consolidated basis without duplication in accordance with GAAP) for any fiscal period, an amount equal to the consolidated net income for, but before being reduced by the after-tax effect of any Special Charges taken in, such fiscal period.</w:t>
      </w:r>
    </w:p>
    <w:p>
      <w:pPr>
        <w:spacing w:after="0" w:line="210" w:lineRule="exact"/>
        <w:rPr>
          <w:sz w:val="20"/>
          <w:szCs w:val="20"/>
          <w:color w:val="auto"/>
        </w:rPr>
      </w:pPr>
    </w:p>
    <w:p>
      <w:pPr>
        <w:ind w:left="740" w:right="3359" w:firstLine="632"/>
        <w:spacing w:after="0" w:line="275" w:lineRule="auto"/>
        <w:rPr>
          <w:sz w:val="20"/>
          <w:szCs w:val="20"/>
          <w:color w:val="auto"/>
        </w:rPr>
      </w:pPr>
      <w:r>
        <w:rPr>
          <w:rFonts w:ascii="Courier New" w:cs="Courier New" w:eastAsia="Courier New" w:hAnsi="Courier New"/>
          <w:sz w:val="16"/>
          <w:szCs w:val="16"/>
          <w:color w:val="auto"/>
        </w:rPr>
        <w:t>"Principal Payment Dates" shall mean the Quarterly Dates falling on or nearest to March 31, June 30, September 30 and December 31 of each year, commencing with September 30, 1995 through and including March 31, 1999.</w:t>
      </w:r>
    </w:p>
    <w:p>
      <w:pPr>
        <w:spacing w:after="0" w:line="182" w:lineRule="exact"/>
        <w:rPr>
          <w:sz w:val="20"/>
          <w:szCs w:val="20"/>
          <w:color w:val="auto"/>
        </w:rPr>
      </w:pPr>
    </w:p>
    <w:p>
      <w:pPr>
        <w:ind w:right="3159" w:firstLine="1369"/>
        <w:spacing w:after="0" w:line="275" w:lineRule="auto"/>
        <w:rPr>
          <w:sz w:val="20"/>
          <w:szCs w:val="20"/>
          <w:color w:val="auto"/>
        </w:rPr>
      </w:pPr>
      <w:r>
        <w:rPr>
          <w:rFonts w:ascii="Courier New" w:cs="Courier New" w:eastAsia="Courier New" w:hAnsi="Courier New"/>
          <w:sz w:val="16"/>
          <w:szCs w:val="16"/>
          <w:color w:val="auto"/>
        </w:rPr>
        <w:t>Section 2.04. Section 2.10(b) of the Credit Agreement shall be amended by revising the first parenthetical therein to read in its entirety as follows: "(other than (x) the Loans and (y) borrowings under unsecured short-term credit lines)".</w:t>
      </w:r>
    </w:p>
    <w:p>
      <w:pPr>
        <w:spacing w:after="0" w:line="182" w:lineRule="exact"/>
        <w:rPr>
          <w:sz w:val="20"/>
          <w:szCs w:val="20"/>
          <w:color w:val="auto"/>
        </w:rPr>
      </w:pPr>
    </w:p>
    <w:p>
      <w:pPr>
        <w:ind w:right="3159" w:firstLine="1369"/>
        <w:spacing w:after="0" w:line="235" w:lineRule="auto"/>
        <w:rPr>
          <w:sz w:val="20"/>
          <w:szCs w:val="20"/>
          <w:color w:val="auto"/>
        </w:rPr>
      </w:pPr>
      <w:r>
        <w:rPr>
          <w:rFonts w:ascii="Courier New" w:cs="Courier New" w:eastAsia="Courier New" w:hAnsi="Courier New"/>
          <w:sz w:val="18"/>
          <w:szCs w:val="18"/>
          <w:color w:val="auto"/>
        </w:rPr>
        <w:t>Section 2.05. Section 3.01(c) of the Credit Agreement shall be amended to read in its entirety as follows:</w:t>
      </w:r>
    </w:p>
    <w:p>
      <w:pPr>
        <w:spacing w:after="0" w:line="208" w:lineRule="exact"/>
        <w:rPr>
          <w:sz w:val="20"/>
          <w:szCs w:val="20"/>
          <w:color w:val="auto"/>
        </w:rPr>
      </w:pPr>
    </w:p>
    <w:p>
      <w:pPr>
        <w:ind w:left="740" w:right="3259" w:firstLine="632"/>
        <w:spacing w:after="0" w:line="269" w:lineRule="auto"/>
        <w:rPr>
          <w:sz w:val="20"/>
          <w:szCs w:val="20"/>
          <w:color w:val="auto"/>
        </w:rPr>
      </w:pPr>
      <w:r>
        <w:rPr>
          <w:rFonts w:ascii="Courier New" w:cs="Courier New" w:eastAsia="Courier New" w:hAnsi="Courier New"/>
          <w:sz w:val="16"/>
          <w:szCs w:val="16"/>
          <w:color w:val="auto"/>
        </w:rPr>
        <w:t>"(c) The Company hereby promises to pay to the Administrative Agent for account of the Banks the aggregate principal amount of the Term Loans outstanding on the effective date of Amendment No. 2 in 15 consecutive quarterly installments payable on the Principal Payment Dates, each of the first 14 installments being in the aggregate amount of $62,500,000 and the last installment being in the aggregate amount of $125,000,000; provided that, if after the effective date of Amendment No. 2 the Company repays the Refinanced Indebtedness of Grumman in full, then (i) first, the remaining installments shall be reduced by an amount equal to the amount of such repayment in the direct order of their maturity and (ii) then the remaining installments (after giving effect to the reductions referred to in clause (i)) shall be increased ratably by an aggregate amount equal to the amount of such repayment."</w:t>
      </w:r>
    </w:p>
    <w:p>
      <w:pPr>
        <w:sectPr>
          <w:pgSz w:w="11900" w:h="16838" w:orient="portrait"/>
          <w:cols w:equalWidth="0" w:num="1">
            <w:col w:w="10219"/>
          </w:cols>
          <w:pgMar w:left="240" w:top="339" w:right="1440" w:bottom="322" w:gutter="0" w:footer="0" w:header="0"/>
        </w:sectPr>
      </w:pPr>
    </w:p>
    <w:bookmarkStart w:id="46" w:name="page47"/>
    <w:bookmarkEnd w:id="46"/>
    <w:p>
      <w:pPr>
        <w:ind w:right="3359" w:firstLine="1369"/>
        <w:spacing w:after="0" w:line="271" w:lineRule="auto"/>
        <w:rPr>
          <w:sz w:val="20"/>
          <w:szCs w:val="20"/>
          <w:color w:val="auto"/>
        </w:rPr>
      </w:pPr>
      <w:r>
        <w:rPr>
          <w:rFonts w:ascii="Courier New" w:cs="Courier New" w:eastAsia="Courier New" w:hAnsi="Courier New"/>
          <w:sz w:val="16"/>
          <w:szCs w:val="16"/>
          <w:color w:val="auto"/>
        </w:rPr>
        <w:t>Section 2.06. Section 8.08 of the Credit Agreement shall be amended by revising clause (b) thereof to read in its entirety as follows: "the cumulative sum of 50% of Net Income for each fiscal quarter of the Company (for which purpose Net Income that is not a positive number for any such fiscal quarter shall be deemed to be Net Income of zero) commencing with the fiscal quarter ending on March 31, 1994 (determined on a consolidated basis without duplication in accordance with GAAP)".</w:t>
      </w:r>
    </w:p>
    <w:p>
      <w:pPr>
        <w:spacing w:after="0" w:line="186" w:lineRule="exact"/>
        <w:rPr>
          <w:sz w:val="20"/>
          <w:szCs w:val="20"/>
          <w:color w:val="auto"/>
        </w:rPr>
      </w:pPr>
    </w:p>
    <w:p>
      <w:pPr>
        <w:ind w:right="3479" w:firstLine="1369"/>
        <w:spacing w:after="0" w:line="236" w:lineRule="auto"/>
        <w:rPr>
          <w:sz w:val="20"/>
          <w:szCs w:val="20"/>
          <w:color w:val="auto"/>
        </w:rPr>
      </w:pPr>
      <w:r>
        <w:rPr>
          <w:rFonts w:ascii="Courier New" w:cs="Courier New" w:eastAsia="Courier New" w:hAnsi="Courier New"/>
          <w:sz w:val="18"/>
          <w:szCs w:val="18"/>
          <w:color w:val="auto"/>
        </w:rPr>
        <w:t>Section 2.07. Section 8.09 of the Credit Agreement shall be amended by changing the percentage "30%" appearing therein to "40%".</w:t>
      </w:r>
    </w:p>
    <w:p>
      <w:pPr>
        <w:spacing w:after="0" w:line="209" w:lineRule="exact"/>
        <w:rPr>
          <w:sz w:val="20"/>
          <w:szCs w:val="20"/>
          <w:color w:val="auto"/>
        </w:rPr>
      </w:pPr>
    </w:p>
    <w:p>
      <w:pPr>
        <w:ind w:right="3479" w:firstLine="1369"/>
        <w:spacing w:after="0" w:line="237" w:lineRule="auto"/>
        <w:rPr>
          <w:sz w:val="20"/>
          <w:szCs w:val="20"/>
          <w:color w:val="auto"/>
        </w:rPr>
      </w:pPr>
      <w:r>
        <w:rPr>
          <w:rFonts w:ascii="Courier New" w:cs="Courier New" w:eastAsia="Courier New" w:hAnsi="Courier New"/>
          <w:sz w:val="18"/>
          <w:szCs w:val="18"/>
          <w:color w:val="auto"/>
        </w:rPr>
        <w:t>Section 2.08. Section 8.10 of the Credit Agreement shall be amended by deleting the word "unless" appearing in clause (a) thereof and substituting therefor the words "so long as".</w:t>
      </w:r>
    </w:p>
    <w:p>
      <w:pPr>
        <w:spacing w:after="0" w:line="207" w:lineRule="exact"/>
        <w:rPr>
          <w:sz w:val="20"/>
          <w:szCs w:val="20"/>
          <w:color w:val="auto"/>
        </w:rPr>
      </w:pPr>
    </w:p>
    <w:p>
      <w:pPr>
        <w:ind w:right="3159" w:firstLine="1369"/>
        <w:spacing w:after="0" w:line="290" w:lineRule="auto"/>
        <w:rPr>
          <w:sz w:val="20"/>
          <w:szCs w:val="20"/>
          <w:color w:val="auto"/>
        </w:rPr>
      </w:pPr>
      <w:r>
        <w:rPr>
          <w:rFonts w:ascii="Courier New" w:cs="Courier New" w:eastAsia="Courier New" w:hAnsi="Courier New"/>
          <w:sz w:val="16"/>
          <w:szCs w:val="16"/>
          <w:color w:val="auto"/>
        </w:rPr>
        <w:t>Section 2.09. Section 8.12(c) of the Credit Agreement shall be amended by deleting the parenthetical appearing therein.</w:t>
      </w:r>
    </w:p>
    <w:p>
      <w:pPr>
        <w:spacing w:after="0" w:line="170" w:lineRule="exact"/>
        <w:rPr>
          <w:sz w:val="20"/>
          <w:szCs w:val="20"/>
          <w:color w:val="auto"/>
        </w:rPr>
      </w:pPr>
    </w:p>
    <w:p>
      <w:pPr>
        <w:ind w:right="3359" w:firstLine="1369"/>
        <w:spacing w:after="0" w:line="235" w:lineRule="auto"/>
        <w:rPr>
          <w:sz w:val="20"/>
          <w:szCs w:val="20"/>
          <w:color w:val="auto"/>
        </w:rPr>
      </w:pPr>
      <w:r>
        <w:rPr>
          <w:rFonts w:ascii="Courier New" w:cs="Courier New" w:eastAsia="Courier New" w:hAnsi="Courier New"/>
          <w:sz w:val="18"/>
          <w:szCs w:val="18"/>
          <w:color w:val="auto"/>
        </w:rPr>
        <w:t>Section 2.10. Section 10.10 of the Credit Agreement shall be amended to read in its entirety as follows:</w:t>
      </w:r>
    </w:p>
    <w:p>
      <w:pPr>
        <w:spacing w:after="0" w:line="208" w:lineRule="exact"/>
        <w:rPr>
          <w:sz w:val="20"/>
          <w:szCs w:val="20"/>
          <w:color w:val="auto"/>
        </w:rPr>
      </w:pPr>
    </w:p>
    <w:p>
      <w:pPr>
        <w:ind w:left="740" w:right="3479" w:firstLine="632"/>
        <w:spacing w:after="0" w:line="237" w:lineRule="auto"/>
        <w:rPr>
          <w:sz w:val="20"/>
          <w:szCs w:val="20"/>
          <w:color w:val="auto"/>
        </w:rPr>
      </w:pPr>
      <w:r>
        <w:rPr>
          <w:rFonts w:ascii="Courier New" w:cs="Courier New" w:eastAsia="Courier New" w:hAnsi="Courier New"/>
          <w:sz w:val="18"/>
          <w:szCs w:val="18"/>
          <w:color w:val="auto"/>
        </w:rPr>
        <w:t>"10.10 Co-Agents. The Co-Agents identified on the front page of this Agreement or of any amendment thereto shall have no duties or responsibilities hereunder other than as Banks hereunder or, in the case of Chase, as Administrative Agent."</w:t>
      </w:r>
    </w:p>
    <w:p>
      <w:pPr>
        <w:spacing w:after="0" w:line="209"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Section 3. Representations and Warranties. The Company represents and warrants to the Banks that the representations and warranties set forth in Section 7 of the Credit Agreement are true in all material respects on the date of this Amendment No. 2 as if made on and as of the date of this Amendment No. 2.</w:t>
      </w:r>
    </w:p>
    <w:p>
      <w:pPr>
        <w:spacing w:after="0" w:line="210"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Section 4. Condition Precedent. As provided in Section 2 above, the amendments to the Credit Agreement set forth in said Section 2 shall become effective, as of the date of this Amendment No. 2, upon this Amendment No. 2 being executed and delivered by the Company and each of the Banks and consented to by Grumman Corporation.</w:t>
      </w:r>
    </w:p>
    <w:p>
      <w:pPr>
        <w:spacing w:after="0" w:line="210" w:lineRule="exact"/>
        <w:rPr>
          <w:sz w:val="20"/>
          <w:szCs w:val="20"/>
          <w:color w:val="auto"/>
        </w:rPr>
      </w:pPr>
    </w:p>
    <w:p>
      <w:pPr>
        <w:ind w:right="3159" w:firstLine="1369"/>
        <w:spacing w:after="0" w:line="237" w:lineRule="auto"/>
        <w:rPr>
          <w:sz w:val="20"/>
          <w:szCs w:val="20"/>
          <w:color w:val="auto"/>
        </w:rPr>
      </w:pPr>
      <w:r>
        <w:rPr>
          <w:rFonts w:ascii="Courier New" w:cs="Courier New" w:eastAsia="Courier New" w:hAnsi="Courier New"/>
          <w:sz w:val="18"/>
          <w:szCs w:val="18"/>
          <w:color w:val="auto"/>
        </w:rPr>
        <w:t>Section 5. Miscellaneous. Except as herein provided, the Credit Agreement shall remain unchanged and in full force and effect. This Amendment No. 2 may be executed in any number of counterparts, all of which taken together shall constitute one and the same amendatory instrument and any of the parties hereto may execute this Amendment No. 2 by signing any such counterpart. This Amendment No. 2 shall be governed by, and construed in accordance with, the law of the State of New York.</w:t>
      </w:r>
    </w:p>
    <w:p>
      <w:pPr>
        <w:spacing w:after="0" w:line="212" w:lineRule="exact"/>
        <w:rPr>
          <w:sz w:val="20"/>
          <w:szCs w:val="20"/>
          <w:color w:val="auto"/>
        </w:rPr>
      </w:pPr>
    </w:p>
    <w:p>
      <w:pPr>
        <w:ind w:right="3039" w:firstLine="1369"/>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Amendment No. 2 to be duly executed and delivered as of the day and year first above written.</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By___________________________</w:t>
      </w:r>
    </w:p>
    <w:p>
      <w:pPr>
        <w:spacing w:after="0" w:line="16"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Title: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THE BANKS</w:t>
      </w:r>
    </w:p>
    <w:p>
      <w:pPr>
        <w:spacing w:after="0" w:line="207" w:lineRule="exact"/>
        <w:rPr>
          <w:sz w:val="20"/>
          <w:szCs w:val="20"/>
          <w:color w:val="auto"/>
        </w:rPr>
      </w:pPr>
    </w:p>
    <w:p>
      <w:pPr>
        <w:jc w:val="right"/>
        <w:ind w:right="7679"/>
        <w:spacing w:after="0"/>
        <w:rPr>
          <w:sz w:val="20"/>
          <w:szCs w:val="20"/>
          <w:color w:val="auto"/>
        </w:rPr>
      </w:pPr>
      <w:r>
        <w:rPr>
          <w:rFonts w:ascii="Courier New" w:cs="Courier New" w:eastAsia="Courier New" w:hAnsi="Courier New"/>
          <w:sz w:val="16"/>
          <w:szCs w:val="16"/>
          <w:color w:val="auto"/>
        </w:rPr>
        <w:t>THE CHASE MANHATTAN BANK</w:t>
      </w:r>
    </w:p>
    <w:p>
      <w:pPr>
        <w:spacing w:after="0" w:line="16" w:lineRule="exact"/>
        <w:rPr>
          <w:sz w:val="20"/>
          <w:szCs w:val="20"/>
          <w:color w:val="auto"/>
        </w:rPr>
      </w:pPr>
    </w:p>
    <w:p>
      <w:pPr>
        <w:jc w:val="right"/>
        <w:ind w:right="7679"/>
        <w:spacing w:after="0"/>
        <w:rPr>
          <w:sz w:val="20"/>
          <w:szCs w:val="20"/>
          <w:color w:val="auto"/>
        </w:rPr>
      </w:pPr>
      <w:r>
        <w:rPr>
          <w:rFonts w:ascii="Courier New" w:cs="Courier New" w:eastAsia="Courier New" w:hAnsi="Courier New"/>
          <w:sz w:val="18"/>
          <w:szCs w:val="18"/>
          <w:color w:val="auto"/>
        </w:rPr>
        <w:t>(NATIONAL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Title:</w:t>
      </w:r>
    </w:p>
    <w:p>
      <w:pPr>
        <w:spacing w:after="0" w:line="238" w:lineRule="auto"/>
        <w:rPr>
          <w:sz w:val="20"/>
          <w:szCs w:val="20"/>
          <w:color w:val="auto"/>
        </w:rPr>
      </w:pPr>
      <w:r>
        <w:rPr>
          <w:rFonts w:ascii="Courier New" w:cs="Courier New" w:eastAsia="Courier New" w:hAnsi="Courier New"/>
          <w:sz w:val="18"/>
          <w:szCs w:val="18"/>
          <w:color w:val="auto"/>
        </w:rPr>
        <w:t>CHEMICAL BANK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142" w:right="1440" w:bottom="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BANK OF AMERICA NATIONAL TRUST</w:t>
      </w:r>
    </w:p>
    <w:p>
      <w:pPr>
        <w:ind w:left="220"/>
        <w:spacing w:after="0" w:line="238" w:lineRule="auto"/>
        <w:rPr>
          <w:sz w:val="20"/>
          <w:szCs w:val="20"/>
          <w:color w:val="auto"/>
        </w:rPr>
      </w:pPr>
      <w:r>
        <w:rPr>
          <w:rFonts w:ascii="Courier New" w:cs="Courier New" w:eastAsia="Courier New" w:hAnsi="Courier New"/>
          <w:sz w:val="18"/>
          <w:szCs w:val="18"/>
          <w:color w:val="auto"/>
        </w:rPr>
        <w:t>AND SAVINGS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BANK OF MONTREAL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THE BANK OF NOVA SCOTIA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BANKERS TRUST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Title:CANADIAN IMPERIAL BANK OF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COMMERCE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CITICORP USA,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CREDIT LYONNAIS CAYMAN ISLAND</w:t>
      </w:r>
    </w:p>
    <w:p>
      <w:pPr>
        <w:ind w:left="220"/>
        <w:spacing w:after="0" w:line="237" w:lineRule="auto"/>
        <w:rPr>
          <w:sz w:val="20"/>
          <w:szCs w:val="20"/>
          <w:color w:val="auto"/>
        </w:rPr>
      </w:pPr>
      <w:r>
        <w:rPr>
          <w:rFonts w:ascii="Courier New" w:cs="Courier New" w:eastAsia="Courier New" w:hAnsi="Courier New"/>
          <w:sz w:val="18"/>
          <w:szCs w:val="18"/>
          <w:color w:val="auto"/>
        </w:rPr>
        <w:t>BRANCH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THE FIRST NATIONAL BANK</w:t>
      </w:r>
    </w:p>
    <w:p>
      <w:pPr>
        <w:ind w:left="220"/>
        <w:spacing w:after="0" w:line="237" w:lineRule="auto"/>
        <w:rPr>
          <w:sz w:val="20"/>
          <w:szCs w:val="20"/>
          <w:color w:val="auto"/>
        </w:rPr>
      </w:pPr>
      <w:r>
        <w:rPr>
          <w:rFonts w:ascii="Courier New" w:cs="Courier New" w:eastAsia="Courier New" w:hAnsi="Courier New"/>
          <w:sz w:val="18"/>
          <w:szCs w:val="18"/>
          <w:color w:val="auto"/>
        </w:rPr>
        <w:t>OF CHICAGO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FIRST INTERSTATE BANK OF</w:t>
      </w:r>
    </w:p>
    <w:p>
      <w:pPr>
        <w:ind w:left="220"/>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5"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THE LONG-TERM CREDIT BANK OF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JAPAN, LTD., LOS ANGELES</w:t>
      </w:r>
    </w:p>
    <w:p>
      <w:pPr>
        <w:ind w:left="220"/>
        <w:spacing w:after="0" w:line="238" w:lineRule="auto"/>
        <w:rPr>
          <w:sz w:val="20"/>
          <w:szCs w:val="20"/>
          <w:color w:val="auto"/>
        </w:rPr>
      </w:pPr>
      <w:r>
        <w:rPr>
          <w:rFonts w:ascii="Courier New" w:cs="Courier New" w:eastAsia="Courier New" w:hAnsi="Courier New"/>
          <w:sz w:val="18"/>
          <w:szCs w:val="18"/>
          <w:color w:val="auto"/>
        </w:rPr>
        <w:t>AGENCY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NATIONSBANK OF TEXAS,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NATIONAL WESTMINSTER BANK PLC</w:t>
      </w:r>
    </w:p>
    <w:p>
      <w:pPr>
        <w:spacing w:after="0" w:line="237" w:lineRule="auto"/>
        <w:rPr>
          <w:sz w:val="20"/>
          <w:szCs w:val="20"/>
          <w:color w:val="auto"/>
        </w:rPr>
      </w:pPr>
      <w:r>
        <w:rPr>
          <w:rFonts w:ascii="Courier New" w:cs="Courier New" w:eastAsia="Courier New" w:hAnsi="Courier New"/>
          <w:sz w:val="18"/>
          <w:szCs w:val="18"/>
          <w:color w:val="auto"/>
        </w:rPr>
        <w:t>LOS ANGELES OVERSEAS BRANCH</w:t>
      </w:r>
    </w:p>
    <w:p>
      <w:pPr>
        <w:sectPr>
          <w:pgSz w:w="11900" w:h="16838" w:orient="portrait"/>
          <w:cols w:equalWidth="0" w:num="1">
            <w:col w:w="10219"/>
          </w:cols>
          <w:pgMar w:left="240" w:top="136" w:right="1440" w:bottom="132"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ROYAL BANK OF CANADA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Title:</w:t>
      </w:r>
    </w:p>
    <w:p>
      <w:pPr>
        <w:spacing w:after="0" w:line="238" w:lineRule="auto"/>
        <w:rPr>
          <w:sz w:val="20"/>
          <w:szCs w:val="20"/>
          <w:color w:val="auto"/>
        </w:rPr>
      </w:pPr>
      <w:r>
        <w:rPr>
          <w:rFonts w:ascii="Courier New" w:cs="Courier New" w:eastAsia="Courier New" w:hAnsi="Courier New"/>
          <w:sz w:val="18"/>
          <w:szCs w:val="18"/>
          <w:color w:val="auto"/>
        </w:rPr>
        <w:t>SOCIETE GENERALE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CREDIT SUISSE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5" w:lineRule="exact"/>
        <w:rPr>
          <w:sz w:val="20"/>
          <w:szCs w:val="20"/>
          <w:color w:val="auto"/>
        </w:rPr>
      </w:pPr>
    </w:p>
    <w:p>
      <w:pPr>
        <w:jc w:val="right"/>
        <w:ind w:right="7159"/>
        <w:spacing w:after="0"/>
        <w:rPr>
          <w:sz w:val="20"/>
          <w:szCs w:val="20"/>
          <w:color w:val="auto"/>
        </w:rPr>
      </w:pPr>
      <w:r>
        <w:rPr>
          <w:rFonts w:ascii="Courier New" w:cs="Courier New" w:eastAsia="Courier New" w:hAnsi="Courier New"/>
          <w:sz w:val="16"/>
          <w:szCs w:val="16"/>
          <w:color w:val="auto"/>
        </w:rPr>
        <w:t>THE INDUSTRIAL BANK OF JAPAN,</w:t>
      </w:r>
    </w:p>
    <w:p>
      <w:pPr>
        <w:spacing w:after="0" w:line="16" w:lineRule="exact"/>
        <w:rPr>
          <w:sz w:val="20"/>
          <w:szCs w:val="20"/>
          <w:color w:val="auto"/>
        </w:rPr>
      </w:pPr>
    </w:p>
    <w:p>
      <w:pPr>
        <w:jc w:val="right"/>
        <w:ind w:right="7159"/>
        <w:spacing w:after="0"/>
        <w:rPr>
          <w:sz w:val="20"/>
          <w:szCs w:val="20"/>
          <w:color w:val="auto"/>
        </w:rPr>
      </w:pPr>
      <w:r>
        <w:rPr>
          <w:rFonts w:ascii="Courier New" w:cs="Courier New" w:eastAsia="Courier New" w:hAnsi="Courier New"/>
          <w:sz w:val="18"/>
          <w:szCs w:val="18"/>
          <w:color w:val="auto"/>
        </w:rPr>
        <w:t>LIMITED, LOS ANGELES AGENCY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NBD BANK, N.A.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Title:</w:t>
      </w:r>
    </w:p>
    <w:p>
      <w:pPr>
        <w:spacing w:after="0" w:line="238" w:lineRule="auto"/>
        <w:rPr>
          <w:sz w:val="20"/>
          <w:szCs w:val="20"/>
          <w:color w:val="auto"/>
        </w:rPr>
      </w:pPr>
      <w:r>
        <w:rPr>
          <w:rFonts w:ascii="Courier New" w:cs="Courier New" w:eastAsia="Courier New" w:hAnsi="Courier New"/>
          <w:sz w:val="18"/>
          <w:szCs w:val="18"/>
          <w:color w:val="auto"/>
        </w:rPr>
        <w:t>THE SUMITOMO BANK, LIMITED</w:t>
      </w:r>
    </w:p>
    <w:p>
      <w:pPr>
        <w:ind w:left="220"/>
        <w:spacing w:after="0"/>
        <w:rPr>
          <w:sz w:val="20"/>
          <w:szCs w:val="20"/>
          <w:color w:val="auto"/>
        </w:rPr>
      </w:pPr>
      <w:r>
        <w:rPr>
          <w:rFonts w:ascii="Courier New" w:cs="Courier New" w:eastAsia="Courier New" w:hAnsi="Courier New"/>
          <w:sz w:val="18"/>
          <w:szCs w:val="18"/>
          <w:color w:val="auto"/>
        </w:rPr>
        <w:t>LOS ANGELES BRANCH</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MORGAN GUARANTY TRUST COMPANY</w:t>
      </w:r>
    </w:p>
    <w:p>
      <w:pPr>
        <w:ind w:left="220"/>
        <w:spacing w:after="0" w:line="237" w:lineRule="auto"/>
        <w:rPr>
          <w:sz w:val="20"/>
          <w:szCs w:val="20"/>
          <w:color w:val="auto"/>
        </w:rPr>
      </w:pPr>
      <w:r>
        <w:rPr>
          <w:rFonts w:ascii="Courier New" w:cs="Courier New" w:eastAsia="Courier New" w:hAnsi="Courier New"/>
          <w:sz w:val="18"/>
          <w:szCs w:val="18"/>
          <w:color w:val="auto"/>
        </w:rPr>
        <w:t>OF NEW YORK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BANCO CENTRAL</w:t>
      </w:r>
    </w:p>
    <w:p>
      <w:pPr>
        <w:spacing w:after="0" w:line="237" w:lineRule="auto"/>
        <w:rPr>
          <w:sz w:val="20"/>
          <w:szCs w:val="20"/>
          <w:color w:val="auto"/>
        </w:rPr>
      </w:pPr>
      <w:r>
        <w:rPr>
          <w:rFonts w:ascii="Courier New" w:cs="Courier New" w:eastAsia="Courier New" w:hAnsi="Courier New"/>
          <w:sz w:val="18"/>
          <w:szCs w:val="18"/>
          <w:color w:val="auto"/>
        </w:rPr>
        <w:t>HISPANOAMERICANO,</w:t>
      </w:r>
    </w:p>
    <w:p>
      <w:pPr>
        <w:ind w:left="220"/>
        <w:spacing w:after="0" w:line="238" w:lineRule="auto"/>
        <w:rPr>
          <w:sz w:val="20"/>
          <w:szCs w:val="20"/>
          <w:color w:val="auto"/>
        </w:rPr>
      </w:pPr>
      <w:r>
        <w:rPr>
          <w:rFonts w:ascii="Courier New" w:cs="Courier New" w:eastAsia="Courier New" w:hAnsi="Courier New"/>
          <w:sz w:val="18"/>
          <w:szCs w:val="18"/>
          <w:color w:val="auto"/>
        </w:rPr>
        <w:t>SAN FRANCISCO AGENCY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LLOYDS BANK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MELLON BANK, N.A.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SHAWMUT BANK, N.A.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WACHOVIA BANK OF GEORGIA, N.A.</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J.P. MORGAN DELAWARE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136" w:right="1440" w:bottom="0" w:gutter="0" w:footer="0" w:header="0"/>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CONSENT:</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GRUMMAN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TORONTO DOMINION (TEXAS) INC.</w:t>
      </w:r>
    </w:p>
    <w:p>
      <w:pPr>
        <w:spacing w:after="0" w:line="200" w:lineRule="exact"/>
        <w:rPr>
          <w:sz w:val="20"/>
          <w:szCs w:val="20"/>
          <w:color w:val="auto"/>
        </w:rPr>
      </w:pPr>
    </w:p>
    <w:p>
      <w:pPr>
        <w:sectPr>
          <w:pgSz w:w="11900" w:h="16838" w:orient="portrait"/>
          <w:cols w:equalWidth="0" w:num="2">
            <w:col w:w="4020" w:space="720"/>
            <w:col w:w="547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4020" w:space="720"/>
            <w:col w:w="5479"/>
          </w:cols>
          <w:pgMar w:left="240" w:top="142" w:right="1440" w:bottom="1440" w:gutter="0" w:footer="0" w:header="0"/>
          <w:type w:val="continuous"/>
        </w:sect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DRESDNER BANK AG,</w:t>
      </w:r>
    </w:p>
    <w:p>
      <w:pPr>
        <w:ind w:left="4960"/>
        <w:spacing w:after="0" w:line="238" w:lineRule="auto"/>
        <w:rPr>
          <w:sz w:val="20"/>
          <w:szCs w:val="20"/>
          <w:color w:val="auto"/>
        </w:rPr>
      </w:pPr>
      <w:r>
        <w:rPr>
          <w:rFonts w:ascii="Courier New" w:cs="Courier New" w:eastAsia="Courier New" w:hAnsi="Courier New"/>
          <w:sz w:val="18"/>
          <w:szCs w:val="18"/>
          <w:color w:val="auto"/>
        </w:rPr>
        <w:t>LOS ANGELES AGENCY AND</w:t>
      </w:r>
    </w:p>
    <w:p>
      <w:pPr>
        <w:ind w:left="4960"/>
        <w:spacing w:after="0"/>
        <w:rPr>
          <w:sz w:val="20"/>
          <w:szCs w:val="20"/>
          <w:color w:val="auto"/>
        </w:rPr>
      </w:pPr>
      <w:r>
        <w:rPr>
          <w:rFonts w:ascii="Courier New" w:cs="Courier New" w:eastAsia="Courier New" w:hAnsi="Courier New"/>
          <w:sz w:val="18"/>
          <w:szCs w:val="18"/>
          <w:color w:val="auto"/>
        </w:rPr>
        <w:t>GRAND CAYMEN BRANCH</w:t>
      </w:r>
    </w:p>
    <w:p>
      <w:pPr>
        <w:spacing w:after="0" w:line="200" w:lineRule="exact"/>
        <w:rPr>
          <w:sz w:val="20"/>
          <w:szCs w:val="20"/>
          <w:color w:val="auto"/>
        </w:rPr>
      </w:pPr>
    </w:p>
    <w:p>
      <w:pPr>
        <w:spacing w:after="0" w:line="209"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By___________________________</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Title:</w:t>
      </w:r>
    </w:p>
    <w:p>
      <w:pPr>
        <w:spacing w:after="0" w:line="20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By___________________________</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142" w:right="1440" w:bottom="1440" w:gutter="0" w:footer="0" w:header="0"/>
          <w:type w:val="continuous"/>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EXHIBIT 10(b)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PROMISSORY NOTE</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$25,000,000.00</w:t>
      </w:r>
      <w:r>
        <w:rPr>
          <w:sz w:val="20"/>
          <w:szCs w:val="20"/>
          <w:color w:val="auto"/>
        </w:rPr>
        <w:tab/>
      </w:r>
      <w:r>
        <w:rPr>
          <w:rFonts w:ascii="Courier New" w:cs="Courier New" w:eastAsia="Courier New" w:hAnsi="Courier New"/>
          <w:sz w:val="16"/>
          <w:szCs w:val="16"/>
          <w:color w:val="auto"/>
        </w:rPr>
        <w:t>October 10, 1994</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FOR VALUE RECEIVED, the undersigned, NORTHROP GRUMMAN CORPORATION (the "Borrower"), hereby promises to pay to the order of Wachovia Bank of Georgia, N.A. (the "Bank"), or any branch, office, or agency of the Bank, the lesser of:</w:t>
      </w:r>
    </w:p>
    <w:p>
      <w:pPr>
        <w:spacing w:after="0" w:line="202" w:lineRule="exact"/>
        <w:rPr>
          <w:sz w:val="20"/>
          <w:szCs w:val="20"/>
          <w:color w:val="auto"/>
        </w:rPr>
      </w:pPr>
    </w:p>
    <w:p>
      <w:pPr>
        <w:ind w:left="740" w:hanging="732"/>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sum of U.S. $25,000,000.00  ; or</w:t>
      </w:r>
    </w:p>
    <w:p>
      <w:pPr>
        <w:spacing w:after="0" w:line="206" w:lineRule="exact"/>
        <w:rPr>
          <w:rFonts w:ascii="Courier New" w:cs="Courier New" w:eastAsia="Courier New" w:hAnsi="Courier New"/>
          <w:sz w:val="18"/>
          <w:szCs w:val="18"/>
          <w:color w:val="auto"/>
        </w:rPr>
      </w:pPr>
    </w:p>
    <w:p>
      <w:pPr>
        <w:ind w:left="740" w:right="3039" w:hanging="732"/>
        <w:spacing w:after="0" w:line="236"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unpaid principal amount of all Advances made by the Bank to the Borrower and endorsed on the reverse of this Note and made a part hereof.</w:t>
      </w:r>
    </w:p>
    <w:p>
      <w:pPr>
        <w:spacing w:after="0" w:line="209"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Such principal amount shall be due and payable, with respect to any Advance, on the earlier of (a) the maturity date of such Advance or</w:t>
      </w:r>
    </w:p>
    <w:p>
      <w:pPr>
        <w:ind w:right="2939" w:firstLine="8"/>
        <w:spacing w:after="0" w:line="238"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(1) business day following the date on which the Bank makes demand for payment hereunder. The Borrower promises to pay interest (computed for the actual number of days elapsed on the basis of a year of 360 days, which results in greater interest than if a 365 day year were used) in respect of the unpaid principal amount hereof from the date of each Advance until paid, at such rates as shall be agreed upon from time to time between the Borrower and the Bank and endorsed on the reverse hereof. Interest shall be payable at the maturity of each Advance and calculated as to each interest period from and including the first day thereof, but not including the last day thereof. Interest not paid when due shall thereafter bear like interest as the principal.</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Bank is authorized and directed to endorse on the reverse hereof the date, amount, interest rate, and maturity date of each Advance made by the Bank to the Borrower hereunder, as well as the date and the amount of each payment of the principal amount of, and interest on, such Advances; provided, however, that the failure by the Bank to make such endorsement shall not relieve the Borrower of any of its obligations hereunder.</w:t>
      </w:r>
    </w:p>
    <w:p>
      <w:pPr>
        <w:spacing w:after="0" w:line="211"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Both principal and interest are payable in lawful money of the United States of America at the office of the Bank located at 191 Peachtree Street, Atlanta, Georgia, 30303 .</w:t>
      </w:r>
    </w:p>
    <w:p>
      <w:pPr>
        <w:spacing w:after="0" w:line="209"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Borrower promises to pay the cost of collection, including reasonable attorney's fees (including, without limitation, the reasonable estimate of the allocated cost of in-house legal staff and counsel).</w:t>
      </w:r>
    </w:p>
    <w:p>
      <w:pPr>
        <w:spacing w:after="0" w:line="207" w:lineRule="exact"/>
        <w:rPr>
          <w:sz w:val="20"/>
          <w:szCs w:val="20"/>
          <w:color w:val="auto"/>
        </w:rPr>
      </w:pPr>
    </w:p>
    <w:p>
      <w:pPr>
        <w:ind w:right="3039"/>
        <w:spacing w:after="0" w:line="290" w:lineRule="auto"/>
        <w:rPr>
          <w:sz w:val="20"/>
          <w:szCs w:val="20"/>
          <w:color w:val="auto"/>
        </w:rPr>
      </w:pPr>
      <w:r>
        <w:rPr>
          <w:rFonts w:ascii="Courier New" w:cs="Courier New" w:eastAsia="Courier New" w:hAnsi="Courier New"/>
          <w:sz w:val="16"/>
          <w:szCs w:val="16"/>
          <w:color w:val="auto"/>
        </w:rPr>
        <w:t>The makers and endorsers severally waive presentment of the payment, protest, notice of protest, and notice of non-payment of this Note.</w:t>
      </w:r>
    </w:p>
    <w:p>
      <w:pPr>
        <w:spacing w:after="0" w:line="372"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This Note and the rights and obligations of the parties hereunder shall be construed in accordance with and governed by the laws of the State of California.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________________________</w:t>
      </w:r>
    </w:p>
    <w:p>
      <w:pPr>
        <w:ind w:left="740"/>
        <w:spacing w:after="0" w:line="238" w:lineRule="auto"/>
        <w:rPr>
          <w:sz w:val="20"/>
          <w:szCs w:val="20"/>
          <w:color w:val="auto"/>
        </w:rPr>
      </w:pPr>
      <w:r>
        <w:rPr>
          <w:rFonts w:ascii="Courier New" w:cs="Courier New" w:eastAsia="Courier New" w:hAnsi="Courier New"/>
          <w:sz w:val="18"/>
          <w:szCs w:val="18"/>
          <w:color w:val="auto"/>
        </w:rPr>
        <w:t>James L. Sanford</w:t>
      </w:r>
    </w:p>
    <w:p>
      <w:pPr>
        <w:ind w:left="740"/>
        <w:spacing w:after="0"/>
        <w:rPr>
          <w:sz w:val="20"/>
          <w:szCs w:val="20"/>
          <w:color w:val="auto"/>
        </w:rPr>
      </w:pPr>
      <w:r>
        <w:rPr>
          <w:rFonts w:ascii="Courier New" w:cs="Courier New" w:eastAsia="Courier New" w:hAnsi="Courier New"/>
          <w:sz w:val="18"/>
          <w:szCs w:val="18"/>
          <w:color w:val="auto"/>
        </w:rPr>
        <w:t>Assistant Treasurer</w:t>
      </w:r>
    </w:p>
    <w:p>
      <w:pPr>
        <w:sectPr>
          <w:pgSz w:w="11900" w:h="16838" w:orient="portrait"/>
          <w:cols w:equalWidth="0" w:num="1">
            <w:col w:w="10219"/>
          </w:cols>
          <w:pgMar w:left="240" w:top="136"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EXHIBIT 10(g)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w:t>
      </w:r>
    </w:p>
    <w:p>
      <w:pPr>
        <w:spacing w:after="0" w:line="238" w:lineRule="auto"/>
        <w:rPr>
          <w:sz w:val="20"/>
          <w:szCs w:val="20"/>
          <w:color w:val="auto"/>
        </w:rPr>
      </w:pPr>
      <w:r>
        <w:rPr>
          <w:rFonts w:ascii="Courier New" w:cs="Courier New" w:eastAsia="Courier New" w:hAnsi="Courier New"/>
          <w:sz w:val="18"/>
          <w:szCs w:val="18"/>
          <w:color w:val="auto"/>
        </w:rPr>
        <w:t>NORTHROP CORPORATION</w:t>
      </w:r>
    </w:p>
    <w:p>
      <w:pPr>
        <w:spacing w:after="0"/>
        <w:rPr>
          <w:sz w:val="20"/>
          <w:szCs w:val="20"/>
          <w:color w:val="auto"/>
        </w:rPr>
      </w:pPr>
      <w:r>
        <w:rPr>
          <w:rFonts w:ascii="Courier New" w:cs="Courier New" w:eastAsia="Courier New" w:hAnsi="Courier New"/>
          <w:sz w:val="18"/>
          <w:szCs w:val="18"/>
          <w:color w:val="auto"/>
        </w:rPr>
        <w:t>BOARD OF DIRECTORS RETIREMENT PLAN</w:t>
      </w:r>
    </w:p>
    <w:p>
      <w:pPr>
        <w:spacing w:after="0" w:line="200" w:lineRule="exact"/>
        <w:rPr>
          <w:sz w:val="20"/>
          <w:szCs w:val="20"/>
          <w:color w:val="auto"/>
        </w:rPr>
      </w:pP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This amendment to the Northrop Corporation Board of Directors Retirement Plan is intended to reflect the name change of Northrop Corporation to Northrop Grumman Corporation and to add a change of control provision:</w:t>
      </w:r>
    </w:p>
    <w:p>
      <w:pPr>
        <w:spacing w:after="0" w:line="207" w:lineRule="exact"/>
        <w:rPr>
          <w:sz w:val="20"/>
          <w:szCs w:val="20"/>
          <w:color w:val="auto"/>
        </w:rPr>
      </w:pPr>
    </w:p>
    <w:p>
      <w:pPr>
        <w:jc w:val="both"/>
        <w:ind w:right="3579" w:firstLine="8"/>
        <w:spacing w:after="0" w:line="236"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Plan shall be amended, to reflect the name change of Northrop Corporation to Northrop Grumman Corporation,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 Board of Directors Retirement Plan</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new subsection 1.12 shall be added as follows:</w:t>
      </w:r>
    </w:p>
    <w:p>
      <w:pPr>
        <w:spacing w:after="0" w:line="207"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1.12 "Change of Control" shall have the meaning set forth in Section 4.04.</w:t>
      </w:r>
    </w:p>
    <w:p>
      <w:pPr>
        <w:spacing w:after="0" w:line="200" w:lineRule="exact"/>
        <w:rPr>
          <w:sz w:val="20"/>
          <w:szCs w:val="20"/>
          <w:color w:val="auto"/>
        </w:rPr>
      </w:pPr>
    </w:p>
    <w:p>
      <w:pPr>
        <w:spacing w:after="0" w:line="211" w:lineRule="exact"/>
        <w:rPr>
          <w:sz w:val="20"/>
          <w:szCs w:val="20"/>
          <w:color w:val="auto"/>
        </w:rPr>
      </w:pPr>
    </w:p>
    <w:p>
      <w:pPr>
        <w:ind w:right="4619" w:firstLine="8"/>
        <w:spacing w:after="0" w:line="470" w:lineRule="auto"/>
        <w:tabs>
          <w:tab w:leader="none" w:pos="52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new subsection 4.04 shall be added as follows: 4.04 VESTING OF BENEFIT</w:t>
      </w:r>
    </w:p>
    <w:p>
      <w:pPr>
        <w:spacing w:after="0" w:line="12"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In the event of a Change of Control, all Outside Directors serving on the Board of Directors at the time of the Change of Control shall be immediately vested and entitled to an Annual Benefit Amount for each year (or if less than one year, for each fraction of a year to the nearest quarter) of consecutive service. For purposes of this Plan, Change of Control herein shall be deemed to have occurred if any of the following events occur:</w:t>
      </w:r>
    </w:p>
    <w:p>
      <w:pPr>
        <w:spacing w:after="0" w:line="212" w:lineRule="exact"/>
        <w:rPr>
          <w:sz w:val="20"/>
          <w:szCs w:val="20"/>
          <w:color w:val="auto"/>
        </w:rPr>
      </w:pPr>
    </w:p>
    <w:p>
      <w:pPr>
        <w:ind w:right="3479" w:firstLine="8"/>
        <w:spacing w:after="0" w:line="270" w:lineRule="auto"/>
        <w:tabs>
          <w:tab w:leader="none" w:pos="52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as such term is used in Sections 13(d)(3) and 14(d)(2) of the Securities Exchange Act of 1934, as amended ("Exchange Act") or any successor provisions, other than a trustee or other fiduciary holding securities under the Plan or any other employee benefit plan of the Company or an Affiliate, becomes the "beneficial owner" (as defined in Rule 13d-3 under the Exchange Act or any successor provision), directly or indirectly, of securities of the Company representing fifteen percent (15%) or more of the combined voting power of the Company's then outstanding securities (unless the event causing the fifteen (15%) threshold to be crossed is an acquisition of securities directly from the Company).</w:t>
      </w:r>
    </w:p>
    <w:p>
      <w:pPr>
        <w:spacing w:after="0" w:line="390" w:lineRule="exact"/>
        <w:rPr>
          <w:rFonts w:ascii="Courier New" w:cs="Courier New" w:eastAsia="Courier New" w:hAnsi="Courier New"/>
          <w:sz w:val="16"/>
          <w:szCs w:val="16"/>
          <w:color w:val="auto"/>
        </w:rPr>
      </w:pPr>
    </w:p>
    <w:p>
      <w:pPr>
        <w:ind w:right="3479" w:firstLine="8"/>
        <w:spacing w:after="0" w:line="238" w:lineRule="auto"/>
        <w:tabs>
          <w:tab w:leader="none" w:pos="52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period of two consecutive years (not including any period prior to the adoption of this Trust Agreement), individuals who at the beginning of such period constitute the Board of Directors of the Company ("the Board"), and any new director (other than a director designated by a person who has entered into an agreement with the Company to effect a transaction described in paragraph (1) or (3) of this paragraph (d)) whose nomination by the Board or election by the Company's shareholders was approved by a vote of at least two-thirds (2/3) of the directors then still in office who either were directors at the beginning of the period or whose election or nomination for election was previously so approved (the "Continuing Directors"), cease for any reason to constitute at least a majority thereof.</w:t>
      </w:r>
    </w:p>
    <w:p>
      <w:pPr>
        <w:spacing w:after="0" w:line="207" w:lineRule="exact"/>
        <w:rPr>
          <w:rFonts w:ascii="Courier New" w:cs="Courier New" w:eastAsia="Courier New" w:hAnsi="Courier New"/>
          <w:sz w:val="18"/>
          <w:szCs w:val="18"/>
          <w:color w:val="auto"/>
        </w:rPr>
      </w:pPr>
    </w:p>
    <w:p>
      <w:pPr>
        <w:ind w:right="3579" w:firstLine="8"/>
        <w:spacing w:after="0" w:line="271" w:lineRule="auto"/>
        <w:tabs>
          <w:tab w:leader="none" w:pos="52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combined voting power of the voting securities of the Company or such surviving entity outstanding immediately after such merger or consolidation.</w:t>
      </w:r>
    </w:p>
    <w:p>
      <w:pPr>
        <w:spacing w:after="0" w:line="183" w:lineRule="exact"/>
        <w:rPr>
          <w:rFonts w:ascii="Courier New" w:cs="Courier New" w:eastAsia="Courier New" w:hAnsi="Courier New"/>
          <w:sz w:val="16"/>
          <w:szCs w:val="16"/>
          <w:color w:val="auto"/>
        </w:rPr>
      </w:pPr>
    </w:p>
    <w:p>
      <w:pPr>
        <w:ind w:right="3579" w:firstLine="8"/>
        <w:spacing w:after="0" w:line="237" w:lineRule="auto"/>
        <w:tabs>
          <w:tab w:leader="none" w:pos="52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of the Company approve a plan of complete liquidation of the Company or an agreement for the sale or disposition of the Company of all or substantially all of the Company's assets.</w:t>
      </w:r>
    </w:p>
    <w:p>
      <w:pPr>
        <w:sectPr>
          <w:pgSz w:w="11900" w:h="16838" w:orient="portrait"/>
          <w:cols w:equalWidth="0" w:num="1">
            <w:col w:w="10219"/>
          </w:cols>
          <w:pgMar w:left="240" w:top="136" w:right="1440" w:bottom="0" w:gutter="0" w:footer="0" w:header="0"/>
        </w:sectPr>
      </w:pPr>
    </w:p>
    <w:bookmarkStart w:id="52" w:name="page53"/>
    <w:bookmarkEnd w:id="52"/>
    <w:p>
      <w:pPr>
        <w:ind w:right="3359"/>
        <w:spacing w:after="0" w:line="237" w:lineRule="auto"/>
        <w:rPr>
          <w:sz w:val="20"/>
          <w:szCs w:val="20"/>
          <w:color w:val="auto"/>
        </w:rPr>
      </w:pPr>
      <w:r>
        <w:rPr>
          <w:rFonts w:ascii="Courier New" w:cs="Courier New" w:eastAsia="Courier New" w:hAnsi="Courier New"/>
          <w:sz w:val="18"/>
          <w:szCs w:val="18"/>
          <w:color w:val="auto"/>
        </w:rPr>
        <w:t>Transactions described in this paragraph 4.04 shall not constitute Changes in Control if, immediately prior to the change in ownership, merger, consolidation, sale or other disposition, liquidation or change in the Board, the Board shall pass resolution approved by a vote of the majority of the Continuing Directors to the effect that it has determined that such transaction does not constitute a Change in Control within the intention of this paragraph 4.04. In addition, for purposes of this paragraph 4.04, if a Change in Control has occurred, no subsequent event shall result in another Change in Control.</w:t>
      </w:r>
    </w:p>
    <w:p>
      <w:pPr>
        <w:sectPr>
          <w:pgSz w:w="11900" w:h="16838" w:orient="portrait"/>
          <w:cols w:equalWidth="0" w:num="1">
            <w:col w:w="10219"/>
          </w:cols>
          <w:pgMar w:left="240" w:top="344" w:right="1440" w:bottom="1440" w:gutter="0" w:footer="0" w:header="0"/>
        </w:sectPr>
      </w:pPr>
    </w:p>
    <w:bookmarkStart w:id="53" w:name="page54"/>
    <w:bookmarkEnd w:id="53"/>
    <w:p>
      <w:pPr>
        <w:ind w:left="3060"/>
        <w:spacing w:after="0"/>
        <w:rPr>
          <w:sz w:val="20"/>
          <w:szCs w:val="20"/>
          <w:color w:val="auto"/>
        </w:rPr>
      </w:pPr>
      <w:r>
        <w:rPr>
          <w:rFonts w:ascii="Courier New" w:cs="Courier New" w:eastAsia="Courier New" w:hAnsi="Courier New"/>
          <w:sz w:val="18"/>
          <w:szCs w:val="18"/>
          <w:color w:val="auto"/>
        </w:rPr>
        <w:t>EXHIBIT 10(o)</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FIRST AMENDMENT TO EMPLOYMENT AGREEMENT</w:t>
      </w:r>
    </w:p>
    <w:p>
      <w:pPr>
        <w:spacing w:after="0" w:line="200" w:lineRule="exact"/>
        <w:rPr>
          <w:sz w:val="20"/>
          <w:szCs w:val="20"/>
          <w:color w:val="auto"/>
        </w:rPr>
      </w:pPr>
    </w:p>
    <w:p>
      <w:pPr>
        <w:spacing w:after="0" w:line="209" w:lineRule="exact"/>
        <w:rPr>
          <w:sz w:val="20"/>
          <w:szCs w:val="20"/>
          <w:color w:val="auto"/>
        </w:rPr>
      </w:pPr>
    </w:p>
    <w:p>
      <w:pPr>
        <w:ind w:right="3999" w:firstLine="640"/>
        <w:spacing w:after="0" w:line="279" w:lineRule="auto"/>
        <w:tabs>
          <w:tab w:leader="none" w:pos="105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PARTIES: The parties to this First Amendment to Employment Agreement ("Amendment") are Northrop Corporation ("Northrop") and Oliver C. Boileau ("Executive").</w:t>
      </w:r>
    </w:p>
    <w:p>
      <w:pPr>
        <w:spacing w:after="0" w:line="178" w:lineRule="exact"/>
        <w:rPr>
          <w:rFonts w:ascii="Courier New" w:cs="Courier New" w:eastAsia="Courier New" w:hAnsi="Courier New"/>
          <w:sz w:val="16"/>
          <w:szCs w:val="16"/>
          <w:color w:val="auto"/>
        </w:rPr>
      </w:pPr>
    </w:p>
    <w:p>
      <w:pPr>
        <w:ind w:right="3359" w:firstLine="640"/>
        <w:spacing w:after="0" w:line="235"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RECITALS: This Amendment is made with reference to the following facts:</w:t>
      </w:r>
    </w:p>
    <w:p>
      <w:pPr>
        <w:spacing w:after="0" w:line="208" w:lineRule="exact"/>
        <w:rPr>
          <w:sz w:val="20"/>
          <w:szCs w:val="20"/>
          <w:color w:val="auto"/>
        </w:rPr>
      </w:pPr>
    </w:p>
    <w:p>
      <w:pPr>
        <w:jc w:val="both"/>
        <w:ind w:right="3259" w:firstLine="632"/>
        <w:spacing w:after="0" w:line="279" w:lineRule="auto"/>
        <w:rPr>
          <w:sz w:val="20"/>
          <w:szCs w:val="20"/>
          <w:color w:val="auto"/>
        </w:rPr>
      </w:pPr>
      <w:r>
        <w:rPr>
          <w:rFonts w:ascii="Courier New" w:cs="Courier New" w:eastAsia="Courier New" w:hAnsi="Courier New"/>
          <w:sz w:val="16"/>
          <w:szCs w:val="16"/>
          <w:color w:val="auto"/>
        </w:rPr>
        <w:t>2.1 On October 18, 1989 Northrop and Executive entered into an Employment Agreement ("Agreement"), a copy of which is attached hereto as Exhibit A and incorporated herein by reference.</w:t>
      </w:r>
    </w:p>
    <w:p>
      <w:pPr>
        <w:spacing w:after="0" w:line="178" w:lineRule="exact"/>
        <w:rPr>
          <w:sz w:val="20"/>
          <w:szCs w:val="20"/>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2.2 Pursuant to the terms of the Agreement, Executive was employed by Northrop to serve as the President and General Manager of Northrop's B-2 Division from December 11, 1989 to December 10, 1994.</w:t>
      </w:r>
    </w:p>
    <w:p>
      <w:pPr>
        <w:spacing w:after="0" w:line="207"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2.3 Northrop has recently acquired the Grumman Corporation ("Grumman"), and now wishes Executive to serve as President of Grumman effective immediately.</w:t>
      </w:r>
    </w:p>
    <w:p>
      <w:pPr>
        <w:spacing w:after="0" w:line="209" w:lineRule="exact"/>
        <w:rPr>
          <w:sz w:val="20"/>
          <w:szCs w:val="20"/>
          <w:color w:val="auto"/>
        </w:rPr>
      </w:pPr>
    </w:p>
    <w:p>
      <w:pPr>
        <w:ind w:right="3039" w:firstLine="632"/>
        <w:spacing w:after="0" w:line="236" w:lineRule="auto"/>
        <w:rPr>
          <w:sz w:val="20"/>
          <w:szCs w:val="20"/>
          <w:color w:val="auto"/>
        </w:rPr>
      </w:pPr>
      <w:r>
        <w:rPr>
          <w:rFonts w:ascii="Courier New" w:cs="Courier New" w:eastAsia="Courier New" w:hAnsi="Courier New"/>
          <w:sz w:val="18"/>
          <w:szCs w:val="18"/>
          <w:color w:val="auto"/>
        </w:rPr>
        <w:t>2.4 Northrop wishes to provide certain additional benefits to Executive in consideration for his agreement to serve in this critical new assignment.</w:t>
      </w:r>
    </w:p>
    <w:p>
      <w:pPr>
        <w:spacing w:after="0" w:line="209" w:lineRule="exact"/>
        <w:rPr>
          <w:sz w:val="20"/>
          <w:szCs w:val="20"/>
          <w:color w:val="auto"/>
        </w:rPr>
      </w:pPr>
    </w:p>
    <w:p>
      <w:pPr>
        <w:ind w:right="3159" w:firstLine="632"/>
        <w:spacing w:after="0" w:line="237" w:lineRule="auto"/>
        <w:rPr>
          <w:sz w:val="20"/>
          <w:szCs w:val="20"/>
          <w:color w:val="auto"/>
        </w:rPr>
      </w:pPr>
      <w:r>
        <w:rPr>
          <w:rFonts w:ascii="Courier New" w:cs="Courier New" w:eastAsia="Courier New" w:hAnsi="Courier New"/>
          <w:sz w:val="18"/>
          <w:szCs w:val="18"/>
          <w:color w:val="auto"/>
        </w:rPr>
        <w:t>2.5 Accordingly, subject to the approval of Northrop's Board of Directors, the parties hereby agree to amend the Agreement, pursuant to Section 12 thereof, in accordance with the amendments set forth below.</w:t>
      </w:r>
    </w:p>
    <w:p>
      <w:pPr>
        <w:spacing w:after="0" w:line="207" w:lineRule="exact"/>
        <w:rPr>
          <w:sz w:val="20"/>
          <w:szCs w:val="20"/>
          <w:color w:val="auto"/>
        </w:rPr>
      </w:pPr>
    </w:p>
    <w:p>
      <w:pPr>
        <w:ind w:right="3259" w:firstLine="640"/>
        <w:spacing w:after="0" w:line="236"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Section 2 of the Agreement is hereby amended to extend the expiration date of the Agreement from December 10, 1994 to and including January 31, 1995.</w:t>
      </w:r>
    </w:p>
    <w:p>
      <w:pPr>
        <w:spacing w:after="0" w:line="208" w:lineRule="exact"/>
        <w:rPr>
          <w:rFonts w:ascii="Courier New" w:cs="Courier New" w:eastAsia="Courier New" w:hAnsi="Courier New"/>
          <w:sz w:val="18"/>
          <w:szCs w:val="18"/>
          <w:color w:val="auto"/>
        </w:rPr>
      </w:pPr>
    </w:p>
    <w:p>
      <w:pPr>
        <w:ind w:right="3039" w:firstLine="640"/>
        <w:spacing w:after="0" w:line="290" w:lineRule="auto"/>
        <w:tabs>
          <w:tab w:leader="none" w:pos="105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POSITION AND DUTIES: Section 3 of the Agreement is hereby amended by adding the following sentence at the end thereof:</w:t>
      </w:r>
    </w:p>
    <w:p>
      <w:pPr>
        <w:spacing w:after="0" w:line="170" w:lineRule="exact"/>
        <w:rPr>
          <w:sz w:val="20"/>
          <w:szCs w:val="20"/>
          <w:color w:val="auto"/>
        </w:rPr>
      </w:pPr>
    </w:p>
    <w:p>
      <w:pPr>
        <w:ind w:left="640" w:right="3259"/>
        <w:spacing w:after="0" w:line="236" w:lineRule="auto"/>
        <w:rPr>
          <w:sz w:val="20"/>
          <w:szCs w:val="20"/>
          <w:color w:val="auto"/>
        </w:rPr>
      </w:pPr>
      <w:r>
        <w:rPr>
          <w:rFonts w:ascii="Courier New" w:cs="Courier New" w:eastAsia="Courier New" w:hAnsi="Courier New"/>
          <w:sz w:val="18"/>
          <w:szCs w:val="18"/>
          <w:color w:val="auto"/>
        </w:rPr>
        <w:t>"For the period April 19, 1994 through January 31, 1995, Executive shall serve as President of Grumman in addition to his other job duties."</w:t>
      </w:r>
    </w:p>
    <w:p>
      <w:pPr>
        <w:spacing w:after="0" w:line="209" w:lineRule="exact"/>
        <w:rPr>
          <w:sz w:val="20"/>
          <w:szCs w:val="20"/>
          <w:color w:val="auto"/>
        </w:rPr>
      </w:pPr>
    </w:p>
    <w:p>
      <w:pPr>
        <w:ind w:right="3259" w:firstLine="640"/>
        <w:spacing w:after="0" w:line="235"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SALARY: Section 4 of the Agreement is hereby amended by adding the following sentence at the end thereof:</w:t>
      </w:r>
    </w:p>
    <w:p>
      <w:pPr>
        <w:spacing w:after="0" w:line="208" w:lineRule="exact"/>
        <w:rPr>
          <w:sz w:val="20"/>
          <w:szCs w:val="20"/>
          <w:color w:val="auto"/>
        </w:rPr>
      </w:pPr>
    </w:p>
    <w:p>
      <w:pPr>
        <w:ind w:left="640" w:right="3359"/>
        <w:spacing w:after="0" w:line="236" w:lineRule="auto"/>
        <w:rPr>
          <w:sz w:val="20"/>
          <w:szCs w:val="20"/>
          <w:color w:val="auto"/>
        </w:rPr>
      </w:pPr>
      <w:r>
        <w:rPr>
          <w:rFonts w:ascii="Courier New" w:cs="Courier New" w:eastAsia="Courier New" w:hAnsi="Courier New"/>
          <w:sz w:val="18"/>
          <w:szCs w:val="18"/>
          <w:color w:val="auto"/>
        </w:rPr>
        <w:t>"For the period April 19, 1994 through January 31, 1995, Executive shall be paid a base salary of $41,667 per month, equivalent to $500,000 per year."</w:t>
      </w:r>
    </w:p>
    <w:p>
      <w:pPr>
        <w:spacing w:after="0" w:line="209" w:lineRule="exact"/>
        <w:rPr>
          <w:sz w:val="20"/>
          <w:szCs w:val="20"/>
          <w:color w:val="auto"/>
        </w:rPr>
      </w:pPr>
    </w:p>
    <w:p>
      <w:pPr>
        <w:ind w:right="3159" w:firstLine="640"/>
        <w:spacing w:after="0" w:line="290" w:lineRule="auto"/>
        <w:tabs>
          <w:tab w:leader="none" w:pos="105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 TERM INCENTIVE PLAN: Section 6 of the Agreement is hereby amended by adding the following sentence at the end thereof:</w:t>
      </w:r>
    </w:p>
    <w:p>
      <w:pPr>
        <w:spacing w:after="0" w:line="170" w:lineRule="exact"/>
        <w:rPr>
          <w:sz w:val="20"/>
          <w:szCs w:val="20"/>
          <w:color w:val="auto"/>
        </w:rPr>
      </w:pPr>
    </w:p>
    <w:p>
      <w:pPr>
        <w:ind w:left="640" w:right="3259"/>
        <w:spacing w:after="0" w:line="237" w:lineRule="auto"/>
        <w:rPr>
          <w:sz w:val="20"/>
          <w:szCs w:val="20"/>
          <w:color w:val="auto"/>
        </w:rPr>
      </w:pPr>
      <w:r>
        <w:rPr>
          <w:rFonts w:ascii="Courier New" w:cs="Courier New" w:eastAsia="Courier New" w:hAnsi="Courier New"/>
          <w:sz w:val="18"/>
          <w:szCs w:val="18"/>
          <w:color w:val="auto"/>
        </w:rPr>
        <w:t>"In consideration for his acceptance of the Grumman assignment, Northrop's management shall recommend to the Northrop Board of Directors that Executive receive 15,000 Northrop stock options pursuant to the terms of Northrop's 1993 Long Term Incentive Stock Plan, with all of the options to vest on January 31, 1995."</w:t>
      </w:r>
    </w:p>
    <w:p>
      <w:pPr>
        <w:spacing w:after="0" w:line="210" w:lineRule="exact"/>
        <w:rPr>
          <w:sz w:val="20"/>
          <w:szCs w:val="20"/>
          <w:color w:val="auto"/>
        </w:rPr>
      </w:pPr>
    </w:p>
    <w:p>
      <w:pPr>
        <w:ind w:right="3359" w:firstLine="640"/>
        <w:spacing w:after="0" w:line="236"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SECTION: The Agreement is hereby amended by adding the following new Section 8.5 immediately following Section 8, "Housing Assistance":</w:t>
      </w:r>
    </w:p>
    <w:p>
      <w:pPr>
        <w:spacing w:after="0" w:line="209"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"8.5 SPECIAL HOUSING AND EXPENSE PROVISIONS FOR GRUMMAN ASSIGNMENT: In consideration of Executive's acceptance of the Grumman assignment, he will be provided with the following special benefits:</w:t>
      </w:r>
    </w:p>
    <w:p>
      <w:pPr>
        <w:spacing w:after="0" w:line="207" w:lineRule="exact"/>
        <w:rPr>
          <w:sz w:val="20"/>
          <w:szCs w:val="20"/>
          <w:color w:val="auto"/>
        </w:rPr>
      </w:pPr>
    </w:p>
    <w:p>
      <w:pPr>
        <w:ind w:left="640" w:right="3159"/>
        <w:spacing w:after="0" w:line="279" w:lineRule="auto"/>
        <w:rPr>
          <w:sz w:val="20"/>
          <w:szCs w:val="20"/>
          <w:color w:val="auto"/>
        </w:rPr>
      </w:pPr>
      <w:r>
        <w:rPr>
          <w:rFonts w:ascii="Courier New" w:cs="Courier New" w:eastAsia="Courier New" w:hAnsi="Courier New"/>
          <w:sz w:val="16"/>
          <w:szCs w:val="16"/>
          <w:color w:val="auto"/>
        </w:rPr>
        <w:t>8.5.1 Northrop will purchase Executive's home in Long Beach, California for $1,025,000 in accordance with the valuation determined by the Los Angeles County Assessor for 1993.</w:t>
      </w:r>
    </w:p>
    <w:p>
      <w:pPr>
        <w:spacing w:after="0" w:line="178" w:lineRule="exact"/>
        <w:rPr>
          <w:sz w:val="20"/>
          <w:szCs w:val="20"/>
          <w:color w:val="auto"/>
        </w:rPr>
      </w:pPr>
    </w:p>
    <w:p>
      <w:pPr>
        <w:ind w:left="640" w:right="3779"/>
        <w:spacing w:after="0" w:line="279" w:lineRule="auto"/>
        <w:rPr>
          <w:sz w:val="20"/>
          <w:szCs w:val="20"/>
          <w:color w:val="auto"/>
        </w:rPr>
      </w:pPr>
      <w:r>
        <w:rPr>
          <w:rFonts w:ascii="Courier New" w:cs="Courier New" w:eastAsia="Courier New" w:hAnsi="Courier New"/>
          <w:sz w:val="16"/>
          <w:szCs w:val="16"/>
          <w:color w:val="auto"/>
        </w:rPr>
        <w:t>8.5.2 Northrop will provide Executive with a furnished condominium or town house in the Long Island area at Northrop's expense through January 31, 1995.</w:t>
      </w:r>
    </w:p>
    <w:p>
      <w:pPr>
        <w:spacing w:after="0" w:line="178" w:lineRule="exact"/>
        <w:rPr>
          <w:sz w:val="20"/>
          <w:szCs w:val="20"/>
          <w:color w:val="auto"/>
        </w:rPr>
      </w:pPr>
    </w:p>
    <w:p>
      <w:pPr>
        <w:ind w:left="640" w:right="3039"/>
        <w:spacing w:after="0" w:line="290" w:lineRule="auto"/>
        <w:rPr>
          <w:sz w:val="20"/>
          <w:szCs w:val="20"/>
          <w:color w:val="auto"/>
        </w:rPr>
      </w:pPr>
      <w:r>
        <w:rPr>
          <w:rFonts w:ascii="Courier New" w:cs="Courier New" w:eastAsia="Courier New" w:hAnsi="Courier New"/>
          <w:sz w:val="16"/>
          <w:szCs w:val="16"/>
          <w:color w:val="auto"/>
        </w:rPr>
        <w:t>8.5.3 It is anticipated that Executive will arrange for the transportation of his household goods and automobiles from his</w:t>
      </w:r>
    </w:p>
    <w:p>
      <w:pPr>
        <w:sectPr>
          <w:pgSz w:w="11900" w:h="16838" w:orient="portrait"/>
          <w:cols w:equalWidth="0" w:num="1">
            <w:col w:w="10219"/>
          </w:cols>
          <w:pgMar w:left="240" w:top="136" w:right="1440" w:bottom="0" w:gutter="0" w:footer="0" w:header="0"/>
        </w:sectPr>
      </w:pPr>
    </w:p>
    <w:bookmarkStart w:id="54" w:name="page55"/>
    <w:bookmarkEnd w:id="54"/>
    <w:p>
      <w:pPr>
        <w:ind w:left="640" w:right="3159"/>
        <w:spacing w:after="0" w:line="237" w:lineRule="auto"/>
        <w:rPr>
          <w:sz w:val="20"/>
          <w:szCs w:val="20"/>
          <w:color w:val="auto"/>
        </w:rPr>
      </w:pPr>
      <w:r>
        <w:rPr>
          <w:rFonts w:ascii="Courier New" w:cs="Courier New" w:eastAsia="Courier New" w:hAnsi="Courier New"/>
          <w:sz w:val="18"/>
          <w:szCs w:val="18"/>
          <w:color w:val="auto"/>
        </w:rPr>
        <w:t>current home in Long Beach to locations in Wyoming and St. Louis, Missouri prior to May 31, 1994. Northrop will reimburse Executive for the actual and reasonable cost of transporting these goods, as well as for transporting certain personal effects to Long Island. In addition, Northrop will reimburse Executive for the actual and reasonable cost incurred by him for storing household goods in St. Louis and Wyoming through January 31, 1995.</w:t>
      </w:r>
    </w:p>
    <w:p>
      <w:pPr>
        <w:spacing w:after="0" w:line="212"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8.5.4 Executive will be provided with an automobile in Long Island at Northrop's expense through January 31, 1995. At Northrop's option, it will either pay to transport Executive's current company provided automobile to Long Island or lease a comparable automobile for him.</w:t>
      </w:r>
    </w:p>
    <w:p>
      <w:pPr>
        <w:spacing w:after="0" w:line="209"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8.5.5 It is anticipated that Executive may be required to stay at a hotel for a short period of time prior to moving into the Northrop provided condominium or town house. In such event, Northrop will reimburse Executive for actual and reasonable living expenses.</w:t>
      </w:r>
    </w:p>
    <w:p>
      <w:pPr>
        <w:spacing w:after="0" w:line="209" w:lineRule="exact"/>
        <w:rPr>
          <w:sz w:val="20"/>
          <w:szCs w:val="20"/>
          <w:color w:val="auto"/>
        </w:rPr>
      </w:pPr>
    </w:p>
    <w:p>
      <w:pPr>
        <w:jc w:val="both"/>
        <w:ind w:left="640" w:right="3479"/>
        <w:spacing w:after="0" w:line="236" w:lineRule="auto"/>
        <w:rPr>
          <w:sz w:val="20"/>
          <w:szCs w:val="20"/>
          <w:color w:val="auto"/>
        </w:rPr>
      </w:pPr>
      <w:r>
        <w:rPr>
          <w:rFonts w:ascii="Courier New" w:cs="Courier New" w:eastAsia="Courier New" w:hAnsi="Courier New"/>
          <w:sz w:val="18"/>
          <w:szCs w:val="18"/>
          <w:color w:val="auto"/>
        </w:rPr>
        <w:t>8.5.6 Northrop will reimburse Executive for the following miscellaneous costs incurred by him in connection with his Grumman assignment:</w:t>
      </w:r>
    </w:p>
    <w:p>
      <w:pPr>
        <w:spacing w:after="0" w:line="209" w:lineRule="exact"/>
        <w:rPr>
          <w:sz w:val="20"/>
          <w:szCs w:val="20"/>
          <w:color w:val="auto"/>
        </w:rPr>
      </w:pPr>
    </w:p>
    <w:p>
      <w:pPr>
        <w:ind w:left="640" w:right="3039"/>
        <w:spacing w:after="0" w:line="272" w:lineRule="auto"/>
        <w:tabs>
          <w:tab w:leader="none" w:pos="106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differential between the state and local income taxes paid by him for tax year 1994 as a result of this assignment and those which would have been paid by him had he remained in California. This differential shall be provided to Executive on a "grossed up" basis, with the "grossed up" amount to be based on the highest statutory tax rate for each jurisdiction.</w:t>
      </w:r>
    </w:p>
    <w:p>
      <w:pPr>
        <w:spacing w:after="0" w:line="185" w:lineRule="exact"/>
        <w:rPr>
          <w:rFonts w:ascii="Courier New" w:cs="Courier New" w:eastAsia="Courier New" w:hAnsi="Courier New"/>
          <w:sz w:val="16"/>
          <w:szCs w:val="16"/>
          <w:color w:val="auto"/>
        </w:rPr>
      </w:pPr>
    </w:p>
    <w:p>
      <w:pPr>
        <w:ind w:left="640" w:right="3579"/>
        <w:spacing w:after="0" w:line="236" w:lineRule="auto"/>
        <w:tabs>
          <w:tab w:leader="none" w:pos="116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and reasonable accounting fees incurred by Executive for preparing his 1994 California, New York and federal tax returns.</w:t>
      </w:r>
    </w:p>
    <w:p>
      <w:pPr>
        <w:spacing w:after="0" w:line="208" w:lineRule="exact"/>
        <w:rPr>
          <w:rFonts w:ascii="Courier New" w:cs="Courier New" w:eastAsia="Courier New" w:hAnsi="Courier New"/>
          <w:sz w:val="18"/>
          <w:szCs w:val="18"/>
          <w:color w:val="auto"/>
        </w:rPr>
      </w:pPr>
    </w:p>
    <w:p>
      <w:pPr>
        <w:ind w:left="640" w:right="3039"/>
        <w:spacing w:after="0" w:line="237" w:lineRule="auto"/>
        <w:tabs>
          <w:tab w:leader="none" w:pos="127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and reasonable costs for the connection of utility services (telephone, gas, electric, water, and cable television) at the condominium or town house to be provided to Executive.</w:t>
      </w:r>
    </w:p>
    <w:p>
      <w:pPr>
        <w:spacing w:after="0" w:line="207" w:lineRule="exact"/>
        <w:rPr>
          <w:rFonts w:ascii="Courier New" w:cs="Courier New" w:eastAsia="Courier New" w:hAnsi="Courier New"/>
          <w:sz w:val="18"/>
          <w:szCs w:val="18"/>
          <w:color w:val="auto"/>
        </w:rPr>
      </w:pPr>
    </w:p>
    <w:p>
      <w:pPr>
        <w:jc w:val="both"/>
        <w:ind w:left="640" w:right="3259"/>
        <w:spacing w:after="0" w:line="279" w:lineRule="auto"/>
        <w:tabs>
          <w:tab w:leader="none" w:pos="1167"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actual and reasonable monthly utility costs incurred by Executive at the Northrop provided condominium or town house for telephone, gas, electric, water, and cable television."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DATED:____________________</w:t>
      </w:r>
      <w:r>
        <w:rPr>
          <w:sz w:val="20"/>
          <w:szCs w:val="20"/>
          <w:color w:val="auto"/>
        </w:rPr>
        <w:tab/>
      </w:r>
      <w:r>
        <w:rPr>
          <w:rFonts w:ascii="Courier New" w:cs="Courier New" w:eastAsia="Courier New" w:hAnsi="Courier New"/>
          <w:sz w:val="16"/>
          <w:szCs w:val="16"/>
          <w:color w:val="auto"/>
        </w:rPr>
        <w:t>OLIVER C. BOILEAU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DATED:____________________</w:t>
      </w:r>
      <w:r>
        <w:rPr>
          <w:sz w:val="20"/>
          <w:szCs w:val="20"/>
          <w:color w:val="auto"/>
        </w:rPr>
        <w:tab/>
      </w:r>
      <w:r>
        <w:rPr>
          <w:rFonts w:ascii="Courier New" w:cs="Courier New" w:eastAsia="Courier New" w:hAnsi="Courier New"/>
          <w:sz w:val="16"/>
          <w:szCs w:val="16"/>
          <w:color w:val="auto"/>
        </w:rPr>
        <w:t>NORTHROP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By_____________________________</w:t>
      </w:r>
    </w:p>
    <w:p>
      <w:pPr>
        <w:ind w:left="3160"/>
        <w:spacing w:after="0" w:line="238" w:lineRule="auto"/>
        <w:rPr>
          <w:sz w:val="20"/>
          <w:szCs w:val="20"/>
          <w:color w:val="auto"/>
        </w:rPr>
      </w:pPr>
      <w:r>
        <w:rPr>
          <w:rFonts w:ascii="Courier New" w:cs="Courier New" w:eastAsia="Courier New" w:hAnsi="Courier New"/>
          <w:sz w:val="18"/>
          <w:szCs w:val="18"/>
          <w:color w:val="auto"/>
        </w:rPr>
        <w:t>Marvin Elkin</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Corporate Vice President and Chief Human</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Resources and Administrative Officer</w:t>
      </w:r>
    </w:p>
    <w:p>
      <w:pPr>
        <w:sectPr>
          <w:pgSz w:w="11900" w:h="16838" w:orient="portrait"/>
          <w:cols w:equalWidth="0" w:num="1">
            <w:col w:w="10219"/>
          </w:cols>
          <w:pgMar w:left="240" w:top="142"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EXHIBIT 10(q)</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PLAN FOR AMENDMENT TO 1993 NON-EMPLOYEE DIRECTORS</w:t>
      </w:r>
    </w:p>
    <w:p>
      <w:pPr>
        <w:spacing w:after="0" w:line="201"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Grants</w:t>
      </w:r>
    </w:p>
    <w:p>
      <w:pPr>
        <w:spacing w:after="0" w:line="20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The annual cash retainer payable to each Eligible Director for services as a director, excluding any fees payable for meetings of the Board or Board committees or for extraordinary services, shall be payable partly in shares of common stock as provided under the Plan. Accordingly, for Plan purposes only, the amount of the annual retainer payable to each Eligible Director in cash shall be reduced by 30%. As soon as practicable, but no later than 30 days following the end of each calendar year of the Plan, each Eligible Director shall automatically be granted a number of shares of common stock having a Fair Market Value equal to 30% of the annual retainer earned for the prior year ("stock retainer portion"). Notwithstanding the foregoing, for the first calendar year of the Plan in which the amount of the annual retainer payable in cash or stock is adjusted, each Eligible Director shall receive an adjusted payment in shares under this Section 8 as is appropriate.</w:t>
      </w:r>
    </w:p>
    <w:p>
      <w:pPr>
        <w:sectPr>
          <w:pgSz w:w="11900" w:h="16838" w:orient="portrait"/>
          <w:cols w:equalWidth="0" w:num="1">
            <w:col w:w="10219"/>
          </w:cols>
          <w:pgMar w:left="240" w:top="136" w:right="1440" w:bottom="1440" w:gutter="0" w:footer="0" w:header="0"/>
        </w:sectPr>
      </w:pPr>
    </w:p>
    <w:bookmarkStart w:id="56" w:name="page57"/>
    <w:bookmarkEnd w:id="56"/>
    <w:p>
      <w:pPr>
        <w:ind w:left="2960"/>
        <w:spacing w:after="0"/>
        <w:rPr>
          <w:sz w:val="20"/>
          <w:szCs w:val="20"/>
          <w:color w:val="auto"/>
        </w:rPr>
      </w:pPr>
      <w:r>
        <w:rPr>
          <w:rFonts w:ascii="Courier New" w:cs="Courier New" w:eastAsia="Courier New" w:hAnsi="Courier New"/>
          <w:sz w:val="18"/>
          <w:szCs w:val="18"/>
          <w:color w:val="auto"/>
        </w:rPr>
        <w:t>EXHIBIT 10(s)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EMPLOYMENT AGREEMENT</w:t>
      </w:r>
    </w:p>
    <w:p>
      <w:pPr>
        <w:spacing w:after="0" w:line="200" w:lineRule="exact"/>
        <w:rPr>
          <w:sz w:val="20"/>
          <w:szCs w:val="20"/>
          <w:color w:val="auto"/>
        </w:rPr>
      </w:pPr>
    </w:p>
    <w:p>
      <w:pPr>
        <w:spacing w:after="0" w:line="209"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This Agreement is entered into effective as of October 14, 1993, by and between Vought Aircraft Company, a Delaware corporation ("Vought"), and Gordon L. Williams ("Williams"), an individual residing in Tarrant County, Texas.</w:t>
      </w:r>
    </w:p>
    <w:p>
      <w:pPr>
        <w:spacing w:after="0" w:line="207" w:lineRule="exact"/>
        <w:rPr>
          <w:sz w:val="20"/>
          <w:szCs w:val="20"/>
          <w:color w:val="auto"/>
        </w:rPr>
      </w:pPr>
    </w:p>
    <w:p>
      <w:pPr>
        <w:ind w:right="3579" w:firstLine="527"/>
        <w:spacing w:after="0" w:line="236" w:lineRule="auto"/>
        <w:rPr>
          <w:sz w:val="20"/>
          <w:szCs w:val="20"/>
          <w:color w:val="auto"/>
        </w:rPr>
      </w:pPr>
      <w:r>
        <w:rPr>
          <w:rFonts w:ascii="Courier New" w:cs="Courier New" w:eastAsia="Courier New" w:hAnsi="Courier New"/>
          <w:sz w:val="18"/>
          <w:szCs w:val="18"/>
          <w:color w:val="auto"/>
        </w:rPr>
        <w:t>WHEREAS, Vought desires to continue to employ Williams and Williams desires to continue to be employed by Vought upon the terms and conditions set forth herein;</w:t>
      </w:r>
    </w:p>
    <w:p>
      <w:pPr>
        <w:spacing w:after="0" w:line="209"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NOW, THEREFORE, in consideration of the premises and mutual covenants contained herein, it is agreed as follows:</w:t>
      </w:r>
    </w:p>
    <w:p>
      <w:pPr>
        <w:spacing w:after="0" w:line="203" w:lineRule="exact"/>
        <w:rPr>
          <w:sz w:val="20"/>
          <w:szCs w:val="20"/>
          <w:color w:val="auto"/>
        </w:rPr>
      </w:pPr>
    </w:p>
    <w:p>
      <w:pPr>
        <w:ind w:left="1060" w:hanging="525"/>
        <w:spacing w:after="0"/>
        <w:tabs>
          <w:tab w:leader="none" w:pos="10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Vought hereby offers to continue to employ Williams as President and Chief Executive Officer, and Williams hereby accepts continued employment by Vought, upon the terms and conditions herein set forth.</w:t>
      </w:r>
    </w:p>
    <w:p>
      <w:pPr>
        <w:spacing w:after="0" w:line="202" w:lineRule="exact"/>
        <w:rPr>
          <w:sz w:val="20"/>
          <w:szCs w:val="20"/>
          <w:color w:val="auto"/>
        </w:rPr>
      </w:pPr>
    </w:p>
    <w:p>
      <w:pPr>
        <w:ind w:left="1060" w:hanging="525"/>
        <w:spacing w:after="0"/>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term of this Agreement shall commence as of October 14, 1993, and, subject to the provisions of paragraph 6 below, shall expire on January 1, 1996, unless sooner terminated as hereinafter set forth.</w:t>
      </w:r>
    </w:p>
    <w:p>
      <w:pPr>
        <w:spacing w:after="0" w:line="202" w:lineRule="exact"/>
        <w:rPr>
          <w:sz w:val="20"/>
          <w:szCs w:val="20"/>
          <w:color w:val="auto"/>
        </w:rPr>
      </w:pPr>
    </w:p>
    <w:p>
      <w:pPr>
        <w:ind w:left="1060" w:hanging="525"/>
        <w:spacing w:after="0"/>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Williams will, during the term hereof:</w:t>
      </w:r>
    </w:p>
    <w:p>
      <w:pPr>
        <w:spacing w:after="0" w:line="206" w:lineRule="exact"/>
        <w:rPr>
          <w:rFonts w:ascii="Courier New" w:cs="Courier New" w:eastAsia="Courier New" w:hAnsi="Courier New"/>
          <w:sz w:val="18"/>
          <w:szCs w:val="18"/>
          <w:color w:val="auto"/>
        </w:rPr>
      </w:pPr>
    </w:p>
    <w:p>
      <w:pPr>
        <w:ind w:left="540" w:right="3359" w:firstLine="521"/>
        <w:spacing w:after="0" w:line="237" w:lineRule="auto"/>
        <w:tabs>
          <w:tab w:leader="none" w:pos="148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Faithfully and diligently do and perform all such acts and duties and furnish such services as the Board of Directors of VAC Acquisition Corp., parent company of Vought ("VAC Board"), or the Board of Directors of Vought ("Vought Board") shall direct, and do and perform all acts in the ordinary course of Vought's business (within such limits as the VAC Board or the Vought Board may prescribe) necessary and conducive to Vought's best interests; and</w:t>
      </w:r>
    </w:p>
    <w:p>
      <w:pPr>
        <w:spacing w:after="0" w:line="212" w:lineRule="exact"/>
        <w:rPr>
          <w:rFonts w:ascii="Courier New" w:cs="Courier New" w:eastAsia="Courier New" w:hAnsi="Courier New"/>
          <w:sz w:val="18"/>
          <w:szCs w:val="18"/>
          <w:color w:val="auto"/>
        </w:rPr>
      </w:pPr>
    </w:p>
    <w:p>
      <w:pPr>
        <w:ind w:left="540" w:right="3479" w:firstLine="521"/>
        <w:spacing w:after="0" w:line="237" w:lineRule="auto"/>
        <w:tabs>
          <w:tab w:leader="none" w:pos="148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Devote his full time, energy and skill to the business of Vought and to the promotion of Vought's best interests, except for vacations and absences made necessary because of illness.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spacing w:after="0" w:line="206" w:lineRule="exact"/>
        <w:rPr>
          <w:rFonts w:ascii="Courier New" w:cs="Courier New" w:eastAsia="Courier New" w:hAnsi="Courier New"/>
          <w:sz w:val="18"/>
          <w:szCs w:val="18"/>
          <w:color w:val="auto"/>
        </w:rPr>
      </w:pPr>
    </w:p>
    <w:p>
      <w:pPr>
        <w:ind w:left="540" w:right="3359" w:firstLine="521"/>
        <w:spacing w:after="0" w:line="238" w:lineRule="auto"/>
        <w:tabs>
          <w:tab w:leader="none" w:pos="148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subparagraph 4(b) and paragraph 5 below, Vought shall pay to Williams for all services to be performed by him during the term of this Agreement: (i) a fixed salary at the rate of $309,276.00 per annum through December 31, 1993, and $420,000.00 per annum effective January 1, 1994, payable in periodic payments in accordance with Vought's practices for other executive and managerial employees, as such practices may be determined from time to time. The Vought Board (or its delegate) or VAC Board (or its delegate), as the case may be, will review such fixed salary annually and, in its discretion, may grant increases thereof based upon Williams' performance; and (ii) any additional incentive compensation under the Vought Aircraft Variable Incentive Compensation Plan or any successor or replacement plan ("Variable Compensation Plan") as the VAC Board (or its delegate) in its discretion may from time to time determine. Williams shall be assigned a target level of 60% for purposes of the Variable Compensation Plan, which target level may be increased by the VAC Board (or its delegate) in its discretion.</w:t>
      </w:r>
    </w:p>
    <w:p>
      <w:pPr>
        <w:spacing w:after="0" w:line="210" w:lineRule="exact"/>
        <w:rPr>
          <w:sz w:val="20"/>
          <w:szCs w:val="20"/>
          <w:color w:val="auto"/>
        </w:rPr>
      </w:pPr>
    </w:p>
    <w:p>
      <w:pPr>
        <w:ind w:left="540" w:right="3679" w:firstLine="948"/>
        <w:spacing w:after="0" w:line="237" w:lineRule="auto"/>
        <w:rPr>
          <w:sz w:val="20"/>
          <w:szCs w:val="20"/>
          <w:color w:val="auto"/>
        </w:rPr>
      </w:pPr>
      <w:r>
        <w:rPr>
          <w:rFonts w:ascii="Courier New" w:cs="Courier New" w:eastAsia="Courier New" w:hAnsi="Courier New"/>
          <w:sz w:val="18"/>
          <w:szCs w:val="18"/>
          <w:color w:val="auto"/>
        </w:rPr>
        <w:t>All such payments will be subject to such deductions as may be required to be made pursuant to law, government regulation or order, or by agreement with, or consent of, Williams.</w:t>
      </w:r>
    </w:p>
    <w:p>
      <w:pPr>
        <w:spacing w:after="0" w:line="207" w:lineRule="exact"/>
        <w:rPr>
          <w:sz w:val="20"/>
          <w:szCs w:val="20"/>
          <w:color w:val="auto"/>
        </w:rPr>
      </w:pPr>
    </w:p>
    <w:p>
      <w:pPr>
        <w:jc w:val="both"/>
        <w:ind w:left="540" w:right="3479" w:firstLine="521"/>
        <w:spacing w:after="0" w:line="279" w:lineRule="auto"/>
        <w:tabs>
          <w:tab w:leader="none" w:pos="148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Williams incurs a disability during the term of this Agreement which would make him eligible to receive the disability benefits provided for under the Vought Aircraft</w:t>
      </w:r>
    </w:p>
    <w:p>
      <w:pPr>
        <w:sectPr>
          <w:pgSz w:w="11900" w:h="16838" w:orient="portrait"/>
          <w:cols w:equalWidth="0" w:num="1">
            <w:col w:w="10219"/>
          </w:cols>
          <w:pgMar w:left="240" w:top="136" w:right="1440" w:bottom="0" w:gutter="0" w:footer="0" w:header="0"/>
        </w:sectPr>
      </w:pPr>
    </w:p>
    <w:bookmarkStart w:id="57" w:name="page58"/>
    <w:bookmarkEnd w:id="57"/>
    <w:p>
      <w:pPr>
        <w:ind w:left="5" w:right="3359"/>
        <w:spacing w:after="0" w:line="273" w:lineRule="auto"/>
        <w:rPr>
          <w:sz w:val="20"/>
          <w:szCs w:val="20"/>
          <w:color w:val="auto"/>
        </w:rPr>
      </w:pPr>
      <w:r>
        <w:rPr>
          <w:rFonts w:ascii="Courier New" w:cs="Courier New" w:eastAsia="Courier New" w:hAnsi="Courier New"/>
          <w:sz w:val="16"/>
          <w:szCs w:val="16"/>
          <w:color w:val="auto"/>
        </w:rPr>
        <w:t>Supplemental Executive Retirement Plan and Vought's disability income plan, then the payment of Williams' fixed salary pursuant to subparagraph 4(a) above shall be suspended for the period of time during which Williams remains entitled to the payment of such disability benefits.</w:t>
      </w:r>
    </w:p>
    <w:p>
      <w:pPr>
        <w:spacing w:after="0" w:line="185" w:lineRule="exact"/>
        <w:rPr>
          <w:sz w:val="20"/>
          <w:szCs w:val="20"/>
          <w:color w:val="auto"/>
        </w:rPr>
      </w:pPr>
    </w:p>
    <w:p>
      <w:pPr>
        <w:ind w:left="5" w:right="3479" w:firstLine="948"/>
        <w:spacing w:after="0" w:line="237" w:lineRule="auto"/>
        <w:rPr>
          <w:sz w:val="20"/>
          <w:szCs w:val="20"/>
          <w:color w:val="auto"/>
        </w:rPr>
      </w:pPr>
      <w:r>
        <w:rPr>
          <w:rFonts w:ascii="Courier New" w:cs="Courier New" w:eastAsia="Courier New" w:hAnsi="Courier New"/>
          <w:sz w:val="18"/>
          <w:szCs w:val="18"/>
          <w:color w:val="auto"/>
        </w:rPr>
        <w:t>Williams' fixed salary and/or incentive compensation payable pursuant to subparagraph 4(a) above shall be reduced by the amount of any annuity payments made to Williams during the term of this Agreement under the Vought Aircraft Supplemental Executive Retirement Plan, in the manner determined by the Compensation Committee of the VAC Board (or its successor) in its sole and absolute discretion.</w:t>
      </w:r>
    </w:p>
    <w:p>
      <w:pPr>
        <w:spacing w:after="0" w:line="212" w:lineRule="exact"/>
        <w:rPr>
          <w:sz w:val="20"/>
          <w:szCs w:val="20"/>
          <w:color w:val="auto"/>
        </w:rPr>
      </w:pPr>
    </w:p>
    <w:p>
      <w:pPr>
        <w:ind w:left="5" w:right="3359" w:firstLine="521"/>
        <w:spacing w:after="0" w:line="269" w:lineRule="auto"/>
        <w:tabs>
          <w:tab w:leader="none" w:pos="953"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payments set forth above, Vought agrees that during the term of this Agreement: (i) Williams shall continue to be a participant in the Vought Aircraft Supplemental Executive Retirement Plan (or any successor or replacement plan with substantially identical benefits); (ii) Williams shall be entitled to participate in any group life insurance, medical, dental, disability, vacation, pension, profit sharing or other employee benefit plan, compensation program, or perquisites maintained by Vought during the term of this Agreement and which is available to officers of Vought, but excluding, however, the LTV Key Employee Retention Plan and the Vought Key Employee Retention Plan; and (iii) Williams shall be entitled to reimbursement by Vought for all reasonable expenses actually and necessarily incurred by him on its behalf in the course of his employment hereunder.</w:t>
      </w:r>
    </w:p>
    <w:p>
      <w:pPr>
        <w:spacing w:after="0" w:line="390" w:lineRule="exact"/>
        <w:rPr>
          <w:rFonts w:ascii="Courier New" w:cs="Courier New" w:eastAsia="Courier New" w:hAnsi="Courier New"/>
          <w:sz w:val="16"/>
          <w:szCs w:val="16"/>
          <w:color w:val="auto"/>
        </w:rPr>
      </w:pPr>
    </w:p>
    <w:p>
      <w:pPr>
        <w:ind w:left="525" w:hanging="525"/>
        <w:spacing w:after="0"/>
        <w:tabs>
          <w:tab w:leader="none" w:pos="52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Williams' employment with Vought shall</w:t>
      </w:r>
    </w:p>
    <w:p>
      <w:pPr>
        <w:spacing w:after="0" w:line="4" w:lineRule="exact"/>
        <w:rPr>
          <w:sz w:val="20"/>
          <w:szCs w:val="20"/>
          <w:color w:val="auto"/>
        </w:rPr>
      </w:pPr>
    </w:p>
    <w:p>
      <w:pPr>
        <w:ind w:left="5" w:right="3359"/>
        <w:spacing w:after="0" w:line="238" w:lineRule="auto"/>
        <w:rPr>
          <w:sz w:val="20"/>
          <w:szCs w:val="20"/>
          <w:color w:val="auto"/>
        </w:rPr>
      </w:pPr>
      <w:r>
        <w:rPr>
          <w:rFonts w:ascii="Courier New" w:cs="Courier New" w:eastAsia="Courier New" w:hAnsi="Courier New"/>
          <w:sz w:val="18"/>
          <w:szCs w:val="18"/>
          <w:color w:val="auto"/>
        </w:rPr>
        <w:t>terminate for "cause," or due to death, retirement or voluntary termination (except for "good reason" as defined in subparagraph (b) below), then all obligations of Vought hereunder shall terminate; provided, however, that any portion of Williams' fixed salary pursuant to subparagraph 4(a) above which is earned but unpaid as of the date of death shall be paid to the duly appointed personal representative of Williams' estate; and further provided, however, that participation in the Vought Aircraft Salaried Health Care Plan (or any successor or replacement plan) as amended from time to time, shall be continued for the remainder of the lives of Williams and Williams' legally recognized spouse on the effective date of this Agreement. For purposes of this Agreement, "cause" shall be deemed to exist upon (i) the willful and continued failure by Williams to perform substantially the duties of his position (other than any actual or anticipated failure resulting from termination by Williams for "good reason") or (ii) the willful engaging by Williams in conduct which is demonstrably injurious to Vought, monetarily or otherwise. Solely for purposes of determining "cause," an act or failure to act by Williams shall be deemed "willful" if done, or omitted to be done, by him in bad faith and without reasonable belief that such act or omission was in the best interest of Vought. The Executive Committee of the VAC Board shall have the sole discretion to determine in good faith whether the conditions constituting a termination for cause have occurred.</w:t>
      </w:r>
    </w:p>
    <w:p>
      <w:pPr>
        <w:spacing w:after="0" w:line="213" w:lineRule="exact"/>
        <w:rPr>
          <w:sz w:val="20"/>
          <w:szCs w:val="20"/>
          <w:color w:val="auto"/>
        </w:rPr>
      </w:pPr>
    </w:p>
    <w:p>
      <w:pPr>
        <w:ind w:left="5" w:right="3359" w:firstLine="521"/>
        <w:spacing w:after="0" w:line="270" w:lineRule="auto"/>
        <w:tabs>
          <w:tab w:leader="none" w:pos="95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(i) a reduction in Williams' fixed salary and/or target level percentage established pursuant to subparagraph 4(a), (ii) a material adverse alteration or diminution of Williams' position, duties, responsibilities, reporting relationships, authority or status (including corresponding perquisites) from those in effect, or otherwise accorded to Williams, on the effective date of this Agreement, or (iii) the failure of Vought to obtain an agreement from any successor to expressly assume and agree (by an instrument in writing) to perform the obligations to Williams under this Agreement, any of which occurs without the express written consent of Williams, then Williams shall have the right to terminate employment with Vought for "good reason" and thereby be entitled to the benefits described in subparagraph 5(c) below.</w:t>
      </w:r>
    </w:p>
    <w:p>
      <w:pPr>
        <w:spacing w:after="0" w:line="380" w:lineRule="exact"/>
        <w:rPr>
          <w:rFonts w:ascii="Courier New" w:cs="Courier New" w:eastAsia="Courier New" w:hAnsi="Courier New"/>
          <w:sz w:val="16"/>
          <w:szCs w:val="16"/>
          <w:color w:val="auto"/>
        </w:rPr>
      </w:pPr>
    </w:p>
    <w:p>
      <w:pPr>
        <w:ind w:left="945" w:hanging="419"/>
        <w:spacing w:after="0"/>
        <w:tabs>
          <w:tab w:leader="none" w:pos="94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Williams' employment with Vought shall</w:t>
      </w:r>
    </w:p>
    <w:p>
      <w:pPr>
        <w:sectPr>
          <w:pgSz w:w="11900" w:h="16838" w:orient="portrait"/>
          <w:cols w:equalWidth="0" w:num="1">
            <w:col w:w="9684"/>
          </w:cols>
          <w:pgMar w:left="775" w:top="142" w:right="1440" w:bottom="0" w:gutter="0" w:footer="0" w:header="0"/>
        </w:sectPr>
      </w:pPr>
    </w:p>
    <w:bookmarkStart w:id="58" w:name="page59"/>
    <w:bookmarkEnd w:id="58"/>
    <w:p>
      <w:pPr>
        <w:ind w:left="5" w:right="3359"/>
        <w:spacing w:after="0" w:line="268" w:lineRule="auto"/>
        <w:rPr>
          <w:sz w:val="20"/>
          <w:szCs w:val="20"/>
          <w:color w:val="auto"/>
        </w:rPr>
      </w:pPr>
      <w:r>
        <w:rPr>
          <w:rFonts w:ascii="Courier New" w:cs="Courier New" w:eastAsia="Courier New" w:hAnsi="Courier New"/>
          <w:sz w:val="16"/>
          <w:szCs w:val="16"/>
          <w:color w:val="auto"/>
        </w:rPr>
        <w:t>terminate for "good reason" as described in subparagraph (b) above, or other than for cause, retirement or voluntary termination (except for "good reason"), or death, then Williams shall be entitled to (i) payment of any portion</w:t>
      </w:r>
    </w:p>
    <w:p>
      <w:pPr>
        <w:spacing w:after="0" w:line="1" w:lineRule="exact"/>
        <w:rPr>
          <w:sz w:val="20"/>
          <w:szCs w:val="20"/>
          <w:color w:val="auto"/>
        </w:rPr>
      </w:pPr>
    </w:p>
    <w:p>
      <w:pPr>
        <w:ind w:left="5" w:right="3359"/>
        <w:spacing w:after="0" w:line="268" w:lineRule="auto"/>
        <w:rPr>
          <w:sz w:val="20"/>
          <w:szCs w:val="20"/>
          <w:color w:val="auto"/>
        </w:rPr>
      </w:pPr>
      <w:r>
        <w:rPr>
          <w:rFonts w:ascii="Courier New" w:cs="Courier New" w:eastAsia="Courier New" w:hAnsi="Courier New"/>
          <w:sz w:val="16"/>
          <w:szCs w:val="16"/>
          <w:color w:val="auto"/>
        </w:rPr>
        <w:t>of his fixed salary established pursuant to subparagraph 4(a) which is earned but unpaid as of the date of termination; (ii) continued payment of Williams' then current base salary increased by that percentage equal to 150% of Williams' then current target level percentage under the Variable Compensation Plan, in substantially equal amounts payable in arrears at regular payroll intervals through the earlier of (A) the end of the 12-month period following termination of employment, or (B) the Expiration Date, and thereafter Williams' then current base salary increased by that percentage equal to Williams' then current target level percentage under the Variable Compensation Plan, in substantially equal amounts payable in arrears at regular payroll intervals through the Expiration Date, provided, however, that such payments shall abate (x) to the extent of any and all compensation earned by Williams in the course of employment with a subsequent employer (including self-employment which commences subsequent to Williams' termination of employment), without regard to the time of payment of such compensation, and (y) in their entirety as of Williams' date of death, except that any payment for the payroll period in which Williams dies shall be prorated through such date of death; (iii) continued participation in the Vought Aircraft Salaried Health Care Plan (or any successor or replacement plan) as amended from time to time, for the remainder of the lives of Williams and Williams' legally recognized spouse on the effective date of this Agreement; (iv) continued participation in the Vought Aircraft Supplemental Executive Retirement Plan (or any successor or replacement plan with substantially identical benefits) through January 1, 1996, including the purchase of annuities from time to time pursuant to the terms of such plan; and (v) continued participation in any life insurance plan, health care plan, and health care flexible spending account maintained from time to time by Vought to the same extent and at the same level of participant contributions ("Employee Cost"), if any, as if Williams had not had a termination of employment (or if such participation is not possible under the terms of any such plan, Williams shall be provided by Vought with benefits or a cash payment or payments sufficient to enable him to obtain benefits which are comparable to the coverage provided by such plan, in each case subject to payment by Williams of the Employee Cost) until Williams becomes eligible for benefits under any employee welfare benefit plan(s), as defined in Section 3(1) of the Employee Retirement Income Security Act of 1974, as amended, in connection with new employment, or until January 1, 1996, if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5" w:hanging="525"/>
        <w:spacing w:after="0"/>
        <w:tabs>
          <w:tab w:leader="none" w:pos="52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Consulting Services</w:t>
      </w:r>
    </w:p>
    <w:p>
      <w:pPr>
        <w:spacing w:after="0" w:line="206" w:lineRule="exact"/>
        <w:rPr>
          <w:rFonts w:ascii="Courier New" w:cs="Courier New" w:eastAsia="Courier New" w:hAnsi="Courier New"/>
          <w:sz w:val="18"/>
          <w:szCs w:val="18"/>
          <w:color w:val="auto"/>
        </w:rPr>
      </w:pPr>
    </w:p>
    <w:p>
      <w:pPr>
        <w:ind w:left="5" w:right="3359" w:firstLine="521"/>
        <w:spacing w:after="0" w:line="237" w:lineRule="auto"/>
        <w:tabs>
          <w:tab w:leader="none" w:pos="953"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of Williams' employment for reasons other than "cause" or death, Vought at its sole discretion may retain Williams as an independent consultant, and not as an employee, for the period of twelve consecutive months following termination of employment ("Consulting Period").</w:t>
      </w:r>
    </w:p>
    <w:p>
      <w:pPr>
        <w:spacing w:after="0" w:line="204"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Consulting Period:</w:t>
      </w:r>
    </w:p>
    <w:p>
      <w:pPr>
        <w:spacing w:after="0" w:line="206" w:lineRule="exact"/>
        <w:rPr>
          <w:rFonts w:ascii="Courier New" w:cs="Courier New" w:eastAsia="Courier New" w:hAnsi="Courier New"/>
          <w:sz w:val="18"/>
          <w:szCs w:val="18"/>
          <w:color w:val="auto"/>
        </w:rPr>
      </w:pPr>
    </w:p>
    <w:p>
      <w:pPr>
        <w:ind w:left="5" w:right="3359" w:firstLine="943"/>
        <w:spacing w:after="0" w:line="271" w:lineRule="auto"/>
        <w:tabs>
          <w:tab w:leader="none" w:pos="1480" w:val="left"/>
        </w:tabs>
        <w:numPr>
          <w:ilvl w:val="2"/>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Williams will devote his best efforts to his position as an independent consultant and will faithfully perform such duties as determined by the Vought Board or the VAC Board. Williams will render to Vought such services of an advisory or consultative nature as Vought may reasonably request, so that Vought may continue to have the benefit of Williams' experience and special knowledge of the affairs of Vought and of Williams' reputation and contacts.</w:t>
      </w:r>
    </w:p>
    <w:p>
      <w:pPr>
        <w:spacing w:after="0" w:line="185" w:lineRule="exact"/>
        <w:rPr>
          <w:rFonts w:ascii="Courier New" w:cs="Courier New" w:eastAsia="Courier New" w:hAnsi="Courier New"/>
          <w:sz w:val="16"/>
          <w:szCs w:val="16"/>
          <w:color w:val="auto"/>
        </w:rPr>
      </w:pPr>
    </w:p>
    <w:p>
      <w:pPr>
        <w:ind w:left="5" w:right="3479" w:firstLine="943"/>
        <w:spacing w:after="0" w:line="272" w:lineRule="auto"/>
        <w:tabs>
          <w:tab w:leader="none" w:pos="1585" w:val="left"/>
        </w:tabs>
        <w:numPr>
          <w:ilvl w:val="2"/>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Consulting Period, Williams will neither serve as a consultant to nor as an employee, officer, director or agent of any person, firm or corporation who is in competition with Vought without the prior written consent of Vought as given through the Vought Board, which consent shall not be unreasonably withheld.</w:t>
      </w:r>
    </w:p>
    <w:p>
      <w:pPr>
        <w:spacing w:after="0" w:line="179" w:lineRule="exact"/>
        <w:rPr>
          <w:rFonts w:ascii="Courier New" w:cs="Courier New" w:eastAsia="Courier New" w:hAnsi="Courier New"/>
          <w:sz w:val="16"/>
          <w:szCs w:val="16"/>
          <w:color w:val="auto"/>
        </w:rPr>
      </w:pPr>
    </w:p>
    <w:p>
      <w:pPr>
        <w:ind w:left="945" w:hanging="419"/>
        <w:spacing w:after="0"/>
        <w:tabs>
          <w:tab w:leader="none" w:pos="945"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Williams will be available for advice and counsel</w:t>
      </w:r>
    </w:p>
    <w:p>
      <w:pPr>
        <w:sectPr>
          <w:pgSz w:w="11900" w:h="16838" w:orient="portrait"/>
          <w:cols w:equalWidth="0" w:num="1">
            <w:col w:w="9684"/>
          </w:cols>
          <w:pgMar w:left="775" w:top="142" w:right="1440" w:bottom="0" w:gutter="0" w:footer="0" w:header="0"/>
        </w:sectPr>
      </w:pPr>
    </w:p>
    <w:bookmarkStart w:id="59" w:name="page60"/>
    <w:bookmarkEnd w:id="59"/>
    <w:p>
      <w:pPr>
        <w:ind w:left="540" w:right="3359"/>
        <w:spacing w:after="0" w:line="270" w:lineRule="auto"/>
        <w:rPr>
          <w:sz w:val="20"/>
          <w:szCs w:val="20"/>
          <w:color w:val="auto"/>
        </w:rPr>
      </w:pPr>
      <w:r>
        <w:rPr>
          <w:rFonts w:ascii="Courier New" w:cs="Courier New" w:eastAsia="Courier New" w:hAnsi="Courier New"/>
          <w:sz w:val="16"/>
          <w:szCs w:val="16"/>
          <w:color w:val="auto"/>
        </w:rPr>
        <w:t>to the officers and directors of Vought at all reasonable times by telephone, letter, or, upon receipt of five days' written notice from Vought, in person; provided, however, Williams shall neither be obligated to render in excess of 5 days of service during any month, nor in excess of 60 days of service during the entire Consulting Period. Williams shall not be obligated to render any consulting services during any period when he is unable to do so due to illness, disability or injury, and Williams' inability to do so shall not affect his right to receive the compensation described in subparagraph 6(d) below during the Consulting Period.</w:t>
      </w:r>
    </w:p>
    <w:p>
      <w:pPr>
        <w:spacing w:after="0" w:line="188" w:lineRule="exact"/>
        <w:rPr>
          <w:sz w:val="20"/>
          <w:szCs w:val="20"/>
          <w:color w:val="auto"/>
        </w:rPr>
      </w:pPr>
    </w:p>
    <w:p>
      <w:pPr>
        <w:ind w:left="540" w:right="3359" w:firstLine="521"/>
        <w:spacing w:after="0" w:line="237" w:lineRule="auto"/>
        <w:tabs>
          <w:tab w:leader="none" w:pos="1488"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Vought agrees to pay Williams for rendering consulting services and for merely being available to render services hereunder, at the rate of $10,000 per month through the earlier of (i) the end of the Consulting Period, or (ii) the date of Williams' death, except that any payment for the period in which Williams dies shall be prorated through such date of death.</w:t>
      </w:r>
    </w:p>
    <w:p>
      <w:pPr>
        <w:spacing w:after="0" w:line="211" w:lineRule="exact"/>
        <w:rPr>
          <w:rFonts w:ascii="Courier New" w:cs="Courier New" w:eastAsia="Courier New" w:hAnsi="Courier New"/>
          <w:sz w:val="18"/>
          <w:szCs w:val="18"/>
          <w:color w:val="auto"/>
        </w:rPr>
      </w:pPr>
    </w:p>
    <w:p>
      <w:pPr>
        <w:ind w:left="540" w:right="3479" w:firstLine="521"/>
        <w:spacing w:after="0" w:line="237" w:lineRule="auto"/>
        <w:tabs>
          <w:tab w:leader="none" w:pos="1488"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Williams shall be entitled to reimbursement during the Consulting Period for all reasonable and customary expenses actually incurred by him in the performance of his duties hereunder.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Agreement</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represents the complete agreement and</w:t>
      </w:r>
    </w:p>
    <w:p>
      <w:pPr>
        <w:spacing w:after="0" w:line="4"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understanding between Vought and Williams pertaining to the subject matter contained herein, and supersedes all prior agreements or understandings, written or oral, between the parties with respect to such subject matter, except, however, the Stock Appreciation Right Agreement dated as of September 1, 1992 by and between Vought and Williams. No attempted modification or waiver of any of the provisions hereof shall be binding on either party unless in writing and signed by both Vought and Williams.</w:t>
      </w:r>
    </w:p>
    <w:p>
      <w:pPr>
        <w:spacing w:after="0" w:line="180" w:lineRule="exact"/>
        <w:rPr>
          <w:sz w:val="20"/>
          <w:szCs w:val="20"/>
          <w:color w:val="auto"/>
        </w:rPr>
      </w:pPr>
    </w:p>
    <w:p>
      <w:pPr>
        <w:ind w:left="1060" w:hanging="525"/>
        <w:spacing w:after="0"/>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This Agreement is personal to Williams and shall not be assigned by him. Vought may assign this Agreement without Williams' consent to any other entity succeeding to all or substantially all of the assets or business of Vought, whether by merger, consolidation, acquisition or otherwise. This Agreement shall be binding upon Vought, its successors and permitted assigns, and Williams.</w:t>
      </w:r>
    </w:p>
    <w:p>
      <w:pPr>
        <w:spacing w:after="0" w:line="205" w:lineRule="exact"/>
        <w:rPr>
          <w:sz w:val="20"/>
          <w:szCs w:val="20"/>
          <w:color w:val="auto"/>
        </w:rPr>
      </w:pPr>
    </w:p>
    <w:p>
      <w:pPr>
        <w:ind w:left="1060" w:hanging="525"/>
        <w:spacing w:after="0"/>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w:t>
      </w:r>
    </w:p>
    <w:p>
      <w:pPr>
        <w:spacing w:after="0" w:line="207" w:lineRule="exact"/>
        <w:rPr>
          <w:sz w:val="20"/>
          <w:szCs w:val="20"/>
          <w:color w:val="auto"/>
        </w:rPr>
      </w:pPr>
    </w:p>
    <w:p>
      <w:pPr>
        <w:ind w:right="3999" w:firstLine="1053"/>
        <w:spacing w:after="0" w:line="235" w:lineRule="auto"/>
        <w:rPr>
          <w:sz w:val="20"/>
          <w:szCs w:val="20"/>
          <w:color w:val="auto"/>
        </w:rPr>
      </w:pPr>
      <w:r>
        <w:rPr>
          <w:rFonts w:ascii="Courier New" w:cs="Courier New" w:eastAsia="Courier New" w:hAnsi="Courier New"/>
          <w:sz w:val="18"/>
          <w:szCs w:val="18"/>
          <w:color w:val="auto"/>
        </w:rPr>
        <w:t>This Agreement shall be construed and enforced in accordance with the laws of the State of Texas.</w:t>
      </w:r>
    </w:p>
    <w:p>
      <w:pPr>
        <w:spacing w:after="0" w:line="208"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on October _____, 1993.</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GORDON L. WILLIAMS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VOUGHT AIRCRAFT COMPANY</w:t>
      </w:r>
    </w:p>
    <w:p>
      <w:pPr>
        <w:spacing w:after="0" w:line="200" w:lineRule="exact"/>
        <w:rPr>
          <w:sz w:val="20"/>
          <w:szCs w:val="20"/>
          <w:color w:val="auto"/>
        </w:rPr>
      </w:pPr>
    </w:p>
    <w:p>
      <w:pPr>
        <w:sectPr>
          <w:pgSz w:w="11900" w:h="16838" w:orient="portrait"/>
          <w:cols w:equalWidth="0" w:num="2">
            <w:col w:w="2340" w:space="720"/>
            <w:col w:w="7159"/>
          </w:cols>
          <w:pgMar w:left="240" w:top="14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 P. Carr</w:t>
      </w:r>
    </w:p>
    <w:p>
      <w:pPr>
        <w:ind w:left="320"/>
        <w:spacing w:after="0" w:line="238" w:lineRule="auto"/>
        <w:rPr>
          <w:sz w:val="20"/>
          <w:szCs w:val="20"/>
          <w:color w:val="auto"/>
        </w:rPr>
      </w:pPr>
      <w:r>
        <w:rPr>
          <w:rFonts w:ascii="Courier New" w:cs="Courier New" w:eastAsia="Courier New" w:hAnsi="Courier New"/>
          <w:sz w:val="18"/>
          <w:szCs w:val="18"/>
          <w:color w:val="auto"/>
        </w:rPr>
        <w:t>Senior Vice President -</w:t>
      </w:r>
    </w:p>
    <w:p>
      <w:pPr>
        <w:ind w:left="320"/>
        <w:spacing w:after="0"/>
        <w:rPr>
          <w:sz w:val="20"/>
          <w:szCs w:val="20"/>
          <w:color w:val="auto"/>
        </w:rPr>
      </w:pPr>
      <w:r>
        <w:rPr>
          <w:rFonts w:ascii="Courier New" w:cs="Courier New" w:eastAsia="Courier New" w:hAnsi="Courier New"/>
          <w:sz w:val="18"/>
          <w:szCs w:val="18"/>
          <w:color w:val="auto"/>
        </w:rPr>
        <w:t>Administration and Support</w:t>
      </w:r>
    </w:p>
    <w:p>
      <w:pPr>
        <w:sectPr>
          <w:pgSz w:w="11900" w:h="16838" w:orient="portrait"/>
          <w:cols w:equalWidth="0" w:num="2">
            <w:col w:w="2740" w:space="320"/>
            <w:col w:w="7159"/>
          </w:cols>
          <w:pgMar w:left="240" w:top="142" w:right="1440" w:bottom="1440" w:gutter="0" w:footer="0" w:header="0"/>
          <w:type w:val="continuous"/>
        </w:sectPr>
      </w:pPr>
    </w:p>
    <w:bookmarkStart w:id="60" w:name="page61"/>
    <w:bookmarkEnd w:id="60"/>
    <w:p>
      <w:pPr>
        <w:ind w:left="3160"/>
        <w:spacing w:after="0"/>
        <w:rPr>
          <w:sz w:val="20"/>
          <w:szCs w:val="20"/>
          <w:color w:val="auto"/>
        </w:rPr>
      </w:pPr>
      <w:r>
        <w:rPr>
          <w:rFonts w:ascii="Courier New" w:cs="Courier New" w:eastAsia="Courier New" w:hAnsi="Courier New"/>
          <w:sz w:val="18"/>
          <w:szCs w:val="18"/>
          <w:color w:val="auto"/>
        </w:rPr>
        <w:t>EXHIBIT 10(t)</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EXECUTIVE DEFERRED COMPENSATION PLAN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Plan Design Outline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PURPOSE:</w:t>
      </w:r>
    </w:p>
    <w:p>
      <w:pPr>
        <w:spacing w:after="0" w:line="207"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To provide executives with a capital accumulation opportunity through deferrals of compensation that is disallowed for tax deduction under IRS Code Section 162(m)</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PLAN YEAR:</w:t>
      </w:r>
      <w:r>
        <w:rPr>
          <w:sz w:val="20"/>
          <w:szCs w:val="20"/>
          <w:color w:val="auto"/>
        </w:rPr>
        <w:tab/>
      </w:r>
      <w:r>
        <w:rPr>
          <w:rFonts w:ascii="Courier New" w:cs="Courier New" w:eastAsia="Courier New" w:hAnsi="Courier New"/>
          <w:sz w:val="16"/>
          <w:szCs w:val="16"/>
          <w:color w:val="auto"/>
        </w:rPr>
        <w:t>January 1 to December 31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ADMINISTRATIVE COMMITTEE:</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The Compensation and Management Development Committee of the Board of Directors will administer the Plan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 FOR PARTICIPATION:</w:t>
      </w:r>
    </w:p>
    <w:p>
      <w:pPr>
        <w:spacing w:after="0" w:line="207"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Selected employees of Northrop Grumman designated by the Committee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SOURCES OF DEFERRALS:</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Compensation that is disallowed for tax deduction under IRS Code Section 162(m)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DEFERRAL ACCOUNT:</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Amounts of compensation deferrals and investment returns thereon will be credited to a participant's Deferral Account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CREDITING RATE:</w:t>
      </w:r>
    </w:p>
    <w:p>
      <w:pPr>
        <w:spacing w:after="0" w:line="207"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Interest will be credited to the Account Balance at a rate equal to 115% of the fourth quarter monthly rate of Moody's Average Corporate Bond rate for each Plan year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VESTING:</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Deferral amounts and investment return credited to Deferral Account are always 100% vested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 OF ACCOUNT BALANCES:</w:t>
      </w:r>
    </w:p>
    <w:p>
      <w:pPr>
        <w:spacing w:after="0" w:line="207"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 the event of retirement or long-term disability, the normal form of distribution will be lump sum, 5 or 10 years</w:t>
      </w:r>
    </w:p>
    <w:p>
      <w:pPr>
        <w:spacing w:after="0" w:line="208"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In the event of any other termination of employment, the distribution will be in a single lump sum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OF LOSS:</w:t>
      </w:r>
    </w:p>
    <w:p>
      <w:pPr>
        <w:spacing w:after="0" w:line="207"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In the event of the Company's bankruptcy or insolvency, amounts deferred under the Plan and earnings on these amounts are treated as Company assets and the rights of Plan Participants would be no greater than those of general creditors of the Company</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AMENDMENT AND TERMINATION:</w:t>
      </w:r>
    </w:p>
    <w:p>
      <w:pPr>
        <w:spacing w:after="0" w:line="207"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Board of Directors may amend or terminate the Plan at any time but may not reduce benefits</w:t>
      </w:r>
    </w:p>
    <w:p>
      <w:pPr>
        <w:sectPr>
          <w:pgSz w:w="11900" w:h="16838" w:orient="portrait"/>
          <w:cols w:equalWidth="0" w:num="1">
            <w:col w:w="10219"/>
          </w:cols>
          <w:pgMar w:left="240" w:top="136"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Page 3</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EXECUTIVE DEFERRED COMPENSATION PLAN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Election Form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 hereby elect to participate in the Northrop Grumman Corporation Executive Deferred Compensation Plan (the "Plan").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TO DEFER COMPENSATION: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 I hereby irrevocably elect to defer 100% of</w:t>
      </w:r>
    </w:p>
    <w:p>
      <w:pPr>
        <w:ind w:left="1060"/>
        <w:spacing w:after="0" w:line="238" w:lineRule="auto"/>
        <w:rPr>
          <w:sz w:val="20"/>
          <w:szCs w:val="20"/>
          <w:color w:val="auto"/>
        </w:rPr>
      </w:pPr>
      <w:r>
        <w:rPr>
          <w:rFonts w:ascii="Courier New" w:cs="Courier New" w:eastAsia="Courier New" w:hAnsi="Courier New"/>
          <w:sz w:val="18"/>
          <w:szCs w:val="18"/>
          <w:color w:val="auto"/>
        </w:rPr>
        <w:t>compensation that is disallowed for tax</w:t>
      </w:r>
    </w:p>
    <w:p>
      <w:pPr>
        <w:ind w:left="1060"/>
        <w:spacing w:after="0"/>
        <w:rPr>
          <w:sz w:val="20"/>
          <w:szCs w:val="20"/>
          <w:color w:val="auto"/>
        </w:rPr>
      </w:pPr>
      <w:r>
        <w:rPr>
          <w:rFonts w:ascii="Courier New" w:cs="Courier New" w:eastAsia="Courier New" w:hAnsi="Courier New"/>
          <w:sz w:val="18"/>
          <w:szCs w:val="18"/>
          <w:color w:val="auto"/>
        </w:rPr>
        <w:t>deduction under IRS Code Section 162(m) for</w:t>
      </w:r>
    </w:p>
    <w:p>
      <w:pPr>
        <w:ind w:left="1060"/>
        <w:spacing w:after="0" w:line="237" w:lineRule="auto"/>
        <w:rPr>
          <w:sz w:val="20"/>
          <w:szCs w:val="20"/>
          <w:color w:val="auto"/>
        </w:rPr>
      </w:pPr>
      <w:r>
        <w:rPr>
          <w:rFonts w:ascii="Courier New" w:cs="Courier New" w:eastAsia="Courier New" w:hAnsi="Courier New"/>
          <w:sz w:val="18"/>
          <w:szCs w:val="18"/>
          <w:color w:val="auto"/>
        </w:rPr>
        <w:t>the year 1995.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TO RECEIVE BENEFIT AMOUNTS:</w:t>
      </w:r>
    </w:p>
    <w:p>
      <w:pPr>
        <w:spacing w:after="0" w:line="207" w:lineRule="exact"/>
        <w:rPr>
          <w:sz w:val="20"/>
          <w:szCs w:val="20"/>
          <w:color w:val="auto"/>
        </w:rPr>
      </w:pPr>
    </w:p>
    <w:p>
      <w:pPr>
        <w:jc w:val="both"/>
        <w:ind w:right="3679"/>
        <w:spacing w:after="0" w:line="290" w:lineRule="auto"/>
        <w:rPr>
          <w:sz w:val="20"/>
          <w:szCs w:val="20"/>
          <w:color w:val="auto"/>
        </w:rPr>
      </w:pPr>
      <w:r>
        <w:rPr>
          <w:rFonts w:ascii="Courier New" w:cs="Courier New" w:eastAsia="Courier New" w:hAnsi="Courier New"/>
          <w:sz w:val="16"/>
          <w:szCs w:val="16"/>
          <w:color w:val="auto"/>
        </w:rPr>
        <w:t>I hereby irrevocably elect to receive my distribution from the Plan in one of the following payment forms. Please check one.</w:t>
      </w:r>
    </w:p>
    <w:p>
      <w:pPr>
        <w:spacing w:after="0" w:line="164"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_____</w:t>
        <w:tab/>
        <w:t>Lump Sum</w:t>
      </w:r>
    </w:p>
    <w:p>
      <w:pPr>
        <w:spacing w:after="0" w:line="201"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_____</w:t>
        <w:tab/>
        <w:t>Annual Installments Of:</w:t>
      </w:r>
    </w:p>
    <w:p>
      <w:pPr>
        <w:spacing w:after="0" w:line="201" w:lineRule="exact"/>
        <w:rPr>
          <w:sz w:val="20"/>
          <w:szCs w:val="20"/>
          <w:color w:val="auto"/>
        </w:rPr>
      </w:pPr>
    </w:p>
    <w:p>
      <w:pPr>
        <w:ind w:left="1280"/>
        <w:spacing w:after="0"/>
        <w:tabs>
          <w:tab w:leader="none" w:pos="210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8"/>
          <w:szCs w:val="18"/>
          <w:color w:val="auto"/>
        </w:rPr>
        <w:t>5 years</w:t>
      </w:r>
    </w:p>
    <w:p>
      <w:pPr>
        <w:ind w:left="1280"/>
        <w:spacing w:after="0" w:line="238" w:lineRule="auto"/>
        <w:tabs>
          <w:tab w:leader="none" w:pos="1980" w:val="left"/>
        </w:tabs>
        <w:rPr>
          <w:sz w:val="20"/>
          <w:szCs w:val="20"/>
          <w:color w:val="auto"/>
        </w:rPr>
      </w:pPr>
      <w:r>
        <w:rPr>
          <w:rFonts w:ascii="Courier New" w:cs="Courier New" w:eastAsia="Courier New" w:hAnsi="Courier New"/>
          <w:sz w:val="18"/>
          <w:szCs w:val="18"/>
          <w:color w:val="auto"/>
        </w:rPr>
        <w:t>_____</w:t>
        <w:tab/>
        <w:t>10 years</w:t>
      </w:r>
    </w:p>
    <w:p>
      <w:pPr>
        <w:spacing w:after="0" w:line="200" w:lineRule="exact"/>
        <w:rPr>
          <w:sz w:val="20"/>
          <w:szCs w:val="20"/>
          <w:color w:val="auto"/>
        </w:rPr>
      </w:pPr>
    </w:p>
    <w:p>
      <w:pPr>
        <w:spacing w:after="0" w:line="21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 understand that the Company's obligation to pay benefits under the Plan will be that of an unfunded and unsecured promise of the Company to pay benefits in the future, and my rights to benefits under the Plan will be no greater than those of the Company's unsecured general creditors.</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____________________________________ Employee Name (please print or 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Social Security Number</w:t>
      </w:r>
    </w:p>
    <w:p>
      <w:pPr>
        <w:spacing w:after="0" w:line="254" w:lineRule="exact"/>
        <w:rPr>
          <w:sz w:val="20"/>
          <w:szCs w:val="20"/>
          <w:color w:val="auto"/>
        </w:rPr>
      </w:pPr>
    </w:p>
    <w:p>
      <w:pPr>
        <w:sectPr>
          <w:pgSz w:w="11900" w:h="16838" w:orient="portrait"/>
          <w:cols w:equalWidth="0" w:num="2">
            <w:col w:w="3800" w:space="420"/>
            <w:col w:w="5999"/>
          </w:cols>
          <w:pgMar w:left="240" w:top="339" w:right="1440" w:bottom="1440" w:gutter="0" w:footer="0" w:header="0"/>
          <w:type w:val="continuous"/>
        </w:sectPr>
      </w:pPr>
    </w:p>
    <w:p>
      <w:pPr>
        <w:spacing w:after="0" w:line="172"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____________________________________ Signature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2">
            <w:col w:w="3800" w:space="420"/>
            <w:col w:w="5999"/>
          </w:cols>
          <w:pgMar w:left="240" w:top="339" w:right="1440" w:bottom="1440" w:gutter="0" w:footer="0" w:header="0"/>
          <w:type w:val="continuous"/>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EXHIBIT 10(u)</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TRANSITION PROJECT INCENTIVE PLAN</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purpose of the Northrop Grumman Transition Project Incentive Plan (the "Plan") is to impel leadership, decisions and actions of managers to reduce costs of operations and promote consolidations and efficiencies with respect to the acquisition of Grumman Corporation by Northrop Grumman Corporation ("Company"). Accomplishing this purpose while maintaining long-term high performance and meeting customer requirements will add significantly to total shareholder value.</w:t>
      </w:r>
    </w:p>
    <w:p>
      <w:pPr>
        <w:spacing w:after="0" w:line="200" w:lineRule="exact"/>
        <w:rPr>
          <w:sz w:val="20"/>
          <w:szCs w:val="20"/>
          <w:color w:val="auto"/>
        </w:rPr>
      </w:pPr>
    </w:p>
    <w:p>
      <w:pPr>
        <w:spacing w:after="0" w:line="209"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7"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The Plan shall become effective upon approval by the Northrop Grumman Board of Directors ("Board") and compensate managers according to stated provisions for verified cost reductions attained during the "Plan Measurement Period," defined as the period between 1 July 1994 and 31 December 1995. This interval spans the crucial time from commencement of the opportunity for Northrop Grumman management to affect change in the operations of Grumman Corporation, to the time by which the purpose of the Plan must be accomplished. The Plan shall terminate at the close of business on 1 March 1996. After termination of the Plan, no future awards may be granted but previously granted awards may be paid if they are outstanding in accordance with the terms and conditions of the Plan.</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Administration</w:t>
      </w:r>
    </w:p>
    <w:p>
      <w:pPr>
        <w:spacing w:after="0" w:line="207"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6"/>
          <w:szCs w:val="16"/>
          <w:color w:val="auto"/>
        </w:rPr>
        <w:t>The Compensation and Management Development Committee ("Committee") of the Board shall be responsible for administration of the Plan. The Committee shall have full and exclusive power to administer the plan and to adopt such rules, regulations and guidelines-- consistent with the bylaws of the Corporation--for carrying out the Plan as it may deem necessary and proper, all of which power shall be exercised in the best interests of the Company and in keeping with the objectives of the Plan. This power includes, but is not limited to, establishing all awards terms and conditions and adopting Plan modifications, amendments and procedures.</w:t>
      </w:r>
    </w:p>
    <w:p>
      <w:pPr>
        <w:spacing w:after="0" w:line="386"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Employees in management positions of the Company designated by the Chief Executive Officer as participants shall be eligible to receive awards under the Plan. "Employees" shall include persons on the active payroll of the Company during the term of the Plan Measurement Period. "Management" shall include any Employee in a position classification titled manager, director or vice president. Eligible Managers shall be assigned to one of two groups designated</w:t>
      </w:r>
    </w:p>
    <w:p>
      <w:pPr>
        <w:spacing w:after="0" w:line="1" w:lineRule="exact"/>
        <w:rPr>
          <w:sz w:val="20"/>
          <w:szCs w:val="20"/>
          <w:color w:val="auto"/>
        </w:rPr>
      </w:pPr>
    </w:p>
    <w:p>
      <w:pPr>
        <w:ind w:right="3039" w:firstLine="8"/>
        <w:spacing w:after="0" w:line="237" w:lineRule="auto"/>
        <w:tabs>
          <w:tab w:leader="none" w:pos="316"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 Executive Group" and ii) "Executive Group." Assignment to the Senior Executive Group shall be limited to twenty (20) Managers. Payments of awards under the Plan on a pro rata basis to participants who, during the Measurement Period, become disabled or who terminate for any reason--including retirement and resignation-- -shall be at the sole discretion of the Committee and the Board in accordance with provisions of Section 5.</w:t>
      </w:r>
    </w:p>
    <w:p>
      <w:pPr>
        <w:spacing w:after="0" w:line="200" w:lineRule="exact"/>
        <w:rPr>
          <w:sz w:val="20"/>
          <w:szCs w:val="20"/>
          <w:color w:val="auto"/>
        </w:rPr>
      </w:pPr>
    </w:p>
    <w:p>
      <w:pPr>
        <w:spacing w:after="0" w:line="208" w:lineRule="exact"/>
        <w:rPr>
          <w:sz w:val="20"/>
          <w:szCs w:val="20"/>
          <w:color w:val="auto"/>
        </w:rPr>
      </w:pPr>
    </w:p>
    <w:p>
      <w:pPr>
        <w:ind w:left="540" w:hanging="532"/>
        <w:spacing w:after="0"/>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Awards</w:t>
      </w:r>
    </w:p>
    <w:p>
      <w:pPr>
        <w:spacing w:after="0" w:line="207"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6"/>
          <w:szCs w:val="16"/>
          <w:color w:val="auto"/>
        </w:rPr>
        <w:t>Awards under the Plan to elected officers of the Company, including the Chief Executive Officer, shall be reviewed by the Committee and submitted for approval to the Board. The Committee shall submit to the Board its recommendation for award under the Plan to the Chief Executive Officer. The Board, absent employee directors, shall determine all such awards to elected officers, including the Chief Executive Officer. The Committee shall determine awards under the Plan to each other participant. Recommendations for awards and justifications under the Plan shall be submitted to the Committee by the Chief Executive Officer within the term of the Plan. Such</w:t>
      </w:r>
    </w:p>
    <w:p>
      <w:pPr>
        <w:sectPr>
          <w:pgSz w:w="11900" w:h="16838" w:orient="portrait"/>
          <w:cols w:equalWidth="0" w:num="1">
            <w:col w:w="10219"/>
          </w:cols>
          <w:pgMar w:left="240" w:top="136" w:right="1440" w:bottom="0" w:gutter="0" w:footer="0" w:header="0"/>
        </w:sectPr>
      </w:pPr>
    </w:p>
    <w:bookmarkStart w:id="63" w:name="page64"/>
    <w:bookmarkEnd w:id="63"/>
    <w:p>
      <w:pPr>
        <w:ind w:right="3259"/>
        <w:spacing w:after="0" w:line="237" w:lineRule="auto"/>
        <w:rPr>
          <w:sz w:val="20"/>
          <w:szCs w:val="20"/>
          <w:color w:val="auto"/>
        </w:rPr>
      </w:pPr>
      <w:r>
        <w:rPr>
          <w:rFonts w:ascii="Courier New" w:cs="Courier New" w:eastAsia="Courier New" w:hAnsi="Courier New"/>
          <w:sz w:val="18"/>
          <w:szCs w:val="18"/>
          <w:color w:val="auto"/>
        </w:rPr>
        <w:t>awards will be in cash payment to designated recipients before 31 March 1996, net of tax withholding and other deductions and adjustments consistent with Company policy and payroll practices. Awards to all participants may not exceed the amount determined by calculations defined in Section 7 below. Within this limitation, individual awards under the Plan may vary at the discretion of the Committee and the Board.</w:t>
      </w:r>
    </w:p>
    <w:p>
      <w:pPr>
        <w:spacing w:after="0" w:line="205"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Justification for Awards</w:t>
      </w:r>
    </w:p>
    <w:p>
      <w:pPr>
        <w:spacing w:after="0" w:line="207"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Awards under the Plan may be granted by the Committee only for Verified Cost Savings. "Verified Cost Savings" are dollar value reductions in Company expense that are reflected in official financial records of the Company in areas such as, but not limited to, plant, equipment, real estate, production and overhead costs, scrap, surplus, inventory, debt and capital cost. The Chief Executive Office shall only submit to the Committee recommendations for awards under the Plan that are authenticated and corroborated by tangible, measured dollar value savings instituted and affected by Plan participants. Notwithstanding this or such other justifications or assertions of savings attributed to Plan participants, the decisions of the Committee and the Board as to Verified Cost Savings, awards and any other factual matters under the Plan shall not be subject to review or appeal by participants or any other persons.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Schedule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When determined by the Committee, awards under the Plan are paid</w:t>
      </w:r>
    </w:p>
    <w:p>
      <w:pPr>
        <w:spacing w:after="0" w:line="238" w:lineRule="auto"/>
        <w:rPr>
          <w:sz w:val="20"/>
          <w:szCs w:val="20"/>
          <w:color w:val="auto"/>
        </w:rPr>
      </w:pPr>
      <w:r>
        <w:rPr>
          <w:rFonts w:ascii="Courier New" w:cs="Courier New" w:eastAsia="Courier New" w:hAnsi="Courier New"/>
          <w:sz w:val="18"/>
          <w:szCs w:val="18"/>
          <w:color w:val="auto"/>
        </w:rPr>
        <w:t>according to a schedule establishing a defined fraction of total</w:t>
      </w:r>
    </w:p>
    <w:p>
      <w:pPr>
        <w:spacing w:after="0"/>
        <w:tabs>
          <w:tab w:leader="none" w:pos="2420" w:val="left"/>
        </w:tabs>
        <w:rPr>
          <w:sz w:val="20"/>
          <w:szCs w:val="20"/>
          <w:color w:val="auto"/>
        </w:rPr>
      </w:pPr>
      <w:r>
        <w:rPr>
          <w:rFonts w:ascii="Courier New" w:cs="Courier New" w:eastAsia="Courier New" w:hAnsi="Courier New"/>
          <w:sz w:val="18"/>
          <w:szCs w:val="18"/>
          <w:color w:val="auto"/>
        </w:rPr>
        <w:t>cost savings payable.</w:t>
      </w:r>
      <w:r>
        <w:rPr>
          <w:sz w:val="20"/>
          <w:szCs w:val="20"/>
          <w:color w:val="auto"/>
        </w:rPr>
        <w:tab/>
      </w:r>
      <w:r>
        <w:rPr>
          <w:rFonts w:ascii="Courier New" w:cs="Courier New" w:eastAsia="Courier New" w:hAnsi="Courier New"/>
          <w:sz w:val="16"/>
          <w:szCs w:val="16"/>
          <w:color w:val="auto"/>
        </w:rPr>
        <w:t>The Awards Schedule is derived by the</w:t>
      </w:r>
    </w:p>
    <w:p>
      <w:pPr>
        <w:spacing w:after="0" w:line="237" w:lineRule="auto"/>
        <w:rPr>
          <w:sz w:val="20"/>
          <w:szCs w:val="20"/>
          <w:color w:val="auto"/>
        </w:rPr>
      </w:pPr>
      <w:r>
        <w:rPr>
          <w:rFonts w:ascii="Courier New" w:cs="Courier New" w:eastAsia="Courier New" w:hAnsi="Courier New"/>
          <w:sz w:val="18"/>
          <w:szCs w:val="18"/>
          <w:color w:val="auto"/>
        </w:rPr>
        <w:t>following formula: (Savings &gt; $250M) X Percentage to Margin X</w:t>
      </w:r>
    </w:p>
    <w:p>
      <w:pPr>
        <w:spacing w:after="0" w:line="238" w:lineRule="auto"/>
        <w:rPr>
          <w:sz w:val="20"/>
          <w:szCs w:val="20"/>
          <w:color w:val="auto"/>
        </w:rPr>
      </w:pPr>
      <w:r>
        <w:rPr>
          <w:rFonts w:ascii="Courier New" w:cs="Courier New" w:eastAsia="Courier New" w:hAnsi="Courier New"/>
          <w:sz w:val="18"/>
          <w:szCs w:val="18"/>
          <w:color w:val="auto"/>
        </w:rPr>
        <w:t>Performance Coefficient X Percentage Share, where: i) "Savings &gt;</w:t>
      </w:r>
    </w:p>
    <w:p>
      <w:pPr>
        <w:spacing w:after="0"/>
        <w:rPr>
          <w:sz w:val="20"/>
          <w:szCs w:val="20"/>
          <w:color w:val="auto"/>
        </w:rPr>
      </w:pPr>
      <w:r>
        <w:rPr>
          <w:rFonts w:ascii="Courier New" w:cs="Courier New" w:eastAsia="Courier New" w:hAnsi="Courier New"/>
          <w:sz w:val="18"/>
          <w:szCs w:val="18"/>
          <w:color w:val="auto"/>
        </w:rPr>
        <w:t>$250M" equals Verified Cost Savings under the Plan exceeding</w:t>
      </w:r>
    </w:p>
    <w:p>
      <w:pPr>
        <w:spacing w:after="0" w:line="237" w:lineRule="auto"/>
        <w:rPr>
          <w:sz w:val="20"/>
          <w:szCs w:val="20"/>
          <w:color w:val="auto"/>
        </w:rPr>
      </w:pPr>
      <w:r>
        <w:rPr>
          <w:rFonts w:ascii="Courier New" w:cs="Courier New" w:eastAsia="Courier New" w:hAnsi="Courier New"/>
          <w:sz w:val="18"/>
          <w:szCs w:val="18"/>
          <w:color w:val="auto"/>
        </w:rPr>
        <w:t>$250,000,000, and a value that defines the term "Qualified Cost</w:t>
      </w:r>
    </w:p>
    <w:p>
      <w:pPr>
        <w:spacing w:after="0"/>
        <w:rPr>
          <w:sz w:val="20"/>
          <w:szCs w:val="20"/>
          <w:color w:val="auto"/>
        </w:rPr>
      </w:pPr>
      <w:r>
        <w:rPr>
          <w:rFonts w:ascii="Courier New" w:cs="Courier New" w:eastAsia="Courier New" w:hAnsi="Courier New"/>
          <w:sz w:val="18"/>
          <w:szCs w:val="18"/>
          <w:color w:val="auto"/>
        </w:rPr>
        <w:t>Savings;" ii) "Percentage to Margin" equals the percentage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Qualified Cost Savings for the Measurement Period reflected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Company's profit in its official financial records; iii)</w:t>
      </w:r>
    </w:p>
    <w:p>
      <w:pPr>
        <w:spacing w:after="0" w:line="238" w:lineRule="auto"/>
        <w:rPr>
          <w:sz w:val="20"/>
          <w:szCs w:val="20"/>
          <w:color w:val="auto"/>
        </w:rPr>
      </w:pPr>
      <w:r>
        <w:rPr>
          <w:rFonts w:ascii="Courier New" w:cs="Courier New" w:eastAsia="Courier New" w:hAnsi="Courier New"/>
          <w:sz w:val="18"/>
          <w:szCs w:val="18"/>
          <w:color w:val="auto"/>
        </w:rPr>
        <w:t>"Performance Coefficient" equals a percentage of Qualified Cost</w:t>
      </w:r>
    </w:p>
    <w:p>
      <w:pPr>
        <w:spacing w:after="0"/>
        <w:rPr>
          <w:sz w:val="20"/>
          <w:szCs w:val="20"/>
          <w:color w:val="auto"/>
        </w:rPr>
      </w:pPr>
      <w:r>
        <w:rPr>
          <w:rFonts w:ascii="Courier New" w:cs="Courier New" w:eastAsia="Courier New" w:hAnsi="Courier New"/>
          <w:sz w:val="18"/>
          <w:szCs w:val="18"/>
          <w:color w:val="auto"/>
        </w:rPr>
        <w:t>Savings eligible for payment to participants; and iv) "Percent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equals the percentage of the product of i, ii and iii to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distributed among participants of the Senior Executive Group and</w:t>
      </w:r>
    </w:p>
    <w:p>
      <w:pPr>
        <w:spacing w:after="0"/>
        <w:tabs>
          <w:tab w:leader="none" w:pos="2300" w:val="left"/>
        </w:tabs>
        <w:rPr>
          <w:sz w:val="20"/>
          <w:szCs w:val="20"/>
          <w:color w:val="auto"/>
        </w:rPr>
      </w:pPr>
      <w:r>
        <w:rPr>
          <w:rFonts w:ascii="Courier New" w:cs="Courier New" w:eastAsia="Courier New" w:hAnsi="Courier New"/>
          <w:sz w:val="18"/>
          <w:szCs w:val="18"/>
          <w:color w:val="auto"/>
        </w:rPr>
        <w:t>the Executive Group.</w:t>
      </w:r>
      <w:r>
        <w:rPr>
          <w:sz w:val="20"/>
          <w:szCs w:val="20"/>
          <w:color w:val="auto"/>
        </w:rPr>
        <w:tab/>
      </w:r>
      <w:r>
        <w:rPr>
          <w:rFonts w:ascii="Courier New" w:cs="Courier New" w:eastAsia="Courier New" w:hAnsi="Courier New"/>
          <w:sz w:val="16"/>
          <w:szCs w:val="16"/>
          <w:color w:val="auto"/>
        </w:rPr>
        <w:t>For purposes of this Plan, Percentage to</w:t>
      </w:r>
    </w:p>
    <w:p>
      <w:pPr>
        <w:spacing w:after="0"/>
        <w:tabs>
          <w:tab w:leader="none" w:pos="2620" w:val="left"/>
        </w:tabs>
        <w:rPr>
          <w:sz w:val="20"/>
          <w:szCs w:val="20"/>
          <w:color w:val="auto"/>
        </w:rPr>
      </w:pPr>
      <w:r>
        <w:rPr>
          <w:rFonts w:ascii="Courier New" w:cs="Courier New" w:eastAsia="Courier New" w:hAnsi="Courier New"/>
          <w:sz w:val="18"/>
          <w:szCs w:val="18"/>
          <w:color w:val="auto"/>
        </w:rPr>
        <w:t>Margin shall equal 40%.</w:t>
      </w:r>
      <w:r>
        <w:rPr>
          <w:sz w:val="20"/>
          <w:szCs w:val="20"/>
          <w:color w:val="auto"/>
        </w:rPr>
        <w:tab/>
      </w:r>
      <w:r>
        <w:rPr>
          <w:rFonts w:ascii="Courier New" w:cs="Courier New" w:eastAsia="Courier New" w:hAnsi="Courier New"/>
          <w:sz w:val="16"/>
          <w:szCs w:val="16"/>
          <w:color w:val="auto"/>
        </w:rPr>
        <w:t>For Qualified Costs Savings greater than</w:t>
      </w:r>
    </w:p>
    <w:p>
      <w:pPr>
        <w:spacing w:after="0" w:line="237" w:lineRule="auto"/>
        <w:rPr>
          <w:sz w:val="20"/>
          <w:szCs w:val="20"/>
          <w:color w:val="auto"/>
        </w:rPr>
      </w:pPr>
      <w:r>
        <w:rPr>
          <w:rFonts w:ascii="Courier New" w:cs="Courier New" w:eastAsia="Courier New" w:hAnsi="Courier New"/>
          <w:sz w:val="18"/>
          <w:szCs w:val="18"/>
          <w:color w:val="auto"/>
        </w:rPr>
        <w:t>$250,000,000 and less than $260,000,000, Performance Coefficient</w:t>
      </w:r>
    </w:p>
    <w:p>
      <w:pPr>
        <w:spacing w:after="0" w:line="238" w:lineRule="auto"/>
        <w:rPr>
          <w:sz w:val="20"/>
          <w:szCs w:val="20"/>
          <w:color w:val="auto"/>
        </w:rPr>
      </w:pPr>
      <w:r>
        <w:rPr>
          <w:rFonts w:ascii="Courier New" w:cs="Courier New" w:eastAsia="Courier New" w:hAnsi="Courier New"/>
          <w:sz w:val="18"/>
          <w:szCs w:val="18"/>
          <w:color w:val="auto"/>
        </w:rPr>
        <w:t>shall equal 10%; for Qualified Costs Savings greater than</w:t>
      </w:r>
    </w:p>
    <w:p>
      <w:pPr>
        <w:spacing w:after="0"/>
        <w:rPr>
          <w:sz w:val="20"/>
          <w:szCs w:val="20"/>
          <w:color w:val="auto"/>
        </w:rPr>
      </w:pPr>
      <w:r>
        <w:rPr>
          <w:rFonts w:ascii="Courier New" w:cs="Courier New" w:eastAsia="Courier New" w:hAnsi="Courier New"/>
          <w:sz w:val="18"/>
          <w:szCs w:val="18"/>
          <w:color w:val="auto"/>
        </w:rPr>
        <w:t>$260,000,000 but less than $275,000,000, Performance Coefficient</w:t>
      </w:r>
    </w:p>
    <w:p>
      <w:pPr>
        <w:spacing w:after="0" w:line="237" w:lineRule="auto"/>
        <w:rPr>
          <w:sz w:val="20"/>
          <w:szCs w:val="20"/>
          <w:color w:val="auto"/>
        </w:rPr>
      </w:pPr>
      <w:r>
        <w:rPr>
          <w:rFonts w:ascii="Courier New" w:cs="Courier New" w:eastAsia="Courier New" w:hAnsi="Courier New"/>
          <w:sz w:val="18"/>
          <w:szCs w:val="18"/>
          <w:color w:val="auto"/>
        </w:rPr>
        <w:t>shall equal 15%; for Qualified Costs Savings greater than</w:t>
      </w:r>
    </w:p>
    <w:p>
      <w:pPr>
        <w:spacing w:after="0"/>
        <w:rPr>
          <w:sz w:val="20"/>
          <w:szCs w:val="20"/>
          <w:color w:val="auto"/>
        </w:rPr>
      </w:pPr>
      <w:r>
        <w:rPr>
          <w:rFonts w:ascii="Courier New" w:cs="Courier New" w:eastAsia="Courier New" w:hAnsi="Courier New"/>
          <w:sz w:val="18"/>
          <w:szCs w:val="18"/>
          <w:color w:val="auto"/>
        </w:rPr>
        <w:t>$275,000,000 but less than $300,000,000, Performance Coefficient</w:t>
      </w:r>
    </w:p>
    <w:p>
      <w:pPr>
        <w:spacing w:after="0" w:line="237" w:lineRule="auto"/>
        <w:rPr>
          <w:sz w:val="20"/>
          <w:szCs w:val="20"/>
          <w:color w:val="auto"/>
        </w:rPr>
      </w:pPr>
      <w:r>
        <w:rPr>
          <w:rFonts w:ascii="Courier New" w:cs="Courier New" w:eastAsia="Courier New" w:hAnsi="Courier New"/>
          <w:sz w:val="18"/>
          <w:szCs w:val="18"/>
          <w:color w:val="auto"/>
        </w:rPr>
        <w:t>shall equal 20%; for Qualified Costs Savings greater than</w:t>
      </w:r>
    </w:p>
    <w:p>
      <w:pPr>
        <w:spacing w:after="0"/>
        <w:rPr>
          <w:sz w:val="20"/>
          <w:szCs w:val="20"/>
          <w:color w:val="auto"/>
        </w:rPr>
      </w:pPr>
      <w:r>
        <w:rPr>
          <w:rFonts w:ascii="Courier New" w:cs="Courier New" w:eastAsia="Courier New" w:hAnsi="Courier New"/>
          <w:sz w:val="18"/>
          <w:szCs w:val="18"/>
          <w:color w:val="auto"/>
        </w:rPr>
        <w:t>$300,000,000, Performance Coefficient shall equal 25%; for</w:t>
      </w:r>
    </w:p>
    <w:p>
      <w:pPr>
        <w:spacing w:after="0" w:line="237" w:lineRule="auto"/>
        <w:rPr>
          <w:sz w:val="20"/>
          <w:szCs w:val="20"/>
          <w:color w:val="auto"/>
        </w:rPr>
      </w:pPr>
      <w:r>
        <w:rPr>
          <w:rFonts w:ascii="Courier New" w:cs="Courier New" w:eastAsia="Courier New" w:hAnsi="Courier New"/>
          <w:sz w:val="18"/>
          <w:szCs w:val="18"/>
          <w:color w:val="auto"/>
        </w:rPr>
        <w:t>Qualified Costs Savings greater than $350,000,000, Performance</w:t>
      </w:r>
    </w:p>
    <w:p>
      <w:pPr>
        <w:spacing w:after="0"/>
        <w:tabs>
          <w:tab w:leader="none" w:pos="3040" w:val="left"/>
        </w:tabs>
        <w:rPr>
          <w:sz w:val="20"/>
          <w:szCs w:val="20"/>
          <w:color w:val="auto"/>
        </w:rPr>
      </w:pPr>
      <w:r>
        <w:rPr>
          <w:rFonts w:ascii="Courier New" w:cs="Courier New" w:eastAsia="Courier New" w:hAnsi="Courier New"/>
          <w:sz w:val="18"/>
          <w:szCs w:val="18"/>
          <w:color w:val="auto"/>
        </w:rPr>
        <w:t>Coefficient shall equal 0%.</w:t>
      </w:r>
      <w:r>
        <w:rPr>
          <w:sz w:val="20"/>
          <w:szCs w:val="20"/>
          <w:color w:val="auto"/>
        </w:rPr>
        <w:tab/>
      </w:r>
      <w:r>
        <w:rPr>
          <w:rFonts w:ascii="Courier New" w:cs="Courier New" w:eastAsia="Courier New" w:hAnsi="Courier New"/>
          <w:sz w:val="16"/>
          <w:szCs w:val="16"/>
          <w:color w:val="auto"/>
        </w:rPr>
        <w:t>Finally, Percent Share shall equal 40%</w:t>
      </w:r>
    </w:p>
    <w:p>
      <w:pPr>
        <w:spacing w:after="0"/>
        <w:rPr>
          <w:sz w:val="20"/>
          <w:szCs w:val="20"/>
          <w:color w:val="auto"/>
        </w:rPr>
      </w:pPr>
      <w:r>
        <w:rPr>
          <w:rFonts w:ascii="Courier New" w:cs="Courier New" w:eastAsia="Courier New" w:hAnsi="Courier New"/>
          <w:sz w:val="18"/>
          <w:szCs w:val="18"/>
          <w:color w:val="auto"/>
        </w:rPr>
        <w:t>for the Senior Executive Group and 60% for the Executive Group.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illustration, the Appendix contains a graphical representation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Plan awards at the thresholds of saving defined above for an</w:t>
      </w:r>
    </w:p>
    <w:p>
      <w:pPr>
        <w:spacing w:after="0" w:line="238" w:lineRule="auto"/>
        <w:rPr>
          <w:sz w:val="20"/>
          <w:szCs w:val="20"/>
          <w:color w:val="auto"/>
        </w:rPr>
      </w:pPr>
      <w:r>
        <w:rPr>
          <w:rFonts w:ascii="Courier New" w:cs="Courier New" w:eastAsia="Courier New" w:hAnsi="Courier New"/>
          <w:sz w:val="18"/>
          <w:szCs w:val="18"/>
          <w:color w:val="auto"/>
        </w:rPr>
        <w:t>assumed number of participants.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and Reorganizations</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the event the Company undergoes a change in control (as defined by the Committee), or is not the surviving company in a merger or consolidation with another company or in the event of a liquidation or reorganization of the Company during the Term of the Plan, the Committee may provide for adjustments and settlements of awards as, and at a time, it deems appropriate.</w:t>
      </w:r>
    </w:p>
    <w:p>
      <w:pPr>
        <w:spacing w:after="0" w:line="200" w:lineRule="exact"/>
        <w:rPr>
          <w:sz w:val="20"/>
          <w:szCs w:val="20"/>
          <w:color w:val="auto"/>
        </w:rPr>
      </w:pPr>
    </w:p>
    <w:p>
      <w:pPr>
        <w:spacing w:after="0" w:line="207"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Amendment or Termination</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Notwithstanding any other provision of the Plan, the Plan may be amended or terminated by the Committee in its sole and absolute discretion. Nothing herein creates or shall be deemed to create a vested right in any participant.</w:t>
      </w:r>
    </w:p>
    <w:p>
      <w:pPr>
        <w:sectPr>
          <w:pgSz w:w="11900" w:h="16838" w:orient="portrait"/>
          <w:cols w:equalWidth="0" w:num="1">
            <w:col w:w="10219"/>
          </w:cols>
          <w:pgMar w:left="240" w:top="142" w:right="1440" w:bottom="538" w:gutter="0" w:footer="0" w:header="0"/>
        </w:sectPr>
      </w:pPr>
    </w:p>
    <w:bookmarkStart w:id="64" w:name="page65"/>
    <w:bookmarkEnd w:id="64"/>
    <w:p>
      <w:pPr>
        <w:ind w:left="540" w:hanging="532"/>
        <w:spacing w:after="0"/>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Benefit Programs</w:t>
      </w:r>
    </w:p>
    <w:p>
      <w:pPr>
        <w:spacing w:after="0" w:line="207"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Awards under the Plan shall be deemed a part of a participants incentive or bonus compensation for purposes of calculating payment of benefits from any Company benefit plan.</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Unfunded Plan</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Unless otherwise determined by the Committee, the Plan shall be unfunded and shall not create (or be construed to create) a trust or separate fund or funds. The Plan shall not establish any fiduciary relationship between the Company and any participant or other person.</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Rights</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No person shall have any claim or rights to be granted an award under the Plan, and no participant shall have any rights under the Plan to be retained in the employ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8"/>
          <w:szCs w:val="18"/>
          <w:color w:val="auto"/>
        </w:rPr>
        <w:t>The validity, construction and effect of the Plan and any action taken or relating to the Plan shall be determined in accordance with the laws of the State of California and applicable Federal Law.</w:t>
      </w:r>
    </w:p>
    <w:p>
      <w:pPr>
        <w:spacing w:after="0" w:line="202"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Plan shall be binding on all successors and assigns of a participant, including, without limitation, the estate of such participant and the executor, administrator or trustee of such estate, or any receiver or trustee in bankruptcy or representative of a participant's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APPENDIX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GRAPHIC PRESENTATION OF TRANSITION PROJECT INCENTIVE PLAN AWARDS AT THE THRESHOLDS OF SAVINGS AS DESCRIBED IN CLAUSE 7 OF THE PLAN. THE GRAPH ILLUSTRATES EXAMPLES OF AVERAGE INDIVIDUAL PAYOUTS AT VARYING COST SAVINGS: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2860" w:type="dxa"/>
            <w:vAlign w:val="bottom"/>
          </w:tcPr>
          <w:p>
            <w:pPr>
              <w:ind w:left="640"/>
              <w:spacing w:after="0"/>
              <w:rPr>
                <w:sz w:val="20"/>
                <w:szCs w:val="20"/>
                <w:color w:val="auto"/>
              </w:rPr>
            </w:pPr>
            <w:r>
              <w:rPr>
                <w:rFonts w:ascii="Courier New" w:cs="Courier New" w:eastAsia="Courier New" w:hAnsi="Courier New"/>
                <w:sz w:val="18"/>
                <w:szCs w:val="18"/>
                <w:color w:val="auto"/>
              </w:rPr>
              <w:t>GROUP A</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GROUP B</w:t>
            </w:r>
          </w:p>
        </w:tc>
      </w:tr>
      <w:tr>
        <w:trPr>
          <w:trHeight w:val="203"/>
        </w:trPr>
        <w:tc>
          <w:tcPr>
            <w:tcW w:w="20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5"/>
              </w:rPr>
              <w:t>SAVINGS</w:t>
            </w:r>
          </w:p>
        </w:tc>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SENIOR EXECUTIVES</w:t>
            </w: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EXECUTIVES</w:t>
            </w:r>
          </w:p>
        </w:tc>
      </w:tr>
      <w:tr>
        <w:trPr>
          <w:trHeight w:val="203"/>
        </w:trPr>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(in millions)</w:t>
            </w:r>
          </w:p>
        </w:tc>
        <w:tc>
          <w:tcPr>
            <w:tcW w:w="2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 thousands)</w:t>
            </w: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(in thousands)</w:t>
            </w:r>
          </w:p>
        </w:tc>
      </w:tr>
      <w:tr>
        <w:trPr>
          <w:trHeight w:val="405"/>
        </w:trPr>
        <w:tc>
          <w:tcPr>
            <w:tcW w:w="200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6"/>
              </w:rPr>
              <w:t>Less than 250</w:t>
            </w:r>
          </w:p>
        </w:tc>
        <w:tc>
          <w:tcPr>
            <w:tcW w:w="286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0</w:t>
            </w:r>
          </w:p>
        </w:tc>
        <w:tc>
          <w:tcPr>
            <w:tcW w:w="18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260</w:t>
            </w:r>
          </w:p>
        </w:tc>
        <w:tc>
          <w:tcPr>
            <w:tcW w:w="286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8.0</w:t>
            </w:r>
          </w:p>
        </w:tc>
        <w:tc>
          <w:tcPr>
            <w:tcW w:w="1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275</w:t>
            </w:r>
          </w:p>
        </w:tc>
        <w:tc>
          <w:tcPr>
            <w:tcW w:w="286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26.0</w:t>
            </w:r>
          </w:p>
        </w:tc>
        <w:tc>
          <w:tcPr>
            <w:tcW w:w="1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300</w:t>
            </w:r>
          </w:p>
        </w:tc>
        <w:tc>
          <w:tcPr>
            <w:tcW w:w="286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66.0</w:t>
            </w:r>
          </w:p>
        </w:tc>
        <w:tc>
          <w:tcPr>
            <w:tcW w:w="1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19.8</w:t>
            </w:r>
          </w:p>
        </w:tc>
      </w:tr>
      <w:tr>
        <w:trPr>
          <w:trHeight w:val="203"/>
        </w:trPr>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325</w:t>
            </w:r>
          </w:p>
        </w:tc>
        <w:tc>
          <w:tcPr>
            <w:tcW w:w="286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116.0</w:t>
            </w:r>
          </w:p>
        </w:tc>
        <w:tc>
          <w:tcPr>
            <w:tcW w:w="1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34.8</w:t>
            </w:r>
          </w:p>
        </w:tc>
      </w:tr>
      <w:tr>
        <w:trPr>
          <w:trHeight w:val="203"/>
        </w:trPr>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350</w:t>
            </w:r>
          </w:p>
        </w:tc>
        <w:tc>
          <w:tcPr>
            <w:tcW w:w="286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166.0</w:t>
            </w:r>
          </w:p>
        </w:tc>
        <w:tc>
          <w:tcPr>
            <w:tcW w:w="1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49.8</w:t>
            </w:r>
          </w:p>
        </w:tc>
      </w:tr>
    </w:tbl>
    <w:p>
      <w:pPr>
        <w:sectPr>
          <w:pgSz w:w="11900" w:h="16838" w:orient="portrait"/>
          <w:cols w:equalWidth="0" w:num="1">
            <w:col w:w="10219"/>
          </w:cols>
          <w:pgMar w:left="240" w:top="339" w:right="1440" w:bottom="1440" w:gutter="0" w:footer="0" w:header="0"/>
        </w:sectPr>
      </w:pPr>
    </w:p>
    <w:bookmarkStart w:id="65" w:name="page66"/>
    <w:bookmarkEnd w:id="65"/>
    <w:p>
      <w:pPr>
        <w:ind w:left="2540"/>
        <w:spacing w:after="0"/>
        <w:rPr>
          <w:sz w:val="20"/>
          <w:szCs w:val="20"/>
          <w:color w:val="auto"/>
        </w:rPr>
      </w:pPr>
      <w:r>
        <w:rPr>
          <w:rFonts w:ascii="Courier New" w:cs="Courier New" w:eastAsia="Courier New" w:hAnsi="Courier New"/>
          <w:sz w:val="18"/>
          <w:szCs w:val="18"/>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Subsidiaries of Registrant as of December 31,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SIGNIFICANT SUBSIDIARIES:</w:t>
            </w:r>
          </w:p>
        </w:tc>
        <w:tc>
          <w:tcPr>
            <w:tcW w:w="238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7"/>
              </w:rPr>
              <w:t>INCORPORATED IN:</w:t>
            </w:r>
          </w:p>
        </w:tc>
      </w:tr>
      <w:tr>
        <w:trPr>
          <w:trHeight w:val="405"/>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Grumman Corporation</w:t>
            </w:r>
          </w:p>
        </w:tc>
        <w:tc>
          <w:tcPr>
            <w:tcW w:w="1060" w:type="dxa"/>
            <w:vAlign w:val="bottom"/>
          </w:tcPr>
          <w:p>
            <w:pPr>
              <w:ind w:left="680"/>
              <w:spacing w:after="0"/>
              <w:rPr>
                <w:sz w:val="20"/>
                <w:szCs w:val="20"/>
                <w:color w:val="auto"/>
              </w:rPr>
            </w:pPr>
            <w:r>
              <w:rPr>
                <w:rFonts w:ascii="Courier New" w:cs="Courier New" w:eastAsia="Courier New" w:hAnsi="Courier New"/>
                <w:sz w:val="18"/>
                <w:szCs w:val="18"/>
                <w:color w:val="auto"/>
              </w:rPr>
              <w:t>New</w:t>
            </w:r>
          </w:p>
        </w:tc>
        <w:tc>
          <w:tcPr>
            <w:tcW w:w="1320" w:type="dxa"/>
            <w:vAlign w:val="bottom"/>
          </w:tcPr>
          <w:p>
            <w:pPr>
              <w:ind w:left="40"/>
              <w:spacing w:after="0"/>
              <w:rPr>
                <w:sz w:val="20"/>
                <w:szCs w:val="20"/>
                <w:color w:val="auto"/>
              </w:rPr>
            </w:pPr>
            <w:r>
              <w:rPr>
                <w:rFonts w:ascii="Courier New" w:cs="Courier New" w:eastAsia="Courier New" w:hAnsi="Courier New"/>
                <w:sz w:val="18"/>
                <w:szCs w:val="18"/>
                <w:color w:val="auto"/>
              </w:rPr>
              <w:t>York</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Grumman</w:t>
            </w: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rPr>
              <w:t>Aerospace Corporation</w:t>
            </w:r>
          </w:p>
        </w:tc>
        <w:tc>
          <w:tcPr>
            <w:tcW w:w="1060" w:type="dxa"/>
            <w:vAlign w:val="bottom"/>
          </w:tcPr>
          <w:p>
            <w:pPr>
              <w:ind w:left="680"/>
              <w:spacing w:after="0"/>
              <w:rPr>
                <w:sz w:val="20"/>
                <w:szCs w:val="20"/>
                <w:color w:val="auto"/>
              </w:rPr>
            </w:pPr>
            <w:r>
              <w:rPr>
                <w:rFonts w:ascii="Courier New" w:cs="Courier New" w:eastAsia="Courier New" w:hAnsi="Courier New"/>
                <w:sz w:val="18"/>
                <w:szCs w:val="18"/>
                <w:color w:val="auto"/>
              </w:rPr>
              <w:t>New</w:t>
            </w:r>
          </w:p>
        </w:tc>
        <w:tc>
          <w:tcPr>
            <w:tcW w:w="1320" w:type="dxa"/>
            <w:vAlign w:val="bottom"/>
          </w:tcPr>
          <w:p>
            <w:pPr>
              <w:ind w:left="40"/>
              <w:spacing w:after="0"/>
              <w:rPr>
                <w:sz w:val="20"/>
                <w:szCs w:val="20"/>
                <w:color w:val="auto"/>
              </w:rPr>
            </w:pPr>
            <w:r>
              <w:rPr>
                <w:rFonts w:ascii="Courier New" w:cs="Courier New" w:eastAsia="Courier New" w:hAnsi="Courier New"/>
                <w:sz w:val="18"/>
                <w:szCs w:val="18"/>
                <w:color w:val="auto"/>
              </w:rPr>
              <w:t>York</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Grumman</w:t>
            </w: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rPr>
              <w:t>Data Systems Corporation</w:t>
            </w:r>
          </w:p>
        </w:tc>
        <w:tc>
          <w:tcPr>
            <w:tcW w:w="238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Note: The other subsidiaries of the Registrant are not "significant subsidiaries", as defined by Rule 1.02 of Regulation S-X, and therefore are not listed herein.</w:t>
      </w:r>
    </w:p>
    <w:p>
      <w:pPr>
        <w:sectPr>
          <w:pgSz w:w="11900" w:h="16838" w:orient="portrait"/>
          <w:cols w:equalWidth="0" w:num="1">
            <w:col w:w="10219"/>
          </w:cols>
          <w:pgMar w:left="240" w:top="136"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YEAR</w:t>
      </w:r>
    </w:p>
    <w:p>
      <w:pPr>
        <w:ind w:left="2620"/>
        <w:spacing w:after="0" w:line="238" w:lineRule="auto"/>
        <w:rPr>
          <w:sz w:val="20"/>
          <w:szCs w:val="20"/>
          <w:color w:val="auto"/>
        </w:rPr>
      </w:pPr>
      <w:r>
        <w:rPr>
          <w:rFonts w:ascii="Courier New" w:cs="Courier New" w:eastAsia="Courier New" w:hAnsi="Courier New"/>
          <w:sz w:val="18"/>
          <w:szCs w:val="18"/>
          <w:color w:val="auto"/>
        </w:rPr>
        <w:t>DEC-31-1994</w:t>
      </w:r>
    </w:p>
    <w:p>
      <w:pPr>
        <w:ind w:left="3160"/>
        <w:spacing w:after="0"/>
        <w:rPr>
          <w:sz w:val="20"/>
          <w:szCs w:val="20"/>
          <w:color w:val="auto"/>
        </w:rPr>
      </w:pPr>
      <w:r>
        <w:rPr>
          <w:rFonts w:ascii="Courier New" w:cs="Courier New" w:eastAsia="Courier New" w:hAnsi="Courier New"/>
          <w:sz w:val="18"/>
          <w:szCs w:val="18"/>
          <w:color w:val="auto"/>
        </w:rPr>
        <w:t>DEC-31-1994</w:t>
      </w:r>
    </w:p>
    <w:p>
      <w:pPr>
        <w:jc w:val="center"/>
        <w:ind w:right="439"/>
        <w:spacing w:after="0" w:line="237" w:lineRule="auto"/>
        <w:rPr>
          <w:sz w:val="20"/>
          <w:szCs w:val="20"/>
          <w:color w:val="auto"/>
        </w:rPr>
      </w:pPr>
      <w:r>
        <w:rPr>
          <w:rFonts w:ascii="Courier New" w:cs="Courier New" w:eastAsia="Courier New" w:hAnsi="Courier New"/>
          <w:sz w:val="18"/>
          <w:szCs w:val="18"/>
          <w:color w:val="auto"/>
        </w:rPr>
        <w:t>17</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1,266</w:t>
      </w:r>
    </w:p>
    <w:p>
      <w:pPr>
        <w:ind w:left="4100"/>
        <w:spacing w:after="0" w:line="237" w:lineRule="auto"/>
        <w:rPr>
          <w:sz w:val="20"/>
          <w:szCs w:val="20"/>
          <w:color w:val="auto"/>
        </w:rPr>
      </w:pPr>
      <w:r>
        <w:rPr>
          <w:rFonts w:ascii="Courier New" w:cs="Courier New" w:eastAsia="Courier New" w:hAnsi="Courier New"/>
          <w:sz w:val="18"/>
          <w:szCs w:val="18"/>
          <w:color w:val="auto"/>
        </w:rPr>
        <w:t>64</w:t>
      </w:r>
    </w:p>
    <w:p>
      <w:pPr>
        <w:ind w:left="3900"/>
        <w:spacing w:after="0"/>
        <w:rPr>
          <w:sz w:val="20"/>
          <w:szCs w:val="20"/>
          <w:color w:val="auto"/>
        </w:rPr>
      </w:pPr>
      <w:r>
        <w:rPr>
          <w:rFonts w:ascii="Courier New" w:cs="Courier New" w:eastAsia="Courier New" w:hAnsi="Courier New"/>
          <w:sz w:val="18"/>
          <w:szCs w:val="18"/>
          <w:color w:val="auto"/>
        </w:rPr>
        <w:t>1,043</w:t>
      </w:r>
    </w:p>
    <w:p>
      <w:pPr>
        <w:ind w:left="3360"/>
        <w:spacing w:after="0" w:line="237" w:lineRule="auto"/>
        <w:rPr>
          <w:sz w:val="20"/>
          <w:szCs w:val="20"/>
          <w:color w:val="auto"/>
        </w:rPr>
      </w:pPr>
      <w:r>
        <w:rPr>
          <w:rFonts w:ascii="Courier New" w:cs="Courier New" w:eastAsia="Courier New" w:hAnsi="Courier New"/>
          <w:sz w:val="18"/>
          <w:szCs w:val="18"/>
          <w:color w:val="auto"/>
        </w:rPr>
        <w:t>2,431</w:t>
      </w:r>
    </w:p>
    <w:p>
      <w:pPr>
        <w:ind w:left="4420"/>
        <w:spacing w:after="0"/>
        <w:rPr>
          <w:sz w:val="20"/>
          <w:szCs w:val="20"/>
          <w:color w:val="auto"/>
        </w:rPr>
      </w:pPr>
      <w:r>
        <w:rPr>
          <w:rFonts w:ascii="Courier New" w:cs="Courier New" w:eastAsia="Courier New" w:hAnsi="Courier New"/>
          <w:sz w:val="18"/>
          <w:szCs w:val="18"/>
          <w:color w:val="auto"/>
        </w:rPr>
        <w:t>3,146</w:t>
      </w:r>
    </w:p>
    <w:p>
      <w:pPr>
        <w:ind w:left="3580"/>
        <w:spacing w:after="0" w:line="237" w:lineRule="auto"/>
        <w:rPr>
          <w:sz w:val="20"/>
          <w:szCs w:val="20"/>
          <w:color w:val="auto"/>
        </w:rPr>
      </w:pPr>
      <w:r>
        <w:rPr>
          <w:rFonts w:ascii="Courier New" w:cs="Courier New" w:eastAsia="Courier New" w:hAnsi="Courier New"/>
          <w:sz w:val="18"/>
          <w:szCs w:val="18"/>
          <w:color w:val="auto"/>
        </w:rPr>
        <w:t>1,768</w:t>
      </w:r>
    </w:p>
    <w:p>
      <w:pPr>
        <w:ind w:left="3580"/>
        <w:spacing w:after="0" w:line="238" w:lineRule="auto"/>
        <w:rPr>
          <w:sz w:val="20"/>
          <w:szCs w:val="20"/>
          <w:color w:val="auto"/>
        </w:rPr>
      </w:pPr>
      <w:r>
        <w:rPr>
          <w:rFonts w:ascii="Courier New" w:cs="Courier New" w:eastAsia="Courier New" w:hAnsi="Courier New"/>
          <w:sz w:val="18"/>
          <w:szCs w:val="18"/>
          <w:color w:val="auto"/>
        </w:rPr>
        <w:t>6,047</w:t>
      </w:r>
    </w:p>
    <w:p>
      <w:pPr>
        <w:ind w:left="2840"/>
        <w:spacing w:after="0"/>
        <w:rPr>
          <w:sz w:val="20"/>
          <w:szCs w:val="20"/>
          <w:color w:val="auto"/>
        </w:rPr>
      </w:pPr>
      <w:r>
        <w:rPr>
          <w:rFonts w:ascii="Courier New" w:cs="Courier New" w:eastAsia="Courier New" w:hAnsi="Courier New"/>
          <w:sz w:val="18"/>
          <w:szCs w:val="18"/>
          <w:color w:val="auto"/>
        </w:rPr>
        <w:t>1,964</w:t>
      </w:r>
    </w:p>
    <w:p>
      <w:pPr>
        <w:jc w:val="center"/>
        <w:ind w:right="959"/>
        <w:spacing w:after="0" w:line="237" w:lineRule="auto"/>
        <w:rPr>
          <w:sz w:val="20"/>
          <w:szCs w:val="20"/>
          <w:color w:val="auto"/>
        </w:rPr>
      </w:pPr>
      <w:r>
        <w:rPr>
          <w:rFonts w:ascii="Courier New" w:cs="Courier New" w:eastAsia="Courier New" w:hAnsi="Courier New"/>
          <w:sz w:val="18"/>
          <w:szCs w:val="18"/>
          <w:color w:val="auto"/>
        </w:rPr>
        <w:t>1,633</w:t>
      </w:r>
    </w:p>
    <w:p>
      <w:pPr>
        <w:jc w:val="center"/>
        <w:ind w:right="959"/>
        <w:spacing w:after="0"/>
        <w:rPr>
          <w:sz w:val="20"/>
          <w:szCs w:val="20"/>
          <w:color w:val="auto"/>
        </w:rPr>
      </w:pPr>
      <w:r>
        <w:rPr>
          <w:rFonts w:ascii="Courier New" w:cs="Courier New" w:eastAsia="Courier New" w:hAnsi="Courier New"/>
          <w:sz w:val="18"/>
          <w:szCs w:val="18"/>
          <w:color w:val="auto"/>
        </w:rPr>
        <w:t>265</w:t>
      </w:r>
    </w:p>
    <w:p>
      <w:pPr>
        <w:ind w:left="3160"/>
        <w:spacing w:after="0" w:line="237" w:lineRule="auto"/>
        <w:rPr>
          <w:sz w:val="20"/>
          <w:szCs w:val="20"/>
          <w:color w:val="auto"/>
        </w:rPr>
      </w:pPr>
      <w:r>
        <w:rPr>
          <w:rFonts w:ascii="Courier New" w:cs="Courier New" w:eastAsia="Courier New" w:hAnsi="Courier New"/>
          <w:sz w:val="18"/>
          <w:szCs w:val="18"/>
          <w:color w:val="auto"/>
        </w:rPr>
        <w:t>25</w:t>
      </w:r>
    </w:p>
    <w:p>
      <w:pPr>
        <w:ind w:left="432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1,025</w:t>
      </w:r>
    </w:p>
    <w:p>
      <w:pPr>
        <w:ind w:left="2100"/>
        <w:spacing w:after="0" w:line="238" w:lineRule="auto"/>
        <w:rPr>
          <w:sz w:val="20"/>
          <w:szCs w:val="20"/>
          <w:color w:val="auto"/>
        </w:rPr>
      </w:pPr>
      <w:r>
        <w:rPr>
          <w:rFonts w:ascii="Courier New" w:cs="Courier New" w:eastAsia="Courier New" w:hAnsi="Courier New"/>
          <w:sz w:val="18"/>
          <w:szCs w:val="18"/>
          <w:color w:val="auto"/>
        </w:rPr>
        <w:t>6,047</w:t>
      </w:r>
    </w:p>
    <w:p>
      <w:pPr>
        <w:ind w:left="4320"/>
        <w:spacing w:after="0"/>
        <w:rPr>
          <w:sz w:val="20"/>
          <w:szCs w:val="20"/>
          <w:color w:val="auto"/>
        </w:rPr>
      </w:pPr>
      <w:r>
        <w:rPr>
          <w:rFonts w:ascii="Courier New" w:cs="Courier New" w:eastAsia="Courier New" w:hAnsi="Courier New"/>
          <w:sz w:val="18"/>
          <w:szCs w:val="18"/>
          <w:color w:val="auto"/>
        </w:rPr>
        <w:t>6,711</w:t>
      </w:r>
    </w:p>
    <w:p>
      <w:pPr>
        <w:ind w:left="3360"/>
        <w:spacing w:after="0" w:line="237" w:lineRule="auto"/>
        <w:rPr>
          <w:sz w:val="20"/>
          <w:szCs w:val="20"/>
          <w:color w:val="auto"/>
        </w:rPr>
      </w:pPr>
      <w:r>
        <w:rPr>
          <w:rFonts w:ascii="Courier New" w:cs="Courier New" w:eastAsia="Courier New" w:hAnsi="Courier New"/>
          <w:sz w:val="18"/>
          <w:szCs w:val="18"/>
          <w:color w:val="auto"/>
        </w:rPr>
        <w:t>6,711</w:t>
      </w:r>
    </w:p>
    <w:p>
      <w:pPr>
        <w:jc w:val="right"/>
        <w:ind w:right="5059"/>
        <w:spacing w:after="0"/>
        <w:rPr>
          <w:sz w:val="20"/>
          <w:szCs w:val="20"/>
          <w:color w:val="auto"/>
        </w:rPr>
      </w:pPr>
      <w:r>
        <w:rPr>
          <w:rFonts w:ascii="Courier New" w:cs="Courier New" w:eastAsia="Courier New" w:hAnsi="Courier New"/>
          <w:sz w:val="18"/>
          <w:szCs w:val="18"/>
          <w:color w:val="auto"/>
        </w:rPr>
        <w:t>6,512</w:t>
      </w:r>
    </w:p>
    <w:p>
      <w:pPr>
        <w:ind w:left="3680"/>
        <w:spacing w:after="0" w:line="237" w:lineRule="auto"/>
        <w:rPr>
          <w:sz w:val="20"/>
          <w:szCs w:val="20"/>
          <w:color w:val="auto"/>
        </w:rPr>
      </w:pPr>
      <w:r>
        <w:rPr>
          <w:rFonts w:ascii="Courier New" w:cs="Courier New" w:eastAsia="Courier New" w:hAnsi="Courier New"/>
          <w:sz w:val="18"/>
          <w:szCs w:val="18"/>
          <w:color w:val="auto"/>
        </w:rPr>
        <w:t>6,512</w:t>
      </w:r>
    </w:p>
    <w:p>
      <w:pPr>
        <w:ind w:left="3680"/>
        <w:spacing w:after="0"/>
        <w:rPr>
          <w:sz w:val="20"/>
          <w:szCs w:val="20"/>
          <w:color w:val="auto"/>
        </w:rPr>
      </w:pPr>
      <w:r>
        <w:rPr>
          <w:rFonts w:ascii="Courier New" w:cs="Courier New" w:eastAsia="Courier New" w:hAnsi="Courier New"/>
          <w:sz w:val="18"/>
          <w:szCs w:val="18"/>
          <w:color w:val="auto"/>
        </w:rPr>
        <w:t>31</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360"/>
        <w:spacing w:after="0"/>
        <w:rPr>
          <w:sz w:val="20"/>
          <w:szCs w:val="20"/>
          <w:color w:val="auto"/>
        </w:rPr>
      </w:pPr>
      <w:r>
        <w:rPr>
          <w:rFonts w:ascii="Courier New" w:cs="Courier New" w:eastAsia="Courier New" w:hAnsi="Courier New"/>
          <w:sz w:val="18"/>
          <w:szCs w:val="18"/>
          <w:color w:val="auto"/>
        </w:rPr>
        <w:t>109</w:t>
      </w:r>
    </w:p>
    <w:p>
      <w:pPr>
        <w:ind w:left="3780"/>
        <w:spacing w:after="0" w:line="237" w:lineRule="auto"/>
        <w:rPr>
          <w:sz w:val="20"/>
          <w:szCs w:val="20"/>
          <w:color w:val="auto"/>
        </w:rPr>
      </w:pPr>
      <w:r>
        <w:rPr>
          <w:rFonts w:ascii="Courier New" w:cs="Courier New" w:eastAsia="Courier New" w:hAnsi="Courier New"/>
          <w:sz w:val="18"/>
          <w:szCs w:val="18"/>
          <w:color w:val="auto"/>
        </w:rPr>
        <w:t>65</w:t>
      </w:r>
    </w:p>
    <w:p>
      <w:pPr>
        <w:ind w:left="4100"/>
        <w:spacing w:after="0" w:line="238" w:lineRule="auto"/>
        <w:rPr>
          <w:sz w:val="20"/>
          <w:szCs w:val="20"/>
          <w:color w:val="auto"/>
        </w:rPr>
      </w:pPr>
      <w:r>
        <w:rPr>
          <w:rFonts w:ascii="Courier New" w:cs="Courier New" w:eastAsia="Courier New" w:hAnsi="Courier New"/>
          <w:sz w:val="18"/>
          <w:szCs w:val="18"/>
          <w:color w:val="auto"/>
        </w:rPr>
        <w:t>30</w:t>
      </w:r>
    </w:p>
    <w:p>
      <w:pPr>
        <w:ind w:left="3360"/>
        <w:spacing w:after="0"/>
        <w:rPr>
          <w:sz w:val="20"/>
          <w:szCs w:val="20"/>
          <w:color w:val="auto"/>
        </w:rPr>
      </w:pPr>
      <w:r>
        <w:rPr>
          <w:rFonts w:ascii="Courier New" w:cs="Courier New" w:eastAsia="Courier New" w:hAnsi="Courier New"/>
          <w:sz w:val="18"/>
          <w:szCs w:val="18"/>
          <w:color w:val="auto"/>
        </w:rPr>
        <w:t>35</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rPr>
          <w:sz w:val="20"/>
          <w:szCs w:val="20"/>
          <w:color w:val="auto"/>
        </w:rPr>
      </w:pPr>
      <w:r>
        <w:rPr>
          <w:rFonts w:ascii="Courier New" w:cs="Courier New" w:eastAsia="Courier New" w:hAnsi="Courier New"/>
          <w:sz w:val="18"/>
          <w:szCs w:val="18"/>
          <w:color w:val="auto"/>
        </w:rPr>
        <w:t>35</w:t>
      </w:r>
    </w:p>
    <w:p>
      <w:pPr>
        <w:ind w:left="3900"/>
        <w:spacing w:after="0" w:line="237" w:lineRule="auto"/>
        <w:rPr>
          <w:sz w:val="20"/>
          <w:szCs w:val="20"/>
          <w:color w:val="auto"/>
        </w:rPr>
      </w:pPr>
      <w:r>
        <w:rPr>
          <w:rFonts w:ascii="Courier New" w:cs="Courier New" w:eastAsia="Courier New" w:hAnsi="Courier New"/>
          <w:sz w:val="18"/>
          <w:szCs w:val="18"/>
          <w:color w:val="auto"/>
        </w:rPr>
        <w:t>.72</w:t>
      </w:r>
    </w:p>
    <w:p>
      <w:pPr>
        <w:ind w:left="3900"/>
        <w:spacing w:after="0" w:line="238" w:lineRule="auto"/>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099"/>
          </w:cols>
          <w:pgMar w:left="360" w:top="541" w:right="1440" w:bottom="1440" w:gutter="0" w:footer="0" w:header="0"/>
        </w:sectPr>
      </w:pPr>
    </w:p>
    <w:bookmarkStart w:id="67" w:name="page68"/>
    <w:bookmarkEnd w:id="67"/>
    <w:p>
      <w:pPr>
        <w:ind w:left="3160"/>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POWER OF ATTORNEY IN CONNECTION WITH THE</w:t>
      </w:r>
    </w:p>
    <w:p>
      <w:pPr>
        <w:ind w:left="2540"/>
        <w:spacing w:after="0" w:line="238" w:lineRule="auto"/>
        <w:rPr>
          <w:sz w:val="20"/>
          <w:szCs w:val="20"/>
          <w:color w:val="auto"/>
        </w:rPr>
      </w:pPr>
      <w:r>
        <w:rPr>
          <w:rFonts w:ascii="Courier New" w:cs="Courier New" w:eastAsia="Courier New" w:hAnsi="Courier New"/>
          <w:sz w:val="18"/>
          <w:szCs w:val="18"/>
          <w:color w:val="auto"/>
        </w:rPr>
        <w:t>1994 ANNUAL REPORT ON FORM 10-K</w:t>
      </w:r>
    </w:p>
    <w:p>
      <w:pPr>
        <w:spacing w:after="0" w:line="200" w:lineRule="exact"/>
        <w:rPr>
          <w:sz w:val="20"/>
          <w:szCs w:val="20"/>
          <w:color w:val="auto"/>
        </w:rPr>
      </w:pPr>
    </w:p>
    <w:p>
      <w:pPr>
        <w:spacing w:after="0" w:line="210"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KNOW ALL MEN BY THESE PRESENTS, that each of the undersigned directors and officers of NORTHROP GRUMMAN CORPORATION, a Delaware corporation, does hereby appoint RICHARD R. MOLLEUR and SHEILA M. GIBBONS, and each of them as his agents and attorneys-in-fact (the "Agents"), in his respective name and in the capacity or capacities indicated below to execute and/or file the Annual Report on Form 10-K for the fiscal year ended December 31, 1994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200" w:lineRule="exact"/>
        <w:rPr>
          <w:sz w:val="20"/>
          <w:szCs w:val="20"/>
          <w:color w:val="auto"/>
        </w:rPr>
      </w:pPr>
    </w:p>
    <w:p>
      <w:pPr>
        <w:spacing w:after="0" w:line="394"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or superseded by written notice filed with the Commission.</w:t>
      </w:r>
    </w:p>
    <w:p>
      <w:pPr>
        <w:spacing w:after="0" w:line="209"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IN WITNESS THEREOF, each of the undersigned has subscribed these presents this</w:t>
      </w:r>
    </w:p>
    <w:p>
      <w:pPr>
        <w:spacing w:after="0"/>
        <w:rPr>
          <w:sz w:val="20"/>
          <w:szCs w:val="20"/>
          <w:color w:val="auto"/>
        </w:rPr>
      </w:pPr>
      <w:r>
        <w:rPr>
          <w:rFonts w:ascii="Courier New" w:cs="Courier New" w:eastAsia="Courier New" w:hAnsi="Courier New"/>
          <w:sz w:val="18"/>
          <w:szCs w:val="18"/>
          <w:color w:val="auto"/>
        </w:rPr>
        <w:t>15th day of March, 1995.</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385" w:lineRule="exact"/>
        <w:rPr>
          <w:sz w:val="20"/>
          <w:szCs w:val="20"/>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 Kent Kresa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Chief Executive Officer and</w:t>
      </w:r>
    </w:p>
    <w:p>
      <w:pPr>
        <w:spacing w:after="0" w:line="238" w:lineRule="auto"/>
        <w:rPr>
          <w:sz w:val="20"/>
          <w:szCs w:val="20"/>
          <w:color w:val="auto"/>
        </w:rPr>
      </w:pPr>
      <w:r>
        <w:rPr>
          <w:rFonts w:ascii="Courier New" w:cs="Courier New" w:eastAsia="Courier New" w:hAnsi="Courier New"/>
          <w:sz w:val="18"/>
          <w:szCs w:val="18"/>
          <w:color w:val="auto"/>
        </w:rPr>
        <w:t>Director (Principal Executive</w:t>
      </w: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line="209" w:lineRule="exact"/>
        <w:rPr>
          <w:sz w:val="20"/>
          <w:szCs w:val="20"/>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 Jack R. Borsting</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 John T. Chain,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 Jack Edwards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 Barbara C. Jordan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 Aulana L. Peters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 John E. Robson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 Richard M. Rosenberg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 William F. Schmied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 Brent Scowcroft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 John Brooks Slaughter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26" w:lineRule="exact"/>
        <w:rPr>
          <w:sz w:val="20"/>
          <w:szCs w:val="20"/>
          <w:color w:val="auto"/>
        </w:rPr>
      </w:pPr>
    </w:p>
    <w:p>
      <w:pPr>
        <w:sectPr>
          <w:pgSz w:w="11900" w:h="16838" w:orient="portrait"/>
          <w:cols w:equalWidth="0" w:num="2">
            <w:col w:w="3080" w:space="720"/>
            <w:col w:w="6419"/>
          </w:cols>
          <w:pgMar w:left="240" w:top="33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ectPr>
          <w:pgSz w:w="11900" w:h="16838" w:orient="portrait"/>
          <w:cols w:equalWidth="0" w:num="2">
            <w:col w:w="3080" w:space="720"/>
            <w:col w:w="6419"/>
          </w:cols>
          <w:pgMar w:left="240" w:top="339" w:right="1440" w:bottom="0" w:gutter="0" w:footer="0" w:header="0"/>
          <w:type w:val="continuous"/>
        </w:sectPr>
      </w:pPr>
    </w:p>
    <w:bookmarkStart w:id="68" w:name="page69"/>
    <w:bookmarkEnd w:id="68"/>
    <w:p>
      <w:pPr>
        <w:spacing w:after="0"/>
        <w:rPr>
          <w:sz w:val="20"/>
          <w:szCs w:val="20"/>
          <w:color w:val="auto"/>
        </w:rPr>
      </w:pPr>
      <w:r>
        <w:rPr>
          <w:rFonts w:ascii="Courier New" w:cs="Courier New" w:eastAsia="Courier New" w:hAnsi="Courier New"/>
          <w:sz w:val="16"/>
          <w:szCs w:val="16"/>
          <w:color w:val="auto"/>
        </w:rPr>
        <w:t>Wallace C. Solberg</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 Richard J. Stegemeier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20" w:lineRule="exact"/>
        <w:rPr>
          <w:sz w:val="20"/>
          <w:szCs w:val="20"/>
          <w:color w:val="auto"/>
        </w:rPr>
      </w:pPr>
    </w:p>
    <w:p>
      <w:pPr>
        <w:sectPr>
          <w:pgSz w:w="11900" w:h="16838" w:orient="portrait"/>
          <w:cols w:equalWidth="0" w:num="2">
            <w:col w:w="3080" w:space="720"/>
            <w:col w:w="6419"/>
          </w:cols>
          <w:pgMar w:left="240" w:top="142" w:right="1440" w:bottom="1440" w:gutter="0" w:footer="0" w:header="0"/>
          <w:type w:val="continuous"/>
        </w:sectPr>
      </w:pPr>
    </w:p>
    <w:p>
      <w:pPr>
        <w:spacing w:after="0" w:line="6" w:lineRule="exact"/>
        <w:rPr>
          <w:sz w:val="20"/>
          <w:szCs w:val="20"/>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 Richard B. Waugh,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Corporate Vice President</w:t>
      </w:r>
    </w:p>
    <w:p>
      <w:pPr>
        <w:spacing w:after="0" w:line="238" w:lineRule="auto"/>
        <w:rPr>
          <w:sz w:val="20"/>
          <w:szCs w:val="20"/>
          <w:color w:val="auto"/>
        </w:rPr>
      </w:pPr>
      <w:r>
        <w:rPr>
          <w:rFonts w:ascii="Courier New" w:cs="Courier New" w:eastAsia="Courier New" w:hAnsi="Courier New"/>
          <w:sz w:val="18"/>
          <w:szCs w:val="18"/>
          <w:color w:val="auto"/>
        </w:rPr>
        <w:t>and 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Officer)</w:t>
      </w:r>
    </w:p>
    <w:p>
      <w:pPr>
        <w:spacing w:after="0" w:line="200" w:lineRule="exact"/>
        <w:rPr>
          <w:sz w:val="20"/>
          <w:szCs w:val="20"/>
          <w:color w:val="auto"/>
        </w:rPr>
      </w:pPr>
    </w:p>
    <w:p>
      <w:pPr>
        <w:sectPr>
          <w:pgSz w:w="11900" w:h="16838" w:orient="portrait"/>
          <w:cols w:equalWidth="0" w:num="2">
            <w:col w:w="3080" w:space="720"/>
            <w:col w:w="6419"/>
          </w:cols>
          <w:pgMar w:left="240" w:top="142" w:right="1440" w:bottom="1440" w:gutter="0" w:footer="0" w:header="0"/>
          <w:type w:val="continuous"/>
        </w:sectPr>
      </w:pPr>
    </w:p>
    <w:p>
      <w:pPr>
        <w:spacing w:after="0" w:line="24" w:lineRule="exact"/>
        <w:rPr>
          <w:sz w:val="20"/>
          <w:szCs w:val="20"/>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__________________________ Nelson F. Gibbs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Corporate Vice President</w:t>
      </w:r>
    </w:p>
    <w:p>
      <w:pPr>
        <w:spacing w:after="0" w:line="238" w:lineRule="auto"/>
        <w:rPr>
          <w:sz w:val="20"/>
          <w:szCs w:val="20"/>
          <w:color w:val="auto"/>
        </w:rPr>
      </w:pPr>
      <w:r>
        <w:rPr>
          <w:rFonts w:ascii="Courier New" w:cs="Courier New" w:eastAsia="Courier New" w:hAnsi="Courier New"/>
          <w:sz w:val="18"/>
          <w:szCs w:val="18"/>
          <w:color w:val="auto"/>
        </w:rPr>
        <w:t>and Controller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sectPr>
      <w:pgSz w:w="11900" w:h="16838" w:orient="portrait"/>
      <w:cols w:equalWidth="0" w:num="2">
        <w:col w:w="3080" w:space="720"/>
        <w:col w:w="64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upperLetter"/>
      <w:start w:val="24"/>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lowerLetter"/>
      <w:start w:val="1"/>
    </w:lvl>
  </w:abstractNum>
  <w:abstractNum w:abstractNumId="5">
    <w:nsid w:val="3006C83E"/>
    <w:multiLevelType w:val="hybridMultilevel"/>
    <w:lvl w:ilvl="0">
      <w:lvlJc w:val="left"/>
      <w:lvlText w:val="%1"/>
      <w:numFmt w:val="decimal"/>
      <w:start w:val="109"/>
    </w:lvl>
  </w:abstractNum>
  <w:abstractNum w:abstractNumId="6">
    <w:nsid w:val="614FD4A1"/>
    <w:multiLevelType w:val="hybridMultilevel"/>
    <w:lvl w:ilvl="0">
      <w:lvlJc w:val="left"/>
      <w:lvlText w:val="%1"/>
      <w:numFmt w:val="decimal"/>
      <w:start w:val="280"/>
    </w:lvl>
  </w:abstractNum>
  <w:abstractNum w:abstractNumId="7">
    <w:nsid w:val="419AC241"/>
    <w:multiLevelType w:val="hybridMultilevel"/>
    <w:lvl w:ilvl="0">
      <w:lvlJc w:val="left"/>
      <w:lvlText w:val="2"/>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221"/>
    </w:lvl>
  </w:abstractNum>
  <w:abstractNum w:abstractNumId="10">
    <w:nsid w:val="5072367"/>
    <w:multiLevelType w:val="hybridMultilevel"/>
    <w:lvl w:ilvl="0">
      <w:lvlJc w:val="left"/>
      <w:lvlText w:val="%1"/>
      <w:numFmt w:val="decimal"/>
      <w:start w:val="88"/>
    </w:lvl>
  </w:abstractNum>
  <w:abstractNum w:abstractNumId="11">
    <w:nsid w:val="3804823E"/>
    <w:multiLevelType w:val="hybridMultilevel"/>
    <w:lvl w:ilvl="0">
      <w:lvlJc w:val="left"/>
      <w:lvlText w:val="%1"/>
      <w:numFmt w:val="decimal"/>
      <w:start w:val="158"/>
    </w:lvl>
  </w:abstractNum>
  <w:abstractNum w:abstractNumId="12">
    <w:nsid w:val="77465F01"/>
    <w:multiLevelType w:val="hybridMultilevel"/>
    <w:lvl w:ilvl="0">
      <w:lvlJc w:val="left"/>
      <w:lvlText w:val="(%1)"/>
      <w:numFmt w:val="decimal"/>
      <w:start w:val="42"/>
    </w:lvl>
  </w:abstractNum>
  <w:abstractNum w:abstractNumId="13">
    <w:nsid w:val="7724C67E"/>
    <w:multiLevelType w:val="hybridMultilevel"/>
    <w:lvl w:ilvl="0">
      <w:lvlJc w:val="left"/>
      <w:lvlText w:val="(%1)"/>
      <w:numFmt w:val="decimal"/>
      <w:start w:val="20"/>
    </w:lvl>
  </w:abstractNum>
  <w:abstractNum w:abstractNumId="14">
    <w:nsid w:val="5C482A97"/>
    <w:multiLevelType w:val="hybridMultilevel"/>
    <w:lvl w:ilvl="0">
      <w:lvlJc w:val="left"/>
      <w:lvlText w:val="(%1)"/>
      <w:numFmt w:val="lowerLetter"/>
      <w:start w:val="1"/>
    </w:lvl>
  </w:abstractNum>
  <w:abstractNum w:abstractNumId="15">
    <w:nsid w:val="2463B9EA"/>
    <w:multiLevelType w:val="hybridMultilevel"/>
    <w:lvl w:ilvl="0">
      <w:lvlJc w:val="left"/>
      <w:lvlText w:val="%1"/>
      <w:numFmt w:val="decimal"/>
      <w:start w:val="11"/>
    </w:lvl>
  </w:abstractNum>
  <w:abstractNum w:abstractNumId="16">
    <w:nsid w:val="5E884ADC"/>
    <w:multiLevelType w:val="hybridMultilevel"/>
    <w:lvl w:ilvl="0">
      <w:lvlJc w:val="left"/>
      <w:lvlText w:val="%1"/>
      <w:numFmt w:val="decimal"/>
      <w:start w:val="21"/>
    </w:lvl>
  </w:abstractNum>
  <w:abstractNum w:abstractNumId="17">
    <w:nsid w:val="51EAD36B"/>
    <w:multiLevelType w:val="hybridMultilevel"/>
    <w:lvl w:ilvl="0">
      <w:lvlJc w:val="left"/>
      <w:lvlText w:val="%1"/>
      <w:numFmt w:val="decimal"/>
      <w:start w:val="23"/>
    </w:lvl>
  </w:abstractNum>
  <w:abstractNum w:abstractNumId="18">
    <w:nsid w:val="2D517796"/>
    <w:multiLevelType w:val="hybridMultilevel"/>
    <w:lvl w:ilvl="0">
      <w:lvlJc w:val="left"/>
      <w:lvlText w:val="%1"/>
      <w:numFmt w:val="decimal"/>
      <w:start w:val="27"/>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lowerLetter"/>
      <w:start w:val="1"/>
    </w:lvl>
  </w:abstractNum>
  <w:abstractNum w:abstractNumId="22">
    <w:nsid w:val="70A64E2A"/>
    <w:multiLevelType w:val="hybridMultilevel"/>
    <w:lvl w:ilvl="0">
      <w:lvlJc w:val="left"/>
      <w:lvlText w:val="(%1)"/>
      <w:numFmt w:val="lowerLetter"/>
      <w:start w:val="2"/>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2"/>
    </w:lvl>
  </w:abstractNum>
  <w:abstractNum w:abstractNumId="25">
    <w:nsid w:val="1D4ED43B"/>
    <w:multiLevelType w:val="hybridMultilevel"/>
    <w:lvl w:ilvl="0">
      <w:lvlJc w:val="left"/>
      <w:lvlText w:val="%1."/>
      <w:numFmt w:val="decimal"/>
      <w:start w:val="3"/>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3"/>
    </w:lvl>
  </w:abstractNum>
  <w:abstractNum w:abstractNumId="29">
    <w:nsid w:val="7A6D8D3C"/>
    <w:multiLevelType w:val="hybridMultilevel"/>
    <w:lvl w:ilvl="0">
      <w:lvlJc w:val="left"/>
      <w:lvlText w:val="%1."/>
      <w:numFmt w:val="decimal"/>
      <w:start w:val="5"/>
    </w:lvl>
  </w:abstractNum>
  <w:abstractNum w:abstractNumId="30">
    <w:nsid w:val="4B588F54"/>
    <w:multiLevelType w:val="hybridMultilevel"/>
    <w:lvl w:ilvl="0">
      <w:lvlJc w:val="left"/>
      <w:lvlText w:val="%1."/>
      <w:numFmt w:val="decimal"/>
      <w:start w:val="6"/>
    </w:lvl>
  </w:abstractNum>
  <w:abstractNum w:abstractNumId="31">
    <w:nsid w:val="542289EC"/>
    <w:multiLevelType w:val="hybridMultilevel"/>
    <w:lvl w:ilvl="0">
      <w:lvlJc w:val="left"/>
      <w:lvlText w:val="%1."/>
      <w:numFmt w:val="decimal"/>
      <w:start w:val="7"/>
    </w:lvl>
  </w:abstractNum>
  <w:abstractNum w:abstractNumId="32">
    <w:nsid w:val="6DE91B18"/>
    <w:multiLevelType w:val="hybridMultilevel"/>
    <w:lvl w:ilvl="0">
      <w:lvlJc w:val="left"/>
      <w:lvlText w:val="(%1)"/>
      <w:numFmt w:val="lowerRoman"/>
      <w:start w:val="1"/>
    </w:lvl>
  </w:abstractNum>
  <w:abstractNum w:abstractNumId="33">
    <w:nsid w:val="38437FDB"/>
    <w:multiLevelType w:val="hybridMultilevel"/>
    <w:lvl w:ilvl="0">
      <w:lvlJc w:val="left"/>
      <w:lvlText w:val="%1."/>
      <w:numFmt w:val="decimal"/>
      <w:start w:val="8"/>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2"/>
    </w:lvl>
  </w:abstractNum>
  <w:abstractNum w:abstractNumId="36">
    <w:nsid w:val="684A481A"/>
    <w:multiLevelType w:val="hybridMultilevel"/>
    <w:lvl w:ilvl="0">
      <w:lvlJc w:val="left"/>
      <w:lvlText w:val="%1."/>
      <w:numFmt w:val="decimal"/>
      <w:start w:val="3"/>
    </w:lvl>
    <w:lvl w:ilvl="1">
      <w:lvlJc w:val="left"/>
      <w:lvlText w:val="(%2)"/>
      <w:numFmt w:val="lowerLetter"/>
      <w:start w:val="1"/>
    </w:lvl>
  </w:abstractNum>
  <w:abstractNum w:abstractNumId="37">
    <w:nsid w:val="579478FE"/>
    <w:multiLevelType w:val="hybridMultilevel"/>
    <w:lvl w:ilvl="0">
      <w:lvlJc w:val="left"/>
      <w:lvlText w:val="(%1)"/>
      <w:numFmt w:val="lowerLetter"/>
      <w:start w:val="2"/>
    </w:lvl>
  </w:abstractNum>
  <w:abstractNum w:abstractNumId="38">
    <w:nsid w:val="749ABB43"/>
    <w:multiLevelType w:val="hybridMultilevel"/>
    <w:lvl w:ilvl="0">
      <w:lvlJc w:val="left"/>
      <w:lvlText w:val="%1"/>
      <w:numFmt w:val="decimal"/>
      <w:start w:val="1"/>
    </w:lvl>
    <w:lvl w:ilvl="1">
      <w:lvlJc w:val="left"/>
      <w:lvlText w:val="(%2)"/>
      <w:numFmt w:val="lowerLetter"/>
      <w:start w:val="3"/>
    </w:lvl>
  </w:abstractNum>
  <w:abstractNum w:abstractNumId="39">
    <w:nsid w:val="3DC240FB"/>
    <w:multiLevelType w:val="hybridMultilevel"/>
    <w:lvl w:ilvl="0">
      <w:lvlJc w:val="left"/>
      <w:lvlText w:val="%1."/>
      <w:numFmt w:val="decimal"/>
      <w:start w:val="5"/>
    </w:lvl>
    <w:lvl w:ilvl="1">
      <w:lvlJc w:val="left"/>
      <w:lvlText w:val="(%2)"/>
      <w:numFmt w:val="lowerLetter"/>
      <w:start w:val="1"/>
    </w:lvl>
  </w:abstractNum>
  <w:abstractNum w:abstractNumId="40">
    <w:nsid w:val="1BA026FA"/>
    <w:multiLevelType w:val="hybridMultilevel"/>
    <w:lvl w:ilvl="0">
      <w:lvlJc w:val="left"/>
      <w:lvlText w:val="(%1)"/>
      <w:numFmt w:val="lowerLetter"/>
      <w:start w:val="2"/>
    </w:lvl>
  </w:abstractNum>
  <w:abstractNum w:abstractNumId="41">
    <w:nsid w:val="79A1DEA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2">
    <w:nsid w:val="75C6C33A"/>
    <w:multiLevelType w:val="hybridMultilevel"/>
    <w:lvl w:ilvl="0">
      <w:lvlJc w:val="left"/>
      <w:lvlText w:val="%1"/>
      <w:numFmt w:val="decimal"/>
      <w:start w:val="1"/>
    </w:lvl>
    <w:lvl w:ilvl="1">
      <w:lvlJc w:val="left"/>
      <w:lvlText w:val="(%2)"/>
      <w:numFmt w:val="lowerLetter"/>
      <w:start w:val="4"/>
    </w:lvl>
  </w:abstractNum>
  <w:abstractNum w:abstractNumId="43">
    <w:nsid w:val="12E685FB"/>
    <w:multiLevelType w:val="hybridMultilevel"/>
    <w:lvl w:ilvl="0">
      <w:lvlJc w:val="left"/>
      <w:lvlText w:val="%1."/>
      <w:numFmt w:val="decimal"/>
      <w:start w:val="7"/>
    </w:lvl>
    <w:lvl w:ilvl="1">
      <w:lvlJc w:val="left"/>
      <w:lvlText w:val="%2"/>
      <w:numFmt w:val="lowerLetter"/>
      <w:start w:val="1"/>
    </w:lvl>
  </w:abstractNum>
  <w:abstractNum w:abstractNumId="44">
    <w:nsid w:val="70C6A529"/>
    <w:multiLevelType w:val="hybridMultilevel"/>
    <w:lvl w:ilvl="0">
      <w:lvlJc w:val="left"/>
      <w:lvlText w:val="%1."/>
      <w:numFmt w:val="decimal"/>
      <w:start w:val="8"/>
    </w:lvl>
  </w:abstractNum>
  <w:abstractNum w:abstractNumId="45">
    <w:nsid w:val="520EEDD1"/>
    <w:multiLevelType w:val="hybridMultilevel"/>
    <w:lvl w:ilvl="0">
      <w:lvlJc w:val="left"/>
      <w:lvlText w:val="%1."/>
      <w:numFmt w:val="decimal"/>
      <w:start w:val="9"/>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2"/>
    </w:lvl>
  </w:abstractNum>
  <w:abstractNum w:abstractNumId="48">
    <w:nsid w:val="23F9C13C"/>
    <w:multiLevelType w:val="hybridMultilevel"/>
    <w:lvl w:ilvl="0">
      <w:lvlJc w:val="left"/>
      <w:lvlText w:val="%1."/>
      <w:numFmt w:val="decimal"/>
      <w:start w:val="3"/>
    </w:lvl>
  </w:abstractNum>
  <w:abstractNum w:abstractNumId="49">
    <w:nsid w:val="649BB77C"/>
    <w:multiLevelType w:val="hybridMultilevel"/>
    <w:lvl w:ilvl="0">
      <w:lvlJc w:val="left"/>
      <w:lvlText w:val="%1."/>
      <w:numFmt w:val="decimal"/>
      <w:start w:val="4"/>
    </w:lvl>
  </w:abstractNum>
  <w:abstractNum w:abstractNumId="50">
    <w:nsid w:val="275AC794"/>
    <w:multiLevelType w:val="hybridMultilevel"/>
    <w:lvl w:ilvl="0">
      <w:lvlJc w:val="left"/>
      <w:lvlText w:val="%1)"/>
      <w:numFmt w:val="lowerRoman"/>
      <w:start w:val="1"/>
    </w:lvl>
  </w:abstractNum>
  <w:abstractNum w:abstractNumId="51">
    <w:nsid w:val="39386575"/>
    <w:multiLevelType w:val="hybridMultilevel"/>
    <w:lvl w:ilvl="0">
      <w:lvlJc w:val="left"/>
      <w:lvlText w:val="%1."/>
      <w:numFmt w:val="decimal"/>
      <w:start w:val="5"/>
    </w:lvl>
  </w:abstractNum>
  <w:abstractNum w:abstractNumId="52">
    <w:nsid w:val="1CF10FD8"/>
    <w:multiLevelType w:val="hybridMultilevel"/>
    <w:lvl w:ilvl="0">
      <w:lvlJc w:val="left"/>
      <w:lvlText w:val="%1."/>
      <w:numFmt w:val="decimal"/>
      <w:start w:val="6"/>
    </w:lvl>
  </w:abstractNum>
  <w:abstractNum w:abstractNumId="53">
    <w:nsid w:val="180115BE"/>
    <w:multiLevelType w:val="hybridMultilevel"/>
    <w:lvl w:ilvl="0">
      <w:lvlJc w:val="left"/>
      <w:lvlText w:val="%1."/>
      <w:numFmt w:val="decimal"/>
      <w:start w:val="7"/>
    </w:lvl>
  </w:abstractNum>
  <w:abstractNum w:abstractNumId="54">
    <w:nsid w:val="235BA861"/>
    <w:multiLevelType w:val="hybridMultilevel"/>
    <w:lvl w:ilvl="0">
      <w:lvlJc w:val="left"/>
      <w:lvlText w:val="%1."/>
      <w:numFmt w:val="decimal"/>
      <w:start w:val="8"/>
    </w:lvl>
  </w:abstractNum>
  <w:abstractNum w:abstractNumId="55">
    <w:nsid w:val="47398C89"/>
    <w:multiLevelType w:val="hybridMultilevel"/>
    <w:lvl w:ilvl="0">
      <w:lvlJc w:val="left"/>
      <w:lvlText w:val="%1."/>
      <w:numFmt w:val="decimal"/>
      <w:start w:val="9"/>
    </w:lvl>
  </w:abstractNum>
  <w:abstractNum w:abstractNumId="56">
    <w:nsid w:val="354FE9F9"/>
    <w:multiLevelType w:val="hybridMultilevel"/>
    <w:lvl w:ilvl="0">
      <w:lvlJc w:val="left"/>
      <w:lvlText w:val="%1."/>
      <w:numFmt w:val="decimal"/>
      <w:start w:val="10"/>
    </w:lvl>
  </w:abstractNum>
  <w:abstractNum w:abstractNumId="57">
    <w:nsid w:val="15B5AF5C"/>
    <w:multiLevelType w:val="hybridMultilevel"/>
    <w:lvl w:ilvl="0">
      <w:lvlJc w:val="left"/>
      <w:lvlText w:val="%1."/>
      <w:numFmt w:val="decimal"/>
      <w:start w:val="11"/>
    </w:lvl>
  </w:abstractNum>
  <w:abstractNum w:abstractNumId="58">
    <w:nsid w:val="741226BB"/>
    <w:multiLevelType w:val="hybridMultilevel"/>
    <w:lvl w:ilvl="0">
      <w:lvlJc w:val="left"/>
      <w:lvlText w:val="%1."/>
      <w:numFmt w:val="decimal"/>
      <w:start w:val="12"/>
    </w:lvl>
  </w:abstractNum>
  <w:abstractNum w:abstractNumId="59">
    <w:nsid w:val="D34B6A8"/>
    <w:multiLevelType w:val="hybridMultilevel"/>
    <w:lvl w:ilvl="0">
      <w:lvlJc w:val="left"/>
      <w:lvlText w:val="%1."/>
      <w:numFmt w:val="decimal"/>
      <w:start w:val="13"/>
    </w:lvl>
  </w:abstractNum>
  <w:abstractNum w:abstractNumId="60">
    <w:nsid w:val="10233C99"/>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2019-12-13T05:58:21Z</dcterms:created>
  <dcterms:modified xsi:type="dcterms:W3CDTF">2019-12-13T05:58:21Z</dcterms:modified>
</cp:coreProperties>
</file>