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27940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-220345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1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51435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71120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29" w:right="339" w:bottom="1440" w:gutter="0" w:footer="0" w:header="0"/>
          <w:type w:val="continuous"/>
        </w:sectPr>
      </w:pP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ind w:right="-17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At the Northrop Grumman Corporation (the "Company") 2026 Annual Meeting of Shareholders held on May 20, 2026 (the "2026 Annual Meeting"), shareholders considered and approved the three proposals that management presented, each of which is described in more detail in the 2026 Proxy Statement filed with the Securities and Exchange Commission on April 3, 2026.</w:t>
      </w:r>
    </w:p>
    <w:p>
      <w:pPr>
        <w:spacing w:after="0" w:line="4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results detailed below for the proposals presented at the 2026 Annual Meeting represent the final voting results as certified by the Inspector of Election.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Proposals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shareholders elected the following eleven directors: Kathy J. Warden, David P. Abney, Marianne C. Brown, Christopher W. Grady, Arvind Krishna, Kimberly A. Ross, Gary Roughead, Thomas M. Schoewe, James S. Turley, Mark A. Welsh III and Mary A. Winston.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50"/>
        </w:trPr>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Kathy J. Warden</w:t>
            </w:r>
          </w:p>
        </w:tc>
        <w:tc>
          <w:tcPr>
            <w:tcW w:w="24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109,954,609</w:t>
            </w:r>
          </w:p>
        </w:tc>
        <w:tc>
          <w:tcPr>
            <w:tcW w:w="24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3,255,297</w:t>
            </w:r>
          </w:p>
        </w:tc>
        <w:tc>
          <w:tcPr>
            <w:tcW w:w="24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260,394</w:t>
            </w:r>
          </w:p>
        </w:tc>
        <w:tc>
          <w:tcPr>
            <w:tcW w:w="240" w:type="dxa"/>
            <w:vAlign w:val="bottom"/>
          </w:tcPr>
          <w:p>
            <w:pPr>
              <w:spacing w:after="0"/>
              <w:rPr>
                <w:sz w:val="21"/>
                <w:szCs w:val="21"/>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P. Abney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110,596,071</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2,390,699</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483,530</w:t>
            </w: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Marianne C. Brown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106,283,552</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6,679,052</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507,696</w:t>
            </w: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W. Grady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112,196,690</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817,467</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456,143</w:t>
            </w: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Arvind Krishna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111,266,680</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1,715,680</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487,940</w:t>
            </w: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Kimberly A. Ross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111,545,318</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1,422,255</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502,727</w:t>
            </w: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Roughead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110,346,794</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2,648,764</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474,742</w:t>
            </w: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M. Schoewe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109,394,902</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3,572,207</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503,191</w:t>
            </w: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S. Turley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103,275,902</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9,690,919</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503,479</w:t>
            </w: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7"/>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A. Welsh III</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111,863,189</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1,127,398</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479,713</w:t>
            </w: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13,285,434</w:t>
            </w:r>
          </w:p>
        </w:tc>
      </w:tr>
      <w:tr>
        <w:trPr>
          <w:trHeight w:val="256"/>
        </w:trPr>
        <w:tc>
          <w:tcPr>
            <w:tcW w:w="2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Mary A. Winston</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111,083,563</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1,903,984</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482,753</w:t>
            </w: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13,285,434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on an advisory basis, the compensation of the Company's named executive officers, with a vote of:</w:t>
      </w:r>
    </w:p>
    <w:p>
      <w:pPr>
        <w:spacing w:after="0" w:line="135"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23"/>
        </w:trPr>
        <w:tc>
          <w:tcPr>
            <w:tcW w:w="15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107,398,463</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5,220,362</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851,475</w:t>
            </w:r>
          </w:p>
        </w:tc>
        <w:tc>
          <w:tcPr>
            <w:tcW w:w="240" w:type="dxa"/>
            <w:vAlign w:val="bottom"/>
            <w:tcBorders>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13,285,434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shareholders ratified the appointment of Deloitte &amp; Touche LLP as the Company's independent auditor for the fiscal year ending December 31, 2026 with a vote of 121,265,768 shares for, 5,116,361 shares against and 373,605 abstentions.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did not approve the shareholder proposal to provide for an independent board chair.</w:t>
      </w:r>
    </w:p>
    <w:p>
      <w:pPr>
        <w:spacing w:after="0" w:line="378"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23"/>
        </w:trPr>
        <w:tc>
          <w:tcPr>
            <w:tcW w:w="15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23,610,695</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88,773,053</w:t>
            </w:r>
          </w:p>
        </w:tc>
        <w:tc>
          <w:tcPr>
            <w:tcW w:w="24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1,086,552</w:t>
            </w:r>
          </w:p>
        </w:tc>
        <w:tc>
          <w:tcPr>
            <w:tcW w:w="240" w:type="dxa"/>
            <w:vAlign w:val="bottom"/>
            <w:tcBorders>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13,285,434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will carefully consider the shareholders' input on these proposals and feedback received in the course of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27"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5" w:lineRule="auto"/>
        <w:rPr>
          <w:sz w:val="20"/>
          <w:szCs w:val="20"/>
          <w:color w:val="auto"/>
        </w:rPr>
      </w:pPr>
      <w:r>
        <w:rPr>
          <w:rFonts w:ascii="Times New Roman" w:cs="Times New Roman" w:eastAsia="Times New Roman" w:hAnsi="Times New Roman"/>
          <w:sz w:val="18"/>
          <w:szCs w:val="18"/>
          <w:color w:val="auto"/>
        </w:rPr>
        <w:t>Jennifer C. McGarey</w:t>
      </w:r>
    </w:p>
    <w:p>
      <w:pPr>
        <w:spacing w:after="0" w:line="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2026-05-21T16:28:40Z</dcterms:created>
  <dcterms:modified xsi:type="dcterms:W3CDTF">2026-05-21T16:28:40Z</dcterms:modified>
</cp:coreProperties>
</file>