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4"/>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24"/>
                <w:szCs w:val="24"/>
                <w:b w:val="1"/>
                <w:bCs w:val="1"/>
                <w:color w:val="auto"/>
                <w:w w:val="99"/>
              </w:rPr>
              <w:t>UNITED STATES</w:t>
            </w:r>
          </w:p>
        </w:tc>
      </w:tr>
      <w:tr>
        <w:trPr>
          <w:trHeight w:val="285"/>
        </w:trPr>
        <w:tc>
          <w:tcPr>
            <w:tcW w:w="2720" w:type="dxa"/>
            <w:vAlign w:val="bottom"/>
          </w:tcPr>
          <w:p>
            <w:pPr>
              <w:spacing w:after="0"/>
              <w:rPr>
                <w:sz w:val="24"/>
                <w:szCs w:val="24"/>
                <w:color w:val="auto"/>
              </w:rPr>
            </w:pPr>
          </w:p>
        </w:tc>
        <w:tc>
          <w:tcPr>
            <w:tcW w:w="8480" w:type="dxa"/>
            <w:vAlign w:val="bottom"/>
          </w:tcPr>
          <w:p>
            <w:pPr>
              <w:jc w:val="center"/>
              <w:ind w:right="2367"/>
              <w:spacing w:after="0"/>
              <w:rPr>
                <w:sz w:val="20"/>
                <w:szCs w:val="20"/>
                <w:color w:val="auto"/>
              </w:rPr>
            </w:pPr>
            <w:r>
              <w:rPr>
                <w:rFonts w:ascii="Arial" w:cs="Arial" w:eastAsia="Arial" w:hAnsi="Arial"/>
                <w:sz w:val="24"/>
                <w:szCs w:val="24"/>
                <w:b w:val="1"/>
                <w:bCs w:val="1"/>
                <w:color w:val="auto"/>
              </w:rPr>
              <w:t>SECURITIES AND EXCHANGE COMMISSION</w:t>
            </w:r>
          </w:p>
        </w:tc>
      </w:tr>
      <w:tr>
        <w:trPr>
          <w:trHeight w:val="281"/>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22"/>
                <w:szCs w:val="22"/>
                <w:b w:val="1"/>
                <w:bCs w:val="1"/>
                <w:color w:val="auto"/>
                <w:w w:val="88"/>
              </w:rPr>
              <w:t>Washington, D.C. 20549</w:t>
            </w:r>
          </w:p>
        </w:tc>
      </w:tr>
      <w:tr>
        <w:trPr>
          <w:trHeight w:val="532"/>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32"/>
                <w:szCs w:val="32"/>
                <w:b w:val="1"/>
                <w:bCs w:val="1"/>
                <w:color w:val="auto"/>
                <w:w w:val="99"/>
              </w:rPr>
              <w:t>SCHEDULE 14A</w:t>
            </w:r>
          </w:p>
        </w:tc>
      </w:tr>
      <w:tr>
        <w:trPr>
          <w:trHeight w:val="363"/>
        </w:trPr>
        <w:tc>
          <w:tcPr>
            <w:tcW w:w="2720" w:type="dxa"/>
            <w:vAlign w:val="bottom"/>
          </w:tcPr>
          <w:p>
            <w:pPr>
              <w:spacing w:after="0"/>
              <w:rPr>
                <w:sz w:val="24"/>
                <w:szCs w:val="24"/>
                <w:color w:val="auto"/>
              </w:rPr>
            </w:pPr>
          </w:p>
        </w:tc>
        <w:tc>
          <w:tcPr>
            <w:tcW w:w="8480" w:type="dxa"/>
            <w:vAlign w:val="bottom"/>
          </w:tcPr>
          <w:p>
            <w:pPr>
              <w:jc w:val="center"/>
              <w:ind w:right="2367"/>
              <w:spacing w:after="0"/>
              <w:rPr>
                <w:sz w:val="20"/>
                <w:szCs w:val="20"/>
                <w:color w:val="auto"/>
              </w:rPr>
            </w:pPr>
            <w:r>
              <w:rPr>
                <w:rFonts w:ascii="Arial" w:cs="Arial" w:eastAsia="Arial" w:hAnsi="Arial"/>
                <w:sz w:val="22"/>
                <w:szCs w:val="22"/>
                <w:b w:val="1"/>
                <w:bCs w:val="1"/>
                <w:color w:val="auto"/>
                <w:w w:val="88"/>
              </w:rPr>
              <w:t>Proxy Statement Pursuant to Section 14(a)</w:t>
            </w:r>
          </w:p>
        </w:tc>
      </w:tr>
      <w:tr>
        <w:trPr>
          <w:trHeight w:val="281"/>
        </w:trPr>
        <w:tc>
          <w:tcPr>
            <w:tcW w:w="2720" w:type="dxa"/>
            <w:vAlign w:val="bottom"/>
          </w:tcPr>
          <w:p>
            <w:pPr>
              <w:spacing w:after="0"/>
              <w:rPr>
                <w:sz w:val="24"/>
                <w:szCs w:val="24"/>
                <w:color w:val="auto"/>
              </w:rPr>
            </w:pPr>
          </w:p>
        </w:tc>
        <w:tc>
          <w:tcPr>
            <w:tcW w:w="8480" w:type="dxa"/>
            <w:vAlign w:val="bottom"/>
          </w:tcPr>
          <w:p>
            <w:pPr>
              <w:jc w:val="center"/>
              <w:ind w:right="2387"/>
              <w:spacing w:after="0"/>
              <w:rPr>
                <w:sz w:val="20"/>
                <w:szCs w:val="20"/>
                <w:color w:val="auto"/>
              </w:rPr>
            </w:pPr>
            <w:r>
              <w:rPr>
                <w:rFonts w:ascii="Arial" w:cs="Arial" w:eastAsia="Arial" w:hAnsi="Arial"/>
                <w:sz w:val="22"/>
                <w:szCs w:val="22"/>
                <w:b w:val="1"/>
                <w:bCs w:val="1"/>
                <w:color w:val="auto"/>
                <w:w w:val="87"/>
              </w:rPr>
              <w:t>of the Securities Exchange Act of 1934</w:t>
            </w:r>
          </w:p>
        </w:tc>
      </w:tr>
      <w:tr>
        <w:trPr>
          <w:trHeight w:val="386"/>
        </w:trPr>
        <w:tc>
          <w:tcPr>
            <w:tcW w:w="27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8480" w:type="dxa"/>
            <w:vAlign w:val="bottom"/>
          </w:tcPr>
          <w:p>
            <w:pPr>
              <w:spacing w:after="0"/>
              <w:rPr>
                <w:sz w:val="24"/>
                <w:szCs w:val="24"/>
                <w:color w:val="auto"/>
              </w:rPr>
            </w:pPr>
          </w:p>
        </w:tc>
      </w:tr>
      <w:tr>
        <w:trPr>
          <w:trHeight w:val="378"/>
        </w:trPr>
        <w:tc>
          <w:tcPr>
            <w:tcW w:w="112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58"/>
        </w:trPr>
        <w:tc>
          <w:tcPr>
            <w:tcW w:w="2720" w:type="dxa"/>
            <w:vAlign w:val="bottom"/>
          </w:tcPr>
          <w:p>
            <w:pPr>
              <w:ind w:left="20"/>
              <w:spacing w:after="0"/>
              <w:rPr>
                <w:sz w:val="20"/>
                <w:szCs w:val="20"/>
                <w:color w:val="auto"/>
              </w:rPr>
            </w:pPr>
            <w:r>
              <w:rPr>
                <w:rFonts w:ascii="Arial" w:cs="Arial" w:eastAsia="Arial" w:hAnsi="Arial"/>
                <w:sz w:val="18"/>
                <w:szCs w:val="18"/>
                <w:color w:val="auto"/>
              </w:rPr>
              <w:t>Check the appropriate box:</w:t>
            </w:r>
          </w:p>
        </w:tc>
        <w:tc>
          <w:tcPr>
            <w:tcW w:w="8480" w:type="dxa"/>
            <w:vAlign w:val="bottom"/>
          </w:tcPr>
          <w:p>
            <w:pPr>
              <w:spacing w:after="0"/>
              <w:rPr>
                <w:sz w:val="24"/>
                <w:szCs w:val="24"/>
                <w:color w:val="auto"/>
              </w:rPr>
            </w:pPr>
          </w:p>
        </w:tc>
      </w:tr>
      <w:tr>
        <w:trPr>
          <w:trHeight w:val="258"/>
        </w:trPr>
        <w:tc>
          <w:tcPr>
            <w:tcW w:w="27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tc>
        <w:tc>
          <w:tcPr>
            <w:tcW w:w="8480" w:type="dxa"/>
            <w:vAlign w:val="bottom"/>
          </w:tcPr>
          <w:p>
            <w:pPr>
              <w:ind w:left="31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 xml:space="preserve"> Confidential, for Use of the Commission Only (as permitted by Rule</w:t>
            </w:r>
          </w:p>
        </w:tc>
      </w:tr>
      <w:tr>
        <w:trPr>
          <w:trHeight w:val="256"/>
        </w:trPr>
        <w:tc>
          <w:tcPr>
            <w:tcW w:w="27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tc>
        <w:tc>
          <w:tcPr>
            <w:tcW w:w="8480" w:type="dxa"/>
            <w:vAlign w:val="bottom"/>
          </w:tcPr>
          <w:p>
            <w:pPr>
              <w:ind w:left="3400"/>
              <w:spacing w:after="0"/>
              <w:rPr>
                <w:sz w:val="20"/>
                <w:szCs w:val="20"/>
                <w:color w:val="auto"/>
              </w:rPr>
            </w:pPr>
            <w:r>
              <w:rPr>
                <w:rFonts w:ascii="Arial" w:cs="Arial" w:eastAsia="Arial" w:hAnsi="Arial"/>
                <w:sz w:val="18"/>
                <w:szCs w:val="18"/>
                <w:b w:val="1"/>
                <w:bCs w:val="1"/>
                <w:color w:val="auto"/>
              </w:rPr>
              <w:t>14a-6(e)(2))</w:t>
            </w:r>
          </w:p>
        </w:tc>
      </w:tr>
    </w:tbl>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Northrop Grumman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-3341370</wp:posOffset>
            </wp:positionV>
            <wp:extent cx="6817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-2998470</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-2518410</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-2174875</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-1831975</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-923290</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-579755</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-236855</wp:posOffset>
            </wp:positionV>
            <wp:extent cx="6817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105410</wp:posOffset>
            </wp:positionV>
            <wp:extent cx="6817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400"/>
          </w:cols>
          <w:pgMar w:left="240" w:top="219" w:right="259" w:bottom="1440" w:gutter="0" w:footer="0" w:header="0"/>
        </w:sectPr>
      </w:pPr>
    </w:p>
    <w:bookmarkStart w:id="1" w:name="page2"/>
    <w:bookmarkEnd w:id="1"/>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92605"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92605" cy="3003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April 12,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Fellow Stockholder:</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behalf of the Board of Directors, I cordially invite you to attend Northrop Grumman Corporation’s 2006 Annual Meeting of Stockholders. This year’s meeting will be held Wednesday, May 17, 2006 at 10:00 a.m. Pacific Daylight Time, at the Company’s Space Technology operating sector, located at One Space Park, Redondo Beach, California. I look forward to personally greeting those of you who are able to attend the meeting. If you are unable to join us in person, the meeting will be Web-cast through the Northrop Grumman Web site at www.northropgrumman.com.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business will be presented:</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six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the Company’s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Approval of amendments to the Company’s Restated Certificate of Incorporation to eliminate the supermajority voting requirements for most actions.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Vote on a stockholder proposal if it is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 Board of Directors recommends a vote FOR Proposals 1, 2 and 3 and AGAINST Proposal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this meeting I will also provide a report on the Company and will entertain questions of general interest to the stockholders.</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Your vote is important. Please review the instructions on the proxy or voting instruction card. Whether or not you plan to attend the annual meeting, I hope you will vote as soon as possible. You may vote over the Internet, by telephone, or by mailing a proxy or voting instruction card.</w:t>
      </w:r>
    </w:p>
    <w:p>
      <w:pPr>
        <w:spacing w:after="0" w:line="85"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One of the Company’s current directors, Dr. John Brooks Slaughter, will not stand for re-election due to the Company’s policy that directors retire at the Annual Meeting following his or her 72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birthday. John has made many wonderful contributions to our Company and on behalf of the entire Board, I offer my sincere thanks for his many years of service.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 of and continued interest in Northrop Grumman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44081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2464435</wp:posOffset>
            </wp:positionH>
            <wp:positionV relativeFrom="page">
              <wp:posOffset>183515</wp:posOffset>
            </wp:positionV>
            <wp:extent cx="263271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632710" cy="445770"/>
                    </a:xfrm>
                    <a:prstGeom prst="rect">
                      <a:avLst/>
                    </a:prstGeom>
                    <a:noFill/>
                  </pic:spPr>
                </pic:pic>
              </a:graphicData>
            </a:graphic>
          </wp:anchor>
        </w:drawing>
        <w:t>NOTICE OF ANNUAL MEETING OF STOCKHOLDERS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AND PROXY STATEMENT</w:t>
      </w:r>
    </w:p>
    <w:p>
      <w:pPr>
        <w:spacing w:after="0" w:line="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Annual Meeting of Stockholders of Northrop Grumman Corporation (the “Company”) will be held on Wednesday, May 17, 2006 at 10:00 a.m. at the Space Technology Presentation Center, One Space Park, Redondo Beach, California 90278.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at the close of business on March 21, 2006 are entitled to vote at the Annual Meeting. The following items are on the agenda:</w:t>
      </w:r>
    </w:p>
    <w:p>
      <w:pPr>
        <w:spacing w:after="0" w:line="113"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six directors, each for a one-year term expiring in 2007;</w:t>
      </w:r>
    </w:p>
    <w:p>
      <w:pPr>
        <w:spacing w:after="0" w:line="90" w:lineRule="exact"/>
        <w:rPr>
          <w:rFonts w:ascii="Arial" w:cs="Arial" w:eastAsia="Arial" w:hAnsi="Arial"/>
          <w:sz w:val="18"/>
          <w:szCs w:val="18"/>
          <w:color w:val="auto"/>
        </w:rPr>
      </w:pPr>
    </w:p>
    <w:p>
      <w:pPr>
        <w:ind w:left="1480" w:right="78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to ratify the appointment of Deloitte &amp; Touche LLP as Northrop Grumman’s independent auditors for fiscal year ending December 31, 2006;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to amend Northrop Grumman’s Restated Certificate of Incorporation to eliminate the super majority vote requirement;</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 proposal regarding an Independent Board Chairman;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as may properly come before the Annual Meeting or any adjournments thereof.</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986155" cy="1183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Mullan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Vice President and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1840 Century Park East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 90067</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12, 2006</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color w:val="auto"/>
        </w:rPr>
        <w:t>To assure your representation at the Annual Meeting, please sign, date and return the enclosed proxy card for which a return envelope is provided. No postage is required if mailed in the United States.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You may also vote by telephone or over the Internet. For instructions on electronic voting please see page 2 of this Proxy Statement or the proxy card.</w:t>
      </w:r>
    </w:p>
    <w:p>
      <w:pPr>
        <w:sectPr>
          <w:pgSz w:w="11900" w:h="16838" w:orient="portrait"/>
          <w:cols w:equalWidth="0" w:num="1">
            <w:col w:w="11360"/>
          </w:cols>
          <w:pgMar w:left="240" w:top="1287"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proxy statement is issued in connection with solicitation of the enclosed proxy by the Board of Directors (the “Board”) of Northrop Grumman Corporation (the “Company” or “Northrop Grumman”) for use at the Company’s 2006 Annual Meeting of Stockholders (the “Annual Meeting”). The Company’s principal office is located at 1840 Century Park East, Los Angeles, California, 90067. This proxy material will be sent to stockholders beginning approximately April 12,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SECURITIES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March 21, 2006 there were 343,148,954 shares of the Company’s common stock, par value $1.00 per share (“Common Stock”), outstanding. Holders of record at the close of business on that date are entitled to vote at the Annual Meeting. Each share is entitled to one vote.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MEETING OR BY PROXY</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Shares represented by a properly executed proxy in the accompanying form will be voted at the meeting in accordance with the stockholder’s instructions. If no instructions are given, the shares will be voted according to the Board of Directors’ recommendations. Therefore, if no instructions are given, the persons named on the card will vote FOR Proposal One to elect the six director nominees listed under “Election of Directors”, FOR Proposal Two to ratify the appointment of Deloitte &amp; Touche LLP as auditors of the Company for the year ending December 31, 2006, FOR Proposal Three to amend the Restated Certificate of Incorporation to eliminate certain super majority vote requirements and related provisions, and AGAINST Proposal Four, the stockholder proposal regarding an Independent Board Chairman. If shares are held on an individual’s behalf under any of the Company Savings Plans, the proxy serves to provide confidential instructions to the plan Trustee or Voting Manager who then votes the shares. In addition, the instructions given by plan participants who return their proxies will serve as instructions to the Trustee or Voting Manager with respect to shares held on behalf of those participants from whom no proxies are received. Under these instructions, the applicable Trustee or Voting Manager will vote the respective plan shares in the same proportion as shares held under the plan for which voting directions have been received, unless contrary to ERISA. Participants are treated as “named fiduciaries” under ERISA when directing the Trustee or Voting Manager on the voting of shares.</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stockholder who executes a proxy/voting instruction may revoke it at any time before its exercise by delivering a written notice of revocation to the Corporate Secretary or by signing and delivering another proxy that is dated later. A stockholder attending the meeting in person may revoke the proxy/voting instruction by giving notice of revocation to an inspector of election at the meeting or voting at the meeting. If any other matters are properly brought before the meeting, the enclosed proxy/voting instruction card gives discretionary authority to the persons named on the card to vote the shares in their best judgment.</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the election of directors, stockholders may vote in favor or withhold their votes for each nominee. There is no box to “abstain”, but checking the box on the enclosed proxy/voting instruction card that withholds authority to vote for a nominee is the equivalent of abstaining. The six nominees receiving the greatest number of votes cast for the election of directors by shares entitled to vote and present in person or by proxy at the Annual Meeting will be elected directors. With respect to any proposal other than the election of directors, stockholders may vote in favor of the proposal, or against the proposal, or abstain from voting.</w:t>
      </w:r>
    </w:p>
    <w:p>
      <w:pPr>
        <w:spacing w:after="0" w:line="143"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Brokers who hold shares of Common Stock for the accounts of their clients may vote such shares either as directed by their clients or in their own discretion if permitted by the stock exchange or other organization of which they are members. Members of the New York Stock Exchange (“NYSE”) are permitted to vote their clients’ proxies in their own discretion as to the election of directors if the clients have not furnished voting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 within ten days of the meeting. Certain proposals other than the election of directors are “non-discretionary” and brokers who have received no instructions from their clients do not have discretion to vote on those items. When a broker votes a client’s shares on some but not all of the proposals at a meeting, the missing votes are referred to as “broker non-votes”. There are no broker non-votes on the election of directors (Proposal One) and the ratification of auditors (Proposal Two) and abstentions will have no effect on either proposal. A broker non-vote or an abstention will have the same effect as a vote against the proposed amendment to the Certificate of Incorporation (Proposal Three). Neither broker non-votes nor abstentions will have an effect on the stockholder proposal (Proposal Four).</w:t>
      </w:r>
    </w:p>
    <w:p>
      <w:pPr>
        <w:spacing w:after="0" w:line="14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presence in person or by proxy of stockholders entitled to cast at least a majority of the votes that all stockholders are entitled to cast shall constitute a quorum at the Annual Meeting. Both abstentions and broker non-votes will be counted as present for purposes of determining the presence of a quorum.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TELEPHONE OR THE INTERNET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Registered stockholders and participants in the Company Savings Plans may grant a proxy for their shares over the telephone or on the Internet. The law of Delaware, under which the Company is incorporated, specifically permits electronically transmitted proxies, provided that each such proxy contains or is submitted with information from which the inspectors of election can determine that such proxy was authorized by the stockholder. The procedures available to registered stockholders to permit them to grant proxies for voting at the Annual Meeting are designed to authenticate each stockholder, to allow stockholders to vote their shares, and to confirm that their instructions have been properly recorded.</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Registered stockholders and plan participants may go to www.computershare.com/expressvote to grant a proxy on the Internet. After following the instructions given to authenticate themselves, the voter will be asked to complete an electronic proxy card. The votes will be generated on the computer screen, and the voter will be prompted to submit or revise them as desired. Any registered stockholder or plan participant using a touch-tone telephone may also grant a proxy by calling 800-652-VOTE (800-652-8683) (toll-free) and following the recorded instructions.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Most beneficial owners whose stock is held in street name receive voting instruction forms from their banks, brokers or other agents, rather than the Company’s proxy/voting instruction card. Beneficial owners may also be able to grant a proxy by telephone or the Internet. They should follow the instructions on the form they receive from their bank, broker, or other agent.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 used to grant a proxy will not limit a stockholder’s right to attend or vote at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31, 2005, there were 347,357,291 shares of the Company’s Common Stock outstanding. The following entities beneficially owned,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knowledge, more than five percent of the outstanding Common Stock:</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Amount and Nature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of Beneficial</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4400" w:type="dxa"/>
            <w:vAlign w:val="bottom"/>
            <w:gridSpan w:val="2"/>
            <w:vMerge w:val="continue"/>
          </w:tcPr>
          <w:p>
            <w:pPr>
              <w:spacing w:after="0"/>
              <w:rPr>
                <w:sz w:val="12"/>
                <w:szCs w:val="12"/>
                <w:color w:val="auto"/>
              </w:rPr>
            </w:pPr>
          </w:p>
        </w:tc>
        <w:tc>
          <w:tcPr>
            <w:tcW w:w="2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Ownership</w:t>
            </w:r>
          </w:p>
        </w:tc>
        <w:tc>
          <w:tcPr>
            <w:tcW w:w="6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77"/>
              </w:rPr>
              <w:t>of Class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w:t>
            </w:r>
          </w:p>
        </w:tc>
        <w:tc>
          <w:tcPr>
            <w:tcW w:w="2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33,747,734 shares(a)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225 Franklin Street, Boston, MA 02110</w:t>
            </w:r>
          </w:p>
        </w:tc>
        <w:tc>
          <w:tcPr>
            <w:tcW w:w="2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Research and Management Company</w:t>
            </w:r>
          </w:p>
        </w:tc>
        <w:tc>
          <w:tcPr>
            <w:tcW w:w="2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32,426,480 shares(b)</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333 South Hope Street, Los Angeles, CA 90071</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80" w:type="dxa"/>
            <w:vAlign w:val="bottom"/>
          </w:tcPr>
          <w:p>
            <w:pPr>
              <w:jc w:val="right"/>
              <w:ind w:right="1692"/>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5" w:name="page6"/>
    <w:bookmarkEnd w:id="5"/>
    <w:p>
      <w:pPr>
        <w:ind w:left="4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t>This information was provided by State Street Bank and Trust Company (“State Street”) in a Schedule 13G filed with the Securities and Exchange Commission (“SEC”) on February 14, 2006. According to State Street, as of December 31, 2005, State Street had sole voting power over 9,989,812 shares, shared voting power over 23,757,922 shares and shared dispositive power over 33,747,734 shares. This total includes 23,756,794 shares held in the Defined Contributions Master Trust for the Northrop Grumman Savings Plan and the Northrop Grumman Financial Security and Savings Program for which State Street acts as a trustee.</w:t>
      </w:r>
    </w:p>
    <w:p>
      <w:pPr>
        <w:spacing w:after="0" w:line="61"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information was provided by Capital Research and Management Company (“Capital Research”) in a Schedule 13G filed with the SEC on February 10, 2006. According to Capital Research, as of December 31, 2005, Capital Research had sole dispositive power over 32,426,480 shares and sole voting power over 2,710,000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Officers and Directors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following table shows beneficial ownership (as defined by applicable rules for proxy statement reporting purposes) of the Company’s Common Stock as of March 21, 2006 (the Annual Meeting record date) by each director and nominee, by the Chief Executive Officer, and the other four most highly compensated executive officers as of December 31, 2005 and the two other officers who would have been one of the most highly compensated were it not for such officers’ retirement (collectively, the “Named Executive Officers”) and all directors and executive officers as a group. The Company defines its executive officers as those elected by the Board of Directors. Together these individuals own less than 1% of the outstanding Common Stock. Unless otherwise indicated, each individual has sole investment power and sole voting power with respect to the shares owned by such person. No family relationship exists between any of the directors or executive officers of the Company.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4"/>
              </w:rPr>
              <w:t>Shares of Common Stock</w:t>
            </w:r>
          </w:p>
        </w:tc>
        <w:tc>
          <w:tcPr>
            <w:tcW w:w="2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Share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4"/>
              </w:rPr>
              <w:t>Options Exercisable</w:t>
            </w:r>
          </w:p>
        </w:tc>
      </w:tr>
      <w:tr>
        <w:trPr>
          <w:trHeight w:val="175"/>
        </w:trPr>
        <w:tc>
          <w:tcPr>
            <w:tcW w:w="11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6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8"/>
              </w:rPr>
              <w:t>Beneficially Owned</w:t>
            </w:r>
          </w:p>
        </w:tc>
        <w:tc>
          <w:tcPr>
            <w:tcW w:w="20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85"/>
              </w:rPr>
              <w:t>Equivalents(1)</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Within 60 Days</w:t>
            </w: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w:t>
            </w:r>
          </w:p>
        </w:tc>
        <w:tc>
          <w:tcPr>
            <w:tcW w:w="1460" w:type="dxa"/>
            <w:vAlign w:val="bottom"/>
            <w:tcBorders>
              <w:top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John T. Chain, Jr.</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6,714</w:t>
            </w:r>
          </w:p>
        </w:tc>
        <w:tc>
          <w:tcPr>
            <w:tcW w:w="840" w:type="dxa"/>
            <w:vAlign w:val="bottom"/>
          </w:tcPr>
          <w:p>
            <w:pPr>
              <w:jc w:val="right"/>
              <w:spacing w:after="0"/>
              <w:rPr>
                <w:sz w:val="20"/>
                <w:szCs w:val="20"/>
                <w:color w:val="auto"/>
              </w:rPr>
            </w:pPr>
            <w:r>
              <w:rPr>
                <w:rFonts w:ascii="Arial" w:cs="Arial" w:eastAsia="Arial" w:hAnsi="Arial"/>
                <w:sz w:val="18"/>
                <w:szCs w:val="18"/>
                <w:color w:val="auto"/>
              </w:rPr>
              <w:t>1,102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Lewis W. Coleman</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4,992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Vic Fazio</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3,419</w:t>
            </w:r>
          </w:p>
        </w:tc>
        <w:tc>
          <w:tcPr>
            <w:tcW w:w="840" w:type="dxa"/>
            <w:vAlign w:val="bottom"/>
          </w:tcPr>
          <w:p>
            <w:pPr>
              <w:jc w:val="right"/>
              <w:spacing w:after="0"/>
              <w:rPr>
                <w:sz w:val="20"/>
                <w:szCs w:val="20"/>
                <w:color w:val="auto"/>
              </w:rPr>
            </w:pPr>
            <w:r>
              <w:rPr>
                <w:rFonts w:ascii="Arial" w:cs="Arial" w:eastAsia="Arial" w:hAnsi="Arial"/>
                <w:sz w:val="18"/>
                <w:szCs w:val="18"/>
                <w:color w:val="auto"/>
              </w:rPr>
              <w:t>5,391</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Stephen E. Frank</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Phillip Frost</w:t>
            </w:r>
          </w:p>
        </w:tc>
        <w:tc>
          <w:tcPr>
            <w:tcW w:w="2600" w:type="dxa"/>
            <w:vAlign w:val="bottom"/>
            <w:gridSpan w:val="2"/>
          </w:tcPr>
          <w:p>
            <w:pPr>
              <w:jc w:val="right"/>
              <w:ind w:right="940"/>
              <w:spacing w:after="0"/>
              <w:rPr>
                <w:sz w:val="20"/>
                <w:szCs w:val="20"/>
                <w:color w:val="auto"/>
              </w:rPr>
            </w:pPr>
            <w:r>
              <w:rPr>
                <w:rFonts w:ascii="Arial" w:cs="Arial" w:eastAsia="Arial" w:hAnsi="Arial"/>
                <w:sz w:val="18"/>
                <w:szCs w:val="18"/>
                <w:color w:val="auto"/>
              </w:rPr>
              <w:t>52,127(2)</w:t>
            </w:r>
          </w:p>
        </w:tc>
        <w:tc>
          <w:tcPr>
            <w:tcW w:w="840" w:type="dxa"/>
            <w:vAlign w:val="bottom"/>
          </w:tcPr>
          <w:p>
            <w:pPr>
              <w:jc w:val="right"/>
              <w:spacing w:after="0"/>
              <w:rPr>
                <w:sz w:val="20"/>
                <w:szCs w:val="20"/>
                <w:color w:val="auto"/>
              </w:rPr>
            </w:pPr>
            <w:r>
              <w:rPr>
                <w:rFonts w:ascii="Arial" w:cs="Arial" w:eastAsia="Arial" w:hAnsi="Arial"/>
                <w:sz w:val="18"/>
                <w:szCs w:val="18"/>
                <w:color w:val="auto"/>
              </w:rPr>
              <w:t>1,072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Charles R. Larson</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1,703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Richard B. Myers (3)</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Philip A. Odeen</w:t>
            </w:r>
          </w:p>
        </w:tc>
        <w:tc>
          <w:tcPr>
            <w:tcW w:w="2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9,325(4)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Aulana L. Peters</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10,520</w:t>
            </w:r>
          </w:p>
        </w:tc>
        <w:tc>
          <w:tcPr>
            <w:tcW w:w="840" w:type="dxa"/>
            <w:vAlign w:val="bottom"/>
          </w:tcPr>
          <w:p>
            <w:pPr>
              <w:jc w:val="right"/>
              <w:spacing w:after="0"/>
              <w:rPr>
                <w:sz w:val="20"/>
                <w:szCs w:val="20"/>
                <w:color w:val="auto"/>
              </w:rPr>
            </w:pPr>
            <w:r>
              <w:rPr>
                <w:rFonts w:ascii="Arial" w:cs="Arial" w:eastAsia="Arial" w:hAnsi="Arial"/>
                <w:sz w:val="18"/>
                <w:szCs w:val="18"/>
                <w:color w:val="auto"/>
              </w:rPr>
              <w:t>2,763</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Kevin W. Sharer</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2,995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John Brooks Slaughter</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3,093</w:t>
            </w:r>
          </w:p>
        </w:tc>
        <w:tc>
          <w:tcPr>
            <w:tcW w:w="840" w:type="dxa"/>
            <w:vAlign w:val="bottom"/>
          </w:tcPr>
          <w:p>
            <w:pPr>
              <w:jc w:val="right"/>
              <w:spacing w:after="0"/>
              <w:rPr>
                <w:sz w:val="20"/>
                <w:szCs w:val="20"/>
                <w:color w:val="auto"/>
              </w:rPr>
            </w:pPr>
            <w:r>
              <w:rPr>
                <w:rFonts w:ascii="Arial" w:cs="Arial" w:eastAsia="Arial" w:hAnsi="Arial"/>
                <w:sz w:val="18"/>
                <w:szCs w:val="18"/>
                <w:color w:val="auto"/>
              </w:rPr>
              <w:t>1,072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26,094</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Named Executive Officers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Ronald D. Sugar (5)</w:t>
            </w:r>
          </w:p>
        </w:tc>
        <w:tc>
          <w:tcPr>
            <w:tcW w:w="2600" w:type="dxa"/>
            <w:vAlign w:val="bottom"/>
            <w:gridSpan w:val="2"/>
          </w:tcPr>
          <w:p>
            <w:pPr>
              <w:jc w:val="right"/>
              <w:ind w:right="940"/>
              <w:spacing w:after="0"/>
              <w:rPr>
                <w:sz w:val="20"/>
                <w:szCs w:val="20"/>
                <w:color w:val="auto"/>
              </w:rPr>
            </w:pPr>
            <w:r>
              <w:rPr>
                <w:rFonts w:ascii="Arial" w:cs="Arial" w:eastAsia="Arial" w:hAnsi="Arial"/>
                <w:sz w:val="18"/>
                <w:szCs w:val="18"/>
                <w:color w:val="auto"/>
              </w:rPr>
              <w:t>313,380(6)</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Wesley G. Bush</w:t>
            </w:r>
          </w:p>
        </w:tc>
        <w:tc>
          <w:tcPr>
            <w:tcW w:w="2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40,998(7)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107,966</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Scott J. Seymour</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9,816</w:t>
            </w:r>
          </w:p>
        </w:tc>
        <w:tc>
          <w:tcPr>
            <w:tcW w:w="840" w:type="dxa"/>
            <w:vAlign w:val="bottom"/>
          </w:tcPr>
          <w:p>
            <w:pPr>
              <w:jc w:val="right"/>
              <w:spacing w:after="0"/>
              <w:rPr>
                <w:sz w:val="20"/>
                <w:szCs w:val="20"/>
                <w:color w:val="auto"/>
              </w:rPr>
            </w:pPr>
            <w:r>
              <w:rPr>
                <w:rFonts w:ascii="Arial" w:cs="Arial" w:eastAsia="Arial" w:hAnsi="Arial"/>
                <w:sz w:val="18"/>
                <w:szCs w:val="18"/>
                <w:color w:val="auto"/>
              </w:rPr>
              <w:t>1,129</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James R. O’Neill</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W. Burks Terry</w:t>
            </w:r>
          </w:p>
        </w:tc>
        <w:tc>
          <w:tcPr>
            <w:tcW w:w="2600" w:type="dxa"/>
            <w:vAlign w:val="bottom"/>
            <w:gridSpan w:val="2"/>
          </w:tcPr>
          <w:p>
            <w:pPr>
              <w:jc w:val="right"/>
              <w:ind w:right="1140"/>
              <w:spacing w:after="0"/>
              <w:rPr>
                <w:sz w:val="20"/>
                <w:szCs w:val="20"/>
                <w:color w:val="auto"/>
              </w:rPr>
            </w:pPr>
            <w:r>
              <w:rPr>
                <w:rFonts w:ascii="Arial" w:cs="Arial" w:eastAsia="Arial" w:hAnsi="Arial"/>
                <w:sz w:val="18"/>
                <w:szCs w:val="18"/>
                <w:color w:val="auto"/>
              </w:rPr>
              <w:t>57,764</w:t>
            </w:r>
          </w:p>
        </w:tc>
        <w:tc>
          <w:tcPr>
            <w:tcW w:w="840" w:type="dxa"/>
            <w:vAlign w:val="bottom"/>
          </w:tcPr>
          <w:p>
            <w:pPr>
              <w:jc w:val="right"/>
              <w:spacing w:after="0"/>
              <w:rPr>
                <w:sz w:val="20"/>
                <w:szCs w:val="20"/>
                <w:color w:val="auto"/>
              </w:rPr>
            </w:pPr>
            <w:r>
              <w:rPr>
                <w:rFonts w:ascii="Arial" w:cs="Arial" w:eastAsia="Arial" w:hAnsi="Arial"/>
                <w:sz w:val="18"/>
                <w:szCs w:val="18"/>
                <w:color w:val="auto"/>
              </w:rPr>
              <w:t>3,582</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127,096</w:t>
            </w: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Robert P. Iorizzo</w:t>
            </w:r>
          </w:p>
        </w:tc>
        <w:tc>
          <w:tcPr>
            <w:tcW w:w="2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17,563(8)</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Donald C. Winter</w:t>
            </w:r>
          </w:p>
        </w:tc>
        <w:tc>
          <w:tcPr>
            <w:tcW w:w="2600" w:type="dxa"/>
            <w:vAlign w:val="bottom"/>
            <w:gridSpan w:val="2"/>
          </w:tcPr>
          <w:p>
            <w:pPr>
              <w:jc w:val="right"/>
              <w:ind w:right="940"/>
              <w:spacing w:after="0"/>
              <w:rPr>
                <w:sz w:val="20"/>
                <w:szCs w:val="20"/>
                <w:color w:val="auto"/>
              </w:rPr>
            </w:pPr>
            <w:r>
              <w:rPr>
                <w:rFonts w:ascii="Arial" w:cs="Arial" w:eastAsia="Arial" w:hAnsi="Arial"/>
                <w:sz w:val="18"/>
                <w:szCs w:val="18"/>
                <w:color w:val="auto"/>
              </w:rPr>
              <w:t>0(9)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(31 persons)</w:t>
            </w:r>
          </w:p>
        </w:tc>
        <w:tc>
          <w:tcPr>
            <w:tcW w:w="2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711,882</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50,459(10)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1,443,486</w:t>
            </w:r>
          </w:p>
        </w:tc>
      </w:tr>
      <w:tr>
        <w:trPr>
          <w:trHeight w:val="108"/>
        </w:trPr>
        <w:tc>
          <w:tcPr>
            <w:tcW w:w="1180" w:type="dxa"/>
            <w:vAlign w:val="bottom"/>
            <w:tcBorders>
              <w:bottom w:val="single" w:sz="8" w:color="auto"/>
            </w:tcBorders>
          </w:tcPr>
          <w:p>
            <w:pPr>
              <w:spacing w:after="0"/>
              <w:rPr>
                <w:sz w:val="9"/>
                <w:szCs w:val="9"/>
                <w:color w:val="auto"/>
              </w:rPr>
            </w:pPr>
          </w:p>
        </w:tc>
        <w:tc>
          <w:tcPr>
            <w:tcW w:w="4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100" w:lineRule="exact"/>
        <w:rPr>
          <w:sz w:val="20"/>
          <w:szCs w:val="20"/>
          <w:color w:val="auto"/>
        </w:rPr>
      </w:pPr>
    </w:p>
    <w:p>
      <w:pPr>
        <w:ind w:left="460" w:right="3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equivalents for directors represent non-voting deferred stock units acquired under the 1993 Stock Plan for Non-Employee Directors (“Directors’ Plan”) some of which are paid out in shares of Common Stock 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01" w:right="239" w:bottom="1440" w:gutter="0" w:footer="0" w:header="0"/>
        </w:sectPr>
      </w:pPr>
    </w:p>
    <w:bookmarkStart w:id="6" w:name="page7"/>
    <w:bookmarkEnd w:id="6"/>
    <w:p>
      <w:pPr>
        <w:ind w:left="452"/>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conclusion of a director-specified deferral period, and others will be paid out upon termination of the director’s service on the Board of Directors. The Named Executive Officers hold share equivalents with pass-through voting rights in the Northrop Grumman Savings Plan.</w:t>
      </w:r>
    </w:p>
    <w:p>
      <w:pPr>
        <w:spacing w:after="0" w:line="18"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41,922 shares are held in the Frost Gamma Investments Trust of which Dr. Frost is trustee.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Myers was elected to the Board of Directors on March 14, 2006.</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4,286 shares are held in the Odeen Charitable Retirement Unitary Trust of which Mr. Odeen is trustee.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Sugar is also Chairman of the Board.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148,100 shares are held in the R. D. Sugar Revocable Trust of which Dr. Sugar is trustee.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40,998 shares are held in the W.G. and N.F. Bush Family Trust of which Mr. Bush and his wife are trustees.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Iorizzo retired from the Company on December 1, 2005.</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Winter retired from the Company on December 1, 2005.</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4,313 shares are held by spouses of two Executive Officers.</w:t>
      </w:r>
    </w:p>
    <w:p>
      <w:pPr>
        <w:spacing w:after="0" w:line="15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52"/>
          </w:cols>
          <w:pgMar w:left="248" w:top="280" w:right="3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ONE: ELECTION OF DIRECTORS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2005 Annual Meeting, the stockholders approved an amendment to the Company’s Restated Certificate of Incorporation to provide for the annual election of directors.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Beginning with this 2006 Annual Meeting of Stockholders, the terms of directors either elected to the Board after the 2005 Annual Meeting or serving in Class III of the Board will then expire, and their successor will be elected for a term expiring at the 2007 Annual Meeting. At the 2007 Annual Meeting such directors terms, as will the terms of the directors elected after the 2006 Annual Meeting and directors serving in Class I of Board will expire, and their successors will be elected for a term expiring at the 2008 Annual Meeting. At the 2008 Annual Meeting of Stockholders the classification of the Board will terminate and all directors will be elected for a term expiring at the next annual meeting or when their successors are elected and qualified.</w:t>
      </w:r>
    </w:p>
    <w:p>
      <w:pPr>
        <w:spacing w:after="0" w:line="1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Unless instructed otherwise, the persons named in the accompanying proxy will vote the shares represented by such proxy for the election of the six Director Nominees listed in the table below. Each of the six Director Nominees has consented to serve, and the Board does not know of any reason why any of them would be unable to serve. If a nominee becomes unavailable or unable to serve before the Annual Meeting (for example, due to serious illness), the Board can either reduce its size or designate a substitute nominee. If any nominee becomes unavailable for election to the Board of Directors, an event which is not anticipated, the persons named as proxies have full discretion and authority to vote or refrain from voting for any other nominee in accordance with their judgment.</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following information, furnished with respect to each of the six nominees for election, and each of the four Class I and two Class II directors whose terms do not expire at this Annual Meeting, is obtained from the Company’s records or from information furnished directly by the individual to the Company. All the nominees are presently serving on the Board of Directors. General Chain, Mr. Fazio, Admiral Larson and Dr. Sugar are standing for re-election by the stockholders. Mr. Frank and General Myers are standing for election by the stockholders for the first time. The Nominating and Corporate Governance Committee engaged an independent search firm to assist the Committee in identifying and evaluating additional candidates for the Board. The search firm evaluated a number of possible candidates and presented them to the Nominating and Corporate Governance Committee. One of these candidates was Mr. Frank, who had initially been brought to the attention of the Committee by a Committee member. Based on the Nominating and Corporate Governance Committee’s evaluation of the candidate and its recommendation to the Board, the Board elected Mr. Frank in September 2005. The search firm received a fee for its services. In its on-going discussions of potential Board candidates, General Myers was mentioned by several Nominating and Corporate Governance Committee members as a possible candidate. Following discussions among the other Board members and with General Myers, the Nominating and Corporate Governance Committee recommended to the Board, and the Board elected General Myers in March 2006. Although Mr. Frank and General Myers are nominated for election to Class II of the Board, and the other Class II directors are currently serving terms that expire at the 2008 Annual Meeting, Mr. Frank and General Myers would be elected only to a one-year term of office, pursuant to the Certificate of Incorporation, because they were not elected to the Board at or prior to the 2005 Annual Meeting. Pursuant to the Company’s mandatory retirement policy for directors, Dr. Slaughter will retire at the 2006 Annual Meeting.</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NOMINEES FOR DIRECTOR</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JOHN T. CHAIN, JR., </w:t>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General, United States Air Force (Ret.) and Chairman of the Board, Thomas Group, a management consulting company.</w:t>
      </w:r>
    </w:p>
    <w:p>
      <w:pPr>
        <w:spacing w:after="0" w:line="228"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General John T. Chain, Jr. has been Chairman of Thomas Group, Inc. since May 1998 and has been a member of the Board of Directors of Thomas Group since May 1995. He also served as the President of Quarterdeck Equity Partners, Inc. from December 1996 to December 2002. He served as Special Assistant to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of Burlington Northern Santa Fe Corporation from November 1995 to March 1996, and as an Executive Vice President of Burlington Northern from 1991 to 1995. During his military career, General Chain’s commands included military assistant to the Secretary of the Air Force, Director of Politico-Military Affairs, Department of State and Chief of Staff of Supreme Headquarters Allied Powers Europe. After serving as Commander in Chief, Strategic Air Command, he retired from the Air Force in February 1991. General Chain serves as a director of Reynolds American, Inc., Kemper Insurance Company and ConAgra Foods, Inc.</w:t>
      </w:r>
    </w:p>
    <w:p>
      <w:pPr>
        <w:spacing w:after="0" w:line="17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VIC FAZIO,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Senior Advisor, Akin Gump Strauss Hauer &amp; Feld LLP, a law firm.</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Vic Fazio was named Senior Advisor at Akin Gump Strauss Hauer &amp; Feld LLP in May 2005 after serving as senior partner at Clark &amp; Weinstock since</w:t>
      </w:r>
    </w:p>
    <w:p>
      <w:pPr>
        <w:spacing w:after="0" w:line="38"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1999. Prior to that Mr. Fazio was a Member of Congress for 20 years representing California’s third congressional district. During that time he served as a member of the Armed Services, Budget and Ethics Committees and was a member of the House Appropriations Committee where he served as Subcommittee Chair or ranking member for 18 years. Mr. Fazio was a member of the elected Leadership in the House from 1991-1998 including four years as Chair of his Party’s Caucus, the third ranking position. From 1975 to 1978, Mr. Fazio served in the California Assembly and was a member of the staff of the California Assembly Speaker from 1971 to 1975. He is a member of the board of directors of various private companies and non-profit organizations including the American Political Science Association, the Energy Future Coalition, the Campaign Finance Institute, the Bryce Harlow Foundation and the U.S. Capitol Historical Society. Mr. Fazio serves as a member of the Board of Governors of the American Stock Exchange.</w:t>
      </w:r>
    </w:p>
    <w:p>
      <w:pPr>
        <w:spacing w:after="0" w:line="15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STEPHEN E. FRANK,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Former Chairman, President and Chief Executive Officer, Southern California Edison, an electric utility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Mr. Stephen E. Frank served as chairman, president and chief executive officer of Southern California Edison from 1995 until his retirement in January 2002. During this time he served on the boards of directors of that company and its parent, Edison International. Prior to joining Southern California Edison in 1995, Mr. Frank was president and chief operating officer of Florida Power and Light Company as well as a director of FPL Group, the parent company. He also has served as executive vice president and chief financial officer of TRW Inc., as well as vice president, controller, and treasurer of GTE Corporation. His earlier career included financial and sales management positions with U.S. Steel Corporation. He earned a bachelor’s degree from Dartmouth College and an MBA in finance from the University of Michigan. He also completed the Advanced Management Program at Harvard Business School. Mr. Frank serves on the board of directors of Washington Mutual, Inc., Puget Energy, Inc., Intermec, Inc., and AEGIS Insurance Services Limited. He also serves as a board member of the Los Angeles Philharmonic Association.</w:t>
      </w:r>
    </w:p>
    <w:p>
      <w:pPr>
        <w:spacing w:after="0" w:line="1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CHARLES R. LARSON,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Admiral, United States Navy (Ret.).</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Admiral Charles R. Larson has served as a consultant on defense, foreign policy and education issues to government and industry since retiring from the United States Navy in 1998. He served as commander 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 w:name="page10"/>
    <w:bookmarkEnd w:id="9"/>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Pacific from 1991 to 1994, where he was responsible for 350,000 personnel and the readiness of all U.S. forces in the theater. He was the first naval officer selected to be a White House Fellow and also served as Naval Aide to the President of the United States. He was Superintendent of the U.S. Naval Academy, first from 1983 to 1986, and again from 1994 to 1998. During his naval career as a qualified nuclear engineer, he had several years experience in naval and commercial shipyards, including submarine construction and reactor defueling. His decorations include the Defense Distinguished Service Medal and seven Navy Distinguished Service Medals. Admiral Larson is a director of Esterline Technologies Corporation, Edge Technologies, Inc. and The Atlantic Council. He is also Chairman of the Board of the U.S. Naval Academy Foundation, Chairman of Via Global LLC, and a trustee of the Anne Arundel Health Systems, Inc.</w:t>
      </w:r>
    </w:p>
    <w:p>
      <w:pPr>
        <w:spacing w:after="0" w:line="15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RICHARD B. MYERS,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General, United States Air Force (Ret.).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Former Chairman of the Joint Chiefs of Staff</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2006</w:t>
      </w:r>
    </w:p>
    <w:p>
      <w:pPr>
        <w:spacing w:after="0" w:line="200" w:lineRule="exact"/>
        <w:rPr>
          <w:sz w:val="20"/>
          <w:szCs w:val="20"/>
          <w:color w:val="auto"/>
        </w:rPr>
      </w:pPr>
    </w:p>
    <w:p>
      <w:pPr>
        <w:spacing w:after="0" w:line="20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General Richard B. Myers retired from his position as the fifteenth Chairman of the Joint Chiefs of Staff on September 30, 2005 after serving in that position for four years. In this capacity, he served as the principal military advisor to the President, the Secretary of Defense, and the National Security Council. Prior to becoming Chairman, he served as Vice Chairman of the Joint Chiefs of Staff for 19 months. As the Vice Chairman from March 2000 to September 2001, General Myers served as the Chairman of the Joint Requirements Oversight Council, Vice Chairman of the Defense Acquisition Board, and as a member of the National Security Council Deputies Committee and the Nuclear Weapons Council. During his military career, General Myers’ commands included Commander in Chief, North American Aerospace Defense Command and U.S. Space Command; Commander, Air Force Space Command; Commander Pacific Air Forces; and Commander of U.S. Forces Japan and 5th Air Force at Yokota Air Base, Japan.</w:t>
      </w:r>
    </w:p>
    <w:p>
      <w:pPr>
        <w:spacing w:after="0" w:line="1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RONALD D. SUGAR, </w:t>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Chairman, Chief Executive Officer and President, Northrop Grumman Corporation</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Dr. Ronald D. Sugar was elected Chairman of the Board of Northrop Grumman effective October 1, 2003. He was named the Chief Executive Officer in April 2003, after having served as President and Chief Operating Officer since September 2001. He served as President and Chief Executive Officer of Litton Industries, Inc. when it became a subsidiary of Northrop Grumman in April 2001, and was also elected Corporate Vice President and a member of the Board of Directors of Northrop Grumman at that time. He joined Litton Industries as President and Chief Operating Officer and Director in June 2000. Dr. Sugar served as President and Chief Operating Officer of TRW Aerospace &amp; Information Systems from October 1998 to June 2000. He joined TRW in 1981 and served as Executive Vice President and Chief Financial Officer from 1994 to 1996 and Executive Vice President and General Manager of the TRW Automotive Electronics Group from 1996 to 1998. He is a member of the National Academy of Engineering, Chairman of the Aerospace Industries Association and is a Trustee of the Association of the United States Army, the Los Angeles Philharmonic Association, the University of Southern California, and the Boys and Girls Clubs of America. He serves as a director of Chevron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 of a plurality of the shares of Common Stock voting at the Annual Meeting is required for the election of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SIX NOMINEES FOR DIRECTOR LISTED ABOVE.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CONTINUING DIRECTORS — CLASS I</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LEWIS W. COLEMAN,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President, DreamWorks Animation SKG, a film animation studio.</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Mr. Lewis W. Coleman has been the President of DreamWorks Animation since December 2005. Previously he was the President of the Gordon and Betty Moore Foundation from its founding in November 2000 to December 2004, and currently serves as one of the Foundation’s trustees. Prior to that, Mr. Coleman was employed by Banc of America Securities, formerly known as Montgomery Securities where he was a Senior Managing Director from 1995 to 1998 and Chairman from 1998 to 2000. Before he joined Montgomery Securities, Mr. Coleman spent ten years at the Bank of America and Bank of America Corporation where he was successively the Senior Credit Officer in The World Banking Group, Head of Global Capital Markets, Head of the World Banking Group, and Vice Chairman of the Board and Chief Financial Officer. He spent the previous thirteen years at Wells Fargo Bank where his positions included Head of International Banking, Chief Personnel Officer and Chairman of the Credit Policy Committee. Mr. Coleman currently serves as a director of Chiron Corporation. He also serves on several private company and civic boards.</w:t>
      </w:r>
    </w:p>
    <w:p>
      <w:pPr>
        <w:spacing w:after="0" w:line="1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PHILIP A. ODEEN, </w:t>
      </w: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Chairman of the Board, Reynolds and Reynolds Company, an automotive software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Mr. Philip A. Odeen was named Chairman and Acting Chief Executive Officer of the Reynolds and Reynolds Company on July 7, 2004 and on February 1, 2005 became non-executive Chairman. He was also named Chief Executive Officer of QinetiQ North America in September 2005. Previously, he had served as non-employee Chairman and a director of TRW Inc. from February 2002 until December 2002. From 2000 to 2002, he was Executive Vice President, Washington Operations of TRW and from 1998 to 2000 he was Executive Vice President and General Manager, TRW Systems &amp; Information Technology. Mr. Odeen joined TRW in 1997 when it acquired BDM International, Inc. where he had served as President, Chief Executive Officer and director from 1992 to 1997. Previously, Mr. Odeen was Vice Chairman, Management Consulting Services at Coopers &amp; Lybrand after serving 13 years as managing partner of the firm’s public sector practice. He has served in senior positions with the Office of the Secretary of Defense and the National Security Council staff and was principal Deputy Assistant Secretary of Defense (Systems Analysis). Mr. Odeen has chaired the National Defense Panel and was a member and former vice chairman of the Defense Science Board and is a member of the Chief of Naval Operations Executive Panel. He is a director of Avaya Inc., Convergys Corp., and the AES Corporation.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left="1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AULANA L. PETERS,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823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Retired Partner, Gibson, Dunn &amp; Crutcher, a law firm.</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Ms. Aulana L. Peters is a retired partner of the law firm of Gibson, Dunn &amp; Crutcher where she was a partner from 1980 to 1984 and 1988 to December 2000. From 1984 to 1988, she served as a Commissioner of the Securities and Exchange Commission. From January 2001 to April 2002, Ms. Peters served as a member of the Public Oversight Board of the American Institute of Certified Public Accountants. Ms. Peters has also served as a member of the Financial Accounting Standards Board Steering Committee for its Financial Reporting Project and as a member of the Public Oversight Board’s Panel on Audit Effectiveness. Currently Ms. Peters serves on the U.S. Comptroller General’s Accountability Advisory Council and the International Public Interest Oversight Board. Ms. Peters is a director of 3M Corporation, Merrill Lynch &amp; Co., Inc. and Deere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17220" cy="823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KEVIN W. SHARER, </w:t>
      </w:r>
      <w:r>
        <w:rPr>
          <w:rFonts w:ascii="Arial" w:cs="Arial" w:eastAsia="Arial" w:hAnsi="Arial"/>
          <w:sz w:val="18"/>
          <w:szCs w:val="18"/>
          <w:color w:val="auto"/>
        </w:rPr>
        <w:t>57.</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Chairman, Chief Executive Officer and President, Amgen Inc., a biotechnology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2003</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Kevin W. Sharer has served as Chairman of the Board of Amgen since December 2002 and as chief executive officer since May 2000. Mr. Sharer joined Amgen in 1992 as president, chief operating officer and member of the board of directors. Before joining Amgen, Mr. Sharer was executive vice president and president of the Business Markets Division at MCI Communications. Prior to MCI, he served in a variety of executive capacities at General Electric, and was a consultant for McKinsey &amp; Company. He is chairman of the board of trustees of the Los Angeles County Museum of Natural History, is a member of The Business Council, and serves on the board of directors of the U.S. Naval Academy Foundation. Mr. Sharer also serves on the board of directors of 3M Corporation.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CONTINUING DIRECTORS — 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17220" cy="823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PHILLIP FROST, </w:t>
      </w:r>
      <w:r>
        <w:rPr>
          <w:rFonts w:ascii="Arial" w:cs="Arial" w:eastAsia="Arial" w:hAnsi="Arial"/>
          <w:sz w:val="18"/>
          <w:szCs w:val="18"/>
          <w:color w:val="auto"/>
        </w:rPr>
        <w:t>69.</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Vice Chairman of the Board, Teva Pharmaceutical Industries, Ltd. a pharmaceutical company.</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1996</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Dr. Phillip Frost was named Vice Chairman of the Board of Teva Pharmaceutical Industries, Ltd. (“Teva”) in January 2006 when Teva acquired IVAX Corporation. Dr. Frost had served as Chairman of the Board of Directors and Chief Executive Officer of IVAX Corporation since 1987. He was Chairman of the Department of Dermatology at Mt. Sinai Medical Center of Greater Miami, Miami Beach, Florida from 1972 to 1990. Dr. Frost was Chairman of the Board of Directors of Key Pharmaceuticals, Inc. from 1972 to 1986. He is Trustee of the University of Miami, Trustee of the Scripps Research Institute, and is a Vice Chairman of the Board of Governors of the American Stock Exchange. Dr. Frost is a director of Continucare Corporation, IVAX Diagnostics, Inc. and Ladenburg Thalmann &amp; Co. Inc.</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 w:name="page13"/>
    <w:bookmarkEnd w:id="12"/>
    <w:p>
      <w:pPr>
        <w:ind w:left="1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17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917575"/>
                    </a:xfrm>
                    <a:prstGeom prst="rect">
                      <a:avLst/>
                    </a:prstGeom>
                    <a:noFill/>
                  </pic:spPr>
                </pic:pic>
              </a:graphicData>
            </a:graphic>
          </wp:anchor>
        </w:drawing>
        <w:t xml:space="preserve">JOHN BROOKS SLAUGHTER, </w:t>
      </w:r>
      <w:r>
        <w:rPr>
          <w:rFonts w:ascii="Arial" w:cs="Arial" w:eastAsia="Arial" w:hAnsi="Arial"/>
          <w:sz w:val="18"/>
          <w:szCs w:val="18"/>
          <w:color w:val="auto"/>
        </w:rPr>
        <w:t>72.</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President and Chief Executive Officer, National Action Council for Minorities in Engineering, Inc.</w:t>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Director since 1993</w:t>
      </w:r>
    </w:p>
    <w:p>
      <w:pPr>
        <w:spacing w:after="0" w:line="1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Dr. John Brooks Slaughter has been President and Chief Executive Officer of the National Action Council for Minorities in Engineering since June 2000. From August 1999 to May 2000, he held the position of Melbo Professor of Leadership in Education at the University of Southern California, a position he assumed in August 1999. From 1988 to July 1999, Dr. Slaughter was President of Occidental College in Los Angeles and from 1982 to 1988 he was Chancellor of the University of Maryland College Park. Prior positions have included Director of the National Science Foundation, Academic Vice President and Provost of Washington State University and Assistant Director for Astronomics, Atmospherics, Earth and Ocean Sciences at the National Science Foundation. Dr. Slaughter is a member of the National Academy of Engineering, a fellow of the American Academy of Arts and Sciences and is a director of Solutia, Inc.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has Audit, Compensation and Management Development, Nominating and Corporate Governance, Finance and Compliance, Public Issues and Policy Committees. The membership of these committees is usually determined at the organizational meeting of the Board held in conjunction with the Annual Meeting. Each of the Audit, Compensation and Management Development, Nominating and Corporate Governance and Compliance, Public Issues and Policy Committees is composed entirely of independent directors under SEC and NYSE rules, as applicable. The membership of each committee is as follows, with the chairperson listed first: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Nominating and</w:t>
            </w: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6"/>
              </w:rPr>
              <w:t>Compliance,</w:t>
            </w: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Management</w:t>
            </w: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Public Issues</w:t>
            </w:r>
          </w:p>
        </w:tc>
      </w:tr>
      <w:tr>
        <w:trPr>
          <w:trHeight w:val="175"/>
        </w:trPr>
        <w:tc>
          <w:tcPr>
            <w:tcW w:w="31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Audit</w:t>
            </w:r>
          </w:p>
        </w:tc>
        <w:tc>
          <w:tcPr>
            <w:tcW w:w="1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Governance</w:t>
            </w:r>
          </w:p>
        </w:tc>
        <w:tc>
          <w:tcPr>
            <w:tcW w:w="100" w:type="dxa"/>
            <w:vAlign w:val="bottom"/>
          </w:tcPr>
          <w:p>
            <w:pPr>
              <w:spacing w:after="0"/>
              <w:rPr>
                <w:sz w:val="15"/>
                <w:szCs w:val="15"/>
                <w:color w:val="auto"/>
              </w:rPr>
            </w:pPr>
          </w:p>
        </w:tc>
        <w:tc>
          <w:tcPr>
            <w:tcW w:w="19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and Policy</w:t>
            </w:r>
          </w:p>
        </w:tc>
      </w:tr>
      <w:tr>
        <w:trPr>
          <w:trHeight w:val="269"/>
        </w:trPr>
        <w:tc>
          <w:tcPr>
            <w:tcW w:w="3100" w:type="dxa"/>
            <w:vAlign w:val="bottom"/>
          </w:tcPr>
          <w:p>
            <w:pPr>
              <w:spacing w:after="0"/>
              <w:rPr>
                <w:sz w:val="20"/>
                <w:szCs w:val="20"/>
                <w:color w:val="auto"/>
              </w:rPr>
            </w:pPr>
            <w:r>
              <w:rPr>
                <w:rFonts w:ascii="Arial" w:cs="Arial" w:eastAsia="Arial" w:hAnsi="Arial"/>
                <w:sz w:val="18"/>
                <w:szCs w:val="18"/>
                <w:color w:val="auto"/>
              </w:rPr>
              <w:t>John Brooks Slaughter</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John T. Chain, Jr.</w:t>
            </w:r>
          </w:p>
        </w:tc>
        <w:tc>
          <w:tcPr>
            <w:tcW w:w="12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Phillip Frost</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Lewis W. Coleman</w:t>
            </w: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Aulana L. Peters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Lewis W. Coleman</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Lewis W. Coleman</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John T. Chain, Jr.</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John T. Chain, Jr.</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Vic Fazio</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Vic Fazio</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Phillip Frost</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Vic Fazio</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Stephen E. Frank</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Charles R. Larson</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Stephen E. Frank</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Philip A. Odeen</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Charles R. Larson</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Phillip Frost</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Richard B. Myers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Aulana L. Peters</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Kevin W. Sharer</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Aulana L. Peters</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Philip A. Odeen</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Philip A. Odeen</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Kevin W. Sharer</w:t>
            </w:r>
          </w:p>
        </w:tc>
        <w:tc>
          <w:tcPr>
            <w:tcW w:w="1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John Brooks Slaughter</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Audit Committee meets periodically with management and with both the Company’s independent auditors and the Company’s internal auditor to review audit results and the adequacy of and compliance with the Company’s system of internal controls. In addition, the Audit Committee appoints or discharges the Company’s independent auditors, and reviews and approves auditing services and non-prohibited non-audit services to be provided by the independent auditors to evaluate the impact of undertaking such added services on the independence of the auditors. The responsibilities of the Audit Committee are more fully described in the Audit Committee Report on page 23 and the Audit Committee Charter which can be found on the Company’s website (www.northropgrumman.com) and is available in print to any stockholder who requests it. The Board of Directors has determined that all members of the Audit Committee are financially literate. Further, the Board has determined that Mr. Coleman, Mr. Frank, and Ms. Peters possess accounting or related financial management expertise within the meaning of the NYSE listing standards and that each qualify as an “audit committee financial expert” as defined under applicable SEC rules. Ms. Peters serves on three other public companies’ audit committees. The Board of Directors has determined that service on three other audit committees does not impair Ms. Peters’ ability to serve effectively on the Company’s Audit Committee and that her expertise and experience is invaluable to the Audit Committee. The Audit Committee held twelve meetings (six of which were telephonic) in 2005.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and Management Development Committee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and Management Development Committee (the “Compensation Committee”) recommends to the Board of Directors the base salary and incentive compensation of the Chief Executive Officer and President and takes final action with respect to base salary and incentive compensation for the other elected officers and key employees. It reviews the Company’s compensation policies and management actions to assure the succession of qualified officers. The Compensation Committee also establishes the Company’s annual performance objectives under the incentive compensation plans and recommends to the Board of Directors the amounts to be appropriated for awards under such plans. The Compensation Committee grants awards under and administers the Company’s Stock Plans (as defined below) and recommends to the Board of Directors all compensation plans in which Company officers are eligible to participate. The responsibilities of the Compensation Committee are more fully described in the Compensation Committee Charter which can be found on the Company’s website (www.northropgrumman.com) and is available in print to any stockholder who requests it. The Compensation Committee held ten meetings (six of which were telephonic) in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Nominating and Corporate Governance Committee employs a third party search firm to assist it in identifying candidates for director. The Committee also receives suggestions for director candidates from Board Members. The Committee then reviews candidates to serve as directors, consistent with criteria approved by the Board, and recommends to the Board of Directors nominees for election. The activities and associations of candidates are reviewed for any legal impediment, conflict of interest or other consideration that might prevent service on the Board of Directors. Each candidate must be willing to submit to the background check necessary for obtaining a top secret clearance that is a requirement for continued Board membership. In evaluating candidates, the Committee also considers the integrity and reputation of the individual as well as the particular skills and experience most beneficial to the Board at that time. In making its selection, the Committee bears in mind that the foremost responsibility of a Northrop Grumman director is to represent the interests of the stockholders as a whole.</w:t>
      </w:r>
    </w:p>
    <w:p>
      <w:pPr>
        <w:spacing w:after="0" w:line="145"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color w:val="auto"/>
        </w:rPr>
        <w:t>The Committee will consider nominees recommended by stockholders if such nominations have been submitted in writing, accompanied both by a description of the proposed nominee’s qualifications and an indication of the consent of the proposed nominee and relevant biographical information. The recommendation should be addressed to the Nominating and Corporate Governance Committee in care of the Secretary of the Company. The Company will evaluate candidates recommended by stockholders in the same manner as candidates identified by the Committee. The Company has not had any director candidates put forward by a stockholder or group of stockholders who beneficially owned more than five percent of the Company’s stock for at least one year.</w:t>
      </w:r>
    </w:p>
    <w:p>
      <w:pPr>
        <w:spacing w:after="0" w:line="10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Committee also reviews matters involving corporate governance in general, oversees the evaluation of the board and makes recommendations to the Board of Directors for action. The responsibilities of the Nominating and Corporate Governance Committee are more fully described in the Committee Charter which can be found on the Company’s website (www.northropgrumman.com) and is available in print to any stockholder who requests it. The Nominating and Corporate Governance Committee held five meetings in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Committee</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Finance Committee considers and makes recommendations for final action by the Board on capital structure and capital allocation, including acquisitions, mergers or divestures of an unusual or material nature. As part of its capital structure responsibilities, the Finance Committee reviews and makes recommendations concerning proposed dividend actions and issuance or redemption of debt or equity securities. In addition, the Finance Committee reviews the investment performance of the employee benefit plans and capital asset requirements. The Finance Committee held four meetings (one of which was telephonic) in 2005.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Public Issues and Policy Committee</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Compliance, Public Issues and Policy Committee reviews and monitors the Northrop Grumman Employees Political Action Committee and makes policy and budget recommendations to the Board on proposed charitable contributions and aid to higher education. The Committee reviews and monitors the Company’s policies and programs for ethics and business conduct, equal opportunity and diversity plans and programs, and environmental, health and safety policies and procedures. This Committee also reviews and approves the Company’s policy for engaging the services of consultants and commission agents. The Compliance, Public Issues and Policy Committee held five meetings in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2005, the Board held fifteen meetings (eight of which were telephonic) and the committees described above held 36 meetings. Each director attended at least 75% of the total number of board and committee meetings he or she was eligible to attend. Board members are expected to attend the Annual Meeting of Stockholders except where the failure to attend is due to unavoidable circumstances. All members of the Board of Directors attended the 2005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first five months of 2005, the compensation for directors consisted of an annual retainer of $50,000 and a committee chairperson retainer of $5,000, with the exception of the Audit Committee Chairperson, who received an annual retainer of $7,500. The per meeting fee for Audit Committee members was $1,500 for each Audit Committee meeting attended and the per meeting fees for other committee meetings and Board meetings was $1,000.</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June 1, 2005, the Board of Directors, having reviewed the recommendations from an independent consultant retained by the Nominating and Corporate Governance and the Compensation and Management Development Committees, approved compensation for the non-employee directors as set forth in the table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effective June 1,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Component of Pay</w:t>
            </w:r>
          </w:p>
        </w:tc>
        <w:tc>
          <w:tcPr>
            <w:tcW w:w="1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Board Retainer</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Audit Committee Retainer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 Committee Chair Retainer</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Compensation Chair Retainer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Committee Chair Retainer</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1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560" w:type="dxa"/>
            <w:vAlign w:val="bottom"/>
            <w:gridSpan w:val="5"/>
          </w:tcPr>
          <w:p>
            <w:pPr>
              <w:spacing w:after="0"/>
              <w:rPr>
                <w:sz w:val="20"/>
                <w:szCs w:val="20"/>
                <w:color w:val="auto"/>
              </w:rPr>
            </w:pPr>
            <w:r>
              <w:rPr>
                <w:rFonts w:ascii="Arial" w:cs="Arial" w:eastAsia="Arial" w:hAnsi="Arial"/>
                <w:sz w:val="18"/>
                <w:szCs w:val="18"/>
                <w:color w:val="auto"/>
              </w:rPr>
              <w:t>*  50% paid in stock units</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5280" w:type="dxa"/>
            <w:vAlign w:val="bottom"/>
            <w:gridSpan w:val="7"/>
          </w:tcPr>
          <w:p>
            <w:pPr>
              <w:spacing w:after="0"/>
              <w:rPr>
                <w:sz w:val="20"/>
                <w:szCs w:val="20"/>
                <w:color w:val="auto"/>
              </w:rPr>
            </w:pPr>
            <w:r>
              <w:rPr>
                <w:rFonts w:ascii="Arial" w:cs="Arial" w:eastAsia="Arial" w:hAnsi="Arial"/>
                <w:sz w:val="18"/>
                <w:szCs w:val="18"/>
                <w:b w:val="1"/>
                <w:bCs w:val="1"/>
                <w:color w:val="auto"/>
              </w:rPr>
              <w:t>2005 Compensation of Non-Employee Directors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Annual Board Retainer</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8"/>
              </w:rPr>
              <w:t>Committee Chairman</w:t>
            </w:r>
          </w:p>
        </w:tc>
        <w:tc>
          <w:tcPr>
            <w:tcW w:w="720" w:type="dxa"/>
            <w:vAlign w:val="bottom"/>
          </w:tcPr>
          <w:p>
            <w:pPr>
              <w:spacing w:after="0"/>
              <w:rPr>
                <w:sz w:val="24"/>
                <w:szCs w:val="2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Audit Committee</w:t>
            </w:r>
          </w:p>
        </w:tc>
        <w:tc>
          <w:tcPr>
            <w:tcW w:w="200" w:type="dxa"/>
            <w:vAlign w:val="bottom"/>
          </w:tcPr>
          <w:p>
            <w:pPr>
              <w:spacing w:after="0"/>
              <w:rPr>
                <w:sz w:val="24"/>
                <w:szCs w:val="24"/>
                <w:color w:val="auto"/>
              </w:rPr>
            </w:pPr>
          </w:p>
        </w:tc>
        <w:tc>
          <w:tcPr>
            <w:tcW w:w="11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3"/>
              </w:rPr>
              <w:t>Meeting Fees</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720" w:type="dxa"/>
            <w:vAlign w:val="bottom"/>
          </w:tcPr>
          <w:p>
            <w:pPr>
              <w:spacing w:after="0"/>
              <w:rPr>
                <w:sz w:val="14"/>
                <w:szCs w:val="14"/>
                <w:color w:val="auto"/>
              </w:rPr>
            </w:pPr>
          </w:p>
        </w:tc>
        <w:tc>
          <w:tcPr>
            <w:tcW w:w="13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Retainer ($)</w:t>
            </w: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Retainer</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 ($)</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T. Chain, Jr.</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137,500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Lewis W. Coleman</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137,500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5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170,333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Vic Fazio</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137,500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5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Stephen E. Frank</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Phillip Frost</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137,500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Charles R. Larson</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137,500</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5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167,333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Philip A. Odeen</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137,500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Aulana L. Peters</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137,500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5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168,333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Kevin W. Sharer</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137,500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John B. Slaughter</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137,500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14,792</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172,292</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2"/>
          </w:tcPr>
          <w:p>
            <w:pPr>
              <w:jc w:val="right"/>
              <w:ind w:right="1032"/>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are reimbursed for all reasonable expenses in attending the Board and Committee meetings. Directors who are employees of the Company do not receive any compensation for their service as directors.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June 2005, the 1993 Directors’ Plan was amended to increase from 30% to 50% the percentage of the retainer earned by each director to be paid in shares of Common Stock. In addition, each director may defer payment of all or a portion of his or her remaining board retainer fee. The deferred compensation is placed in a stock unit account until the conclusion of the director’s board service and all deferral elections must be made prior to the beginning of the year for which the retainer and fees will be paid. Directors are credited with dividend equivalents in connection with the shares of Common Stock which are also paid out upon termination of board service.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1995 Stock Option Plan for Non-Employee Directors, as amended, provided for the annual grant of options to each non-employee director to purchase 3,000 shares of Common Stock with an exercise price equal to the fair market value of the Common Stock on the grant date. On May 20, 2005, each non-employee director received a grant of options to purchase 3,000 shares of Common Stock with an exercise price of $55.28 per share. Effective June 1, 2005, no new grants will be issued pursuant to this plan. The options currently outstanding are all exercisable and have a term of ten years from the date of grant. If the individual ceases to serve as a director, the options continue to be exercisable for the lesser of five years or the expiration of the original term of the options. If termination is for cause, the options terminate when the director ceases to serve.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Northrop Grumman Non-Employee Directors Equity Participation Plan (the “Equity Plan”) outside directors have an amount equal to 50% of their annual retainer credited to an equity participation account and converted into stock units based on the then fair market value of the Common Stock. Each stock unit will be credited with dividend equivalents, which will be deemed reinvested in additional stock units. Each outside director who terminates service after three or more years of service shall be entitled to receive cash payments from the equity participation account in a number of annual installments equal to the number of years for which benefits have been accrued (not to exceed ten). Each installment will be an amount equal to the dollar value of the equity participation account based on Common Stock value as of the date of determination of the installment payment, divided by the number of installments then remaining to be paid. An outside director could also receive a benefit under the Equity Plan if:</w:t>
      </w:r>
    </w:p>
    <w:p>
      <w:pPr>
        <w:spacing w:after="0" w:line="37" w:lineRule="exact"/>
        <w:rPr>
          <w:sz w:val="20"/>
          <w:szCs w:val="20"/>
          <w:color w:val="auto"/>
        </w:rPr>
      </w:pPr>
    </w:p>
    <w:p>
      <w:pPr>
        <w:ind w:left="460" w:right="20" w:firstLine="443"/>
        <w:spacing w:after="0" w:line="332" w:lineRule="auto"/>
        <w:tabs>
          <w:tab w:leader="none" w:pos="1147" w:val="left"/>
        </w:tabs>
        <w:numPr>
          <w:ilvl w:val="0"/>
          <w:numId w:val="8"/>
        </w:numPr>
        <w:rPr>
          <w:rFonts w:ascii="Arial" w:cs="Arial" w:eastAsia="Arial" w:hAnsi="Arial"/>
          <w:sz w:val="16"/>
          <w:szCs w:val="16"/>
          <w:color w:val="auto"/>
        </w:rPr>
      </w:pPr>
      <w:r>
        <w:rPr>
          <w:rFonts w:ascii="Arial" w:cs="Arial" w:eastAsia="Arial" w:hAnsi="Arial"/>
          <w:sz w:val="16"/>
          <w:szCs w:val="16"/>
          <w:color w:val="auto"/>
        </w:rPr>
        <w:t>He or she terminated service on the Board for the sole purpose of pursuing or accepting a position (whether appointed, elected, or otherwise) with a federal, state, or local government entity or for some other purpose that is determined by the Company to constitute public service; and</w:t>
      </w:r>
    </w:p>
    <w:p>
      <w:pPr>
        <w:spacing w:after="0" w:line="4" w:lineRule="exact"/>
        <w:rPr>
          <w:rFonts w:ascii="Arial" w:cs="Arial" w:eastAsia="Arial" w:hAnsi="Arial"/>
          <w:sz w:val="16"/>
          <w:szCs w:val="16"/>
          <w:color w:val="auto"/>
        </w:rPr>
      </w:pPr>
    </w:p>
    <w:p>
      <w:pPr>
        <w:ind w:left="460" w:right="540" w:firstLine="443"/>
        <w:spacing w:after="0" w:line="259"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He or she recommenced service on the Board as an outside director within a reasonably practicable period following the termination of, or termination of the pursuit of, the governmental or public service position and the participant’s total service before and after the termination and recommencement of service on the Board, when aggregated, equals at least three years of service.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a change in control (as defined in the Equity Plan) benefits under the Equity Plan immediately vest. The Board of Directors believes that the Equity Plan further aligns the interests of the directors with the interests of the stockholders by making this part of the directors’ benefits dependent upon the value of the Common Stock. All directors who are not employees participate in the Equity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Dr. Slaughter is President and Chief Executive Officer of The National Action Council for Minorities in Engineering (“NACME”). In 2005, the Northrop Grumman Foundation donated $100,000 to NACME, which is less than two percent (2%) of NACME’s consolidated gross revenues. This donation was made through the normal charitable contribution process and was allocated solely to student scholarship support, research related activities and major K-12 initiatives.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Odeen is the CEO of QinetiQ North America. In 2005 the Company’s Mission Systems Sector had three purchase orders with QinetiQ North America totaling $1,094,384 for among other things, satellite identification systems with installation, training, and maintenance. Mr. Odeen was not involved in the awarding or performance of this contract, and the amount paid to QinetiQ North America has no effect on his compensation.</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Admiral Larson’s son-in-law, Laurence C. Datko was hired by the Company at its Electronic Systems sector as a Program Manager in 2004 following a 20 year military career. Mr. Datko was paid $102,341 in 2005 and his current annual salary is $108,156. Mr. Datko is an adult who does not live in the same household as Admiral Larson. He is compensated according to standard Company practices and is not an executive officer. The Board of Directors reviewed the circumstances surrounding the employment of Mr. Datko and determined that Admiral Larson does not have any direct or indirect material interest in the employment relationship of his son-in-law.</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Board does not consider any of the above described transactions to be “material relationships” with the Company that would preclude a finding of independence under NYSE rules.</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Company employs more than 125,000 people in all 50 states and 25 countries and actively seeks to hire the most qualified candidates and thus does not prohibit the hiring of family members. The employment of various family members of the current executive officers is described below. These relationships (and the 2005 cash compensation) include Mr. Seymour’s brother-in-law, Kurt Goette, Program Management 4, ($97,094 and $2,116 awarded pursuant to a Results Sharing plan); Mr. O’Neill’s son Justin O’Neill, Administrative Support 2, ($18,865); Jerry Agee’s son-in-law Kemal Oflus, Systems Engineer 2, ($71,987); James Pitts’ daughter, Elizabeth Pitts-Madonna, Human Resources Generalist, ($61,048 and $1,500 pursuant to the Timely Awards Plan); daughter, Anne Pitts, Export Control Compliance Representative, ($40,192 and $700 awarded pursuant to a Results Sharing plan); brother, John Pitts, Engineering Production Support, ($56,137); and brother-in-law Brian Miller, Mechanical Engineer, ($77,096 and $500 pursuant to the Timely Award Plan and a Patent Award for $600); James L. Sanford’s wife, Jean Holden, Business Manager for Advanced Programs ($155,454 and $58,013 bonus awarded pursuant to the Performance Achievement Plan).</w:t>
      </w:r>
    </w:p>
    <w:p>
      <w:pPr>
        <w:spacing w:after="0" w:line="10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compensation of each family member was established in accordance with the Company’s employment and compensation practices applicable to employees with equivalent qualifications, experience and responsibilities. None of these individuals are executive officers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Sharer is a member of the Company’s Compensation and Management Development Committee.</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Mr. Sharer’s daughter, Heather De Roos was hired as a Human Resources Representative at the Company’s Space Technology sector in December 2004 after having worked as a contract employee. She was paid $66,308 in 2005 and her current annual salary is $75,900.</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Ms. De Roos is an adult who does not live with her father. She is compensated according to standard Company practices and is not an executive officer. The Board of Directors reviewed the circumstances surrounding the employment of Ms. De Roos and determined that Mr. Sharer does not have any direct or indirect material interest in the employment relationship of his daughter.</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 member of the Compensation and Management Development Committee had a relationship with any other company that requires disclosure as a “Compensation Committee interlock” as that term is defined by the SEC.</w:t>
      </w:r>
    </w:p>
    <w:p>
      <w:pPr>
        <w:spacing w:after="0" w:line="13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Board does not consider the above described transactions to be a “material relationship” with the Company that would preclude a finding of independence under NYSE rules.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Indemnification Agreements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entered into Indemnification Agreements with each of the directors and executive officers. Under the Indemnification Agreements, the Company has agreed to hold harmless and indemnify each indemnitee generally to the full extent permitted by the Delaware General Corporation Law and against all expenses, liabilities and loss (including attorneys’ fees, judgments, fines, ERISA excise taxes or penalties and amounts paid in settlement) incurred in connection with any threatened, pending or completed action, suit or proceeding, whether civil, criminal, administrative or investigative to which the indemnitee is made a party by reason of the fact that the indemnitee is or was a director or officer of the Company or any other entity at the Company’s request, provided however, that the indemnitee acted in good faith and in a manner reasonably believed to be in or not opposed to the best interests of the Company. The indemnity does not cover liability if a court determines such indemnification is not lawful. In addition, our bylaws provide indemnification to all our officers and directors to essentially the same extent as provided in the indemnification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DIRECTORS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is currently composed of twelve directors, eleven of whom the Board has determined meet the NYSE definition of independence. The standards relied upon by the Board in affirmatively determining whether a director is independent are comprised, in part, of those objective standards set forth in the NYSE rules, which generally provide that</w:t>
      </w:r>
    </w:p>
    <w:p>
      <w:pPr>
        <w:spacing w:after="0" w:line="59" w:lineRule="exact"/>
        <w:rPr>
          <w:sz w:val="20"/>
          <w:szCs w:val="20"/>
          <w:color w:val="auto"/>
        </w:rPr>
      </w:pPr>
    </w:p>
    <w:p>
      <w:pPr>
        <w:ind w:left="780" w:right="26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director who is an employee, or whose immediate family member (defined as a spouse, parent, child, sibling, father- and mother-in-law, son- and daughter-in-law, brother- and sister-in-law and anyone, other than a domestic employee, sharing the director’s home) is an executive officer of the Company, would not be independent until three years after the end of such relationship.</w:t>
      </w:r>
    </w:p>
    <w:p>
      <w:pPr>
        <w:spacing w:after="0" w:line="25" w:lineRule="exact"/>
        <w:rPr>
          <w:rFonts w:ascii="Arial" w:cs="Arial" w:eastAsia="Arial" w:hAnsi="Arial"/>
          <w:sz w:val="16"/>
          <w:szCs w:val="16"/>
          <w:color w:val="auto"/>
        </w:rPr>
      </w:pPr>
    </w:p>
    <w:p>
      <w:pPr>
        <w:ind w:left="780" w:right="160" w:hanging="326"/>
        <w:spacing w:after="0" w:line="25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director who receives, or whose immediate family member receives as an executive officer of the Company, more than $100,000 per year in direct compensation from the Company, other than director and committee fees and pension or other forms of deferred compensation for prior services (provided such compensation is not contingent in any way on continued service) would not be independent until three years after ceasing to receive such amount.</w:t>
      </w:r>
    </w:p>
    <w:p>
      <w:pPr>
        <w:spacing w:after="0" w:line="62"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director who is affiliated with or employed by, or whose immediate family member is affiliated with or employed in a professional capacity by, a present or former internal or external auditor of the Company would not be independent until three years after the end of the affiliation or the employment or auditing relationship.</w:t>
      </w:r>
    </w:p>
    <w:p>
      <w:pPr>
        <w:spacing w:after="0" w:line="59"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director who is employed, or whose immediate family member is employed, as an executive officer of another company where any of the Company’s present executives serve on the other company’s compensation committee would not be independent until three years after the end of such service or employment relationship.</w:t>
      </w:r>
    </w:p>
    <w:p>
      <w:pPr>
        <w:spacing w:after="0" w:line="59"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director who is an executive officer or an employee, or whose immediate family member is an executive officer of a company that makes payments to, or receives payments from, the Company for property or services in an amount which, in any single fiscal year, exceeds the greater of $1 million, or 2% of such other company’s consolidated gross revenues, would not be independent until three years after falling below such threshold.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these NYSE standards, the Board adopted the following categorical standards: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may be deemed not to have a material relationship with the Company if he or she:</w:t>
      </w:r>
    </w:p>
    <w:p>
      <w:pPr>
        <w:spacing w:after="0" w:line="90" w:lineRule="exact"/>
        <w:rPr>
          <w:sz w:val="20"/>
          <w:szCs w:val="20"/>
          <w:color w:val="auto"/>
        </w:rPr>
      </w:pPr>
    </w:p>
    <w:p>
      <w:pPr>
        <w:jc w:val="both"/>
        <w:ind w:left="780" w:right="40" w:hanging="326"/>
        <w:spacing w:after="0" w:line="335"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Has not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Company director;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8" w:name="page19"/>
    <w:bookmarkEnd w:id="18"/>
    <w:p>
      <w:pPr>
        <w:ind w:left="780" w:right="5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not within the prior three years been employed by, a partner in or otherwise affiliated with any law firm or investment bank retained by the Company;</w:t>
      </w:r>
    </w:p>
    <w:p>
      <w:pPr>
        <w:spacing w:after="0" w:line="5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not within the prior three years owned, and has no immediate family member who owned, either directly or indirectly as a partner, stockholder or officer of another company, more than 5% of the equity of an organization that has a business relationship with (including significant purchasers of goods or services), or more than 5% ownership interest in, the Company.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of Directors, in applying the standards described above and considering the facts described above concerning certain of the directors, has affirmatively determined that the following directors, which constitute more than a majority of the Company’s directors, meet the independence requirements of the NYSE as well as the additional categorical standards adopted by the Board and thus are independent:</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John T. Chain, Jr.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Lewis W. Coleman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Vic Fazio</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Stephen E. Frank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Phillip Frost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Charles R. Larson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Richard B. Myers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Philip A. Odeen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Aulana L. Peters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Kevin W. Sharer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John B. Slaughter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THE COMPANY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primary responsibility of the Board of Directors is to foster the long-term success of the Company, consistent with representing the interests of the stockholders. In accordance with this philosophy, the Board of Directors has adopted Principles of Corporate Governance that reinforce the Company’s values by promoting responsible business practices and good corporate citizenship. These principles are reviewed by the Board of Directors on an annual basis, can be found in their entirety on the Company’s website (www.northropgrumman.com), and are available in print to any stockholder who requests them.</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At all times at least sixty percent of the Company’s Board of Directors is composed of independent directors, and the following Committees are always composed solely of Independent Directors (each meets the independence requirements of the NYSE and the Company’s categorical standards):</w:t>
      </w:r>
    </w:p>
    <w:p>
      <w:pPr>
        <w:spacing w:after="0" w:line="4"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Nominating and Corporate Governance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Public Issues and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and Management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Board of Directors and each of the committees are authorized to engage outside advisors whenever deemed appropriate by the Board or a committee.</w:t>
      </w:r>
    </w:p>
    <w:p>
      <w:pPr>
        <w:spacing w:after="0" w:line="20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Nominating and Corporate Governance Committee, with input from the Chairman, CEO and President and from independent consultants, considers and makes recommendations to the Board concerning the appropriate size and composition of the Board. Candidates are selected based on their qualifications, character, judgment, integrity and experience, and other relevant criteria including the needs of the Board at that particular time. Final approval of a candidate is determined by the full Board.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19" w:name="page20"/>
    <w:bookmarkEnd w:id="19"/>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should not serve on more than four other boards of publicly traded companies in addition to the Company’s Board without the approval of the Chairman of the Nominating and Corporate Governance Committee. A director who is a full time employee of the Company may not serve on the board of more than two other public companies unless approved by the Board. Directors should advise the Chairman of the Board and the Chairman of the Nominating and Corporate Governance Committee prior to accepting an invitation to serve on another board.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a director’s principal occupation or business association changes substantially during his or her tenure as a director, that director shall tender his or her resignation for consideration by the Nominating and Corporate Governance Committee. The Nominating and Corporate Governance Committee will recommend to the Board the action, if any, to be taken with respect to the resignation.</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new directors receive an orientation which is individually designed for each director taking into account his or her experience, background, education, and committee assignments. This orientation includes one-on-one meetings with senior management and extensive written materials on the Company and its various products and operations. Board members are encouraged to attend continuing education programs and in 2005 several board members attended director education programs or participated as panelists at conferences on corporate governance matters.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retirement policy whereby directors will retire at the annual meeting following his or her 72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birthday.</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holds meetings at various Company locations on a regular basis to provide the directors with an in-depth review of the business at that location, a first-hand view of the operations and an opportunity to interact with management at those sites.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an annual basis, the Board of Directors holds an extended meeting to review the Company’s long-term strategy for each of its businesses, as well as for the Company as a whole.</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Independent Directors of the Board meet in executive session on a regular basis, at least annually. In 2005, the Independent Directors held nine executive sessions.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Independent Directors have designated from among them a Lead Independent Director. The role of the Lead Independent Director is to:</w:t>
      </w:r>
    </w:p>
    <w:p>
      <w:pPr>
        <w:spacing w:after="0" w:line="113"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 of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Advise on the quality, quantity and timeliness of the information sent to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the Chairman with input as to the preparation of the agendas of the Board and Committee meetings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Advise the Chairman on the appropriate schedule of Board meetings to assure that there is sufficient time for discussion of all agenda items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authority to call meetings of the Independent Directors.</w:t>
      </w:r>
    </w:p>
    <w:p>
      <w:pPr>
        <w:spacing w:after="0" w:line="90"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Interview, along with the Chairman and the Chair of the Nominating and Corporate Governance Committee, all Board candidates and make recommendations to the Committee and the Board.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requested by major stockholders, ensure that he or she is available for consultation and direct communication.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20" w:name="page21"/>
    <w:bookmarkEnd w:id="20"/>
    <w:p>
      <w:pPr>
        <w:ind w:left="460"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designation of a lead independent director is not intended to inhibit communication among the directors or between any of them and the Chairman. Accordingly, other directors are encouraged to continue to communicate freely among themselves and directly with the Chairman. Additionally, any director can ask for an item to be added to the agenda for any Board or Committee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Chain currently serves as the Lead Independent Director.</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Audit Committee meets in executive session with the independent auditors on a regular basis and with other members of senior management as requested by the Audit Committee. All other committees are given the opportunity to meet in executive session as they deem necessary.</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with recommendations from the Nominating and Corporate Governance Committee, appoints the members and chairs of the committees. These appointments are based on an analysis of the skills, experience and other qualities of each individual director in relation to the requirements of the particular committee. Committee membership is reviewed annually and members may be rotated as appropriate.</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To encourage directors to have a direct and material cash investment in shares of common stock of the Company, the Board adopted a standard that requires Directors who are not employees to defer at least fifty percent of their annual retainer into Company stock to be placed in a stock unit account. Such Directors are permitted to defer the remainder of their retainer as well. All stock is distributed to the director upon termination of his or her service on the Board.</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Nominating and Corporate Governance Committee reviews and recommends to the Board compensation for Directors who are not employees. The Committee consults with outside advisors to ensure that the form and amount are appropriate for attracting quality individuals to serve on the Board.</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Every year the Board of Directors conducts an assessment of its performance and discusses any resulting recommendations. Beginning in 2006, the Board will also conduct performance evaluations of each individual director.</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Senior members of management are invited to make presentations to the Board or committees to provide management insight into items being discussed by the Board or committees and to bring managers with high potential into contact with the Board. In addition, Board members have free access to all other members of management and employees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believes that ensuring continuity of leadership is critical to the success of the Company. Therefore, processes are in place to:</w:t>
      </w:r>
    </w:p>
    <w:p>
      <w:pPr>
        <w:spacing w:after="0" w:line="113"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evaluate the CEO based on a specific set of performance objectives;</w:t>
      </w:r>
    </w:p>
    <w:p>
      <w:pPr>
        <w:spacing w:after="0" w:line="90" w:lineRule="exact"/>
        <w:rPr>
          <w:rFonts w:ascii="Arial" w:cs="Arial" w:eastAsia="Arial" w:hAnsi="Arial"/>
          <w:sz w:val="18"/>
          <w:szCs w:val="18"/>
          <w:color w:val="auto"/>
        </w:rPr>
      </w:pPr>
    </w:p>
    <w:p>
      <w:pPr>
        <w:ind w:left="780" w:right="440" w:hanging="326"/>
        <w:spacing w:after="0" w:line="332"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Annually provide the Compensation and Management Development Committee with an assessment of persons considered potential successors to certain management positions. The results of these reviews are reported to and discussed with the Board;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Ensure continuity of top leadership, including CEO succession.</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complies with and will operate in a manner consistent with laws prohibiting extension of credit in the form of a personal loan to or for its directors and executive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COMMUNICATIONS WITH THE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Interested parties may communicate with any of our directors, the Independent Directors as a group or the full Board as a group by writing to them</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 of the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California 90067</w:t>
      </w:r>
    </w:p>
    <w:p>
      <w:pPr>
        <w:spacing w:after="0" w:line="165"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Corporate Secretary will forward the communication to the director to whom it is addressed or to the Lead Independent Director if addressed to the Board of Directors.</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Sarbanes-Oxley Act of 2002 requires the Audit Committee of the Board of Directors to establish procedures to receive employees’ confidential or anonymous concerns regarding questionable accounting or auditing matters. Any employee with a concern about a financial accounting or auditing matter can write directly to:</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 Audit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Northrop Grumman Board of Directors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Corporate Ethics Office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 90067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Mail will be delivered unopened to the Chair of the Audit Committee.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copy of our Standards of Business Conduct, which applies to our Board of Directors, the Chief Executive Officer, Chief Financial Officer and all our employees, can be found on our website (www.northropgrumman.com). A copy of the Company’s Code of Ethics is available to any stockholder who requests it by writing to</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 of the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California 90067</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will disclose amendments to provisions of this code by posting such amendments on its website. In addition, any waivers of the Code for directors or executive officers of the Company will be disclosed in a report on Form 8-K.</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274" w:right="3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COMPENSATION AND MANAGEMENT DEVELOPMENT COMMITTEE</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Northrop Grumman Corporation’s (the Company’s) executive compensation program is administered by the Compensation and Management Development Committee of the Board of Directors (“the Committee”). The Committee is comprised exclusively of independent directors.</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Committee is responsible for compensation of the Company’s executive officers, recommending director compensation, providing strategic direction for the Company’s total rewards compensation and benefits structure, and reviewing CEO and senior executive succession plans.</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Committee met ten times during fiscal 2005. Four of these meetings were regularly scheduled and six were held telephonically. The Committee’s regularly scheduled meetings typically last several hours, and all members are actively engaged in the review of matters presented. The Committee selects and engages outside compensation consultants and other experts for survey data and other information it deems appropriate.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has furnished the following report on executive compensation applicable to employees elected as executive officers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Company’s executive compensation program is designed to promote recruitment and retention of key employees with exceptional ability and to motivate their superior performance. The program provides a strong link between pay and performance that encourages and rewards participants for achieving outstanding performance, financial results exceeding specific thresholds, and long-term prosperous growth.</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basis of the Committee’s philosophy is that successful accomplishment of business goals in both annual operating performance and improved stockholder value should produce significant individual rewards and that failure to attain business goals should negatively affect executives’ pay. Overall, three-quarters of each executive officer’s compensation is at risk and dependent on Company and individual performance.</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key component of our philosophy is to promote alignment of management and stockholder interests through the Company’s Long Term Incentive Stock Plan that provides equity-based rewards commensurate with improvement in stockholder value.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 salaries of executives are targeted at a competitive market median on a job-by-job basis with individual variations explained by differences in experience, skills and sustained performance. Annual incentive compensation and long-term incentive stock compensation targets vary with individual job level, scope and overall influence on the Company’s business results. Actual awards paid are based on the Committee’s assessment of individual and Company performance against its formal business goals.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Compensation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162(m) of the Internal Revenue Code (“Code”) generally limits the tax deduction to $1 million for compensation paid to the corporation’s chief executive officer (“CEO”) and the four other most highly compensated executive officers. Qualifying performance-based compensation is not subject to the deduction limit. Incentive compensation over $1 million paid under the Incentive Compensation Plan that was approved by the stockholders in May 2002 should be deductible.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Measuring Company Performance</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Consistent with the Company’s business plan, management of each business sector submitted for assessment an Annual Operating Plan containing Financial and Supplemental Goals together with defined performance measures and numerical weights for 2005.</w:t>
      </w:r>
    </w:p>
    <w:p>
      <w:pPr>
        <w:spacing w:after="0" w:line="4"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Financial Goals </w:t>
      </w:r>
      <w:r>
        <w:rPr>
          <w:rFonts w:ascii="Arial" w:cs="Arial" w:eastAsia="Arial" w:hAnsi="Arial"/>
          <w:sz w:val="18"/>
          <w:szCs w:val="18"/>
          <w:color w:val="auto"/>
        </w:rPr>
        <w:t>focus on operating earnings, cash flow and stockholder value metrics.</w:t>
      </w:r>
    </w:p>
    <w:p>
      <w:pPr>
        <w:spacing w:after="0" w:line="90" w:lineRule="exact"/>
        <w:rPr>
          <w:rFonts w:ascii="Arial" w:cs="Arial" w:eastAsia="Arial" w:hAnsi="Arial"/>
          <w:sz w:val="18"/>
          <w:szCs w:val="18"/>
          <w:color w:val="auto"/>
        </w:rPr>
      </w:pPr>
    </w:p>
    <w:p>
      <w:pPr>
        <w:ind w:left="780" w:right="76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Goals </w:t>
      </w:r>
      <w:r>
        <w:rPr>
          <w:rFonts w:ascii="Arial" w:cs="Arial" w:eastAsia="Arial" w:hAnsi="Arial"/>
          <w:sz w:val="16"/>
          <w:szCs w:val="16"/>
          <w:color w:val="auto"/>
        </w:rPr>
        <w:t>focus on such factors as customer satisfaction, new product development, new business initiatives, productivity,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workplace diversity, employee management, leadership development, and environmental management.</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In February 2005 the Committee reviewed and approved the CEO’s written proposal of goals and weights for Performance Measurement Factors. (Performance highlights for 2005 can be found below in </w:t>
      </w:r>
      <w:r>
        <w:rPr>
          <w:rFonts w:ascii="Arial" w:cs="Arial" w:eastAsia="Arial" w:hAnsi="Arial"/>
          <w:sz w:val="18"/>
          <w:szCs w:val="18"/>
          <w:i w:val="1"/>
          <w:iCs w:val="1"/>
          <w:color w:val="auto"/>
        </w:rPr>
        <w:t>Chief Executive Officer Compensation</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Performance Year 2005, the Committee established Performance Measurement Factors and weights in order to judge the Company’s performance and that of its executive officers for determining annual incentive bonuses:</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Stockholder Value Creation (60%)</w:t>
      </w:r>
    </w:p>
    <w:p>
      <w:pPr>
        <w:spacing w:after="0" w:line="90" w:lineRule="exact"/>
        <w:rPr>
          <w:rFonts w:ascii="Arial" w:cs="Arial" w:eastAsia="Arial" w:hAnsi="Arial"/>
          <w:sz w:val="18"/>
          <w:szCs w:val="18"/>
          <w:i w:val="1"/>
          <w:iCs w:val="1"/>
          <w:color w:val="auto"/>
        </w:rPr>
      </w:pPr>
    </w:p>
    <w:p>
      <w:pPr>
        <w:ind w:left="780" w:hanging="326"/>
        <w:spacing w:after="0"/>
        <w:tabs>
          <w:tab w:leader="none" w:pos="7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Net Debt Reduction (20%)</w:t>
      </w:r>
    </w:p>
    <w:p>
      <w:pPr>
        <w:spacing w:after="0" w:line="90" w:lineRule="exact"/>
        <w:rPr>
          <w:rFonts w:ascii="Arial" w:cs="Arial" w:eastAsia="Arial" w:hAnsi="Arial"/>
          <w:sz w:val="18"/>
          <w:szCs w:val="18"/>
          <w:i w:val="1"/>
          <w:iCs w:val="1"/>
          <w:color w:val="auto"/>
        </w:rPr>
      </w:pPr>
    </w:p>
    <w:p>
      <w:pPr>
        <w:ind w:left="780" w:hanging="326"/>
        <w:spacing w:after="0"/>
        <w:tabs>
          <w:tab w:leader="none" w:pos="7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Supplemental Goals (20%)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Competitive Compensation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determining base salaries and incentive compensation for the named executive officers and all elected officers, the Committee utilized the consulting services of Hewitt Associates to assess the compensation competitiveness (including each major element of executive compensation) against a set of peer companies approved by the Committee that include firms comprising the aerospace and defense group (depicted in the performance graph in the </w:t>
      </w:r>
      <w:r>
        <w:rPr>
          <w:rFonts w:ascii="Arial" w:cs="Arial" w:eastAsia="Arial" w:hAnsi="Arial"/>
          <w:sz w:val="16"/>
          <w:szCs w:val="16"/>
          <w:i w:val="1"/>
          <w:iCs w:val="1"/>
          <w:color w:val="auto"/>
        </w:rPr>
        <w:t>Shareowner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Return Performance Presentation </w:t>
      </w:r>
      <w:r>
        <w:rPr>
          <w:rFonts w:ascii="Arial" w:cs="Arial" w:eastAsia="Arial" w:hAnsi="Arial"/>
          <w:sz w:val="16"/>
          <w:szCs w:val="16"/>
          <w:color w:val="auto"/>
        </w:rPr>
        <w:t>following this Report) and other companies of similar size and complexity with whom the Company competes for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talent. The Committee also utilized external general industry data provided by other nationally recognized consulting firms on an as-needed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Establishing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compensation program includes the following linked elements:</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Incentive Compensation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February 2005, the Committee reviewed and approved the CEO’s base salary recommendations for executive officers. Separately and independently, the Committee reviewed the CEO’s base salary, giving consideration to competitive compensation data provided by its independent consultant and its assessment of the CEO’s performance. The independent directors of the Board approved the Committee’s salary recommendation for the CEO.</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Annual Incentive Compensation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Named executive officers are eligible for incentive compensation annually under the Company’s stockholder-approved 2002 Incentive Compensation Plan. The Committee appropriates an amount (“Tentative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4" w:name="page25"/>
    <w:bookmarkEnd w:id="24"/>
    <w:p>
      <w:pPr>
        <w:ind w:right="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Appropriated Incentive Compensation”) to the Plan equal to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of the Company’s Economic Earnings, defined as “income from continuing operations before federal and foreign income taxes and the cumulative effect of accounting changes and extraordinary items, less pension income (or plus pension expense) plus amortization and impairment of goodwill and other purchased intangibles, plus restructuring or similar charges to the extent they are separately disclosed in the annual report”. These annual bonuses are payable in cash.</w:t>
      </w:r>
    </w:p>
    <w:p>
      <w:pPr>
        <w:spacing w:after="0" w:line="15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Plan provides that the maximum potential individual incentive compensation award for a Performance Year for an executive officer shall be limited to no more than thirty percent (30%) of the Tentative Appropriated Incentive Compensation for the CEO and seventeen and one-half percent (17.5%) for each of the other four Section 162(m) officers.</w:t>
      </w:r>
    </w:p>
    <w:p>
      <w:pPr>
        <w:spacing w:after="0" w:line="14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Accompanying his annual performance report at the conclusion of the calendar year performance period and, provided that performance meets established targeted thresholds, the CEO recommends individual incentive awards for the executive officers (except the CEO) which reflect his judgments as to contributions to the accomplishment of annual goals and the Company’s long-term business plan. The Committee then approves or modifies the CEO’s recommendations.</w:t>
      </w:r>
    </w:p>
    <w:p>
      <w:pPr>
        <w:spacing w:after="0" w:line="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Separately, the Committee considers an annual incentive compensation award for the CEO based on its assessment of performance and then presents its recommendation to the independent directors of the Board to ratify. (Performance highlights for 2005 can be found below in </w:t>
      </w:r>
      <w:r>
        <w:rPr>
          <w:rFonts w:ascii="Arial" w:cs="Arial" w:eastAsia="Arial" w:hAnsi="Arial"/>
          <w:sz w:val="18"/>
          <w:szCs w:val="18"/>
          <w:i w:val="1"/>
          <w:iCs w:val="1"/>
          <w:color w:val="auto"/>
        </w:rPr>
        <w:t>Chief Executive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Incentive Compensation</w:t>
      </w:r>
    </w:p>
    <w:p>
      <w:pPr>
        <w:spacing w:after="0" w:line="90" w:lineRule="exact"/>
        <w:rPr>
          <w:sz w:val="20"/>
          <w:szCs w:val="20"/>
          <w:color w:val="auto"/>
        </w:rPr>
      </w:pPr>
    </w:p>
    <w:p>
      <w:pPr>
        <w:ind w:right="40" w:firstLine="456"/>
        <w:spacing w:after="0" w:line="260" w:lineRule="auto"/>
        <w:rPr>
          <w:sz w:val="20"/>
          <w:szCs w:val="20"/>
          <w:color w:val="auto"/>
        </w:rPr>
      </w:pPr>
      <w:r>
        <w:rPr>
          <w:rFonts w:ascii="Arial" w:cs="Arial" w:eastAsia="Arial" w:hAnsi="Arial"/>
          <w:sz w:val="17"/>
          <w:szCs w:val="17"/>
          <w:color w:val="auto"/>
        </w:rPr>
        <w:t>In May 2003, the stockholders approved an amended and restated 2001 Long Term Incentive Stock Plan. This Plan provides flexibility to grant awards to key employees in a variety of forms including non-qualified stock options that are granted at fair market value, restricted stock rights (RSRs) that are time vested and normally only used for special purposes and restricted performance stock rights (RPSRs) that have a three-year performance period. The performance measure for RPSRs is Corporate Economic Value Added (EVA</w:t>
      </w:r>
      <w:r>
        <w:rPr>
          <w:rFonts w:ascii="Arial" w:cs="Arial" w:eastAsia="Arial" w:hAnsi="Arial"/>
          <w:sz w:val="21"/>
          <w:szCs w:val="21"/>
          <w:color w:val="auto"/>
          <w:vertAlign w:val="superscript"/>
        </w:rPr>
        <w:t>®</w:t>
      </w:r>
      <w:r>
        <w:rPr>
          <w:rFonts w:ascii="Arial" w:cs="Arial" w:eastAsia="Arial" w:hAnsi="Arial"/>
          <w:sz w:val="17"/>
          <w:szCs w:val="17"/>
          <w:color w:val="auto"/>
        </w:rPr>
        <w:t>). The purpose of this compensation component is to establish long-term performance horizons for participants. By promoting ownership of the Company’s common stock, the Plan creates stockholder-managers interested in Northrop Grumman’s sustained growth and prosperity. The target awards for individuals vary depending on position level and impact and are periodically reviewed to ensure competitiveness with the peer companies used in executive market analyses.</w:t>
      </w:r>
    </w:p>
    <w:p>
      <w:pPr>
        <w:spacing w:after="0" w:line="1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further promote alignment of management and stockholder interests, the Company’s Stock Ownership Guidelines recommend that the CEO and other officers own Company stock denominated as a multiple of their annual salaries, accumulated over a five-year period, as follows: seven times annual salary for the CEO; three times annual salary for other elected officers; and one and one-half times annual salary for appointed officers. Officers have five years to achieve the recommended ownership levels.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does not permit elected officers to engage in transactions involving margin trading, short sales or other leveraged transactions of Northrop Grumman stock.</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Committee approved RPSR grants for the CEO, executive officers and key employees in its meeting in February 2005 that have a three-year performance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Programs and Plan Reviews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Periodically and on an as-needed basis, the Committee will review management’s recommendations to modify or add new components to the executive compensation plans that are approved by the Committee. To change the strategy for delivery of long-term incentive plan benefits from RPSRs and stock options to RPSRs and RSRs, effective September 30, 2005 the Committee approved an amendment to the 2001 Long-Term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5" w:name="page26"/>
    <w:bookmarkEnd w:id="25"/>
    <w:p>
      <w:pPr>
        <w:ind w:right="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Stock Plan to accelerate all unvested stock options for all participants, except active and retired elected officers. In 2006, a combination of both stock options and RPSRs will continue to be granted to elected officers reporting to the CEO. This strategy provides a direct alignment to increasing stockholder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Perquisites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Named executive officers and other officers of the Company are eligible for executive perquisites linked to their position level that are consistent with market practices. The Committee has reviewed and approved the Company’s formal perquisite plans with established limits. Perquisites are reported as taxable income for each participating officer and reimbursements are subject to applicable income and employment tax withholding. Perquisites include financial planning and income tax preparation, automobile allowance, executive life and health insurance and club membership. In 2004 the Board of Directors determined that Dr. Sugar should avoid traveling by commercial air for security reasons and therefore directed that he utilize Company aircraft for all travel. Should the CEO use a Company plane for personal travel, income is imputed, grossed up and subject to the appropriate tax reporting according to IRS regulations. The Company’s internal audit department provides oversight of the CEO’s personal use of the Company plane and related expense reports.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Salary</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After considering executive compensation survey data presented by the independent consultant from Hewitt Associates for the CEO position, as well as Dr. Sugar’s contributions during the year, the Committee recommended and the Board approved a salary increase for Dr. Sugar effective in March 2006, consistent with the Company’s annual salary review process for all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considering Dr. Sugar’s performance as it relates to establishing his annual incentive compensation, the Committee reviewed the overall Company performance against the 2005 financial and supplemental goals as well as Dr. Sugar’s contributions during the year. The Committee noted that the Company exceeded all of the Performance Measurement Criteria set forth at the beginning of the period. Additionally, the Committee recognized that under Dr. Sugar’s leadership the Company achieved the following results:</w:t>
      </w:r>
    </w:p>
    <w:p>
      <w:pPr>
        <w:spacing w:after="0" w:line="6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12.7% total shareholder return, with NOC ranked in the top quartile of share price appreciation in the market capitalization-weighted S&amp;P 500</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third consecutive year of double-digit earnings growth, including a 27 percent increase over 2004 earnings per share from continuing operations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36 percent increase over 2004 in cash from operations, to approximately $2.6B</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return of approximately $1.6B to shareholders through share repurchase and increased dividends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highest credit rating in the Company’s history, BBB+ from both Standard &amp; Poor’s and Fitch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Strong performance in support of national security and civil sector customers across the Company’s portfolio of approximately 20,000 programs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competitive wins of new programs which position the Company for future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outstanding response and recovery from Hurricanes Katrina and Rita, including special employee/community relief efforts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improvements resulting from the Company’s ACE (Achieving Competitive Excellence) initiative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Progress in leadership development, succession planning, and workforce diversity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continuing excellent Company reputation for integrity, quality, industry leadership and community service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year end Northrop Grumman employed more than 125,000 people in all 50 states and 25 countries. The Company ranked number 58 in the Fortune 500.</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its assessment, the Committee determined and the Board ratified an incentive compensation award for Dr. Sugar as depicted in the Summary Compensation Table.</w:t>
      </w:r>
    </w:p>
    <w:p>
      <w:pPr>
        <w:spacing w:after="0" w:line="28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THE COMPENSATION AND MANAGEMENT DEVELOPMENT COMMITTEE</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JOHN T. CHAIN, JR. CHAIRMAN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LEWIS W. COLEMAN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PHILLIP FROST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PHILIP A. ODEEN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KEVIN W. SHARER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80"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Return Performance Presentation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line graph below compares the relative change for the 5 year period ended December 31, 2005 in the cumulative total stockholder return on the Company’s Common Stock against the cumulative total return of the S&amp;P Composite-500 Stock Index, and the S&amp;P Aerospace/Defense Index comprised of The Boeing Company, General Dynamics Corporation, Goodrich Corporation, Honeywell International Inc., L-3 Communications, Lockheed Martin Corporation, Northrop Grumman Corporation, Raytheon Company, Rockwell Collins, Inc. and United Technologies Corporation.</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AMONG NORTHROP GRUMMAN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S&amp;P 500 INDEX &amp; S&amp;P AEROSPACE/DEFENSE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109855</wp:posOffset>
            </wp:positionV>
            <wp:extent cx="4948555" cy="3112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4855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its written charter adopted by the Board of Directors (the “Board”), the Audit Committee of the Board assists the Board in fulfilling its oversight responsibilities by reviewing financial reports and other financial information provided by Northrop Grumman to the stockholders and the Securities and Exchange Commission (“SEC”), Northrop Grumman’s internal control structure, Northrop Grumman’s internal and external audit process, Northrop Grumman’s risk management process, and other matters relating to Northrop Grumman’s accounting and financial reporting process. The Audit Committee discussed with the Company’s senior management and the independent auditors the process used for certifications by the Company’s Chief Executive Officer and Chief Financial Officer, which are required by the SEC and the Sarbanes-Oxley Act of 2002 for certain of the Company’s filings with the SEC.</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connection with the financial statements for Northrop Grumman as of and for the year ended December 31, 2005, the Audit Committee discussed with Northrop Grumman’s Chief Executive Officer, Chief Financial Officer and Deloitte &amp; Touche LLP (“Deloitte”), Northrop Grumman’s independent auditors, the financial information contained in each quarterly earnings and annual earnings announcement prior to its release. The Audit Committee also reviewed the SEC Form 10-Q for each quarter of 2005 prior to filing with the SEC as well as the SEC Form 10-K for the year ended December 31, 2005 prior to filing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met privately with both Deloitte and the internal auditors, each of whom has unrestricted access to the Audit Committee.</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discharging its oversight responsibility for the audit process, the Audit Committee received a letter from Deloitte regarding the firm’s independence as required under Independence Standards Board Standard No. 1, “Independence Discussions with Audit Committees,” as amended by the Independence Standards Board. In addition, the Audit Committee discussed Deloitte’s independence from Northrop Grumman and its management, and considered whether the providing of non-audit services was compatible with maintaining Deloitte’s independence. The Audit Committee reviewed the internal audit function’s organization, responsibilities, budget and staffing. The Audit Committee also reviewed with both the internal auditor and Deloitte their respective audit plans, audit scope and identification of audit areas of emphasis.</w:t>
      </w:r>
    </w:p>
    <w:p>
      <w:pPr>
        <w:spacing w:after="0" w:line="12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Audit Committee discussed and reviewed with Deloitte the matters required by generally accepted auditing standards, including those described in Statement on Auditing Standards No. 61, as amended, “Communications with Audit Committees” and, with and without management present, discussed and reviewed the results of Deloitte’s examination of the financial statements, along with the results of internal auditors’ examinations.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Audit Committee conducted an assessment of its performance and discussed the results. As a part of its performance assessment, the Audit Committee reviewed its charter and, after appropriate review and discussion, reaffirmed the Audit Committee Charter on November 1, 2005. This charter can be found on the Company’s website (www.northropgrumman.com) and is available in print to any stockholder who requests it.</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Audit Committee reviewed and discussed the audits of the financial statements and internal controls over financial reporting of Northrop Grumman as of and for the year ended December 31, 2005, with management and Deloitte. The Audit Committee discussed with management, the internal auditors and Deloitte the quality of Northrop Grumman’s internal controls over financial reporting, and whether such controls were effective.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Management has responsibility for Northrop Grumman’s financial statements and the overall reporting process, including evaluating the effectiveness of disclosure controls and procedures, and evaluating the effectiveness of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9" w:name="page30"/>
    <w:bookmarkEnd w:id="29"/>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Deloitte is responsible for performing an independent audit of the consolidated financial statements and expressing an opinion on the conformity of those financial statements with accounting principles generally accepted in the United States of America, as well as expressing an opinion on (1) management’s assessment of the effectiveness of internal control over financial reporting, and (2) the effectiveness of internal controls over financial reporting.</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independent auditors audit the annual financial statements prepared by management, express an opinion as to whether these financial statements fairly present the financial position, results of operations and cash flows of Northrop Grumman in conformity with accounting principles generally accepted in the United States of America, and discuss with the Audit Committee any issues they believe should be raised.</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Based upon the Audit Committee’s review and discussions with management and Deloitte described in this report, the Audit Committee recommended to the Board of Directors that Northrop Grumman’s Annual Report on Form 10-K include the audited financials statements. The Audit Committee also reappointed Deloitte to serve as independent auditors for 2006, and the Board of Directors concurred on such appointment.</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 the members of the Audit Committee is independent as defined under the listing standards of the New York Stock Exchange and the rules of the Securities and Exchange Commission.</w:t>
      </w:r>
    </w:p>
    <w:p>
      <w:pPr>
        <w:spacing w:after="0" w:line="28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AUDIT COMMITTEE</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DR. JOHN BROOKS SLAUGHTER, CHAIRMAN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LEWIS W. COLEMAN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VIC FAZIO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STEPHEN E. FRANK</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CHARLES R. LARSON*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AULANA L.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Member of Audit Committee until March 15, 2006.</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shows the annual and long-term compensation for services in all capacities to the Company for the years ended December 31, 2003, 2004 and 2005, of the Named Executive Officers on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1080"/>
        <w:spacing w:after="0"/>
        <w:rPr>
          <w:sz w:val="20"/>
          <w:szCs w:val="20"/>
          <w:color w:val="auto"/>
        </w:rPr>
      </w:pPr>
      <w:r>
        <w:rPr>
          <w:rFonts w:ascii="Arial" w:cs="Arial" w:eastAsia="Arial" w:hAnsi="Arial"/>
          <w:sz w:val="14"/>
          <w:szCs w:val="14"/>
          <w:b w:val="1"/>
          <w:bCs w:val="1"/>
          <w:color w:val="auto"/>
        </w:rPr>
        <w:t>Name and</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2"/>
          <w:szCs w:val="12"/>
          <w:b w:val="1"/>
          <w:bCs w:val="1"/>
          <w:color w:val="auto"/>
        </w:rPr>
        <w:t>Principal</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3837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 w:lineRule="exact"/>
        <w:rPr>
          <w:sz w:val="20"/>
          <w:szCs w:val="20"/>
          <w:color w:val="auto"/>
        </w:rPr>
      </w:pPr>
    </w:p>
    <w:p>
      <w:pPr>
        <w:jc w:val="both"/>
        <w:ind w:left="220" w:right="1400" w:hanging="212"/>
        <w:spacing w:after="0" w:line="288" w:lineRule="auto"/>
        <w:tabs>
          <w:tab w:leader="none" w:pos="15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RONALD D. SUGAR Chairman of the Board, Chief Executive Officer &amp; President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8"/>
              </w:rPr>
              <w:t>Annual Compensation</w:t>
            </w:r>
          </w:p>
        </w:tc>
        <w:tc>
          <w:tcPr>
            <w:tcW w:w="8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rPr>
              <w:t>Long-Term Compensation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512"/>
              <w:spacing w:after="0" w:line="142" w:lineRule="exact"/>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All Other</w:t>
            </w:r>
          </w:p>
        </w:tc>
      </w:tr>
      <w:tr>
        <w:trPr>
          <w:trHeight w:val="149"/>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1"/>
              </w:rPr>
              <w:t>Salary($</w:t>
            </w:r>
            <w:r>
              <w:rPr>
                <w:rFonts w:ascii="Arial" w:cs="Arial" w:eastAsia="Arial" w:hAnsi="Arial"/>
                <w:sz w:val="14"/>
                <w:szCs w:val="14"/>
                <w:b w:val="1"/>
                <w:bCs w:val="1"/>
                <w:color w:val="auto"/>
                <w:w w:val="91"/>
              </w:rPr>
              <w:t>)(1)</w:t>
            </w:r>
          </w:p>
        </w:tc>
        <w:tc>
          <w:tcPr>
            <w:tcW w:w="2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u w:val="single" w:color="auto"/>
                <w:color w:val="auto"/>
                <w:w w:val="88"/>
              </w:rPr>
              <w:t>Bonus($</w:t>
            </w:r>
            <w:r>
              <w:rPr>
                <w:rFonts w:ascii="Arial" w:cs="Arial" w:eastAsia="Arial" w:hAnsi="Arial"/>
                <w:sz w:val="14"/>
                <w:szCs w:val="14"/>
                <w:b w:val="1"/>
                <w:bCs w:val="1"/>
                <w:color w:val="auto"/>
                <w:w w:val="88"/>
              </w:rPr>
              <w: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SARs(#)</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u w:val="single" w:color="auto"/>
                <w:color w:val="auto"/>
                <w:w w:val="86"/>
              </w:rPr>
              <w:t>Payouts($</w:t>
            </w:r>
            <w:r>
              <w:rPr>
                <w:rFonts w:ascii="Arial" w:cs="Arial" w:eastAsia="Arial" w:hAnsi="Arial"/>
                <w:sz w:val="14"/>
                <w:szCs w:val="14"/>
                <w:b w:val="1"/>
                <w:bCs w:val="1"/>
                <w:color w:val="auto"/>
                <w:w w:val="86"/>
              </w:rPr>
              <w: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($)(3)</w:t>
            </w:r>
          </w:p>
        </w:tc>
        <w:tc>
          <w:tcPr>
            <w:tcW w:w="20" w:type="dxa"/>
            <w:vAlign w:val="bottom"/>
          </w:tcPr>
          <w:p>
            <w:pPr>
              <w:spacing w:after="0"/>
              <w:rPr>
                <w:sz w:val="14"/>
                <w:szCs w:val="14"/>
                <w:color w:val="auto"/>
              </w:rPr>
            </w:pPr>
          </w:p>
        </w:tc>
      </w:tr>
      <w:tr>
        <w:trPr>
          <w:trHeight w:val="131"/>
        </w:trPr>
        <w:tc>
          <w:tcPr>
            <w:tcW w:w="280" w:type="dxa"/>
            <w:vAlign w:val="bottom"/>
          </w:tcPr>
          <w:p>
            <w:pPr>
              <w:ind w:left="20"/>
              <w:spacing w:after="0" w:line="131" w:lineRule="exact"/>
              <w:rPr>
                <w:sz w:val="20"/>
                <w:szCs w:val="20"/>
                <w:color w:val="auto"/>
              </w:rPr>
            </w:pPr>
            <w:r>
              <w:rPr>
                <w:rFonts w:ascii="Arial" w:cs="Arial" w:eastAsia="Arial" w:hAnsi="Arial"/>
                <w:sz w:val="14"/>
                <w:szCs w:val="14"/>
                <w:color w:val="auto"/>
                <w:w w:val="76"/>
              </w:rPr>
              <w:t>2005</w:t>
            </w:r>
          </w:p>
        </w:tc>
        <w:tc>
          <w:tcPr>
            <w:tcW w:w="22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1,414,128</w:t>
            </w:r>
          </w:p>
        </w:tc>
        <w:tc>
          <w:tcPr>
            <w:tcW w:w="220" w:type="dxa"/>
            <w:vAlign w:val="bottom"/>
          </w:tcPr>
          <w:p>
            <w:pPr>
              <w:spacing w:after="0"/>
              <w:rPr>
                <w:sz w:val="11"/>
                <w:szCs w:val="11"/>
                <w:color w:val="auto"/>
              </w:rPr>
            </w:pPr>
          </w:p>
        </w:tc>
        <w:tc>
          <w:tcPr>
            <w:tcW w:w="580" w:type="dxa"/>
            <w:vAlign w:val="bottom"/>
          </w:tcPr>
          <w:p>
            <w:pPr>
              <w:ind w:left="40"/>
              <w:spacing w:after="0" w:line="131" w:lineRule="exact"/>
              <w:rPr>
                <w:sz w:val="20"/>
                <w:szCs w:val="20"/>
                <w:color w:val="auto"/>
              </w:rPr>
            </w:pPr>
            <w:r>
              <w:rPr>
                <w:rFonts w:ascii="Arial" w:cs="Arial" w:eastAsia="Arial" w:hAnsi="Arial"/>
                <w:sz w:val="14"/>
                <w:szCs w:val="14"/>
                <w:color w:val="auto"/>
                <w:w w:val="83"/>
              </w:rPr>
              <w:t>3,500,000</w:t>
            </w:r>
          </w:p>
        </w:tc>
        <w:tc>
          <w:tcPr>
            <w:tcW w:w="220" w:type="dxa"/>
            <w:vAlign w:val="bottom"/>
          </w:tcPr>
          <w:p>
            <w:pPr>
              <w:spacing w:after="0"/>
              <w:rPr>
                <w:sz w:val="11"/>
                <w:szCs w:val="11"/>
                <w:color w:val="auto"/>
              </w:rPr>
            </w:pPr>
          </w:p>
        </w:tc>
        <w:tc>
          <w:tcPr>
            <w:tcW w:w="134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rPr>
              <w:t>244,181(4)</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3,388,800</w:t>
            </w:r>
          </w:p>
        </w:tc>
        <w:tc>
          <w:tcPr>
            <w:tcW w:w="22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Arial" w:cs="Arial" w:eastAsia="Arial" w:hAnsi="Arial"/>
                <w:sz w:val="14"/>
                <w:szCs w:val="14"/>
                <w:color w:val="auto"/>
              </w:rPr>
              <w:t>8,400</w:t>
            </w:r>
          </w:p>
        </w:tc>
        <w:tc>
          <w:tcPr>
            <w:tcW w:w="20" w:type="dxa"/>
            <w:vAlign w:val="bottom"/>
          </w:tcPr>
          <w:p>
            <w:pPr>
              <w:spacing w:after="0"/>
              <w:rPr>
                <w:sz w:val="11"/>
                <w:szCs w:val="11"/>
                <w:color w:val="auto"/>
              </w:rPr>
            </w:pPr>
          </w:p>
        </w:tc>
      </w:tr>
      <w:tr>
        <w:trPr>
          <w:trHeight w:val="149"/>
        </w:trPr>
        <w:tc>
          <w:tcPr>
            <w:tcW w:w="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2004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1,282,971</w:t>
            </w: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3"/>
              </w:rPr>
              <w:t>3,100,000</w:t>
            </w:r>
          </w:p>
        </w:tc>
        <w:tc>
          <w:tcPr>
            <w:tcW w:w="22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161,536(5)</w:t>
            </w:r>
          </w:p>
        </w:tc>
        <w:tc>
          <w:tcPr>
            <w:tcW w:w="6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2,356,938</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8,200</w:t>
            </w:r>
          </w:p>
        </w:tc>
      </w:tr>
      <w:tr>
        <w:trPr>
          <w:trHeight w:val="172"/>
        </w:trPr>
        <w:tc>
          <w:tcPr>
            <w:tcW w:w="500" w:type="dxa"/>
            <w:vAlign w:val="bottom"/>
            <w:gridSpan w:val="2"/>
          </w:tcPr>
          <w:p>
            <w:pPr>
              <w:ind w:left="20"/>
              <w:spacing w:after="0"/>
              <w:rPr>
                <w:sz w:val="20"/>
                <w:szCs w:val="20"/>
                <w:color w:val="auto"/>
              </w:rPr>
            </w:pPr>
            <w:r>
              <w:rPr>
                <w:rFonts w:ascii="Arial" w:cs="Arial" w:eastAsia="Arial" w:hAnsi="Arial"/>
                <w:sz w:val="14"/>
                <w:szCs w:val="14"/>
                <w:color w:val="auto"/>
              </w:rPr>
              <w:t>2003</w:t>
            </w:r>
          </w:p>
        </w:tc>
        <w:tc>
          <w:tcPr>
            <w:tcW w:w="740" w:type="dxa"/>
            <w:vAlign w:val="bottom"/>
          </w:tcPr>
          <w:p>
            <w:pPr>
              <w:jc w:val="right"/>
              <w:spacing w:after="0"/>
              <w:rPr>
                <w:sz w:val="20"/>
                <w:szCs w:val="20"/>
                <w:color w:val="auto"/>
              </w:rPr>
            </w:pPr>
            <w:r>
              <w:rPr>
                <w:rFonts w:ascii="Arial" w:cs="Arial" w:eastAsia="Arial" w:hAnsi="Arial"/>
                <w:sz w:val="14"/>
                <w:szCs w:val="14"/>
                <w:color w:val="auto"/>
              </w:rPr>
              <w:t>1,040,390</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w w:val="83"/>
              </w:rPr>
              <w:t>2,650,000</w:t>
            </w:r>
          </w:p>
        </w:tc>
        <w:tc>
          <w:tcPr>
            <w:tcW w:w="22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74,292(6)</w:t>
            </w:r>
          </w:p>
        </w:tc>
        <w:tc>
          <w:tcPr>
            <w:tcW w:w="6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2,094,563</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8,000</w:t>
            </w:r>
          </w:p>
        </w:tc>
      </w:tr>
    </w:tbl>
    <w:p>
      <w:pPr>
        <w:spacing w:after="0" w:line="82" w:lineRule="exact"/>
        <w:rPr>
          <w:sz w:val="20"/>
          <w:szCs w:val="20"/>
          <w:color w:val="auto"/>
        </w:rPr>
      </w:pPr>
    </w:p>
    <w:p>
      <w:pPr>
        <w:sectPr>
          <w:pgSz w:w="11900" w:h="16838" w:orient="portrait"/>
          <w:cols w:equalWidth="0" w:num="2">
            <w:col w:w="3260" w:space="720"/>
            <w:col w:w="74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 WESLEY G. BUSH</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542,236</w:t>
            </w: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775,000</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75,794(7)</w:t>
            </w: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350,280</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308,400(8)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471,192</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630,000</w:t>
            </w:r>
          </w:p>
        </w:tc>
        <w:tc>
          <w:tcPr>
            <w:tcW w:w="1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67,773(9)</w:t>
            </w:r>
          </w:p>
        </w:tc>
        <w:tc>
          <w:tcPr>
            <w:tcW w:w="9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1,563,300</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339,360</w:t>
            </w:r>
          </w:p>
        </w:tc>
        <w:tc>
          <w:tcPr>
            <w:tcW w:w="10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308,200(8)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Chief Financial Officer</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411,946</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550,000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205,327(10)</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279,570</w:t>
            </w:r>
          </w:p>
        </w:tc>
        <w:tc>
          <w:tcPr>
            <w:tcW w:w="10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308,000(8)</w:t>
            </w:r>
          </w:p>
        </w:tc>
        <w:tc>
          <w:tcPr>
            <w:tcW w:w="0" w:type="dxa"/>
            <w:vAlign w:val="bottom"/>
          </w:tcPr>
          <w:p>
            <w:pPr>
              <w:spacing w:after="0"/>
              <w:rPr>
                <w:sz w:val="1"/>
                <w:szCs w:val="1"/>
                <w:color w:val="auto"/>
              </w:rPr>
            </w:pPr>
          </w:p>
        </w:tc>
      </w:tr>
      <w:tr>
        <w:trPr>
          <w:trHeight w:val="246"/>
        </w:trPr>
        <w:tc>
          <w:tcPr>
            <w:tcW w:w="140" w:type="dxa"/>
            <w:vAlign w:val="bottom"/>
            <w:gridSpan w:val="2"/>
          </w:tcPr>
          <w:p>
            <w:pPr>
              <w:spacing w:after="0"/>
              <w:rPr>
                <w:sz w:val="20"/>
                <w:szCs w:val="20"/>
                <w:color w:val="auto"/>
              </w:rPr>
            </w:pPr>
            <w:r>
              <w:rPr>
                <w:rFonts w:ascii="Arial" w:cs="Arial" w:eastAsia="Arial" w:hAnsi="Arial"/>
                <w:sz w:val="14"/>
                <w:szCs w:val="14"/>
                <w:color w:val="auto"/>
                <w:w w:val="96"/>
              </w:rPr>
              <w:t>3)</w:t>
            </w:r>
          </w:p>
        </w:tc>
        <w:tc>
          <w:tcPr>
            <w:tcW w:w="3620" w:type="dxa"/>
            <w:vAlign w:val="bottom"/>
          </w:tcPr>
          <w:p>
            <w:pPr>
              <w:ind w:left="20"/>
              <w:spacing w:after="0"/>
              <w:rPr>
                <w:sz w:val="20"/>
                <w:szCs w:val="20"/>
                <w:color w:val="auto"/>
              </w:rPr>
            </w:pPr>
            <w:r>
              <w:rPr>
                <w:rFonts w:ascii="Arial" w:cs="Arial" w:eastAsia="Arial" w:hAnsi="Arial"/>
                <w:sz w:val="14"/>
                <w:szCs w:val="14"/>
                <w:color w:val="auto"/>
              </w:rPr>
              <w:t>SCOTT J. SEYMOUR</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517,501</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112"/>
              <w:spacing w:after="0"/>
              <w:rPr>
                <w:sz w:val="20"/>
                <w:szCs w:val="20"/>
                <w:color w:val="auto"/>
              </w:rPr>
            </w:pPr>
            <w:r>
              <w:rPr>
                <w:rFonts w:ascii="Arial" w:cs="Arial" w:eastAsia="Arial" w:hAnsi="Arial"/>
                <w:sz w:val="14"/>
                <w:szCs w:val="14"/>
                <w:color w:val="auto"/>
              </w:rPr>
              <w:t>74,016(11)</w:t>
            </w:r>
          </w:p>
        </w:tc>
        <w:tc>
          <w:tcPr>
            <w:tcW w:w="9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1,694,400</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458,277</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660,000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102,278(12)</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1,563,300</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40,000</w:t>
            </w:r>
          </w:p>
        </w:tc>
        <w:tc>
          <w:tcPr>
            <w:tcW w:w="10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467,056</w:t>
            </w: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President, Integrated Systems</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2003</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442,304</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575,000</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38,255(13)</w:t>
            </w:r>
          </w:p>
        </w:tc>
        <w:tc>
          <w:tcPr>
            <w:tcW w:w="9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40,000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354,470</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4)</w:t>
            </w:r>
          </w:p>
        </w:tc>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 BURKS TERRY</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2005</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542,308</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720,000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72,033(14)</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1,016,640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504,233</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700,000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45,932(15)</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553,775</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General Counsel</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495,926</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650,000</w:t>
            </w: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427,338</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246"/>
        </w:trPr>
        <w:tc>
          <w:tcPr>
            <w:tcW w:w="140" w:type="dxa"/>
            <w:vAlign w:val="bottom"/>
            <w:gridSpan w:val="2"/>
          </w:tcPr>
          <w:p>
            <w:pPr>
              <w:spacing w:after="0"/>
              <w:rPr>
                <w:sz w:val="20"/>
                <w:szCs w:val="20"/>
                <w:color w:val="auto"/>
              </w:rPr>
            </w:pPr>
            <w:r>
              <w:rPr>
                <w:rFonts w:ascii="Arial" w:cs="Arial" w:eastAsia="Arial" w:hAnsi="Arial"/>
                <w:sz w:val="14"/>
                <w:szCs w:val="14"/>
                <w:color w:val="auto"/>
                <w:w w:val="96"/>
              </w:rPr>
              <w:t>5)</w:t>
            </w:r>
          </w:p>
        </w:tc>
        <w:tc>
          <w:tcPr>
            <w:tcW w:w="3620" w:type="dxa"/>
            <w:vAlign w:val="bottom"/>
          </w:tcPr>
          <w:p>
            <w:pPr>
              <w:ind w:left="20"/>
              <w:spacing w:after="0"/>
              <w:rPr>
                <w:sz w:val="20"/>
                <w:szCs w:val="20"/>
                <w:color w:val="auto"/>
              </w:rPr>
            </w:pPr>
            <w:r>
              <w:rPr>
                <w:rFonts w:ascii="Arial" w:cs="Arial" w:eastAsia="Arial" w:hAnsi="Arial"/>
                <w:sz w:val="14"/>
                <w:szCs w:val="14"/>
                <w:color w:val="auto"/>
              </w:rPr>
              <w:t>JAMES R. O’NEILL</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510,200</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650,000</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113,404(16)</w:t>
            </w:r>
          </w:p>
        </w:tc>
        <w:tc>
          <w:tcPr>
            <w:tcW w:w="9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635,400</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Corporate Vice President and</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456,637</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50,024(17)</w:t>
            </w:r>
          </w:p>
        </w:tc>
        <w:tc>
          <w:tcPr>
            <w:tcW w:w="98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36,000</w:t>
            </w:r>
          </w:p>
        </w:tc>
        <w:tc>
          <w:tcPr>
            <w:tcW w:w="10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President, Information</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340,008</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401,000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19,394(18)</w:t>
            </w:r>
          </w:p>
        </w:tc>
        <w:tc>
          <w:tcPr>
            <w:tcW w:w="98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18,000</w:t>
            </w:r>
          </w:p>
        </w:tc>
        <w:tc>
          <w:tcPr>
            <w:tcW w:w="10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Technology</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6)</w:t>
            </w:r>
          </w:p>
        </w:tc>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ROBERT P. IORIZZO</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2005</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667,307</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730,000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74,748(19)</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2,033,280</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Retired Corporate Vice</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570,215</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725,000</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68,839(20)</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45,000</w:t>
            </w:r>
          </w:p>
        </w:tc>
        <w:tc>
          <w:tcPr>
            <w:tcW w:w="10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481,817</w:t>
            </w:r>
          </w:p>
        </w:tc>
        <w:tc>
          <w:tcPr>
            <w:tcW w:w="10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President and President,</w:t>
            </w:r>
          </w:p>
        </w:tc>
        <w:tc>
          <w:tcPr>
            <w:tcW w:w="760" w:type="dxa"/>
            <w:vAlign w:val="bottom"/>
            <w:shd w:val="clear" w:color="auto" w:fill="CCEEFF"/>
          </w:tcPr>
          <w:p>
            <w:pPr>
              <w:jc w:val="right"/>
              <w:ind w:right="192"/>
              <w:spacing w:after="0" w:line="138" w:lineRule="exact"/>
              <w:rPr>
                <w:sz w:val="20"/>
                <w:szCs w:val="20"/>
                <w:color w:val="auto"/>
              </w:rPr>
            </w:pPr>
            <w:r>
              <w:rPr>
                <w:rFonts w:ascii="Arial" w:cs="Arial" w:eastAsia="Arial" w:hAnsi="Arial"/>
                <w:sz w:val="14"/>
                <w:szCs w:val="14"/>
                <w:color w:val="auto"/>
              </w:rPr>
              <w:t>2003</w:t>
            </w:r>
          </w:p>
        </w:tc>
        <w:tc>
          <w:tcPr>
            <w:tcW w:w="88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591,675</w:t>
            </w:r>
          </w:p>
        </w:tc>
        <w:tc>
          <w:tcPr>
            <w:tcW w:w="960" w:type="dxa"/>
            <w:vAlign w:val="bottom"/>
            <w:shd w:val="clear" w:color="auto" w:fill="CCEEFF"/>
          </w:tcPr>
          <w:p>
            <w:pPr>
              <w:jc w:val="right"/>
              <w:ind w:right="272"/>
              <w:spacing w:after="0" w:line="138" w:lineRule="exact"/>
              <w:rPr>
                <w:sz w:val="20"/>
                <w:szCs w:val="20"/>
                <w:color w:val="auto"/>
              </w:rPr>
            </w:pPr>
            <w:r>
              <w:rPr>
                <w:rFonts w:ascii="Arial" w:cs="Arial" w:eastAsia="Arial" w:hAnsi="Arial"/>
                <w:sz w:val="14"/>
                <w:szCs w:val="14"/>
                <w:color w:val="auto"/>
              </w:rPr>
              <w:t>715,000</w:t>
            </w:r>
          </w:p>
        </w:tc>
        <w:tc>
          <w:tcPr>
            <w:tcW w:w="116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72,459(21)</w:t>
            </w:r>
          </w:p>
        </w:tc>
        <w:tc>
          <w:tcPr>
            <w:tcW w:w="9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44,000</w:t>
            </w:r>
          </w:p>
        </w:tc>
        <w:tc>
          <w:tcPr>
            <w:tcW w:w="1020" w:type="dxa"/>
            <w:vAlign w:val="bottom"/>
            <w:shd w:val="clear" w:color="auto" w:fill="CCEEFF"/>
          </w:tcPr>
          <w:p>
            <w:pPr>
              <w:jc w:val="right"/>
              <w:ind w:right="232"/>
              <w:spacing w:after="0" w:line="138" w:lineRule="exact"/>
              <w:rPr>
                <w:sz w:val="20"/>
                <w:szCs w:val="20"/>
                <w:color w:val="auto"/>
              </w:rPr>
            </w:pPr>
            <w:r>
              <w:rPr>
                <w:rFonts w:ascii="Arial" w:cs="Arial" w:eastAsia="Arial" w:hAnsi="Arial"/>
                <w:sz w:val="14"/>
                <w:szCs w:val="14"/>
                <w:color w:val="auto"/>
              </w:rPr>
              <w:t>364,738</w:t>
            </w:r>
          </w:p>
        </w:tc>
        <w:tc>
          <w:tcPr>
            <w:tcW w:w="1080" w:type="dxa"/>
            <w:vAlign w:val="bottom"/>
            <w:shd w:val="clear" w:color="auto" w:fill="CCEEFF"/>
          </w:tcPr>
          <w:p>
            <w:pPr>
              <w:jc w:val="right"/>
              <w:ind w:right="192"/>
              <w:spacing w:after="0" w:line="138" w:lineRule="exact"/>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Electronic System</w:t>
            </w:r>
          </w:p>
        </w:tc>
        <w:tc>
          <w:tcPr>
            <w:tcW w:w="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40" w:type="dxa"/>
            <w:vAlign w:val="bottom"/>
            <w:gridSpan w:val="2"/>
          </w:tcPr>
          <w:p>
            <w:pPr>
              <w:spacing w:after="0"/>
              <w:rPr>
                <w:sz w:val="20"/>
                <w:szCs w:val="20"/>
                <w:color w:val="auto"/>
              </w:rPr>
            </w:pPr>
            <w:r>
              <w:rPr>
                <w:rFonts w:ascii="Arial" w:cs="Arial" w:eastAsia="Arial" w:hAnsi="Arial"/>
                <w:sz w:val="14"/>
                <w:szCs w:val="14"/>
                <w:color w:val="auto"/>
                <w:w w:val="96"/>
              </w:rPr>
              <w:t>7)</w:t>
            </w:r>
          </w:p>
        </w:tc>
        <w:tc>
          <w:tcPr>
            <w:tcW w:w="3620" w:type="dxa"/>
            <w:vAlign w:val="bottom"/>
          </w:tcPr>
          <w:p>
            <w:pPr>
              <w:ind w:left="20"/>
              <w:spacing w:after="0"/>
              <w:rPr>
                <w:sz w:val="20"/>
                <w:szCs w:val="20"/>
                <w:color w:val="auto"/>
              </w:rPr>
            </w:pPr>
            <w:r>
              <w:rPr>
                <w:rFonts w:ascii="Arial" w:cs="Arial" w:eastAsia="Arial" w:hAnsi="Arial"/>
                <w:sz w:val="14"/>
                <w:szCs w:val="14"/>
                <w:color w:val="auto"/>
              </w:rPr>
              <w:t>DONALD C. WINTER</w:t>
            </w: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2005</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544,785</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687,053</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54,117(22)</w:t>
            </w:r>
          </w:p>
        </w:tc>
        <w:tc>
          <w:tcPr>
            <w:tcW w:w="9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3,045,113</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Retired Corporate Vice</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2004</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556,014</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720,000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84,629(23)</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1,563,300</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45,000</w:t>
            </w:r>
          </w:p>
        </w:tc>
        <w:tc>
          <w:tcPr>
            <w:tcW w:w="10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ind w:left="80"/>
              <w:spacing w:after="0" w:line="149" w:lineRule="exact"/>
              <w:rPr>
                <w:sz w:val="20"/>
                <w:szCs w:val="20"/>
                <w:color w:val="auto"/>
              </w:rPr>
            </w:pPr>
            <w:r>
              <w:rPr>
                <w:rFonts w:ascii="Arial" w:cs="Arial" w:eastAsia="Arial" w:hAnsi="Arial"/>
                <w:sz w:val="14"/>
                <w:szCs w:val="14"/>
                <w:color w:val="auto"/>
              </w:rPr>
              <w:t>President and President,</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2003</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503,424</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680,000</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63,789(24)</w:t>
            </w:r>
          </w:p>
        </w:tc>
        <w:tc>
          <w:tcPr>
            <w:tcW w:w="98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40,000</w:t>
            </w:r>
          </w:p>
        </w:tc>
        <w:tc>
          <w:tcPr>
            <w:tcW w:w="10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4,407,615(25)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Mission Systems</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2" w:lineRule="exact"/>
        <w:rPr>
          <w:sz w:val="20"/>
          <w:szCs w:val="20"/>
          <w:color w:val="auto"/>
        </w:rPr>
      </w:pPr>
    </w:p>
    <w:p>
      <w:pPr>
        <w:ind w:left="460" w:right="22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listed in this column include amounts paid for vacation hours accrued but not used for the following individuals in the following years: Dr. Sugar: $61,628 in 2005, $21,252 in 2004; Mr. Bush: $4,351 in 2005, $32,918 in 2004, $1,926 in 2003; Mr. Seymour: $11,694 in 2003; Mr. Terry: $17,992 in 2003; Mr. O’Neill: $21,738 in 2005, $44,108 in 2004; Mr. Iorizzo: $111,344 in 2005 (including vacation hours paid at retirement), $37,824 in 2003; and Dr. Winter: $35,555 in 2005 (including vacation hours paid at retirement), $35,816 in 2004, $3,392 in 2003.</w:t>
      </w:r>
    </w:p>
    <w:p>
      <w:pPr>
        <w:spacing w:after="0" w:line="3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2005, Mr. Bush and Mr. Seymour each owned 30,000 RSRs with an aggregate value of $1,803,300. These shares were granted in 2004 under the 2001 Plan at a grant price of $52.11 per share. Due to Dr. Winter’s retirement, his RSRs will not vest.</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RSRs under the 2001 Plan vest in total four years from the date of grant. There are no dividends paid on RSRs.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for Mr. Bush and Dr. Winter, “All Other Compensation” consists of Company contributions to the Northrop Grumman Savings and Investment Plan for the Named Executive Officers.</w:t>
      </w:r>
    </w:p>
    <w:p>
      <w:pPr>
        <w:spacing w:after="0" w:line="50" w:lineRule="exact"/>
        <w:rPr>
          <w:rFonts w:ascii="Arial" w:cs="Arial" w:eastAsia="Arial" w:hAnsi="Arial"/>
          <w:sz w:val="18"/>
          <w:szCs w:val="18"/>
          <w:color w:val="auto"/>
        </w:rPr>
      </w:pPr>
    </w:p>
    <w:p>
      <w:pPr>
        <w:ind w:left="460" w:right="20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includes $38,086 for premium amounts paid on behalf of Dr. Sugar for life, medical, dental, accidental death and dismemberment and long term disability insurance, $25,000 for tax return preparation, $20,033 for car allowance and expenses, $13,704 for tax gross up, $11,042 for club membership dues, $2,064 for security costs at his residence, and $1,500 for spouse travel. The amount also includes $132,753 for personal travel and dependent travel on Company aircraft.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type w:val="continuous"/>
        </w:sectPr>
      </w:pPr>
    </w:p>
    <w:bookmarkStart w:id="31" w:name="page32"/>
    <w:bookmarkEnd w:id="31"/>
    <w:p>
      <w:pPr>
        <w:ind w:left="45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2004, the Board of Directors reviewed the recommendation of an independent professional security consultant. Based on that recommendation, the Board approved a policy requiring Dr. Sugar to use Company-owned or Company-furnished aircraft for all his travel except when the Company is unable to furnish such aircraft in a timely manner or when in the exercise of his best judgment the risk to his personal safety is at an acceptable level and mitigated by his choice of another aircraft for any given trip.</w:t>
      </w:r>
    </w:p>
    <w:p>
      <w:pPr>
        <w:spacing w:after="0" w:line="62"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In order to determine the perquisite value of personal use of Company aircraft, the Company calculates the incremental cost, which includes the cost of trip-related crew hotels and meals, in-flight food and beverages, landing and ground handling fees, hourly maintenance contract costs, hangar or aircraft parking costs, fuel costs based on the average annual cost of fuel per mile flown, and other smaller variable costs. Fixed costs that would be incurred in any event to operate Company aircraft (e.g., aircraft purchase costs, maintenance not related to personal trips, and flight crew salaries) are not included. The incremental cost to the Company is included above although amounts related to the loss of a tax deduction to the Company on account of personal use of corporate aircraft under new tax rules are not included.</w:t>
      </w:r>
    </w:p>
    <w:p>
      <w:pPr>
        <w:spacing w:after="0" w:line="39" w:lineRule="exact"/>
        <w:rPr>
          <w:sz w:val="20"/>
          <w:szCs w:val="20"/>
          <w:color w:val="auto"/>
        </w:rPr>
      </w:pPr>
    </w:p>
    <w:p>
      <w:pPr>
        <w:ind w:left="452" w:right="180" w:hanging="452"/>
        <w:spacing w:after="0" w:line="298"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 includes $52,008 for premium amounts paid on behalf of Dr. Sugar for life, medical, dental, accidental death and dismemberment and long term disability insurance and a Corporate Owned Life Insurance Policy provided to him as a Litton executive, $30,171 for tax gross up, $25,000 for tax return preparation, $20,126 for car allowance and expenses, and $6,161 for club membership dues. The amount also includes $24,247 for personal travel on Company aircraft and $2,799 for spouse travel, based on aggregate incremental cost to the Company.</w:t>
      </w:r>
    </w:p>
    <w:p>
      <w:pPr>
        <w:spacing w:after="0" w:line="31" w:lineRule="exact"/>
        <w:rPr>
          <w:rFonts w:ascii="Arial" w:cs="Arial" w:eastAsia="Arial" w:hAnsi="Arial"/>
          <w:sz w:val="16"/>
          <w:szCs w:val="16"/>
          <w:color w:val="auto"/>
        </w:rPr>
      </w:pPr>
    </w:p>
    <w:p>
      <w:pPr>
        <w:ind w:left="452" w:right="940" w:hanging="452"/>
        <w:spacing w:after="0" w:line="332"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 includes, among other items, $31,479 for premium amounts paid on behalf of Dr. Sugar for life, medical, dental, accidental death and dismemberment and long term disability insurance and a Corporate Owned Life Insurance Policy provided to him as a Litton executive.</w:t>
      </w:r>
    </w:p>
    <w:p>
      <w:pPr>
        <w:spacing w:after="0" w:line="4" w:lineRule="exact"/>
        <w:rPr>
          <w:rFonts w:ascii="Arial" w:cs="Arial" w:eastAsia="Arial" w:hAnsi="Arial"/>
          <w:sz w:val="16"/>
          <w:szCs w:val="16"/>
          <w:color w:val="auto"/>
        </w:rPr>
      </w:pPr>
    </w:p>
    <w:p>
      <w:pPr>
        <w:jc w:val="both"/>
        <w:ind w:left="452" w:right="240" w:hanging="452"/>
        <w:spacing w:after="0" w:line="259"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includes $34,411 for premium amounts paid in behalf of Mr. Bush for life, medical, dental, accidental death and dismemberment and long term disability insurance, $16,750 for car allowance and expenses, $9,000 for tax return preparation, $5,128 for club membership dues, $5,971 for dependent travel, $4,553 for tax gross up, and $80 for security costs at his residence.</w:t>
      </w:r>
    </w:p>
    <w:p>
      <w:pPr>
        <w:spacing w:after="0" w:line="59"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includes $300,000 paid each year for four years as a retention bonus to Mr. Bush upon termination of his Employment Continuation Agreement with TRW Inc.</w:t>
      </w:r>
    </w:p>
    <w:p>
      <w:pPr>
        <w:spacing w:after="0" w:line="50" w:lineRule="exact"/>
        <w:rPr>
          <w:rFonts w:ascii="Arial" w:cs="Arial" w:eastAsia="Arial" w:hAnsi="Arial"/>
          <w:sz w:val="18"/>
          <w:szCs w:val="18"/>
          <w:color w:val="auto"/>
        </w:rPr>
      </w:pPr>
    </w:p>
    <w:p>
      <w:pPr>
        <w:jc w:val="both"/>
        <w:ind w:left="452" w:right="220" w:hanging="452"/>
        <w:spacing w:after="0" w:line="259"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includes $31,311 for premium amounts paid on behalf of Mr. Bush for life, medical, dental, accidental death and dismemberment and long term disability insurance, $16,414 for car allowance and expenses, $9,000 for tax return preparation, $4,792 for club membership dues, $3,352 for dependent travel, $2,629 for tax gross up, and $275 for security costs at his residence.</w:t>
      </w:r>
    </w:p>
    <w:p>
      <w:pPr>
        <w:spacing w:after="0" w:line="59"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paid on behalf of Mr. Bush includes $174,673 for tax gross up, $18,673 for car allowance and expenses, $6,431 for tax return preparation, and $5,550 for club membership dues.</w:t>
      </w:r>
    </w:p>
    <w:p>
      <w:pPr>
        <w:spacing w:after="0" w:line="50" w:lineRule="exact"/>
        <w:rPr>
          <w:rFonts w:ascii="Arial" w:cs="Arial" w:eastAsia="Arial" w:hAnsi="Arial"/>
          <w:sz w:val="18"/>
          <w:szCs w:val="18"/>
          <w:color w:val="auto"/>
        </w:rPr>
      </w:pPr>
    </w:p>
    <w:p>
      <w:pPr>
        <w:ind w:left="452" w:right="300" w:hanging="452"/>
        <w:spacing w:after="0" w:line="259"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includes $35,365 for premium amounts paid on behalf of Mr. Seymour for life, medical, dental, accidental death and dismemberment and long term disability insurance, $18,358 for car allowance and expenses, $9,000 for tax return preparation, $5,650 for club membership dues, $3,271 for dependent travel and $2,372 for tax gross up.</w:t>
      </w:r>
    </w:p>
    <w:p>
      <w:pPr>
        <w:spacing w:after="0" w:line="59" w:lineRule="exact"/>
        <w:rPr>
          <w:rFonts w:ascii="Arial" w:cs="Arial" w:eastAsia="Arial" w:hAnsi="Arial"/>
          <w:sz w:val="18"/>
          <w:szCs w:val="18"/>
          <w:color w:val="auto"/>
        </w:rPr>
      </w:pPr>
    </w:p>
    <w:p>
      <w:pPr>
        <w:ind w:left="452" w:right="300" w:hanging="452"/>
        <w:spacing w:after="0" w:line="259"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includes $32,677 for premium amounts paid on behalf of Mr. Seymour for life, medical, dental, accidental death and dismemberment and long term disability insurance, $22,789 for dependent travel, $17,510 for tax gross up, $13,823 for car allowance and expenses, $9,000 for tax return preparation, and $6,480 for club membership dues.</w:t>
      </w:r>
    </w:p>
    <w:p>
      <w:pPr>
        <w:spacing w:after="0" w:line="59" w:lineRule="exact"/>
        <w:rPr>
          <w:rFonts w:ascii="Arial" w:cs="Arial" w:eastAsia="Arial" w:hAnsi="Arial"/>
          <w:sz w:val="18"/>
          <w:szCs w:val="18"/>
          <w:color w:val="auto"/>
        </w:rPr>
      </w:pPr>
    </w:p>
    <w:p>
      <w:pPr>
        <w:ind w:left="452" w:right="720" w:hanging="452"/>
        <w:spacing w:after="0" w:line="268"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paid on behalf of Mr. Seymour includes $18,000 for tax return preparation, $14,699 for car allowance and expenses, and $5,556 for club membership dues.</w:t>
      </w:r>
    </w:p>
    <w:p>
      <w:pPr>
        <w:spacing w:after="0" w:line="50"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includes $30,134 for premium amounts paid on behalf of Mr. Terry for life, medical, dental, accidental death and dismemberment and long term disability insurance, $15,000 for car allowance and expenses, $14,619 for dependent travel, $11,173 for tax gross up, $991 for club membership dues, and $117 for travel of a family member on Company aircraft.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72"/>
          </w:cols>
          <w:pgMar w:left="248" w:top="280" w:right="279" w:bottom="1440" w:gutter="0" w:footer="0" w:header="0"/>
        </w:sectPr>
      </w:pPr>
    </w:p>
    <w:bookmarkStart w:id="32" w:name="page33"/>
    <w:bookmarkEnd w:id="32"/>
    <w:p>
      <w:pPr>
        <w:ind w:left="452" w:right="240" w:hanging="452"/>
        <w:spacing w:after="0" w:line="332"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includes $27,991 for premium amount paid on behalf of Mr. Terry for life, medical, dental, accidental death and dismemberment and long term disability insurance, $15,000 for car allowance, $1,663 for travel of a family member on Company aircraft, and $1,278 for tax gross up.</w:t>
      </w:r>
    </w:p>
    <w:p>
      <w:pPr>
        <w:spacing w:after="0" w:line="4"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$34,896 for premium amounts paid on behalf of Mr. O’Neill for life, medical, dental, accidental death and dismemberment and long term disability insurance, $30,736 for rent and related expenses for an apartment in McLean, Virginia, $20,560 for personal travel and for travel of family members on Company aircraft, $18,204 for car allowance and expenses, $7,527 for club membership dues, $1,300 for tax preparation and $175 for dependent travel.</w:t>
      </w:r>
    </w:p>
    <w:p>
      <w:pPr>
        <w:spacing w:after="0" w:line="62"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$27,628 for premium amounts paid on behalf of Mr. O’Neill for life, medical, dental, accidental death and dismemberment and long term disability insurance, $15,480 for car allowance and expenses, $4,080 for club membership dues, $1,535 for tax gross up, and $1,300 for tax return preparation.</w:t>
      </w:r>
    </w:p>
    <w:p>
      <w:pPr>
        <w:spacing w:after="0" w:line="59" w:lineRule="exact"/>
        <w:rPr>
          <w:rFonts w:ascii="Arial" w:cs="Arial" w:eastAsia="Arial" w:hAnsi="Arial"/>
          <w:sz w:val="18"/>
          <w:szCs w:val="18"/>
          <w:color w:val="auto"/>
        </w:rPr>
      </w:pPr>
    </w:p>
    <w:p>
      <w:pPr>
        <w:ind w:left="452" w:right="58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paid on behalf of Mr. O’Neill includes $14,645 for car allowance and expenses, $3,854 for club membership dues, and $850 for tax return preparation.</w:t>
      </w:r>
    </w:p>
    <w:p>
      <w:pPr>
        <w:spacing w:after="0" w:line="50" w:lineRule="exact"/>
        <w:rPr>
          <w:rFonts w:ascii="Arial" w:cs="Arial" w:eastAsia="Arial" w:hAnsi="Arial"/>
          <w:sz w:val="18"/>
          <w:szCs w:val="18"/>
          <w:color w:val="auto"/>
        </w:rPr>
      </w:pPr>
    </w:p>
    <w:p>
      <w:pPr>
        <w:jc w:val="both"/>
        <w:ind w:left="452" w:right="60"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$31,611 for premium amounts paid on behalf of Mr. Iorizzo for life, medical, dental, accidental death and dismemberment and long term disability insurance, $15,601 for car allowance and expenses, $10,673 for dependent travel, $9,000 for tax return preparation, $7,821 for tax gross up, and $42 for personal travel of a family member on Company aircraft.</w:t>
      </w:r>
    </w:p>
    <w:p>
      <w:pPr>
        <w:spacing w:after="0" w:line="59" w:lineRule="exact"/>
        <w:rPr>
          <w:rFonts w:ascii="Arial" w:cs="Arial" w:eastAsia="Arial" w:hAnsi="Arial"/>
          <w:sz w:val="18"/>
          <w:szCs w:val="18"/>
          <w:color w:val="auto"/>
        </w:rPr>
      </w:pPr>
    </w:p>
    <w:p>
      <w:pPr>
        <w:ind w:left="452" w:right="380"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includes, among other items, $30,013 for premium amounts paid on behalf of Mr. Iorizzo for life, medical, dental, accidental death and dismemberment and long term disability insurance, $15,726 for car allowance and expenses, $10,916 for club membership dues, $9,000 for tax return preparation, and $3,185 for tax gross up.</w:t>
      </w:r>
    </w:p>
    <w:p>
      <w:pPr>
        <w:spacing w:after="0" w:line="59" w:lineRule="exact"/>
        <w:rPr>
          <w:rFonts w:ascii="Arial" w:cs="Arial" w:eastAsia="Arial" w:hAnsi="Arial"/>
          <w:sz w:val="18"/>
          <w:szCs w:val="18"/>
          <w:color w:val="auto"/>
        </w:rPr>
      </w:pPr>
    </w:p>
    <w:p>
      <w:pPr>
        <w:ind w:left="452" w:right="80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among other items, $24,065 for premium amounts paid on behalf of Mr. Iorizzo for life, medical, dental, accidental death and dismemberment and long term disability insurance.</w:t>
      </w:r>
    </w:p>
    <w:p>
      <w:pPr>
        <w:spacing w:after="0" w:line="50"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$30,359 for premium amounts paid on behalf of Dr. Winter for life, medical, dental, accidental death and dismemberment and long term disability insurance, $14,758 for car allowance and expenses, and $9,000 for tax preparation.</w:t>
      </w:r>
    </w:p>
    <w:p>
      <w:pPr>
        <w:spacing w:after="0" w:line="50" w:lineRule="exact"/>
        <w:rPr>
          <w:rFonts w:ascii="Arial" w:cs="Arial" w:eastAsia="Arial" w:hAnsi="Arial"/>
          <w:sz w:val="18"/>
          <w:szCs w:val="18"/>
          <w:color w:val="auto"/>
        </w:rPr>
      </w:pPr>
    </w:p>
    <w:p>
      <w:pPr>
        <w:ind w:left="452" w:right="500"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among other items, $28,699 for premium amounts paid on behalf of Dr. Winter for life, medical, dental, accidental death and dismemberment and long term disability insurance, $15,641 for dependent travel, $12,750 for tax return preparation, $15,200 for car allowance, and $12,767 for tax gross up.</w:t>
      </w:r>
    </w:p>
    <w:p>
      <w:pPr>
        <w:spacing w:after="0" w:line="59" w:lineRule="exact"/>
        <w:rPr>
          <w:rFonts w:ascii="Arial" w:cs="Arial" w:eastAsia="Arial" w:hAnsi="Arial"/>
          <w:sz w:val="18"/>
          <w:szCs w:val="18"/>
          <w:color w:val="auto"/>
        </w:rPr>
      </w:pPr>
    </w:p>
    <w:p>
      <w:pPr>
        <w:ind w:left="452" w:right="86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among other items, $23,790 for premium amounts paid on behalf of Dr. Winter for life, medical, dental, accidental death and dismemberment and long term disability insurance.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$4,400,000 paid to Dr. Winter upon termination of his Employment Continuation Agreement with TRW Inc.</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52"/>
          </w:cols>
          <w:pgMar w:left="248" w:top="280"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VALUES</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This table provides information about options exercised by the Named Executive Officers during 2005 and unexercised stock options held at the end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Number of Securities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4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Options at Fiscal</w:t>
            </w:r>
          </w:p>
        </w:tc>
        <w:tc>
          <w:tcPr>
            <w:tcW w:w="2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In-The-Money</w:t>
            </w:r>
          </w:p>
        </w:tc>
        <w:tc>
          <w:tcPr>
            <w:tcW w:w="0" w:type="dxa"/>
            <w:vAlign w:val="bottom"/>
          </w:tcPr>
          <w:p>
            <w:pPr>
              <w:spacing w:after="0"/>
              <w:rPr>
                <w:sz w:val="1"/>
                <w:szCs w:val="1"/>
                <w:color w:val="auto"/>
              </w:rPr>
            </w:pPr>
          </w:p>
        </w:tc>
      </w:tr>
      <w:tr>
        <w:trPr>
          <w:trHeight w:val="162"/>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Acquired</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Year End</w:t>
            </w: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Options at Fiscal Year End(1)</w:t>
            </w:r>
          </w:p>
        </w:tc>
        <w:tc>
          <w:tcPr>
            <w:tcW w:w="0" w:type="dxa"/>
            <w:vAlign w:val="bottom"/>
          </w:tcPr>
          <w:p>
            <w:pPr>
              <w:spacing w:after="0"/>
              <w:rPr>
                <w:sz w:val="1"/>
                <w:szCs w:val="1"/>
                <w:color w:val="auto"/>
              </w:rPr>
            </w:pPr>
          </w:p>
        </w:tc>
      </w:tr>
      <w:tr>
        <w:trPr>
          <w:trHeight w:val="129"/>
        </w:trPr>
        <w:tc>
          <w:tcPr>
            <w:tcW w:w="366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on Exercise (#)</w:t>
            </w:r>
          </w:p>
        </w:tc>
        <w:tc>
          <w:tcPr>
            <w:tcW w:w="14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Value Realized ($)</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Exercisable</w:t>
            </w:r>
          </w:p>
        </w:tc>
        <w:tc>
          <w:tcPr>
            <w:tcW w:w="3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Unexercisable</w:t>
            </w:r>
          </w:p>
        </w:tc>
        <w:tc>
          <w:tcPr>
            <w:tcW w:w="320" w:type="dxa"/>
            <w:vAlign w:val="bottom"/>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 xml:space="preserve">Exercisable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 xml:space="preserve">Unexercisable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D. Sugar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365,000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107,966</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66,250</w:t>
            </w:r>
          </w:p>
        </w:tc>
        <w:tc>
          <w:tcPr>
            <w:tcW w:w="960" w:type="dxa"/>
            <w:vAlign w:val="bottom"/>
          </w:tcPr>
          <w:p>
            <w:pPr>
              <w:jc w:val="right"/>
              <w:spacing w:after="0"/>
              <w:rPr>
                <w:sz w:val="20"/>
                <w:szCs w:val="20"/>
                <w:color w:val="auto"/>
              </w:rPr>
            </w:pPr>
            <w:r>
              <w:rPr>
                <w:rFonts w:ascii="Arial" w:cs="Arial" w:eastAsia="Arial" w:hAnsi="Arial"/>
                <w:sz w:val="18"/>
                <w:szCs w:val="18"/>
                <w:color w:val="auto"/>
              </w:rPr>
              <w:t>1,152,572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678,969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J. Seymour</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129,047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135,796</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45,000</w:t>
            </w:r>
          </w:p>
        </w:tc>
        <w:tc>
          <w:tcPr>
            <w:tcW w:w="960" w:type="dxa"/>
            <w:vAlign w:val="bottom"/>
          </w:tcPr>
          <w:p>
            <w:pPr>
              <w:jc w:val="right"/>
              <w:spacing w:after="0"/>
              <w:rPr>
                <w:sz w:val="20"/>
                <w:szCs w:val="20"/>
                <w:color w:val="auto"/>
              </w:rPr>
            </w:pPr>
            <w:r>
              <w:rPr>
                <w:rFonts w:ascii="Arial" w:cs="Arial" w:eastAsia="Arial" w:hAnsi="Arial"/>
                <w:sz w:val="18"/>
                <w:szCs w:val="18"/>
                <w:color w:val="auto"/>
              </w:rPr>
              <w:t>1,707,969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O’Neill</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Robert P. Iorizzo</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152,750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1,342,250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Winter</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121,074</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926,467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the market value at December 31, 2005 of $60.11.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Performance Stock Rights Grants in Last Fiscal Year</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table below shows information concerning grants of Restricted Performance Stock Rights made to Named Executive Officers during the last completed fiscal year.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PLAN—AWARDS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Estimated Future Payouts 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6"/>
              </w:rPr>
              <w:t>Number of Shares,</w:t>
            </w:r>
          </w:p>
        </w:tc>
        <w:tc>
          <w:tcPr>
            <w:tcW w:w="18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Performance or</w:t>
            </w:r>
          </w:p>
        </w:tc>
        <w:tc>
          <w:tcPr>
            <w:tcW w:w="7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Non-Stock Price-Based Plans</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2"/>
                <w:szCs w:val="12"/>
                <w:color w:val="auto"/>
              </w:rPr>
            </w:pPr>
          </w:p>
        </w:tc>
        <w:tc>
          <w:tcPr>
            <w:tcW w:w="19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18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Other Period Until</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Rights (#)(1)</w:t>
            </w:r>
          </w:p>
        </w:tc>
        <w:tc>
          <w:tcPr>
            <w:tcW w:w="18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8"/>
              </w:rPr>
              <w:t>Maturation or Payout</w:t>
            </w: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Threshold (#)</w:t>
            </w:r>
          </w:p>
        </w:tc>
        <w:tc>
          <w:tcPr>
            <w:tcW w:w="620" w:type="dxa"/>
            <w:vAlign w:val="bottom"/>
          </w:tcPr>
          <w:p>
            <w:pPr>
              <w:spacing w:after="0"/>
              <w:rPr>
                <w:sz w:val="12"/>
                <w:szCs w:val="12"/>
                <w:color w:val="auto"/>
              </w:rPr>
            </w:pPr>
          </w:p>
        </w:tc>
        <w:tc>
          <w:tcPr>
            <w:tcW w:w="12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Target (#)</w:t>
            </w: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3"/>
              </w:rPr>
              <w:t>Maximum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D. Sugar</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J. Seymour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84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O’Neill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Robert P. Iorizzo</w:t>
            </w:r>
          </w:p>
        </w:tc>
        <w:tc>
          <w:tcPr>
            <w:tcW w:w="2540" w:type="dxa"/>
            <w:vAlign w:val="bottom"/>
            <w:gridSpan w:val="3"/>
          </w:tcPr>
          <w:p>
            <w:pPr>
              <w:jc w:val="right"/>
              <w:ind w:right="640"/>
              <w:spacing w:after="0"/>
              <w:rPr>
                <w:sz w:val="20"/>
                <w:szCs w:val="20"/>
                <w:color w:val="auto"/>
              </w:rPr>
            </w:pPr>
            <w:r>
              <w:rPr>
                <w:rFonts w:ascii="Arial" w:cs="Arial" w:eastAsia="Arial" w:hAnsi="Arial"/>
                <w:sz w:val="18"/>
                <w:szCs w:val="18"/>
                <w:color w:val="auto"/>
              </w:rPr>
              <w:t>24,000(2)</w:t>
            </w: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Winter</w:t>
            </w:r>
          </w:p>
        </w:tc>
        <w:tc>
          <w:tcPr>
            <w:tcW w:w="2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24,000(3)</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98"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Restricted Performance Stock Rights (RPSRs) granted in 2005 that may be earned under the 2001 Long Term Incentive Stock Plan are based on the Company’s Economic Value Added (EVA) performance over a three year performance period commencing January 1, 2005 and ending December 31, 2007. The payout may range from 0% to 150% of the rights awarded. Dividend equivalents for earned RPSRs are accumulated and distributed at the end of the performance period. Earned RPSRs and dividend equivalents may be paid in either shares, cash or a combination of shares and cash.</w:t>
      </w:r>
    </w:p>
    <w:p>
      <w:pPr>
        <w:spacing w:after="0" w:line="31" w:lineRule="exact"/>
        <w:rPr>
          <w:rFonts w:ascii="Arial" w:cs="Arial" w:eastAsia="Arial" w:hAnsi="Arial"/>
          <w:sz w:val="16"/>
          <w:szCs w:val="16"/>
          <w:color w:val="auto"/>
        </w:rPr>
      </w:pPr>
    </w:p>
    <w:p>
      <w:pPr>
        <w:ind w:left="460" w:right="4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Iorizzo was allowed to retain this RPSR grant upon his retirement pursuant to the terms of the grant which require the recipient to remain with the Company at least six months after the grant date.</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RPSR grant was accelerated and paid upon Dr. Winter’s retirement pursuant to the terms of the grant which allowed for pro-rated retention of awards under circumstances such as his taking a position with the government.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Northrop Grumman currently maintains the following compensation plans under which Northrop Grumman equity securities are authorized for issuance:</w:t>
      </w:r>
    </w:p>
    <w:p>
      <w:pPr>
        <w:spacing w:after="0" w:line="113" w:lineRule="exact"/>
        <w:rPr>
          <w:sz w:val="20"/>
          <w:szCs w:val="20"/>
          <w:color w:val="auto"/>
        </w:rPr>
      </w:pPr>
    </w:p>
    <w:p>
      <w:pPr>
        <w:ind w:left="1260" w:hanging="455"/>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2001 Long-Term Incentive Stock Plan (the “2001 Stock Plan”)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1993 Long-Term Incentive Stock Plan (the “1993 Stock Plan”)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1995 Stock Option Plan for Non-Employee Directors (the “1995 Directors Plan”)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1993 Stock Plan for Non-Employee Directors (the “1993 Directors Plan”)</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Each of these plans has been approved by stockholders. No new awards may be granted under the 1993 Stock Plan or the 1995 Directors Plan. The following table sets forth, for each of these plans, the number of shares of Northrop Grumman Common Stock subject to outstanding options, warrants, and rights, the weighted-average exercise price of outstanding options, warrants, and rights, and the number of shares remaining available for future award grants as of December 31, 2005.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5"/>
              </w:rPr>
              <w:t>Number of shares</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0"/>
              </w:rPr>
              <w:t>of Northrop</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Weighted-</w:t>
            </w: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3"/>
              </w:rPr>
              <w:t>Grumman</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3"/>
              </w:rPr>
              <w:t>average</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Number of shares of Northrop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Common Stock to</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78"/>
              </w:rPr>
              <w:t>exercise</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Grumman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be issued upon</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price of</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0"/>
              </w:rPr>
              <w:t>options,</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spacing w:after="0"/>
              <w:rPr>
                <w:sz w:val="12"/>
                <w:szCs w:val="12"/>
                <w:color w:val="auto"/>
              </w:rPr>
            </w:pPr>
          </w:p>
        </w:tc>
        <w:tc>
          <w:tcPr>
            <w:tcW w:w="23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warrants</w:t>
            </w: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(excluding shares reflected in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vMerge w:val="continue"/>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and rights</w:t>
            </w:r>
          </w:p>
        </w:tc>
        <w:tc>
          <w:tcPr>
            <w:tcW w:w="128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and rights</w:t>
            </w:r>
          </w:p>
        </w:tc>
        <w:tc>
          <w:tcPr>
            <w:tcW w:w="1280" w:type="dxa"/>
            <w:vAlign w:val="bottom"/>
          </w:tcPr>
          <w:p>
            <w:pPr>
              <w:spacing w:after="0"/>
              <w:rPr>
                <w:sz w:val="13"/>
                <w:szCs w:val="13"/>
                <w:color w:val="auto"/>
              </w:rPr>
            </w:pPr>
          </w:p>
        </w:tc>
        <w:tc>
          <w:tcPr>
            <w:tcW w:w="17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the first column)</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disclosed in Form 10-K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33,633,358</w:t>
            </w:r>
          </w:p>
        </w:tc>
        <w:tc>
          <w:tcPr>
            <w:tcW w:w="1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48</w:t>
            </w:r>
          </w:p>
        </w:tc>
        <w:tc>
          <w:tcPr>
            <w:tcW w:w="17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4"/>
              </w:rPr>
              <w:t>24,697,438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Additional performance shares</w:t>
            </w:r>
          </w:p>
        </w:tc>
        <w:tc>
          <w:tcPr>
            <w:tcW w:w="10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2,756,052</w:t>
            </w:r>
          </w:p>
        </w:tc>
        <w:tc>
          <w:tcPr>
            <w:tcW w:w="1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Equity compensation plans approved by stockholders</w:t>
            </w:r>
          </w:p>
        </w:tc>
        <w:tc>
          <w:tcPr>
            <w:tcW w:w="10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36,389,410(1)</w:t>
            </w:r>
          </w:p>
        </w:tc>
        <w:tc>
          <w:tcPr>
            <w:tcW w:w="1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48(2)</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7"/>
              </w:rPr>
              <w:t>24,697,438(3)</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w w:val="89"/>
              </w:rPr>
              <w:t>Equity compensation plans not approved by stockholders</w:t>
            </w:r>
          </w:p>
        </w:tc>
        <w:tc>
          <w:tcPr>
            <w:tcW w:w="1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3"/>
            <w:vMerge w:val="continue"/>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1280" w:type="dxa"/>
            <w:vAlign w:val="bottom"/>
          </w:tcPr>
          <w:p>
            <w:pPr>
              <w:spacing w:after="0"/>
              <w:rPr>
                <w:sz w:val="19"/>
                <w:szCs w:val="19"/>
                <w:color w:val="auto"/>
              </w:rPr>
            </w:pPr>
          </w:p>
        </w:tc>
        <w:tc>
          <w:tcPr>
            <w:tcW w:w="196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1980" w:type="dxa"/>
            <w:vAlign w:val="bottom"/>
            <w:gridSpan w:val="2"/>
          </w:tcPr>
          <w:p>
            <w:pPr>
              <w:ind w:left="1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36,389,410</w:t>
            </w:r>
          </w:p>
        </w:tc>
        <w:tc>
          <w:tcPr>
            <w:tcW w:w="1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48</w:t>
            </w:r>
          </w:p>
        </w:tc>
        <w:tc>
          <w:tcPr>
            <w:tcW w:w="17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4"/>
              </w:rPr>
              <w:t>24,697,438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these shares, 224,094 were subject to stock options outstanding under the 1995 Directors Plan, 27,593,722 in the aggregate were subject to stock options outstanding under the 1993 Stock Plan and the 2001 Stock Plan, 8,539,683 in the aggregate were subject to restricted stock right and restricted performance stock right awards outstanding under the 1993 Stock Plan and the 2001 Stock Plan, and 31,911 were subject to stock units credited under the 1993 Directors Plan. Stock units credited under the 1993 Directors plan will be paid in an equivalent number of shares. Additional performance shares of 2,756,052 reflect the number of shares deliverable upon payment of outstanding restricted stock right awards, assuming maximum performance criteria have been achieved.</w:t>
      </w:r>
    </w:p>
    <w:p>
      <w:pPr>
        <w:spacing w:after="0" w:line="63"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number reflects the weighted-average exercise price of outstanding options and has been calculated exclusive of outstanding restricted stock right and restricted stock right awards, and exclusive of stock units credited under the 1993 Directors Plan.</w:t>
      </w:r>
    </w:p>
    <w:p>
      <w:pPr>
        <w:spacing w:after="0" w:line="5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Of these shares, 24,307,941 were available for additional awards under the 2001 Stock Plan, 71,497 were available for issuance and additional stock units under the 1993 Directors Plan, and 318,000 were available for additional options under the 1995 Directors Plan. Subject to certain express limits of the 2001 Plan, shares available for purposes under the 2001 Stock Plan generally may be used for any type of award authorized under the 2001 Stock Plan including options, stock appreciation rights, and other forms of awards granted or denominated in Common Stock or units of Common Stock including, without limitation, stock bonuses, restricted stock, and performance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Plans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individuals named in the Summary Compensation Table (“Executives”) participate in the Northrop Grumman Pension Plan (“NG Pension Plan”). Each of the Executives also participates in the Northrop Grumman ERISA Supplemental Plan (“ERISA 1”), and the Northrop Grumman Supplemental Program 2 (“ERISA 2”). The NG Pension Plan is a plan qualified under Internal Revenue Code (“Code”) section 401. ERISA 1 is a nonqualified plan which provides benefits in excess of the Code section 415 limit and ERISA 2 is a nonqualified plan which provides benefits in excess of the Code section 401(a)(17) limit.</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of the Executives also participates in the CPC Supplemental Executive Retirement Program (“CPC SERP”). Dr. Sugar also actively participates in the Supplemental Retirement Income Program for Senior Executives (“SRI”). In addition, as explained below, Dr. Sugar, Mr. Iorizzo, and Dr. Winter each have certain frozen plan benefits.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Except as otherwise provided, the amount of the Executives’ pension benefits are calculated below by projecting the Executives’ service and compensation forward to normal retirement age under the plans. For the Executives, compensation will be projected assuming that their annual base salary will increase at an annual rate of 4%. In addition, annual bonuses will be assumed equal to the target amount of 120% for Dr. Sugar, 60% for Mr. Terry, and 70% for the other Executives. Under each of the plans identified below, normal retirement age is age 65.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 Pension Plan, ERISA 1, and ERISA 2 (collectively, the “ERISA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periods of service prior to July 1, 2003, the ERISA Plans together provided a benefit equal to years of benefit service multiplied by final average compensation multiplied by 1.67% (the “FAS Formula”), as illustrated in Table 1a. For service between July 1, 2003 and June 30, 2008, the ERISA Plans provide a benefit equal to the greater of the accrual under the FAS Formula or the accrual under a cash balance formula using a hypothetical account value that grows with credits based on age, total service, compensation, and interest, as set forth in Table 1b. For periods after June 30, 2008, the ERISA Plans provide only the accrual earned under the cash balance formula.</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purposes of illustration, Table 1a shows the amount of annual retirement benefits that would be accrued under the ERISA Plans at age 65 with respect to years of service counted under the FAS Formula, and Table 1b shows the actual cash balance formula.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Final</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7"/>
              </w:rPr>
              <w:t>Renumeration</w:t>
            </w: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3"/>
              </w:rPr>
              <w:t>Years of Benefit Service</w:t>
            </w: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22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8"/>
              </w:rPr>
              <w:t>(highest 3</w:t>
            </w: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years out</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last 10)</w:t>
            </w:r>
          </w:p>
        </w:tc>
        <w:tc>
          <w:tcPr>
            <w:tcW w:w="440" w:type="dxa"/>
            <w:vAlign w:val="bottom"/>
          </w:tcPr>
          <w:p>
            <w:pPr>
              <w:spacing w:after="0"/>
              <w:rPr>
                <w:sz w:val="14"/>
                <w:szCs w:val="1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25</w:t>
            </w:r>
          </w:p>
        </w:tc>
        <w:tc>
          <w:tcPr>
            <w:tcW w:w="440" w:type="dxa"/>
            <w:vAlign w:val="bottom"/>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30</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89"/>
              </w:rPr>
              <w:t>$  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41,700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166,700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208,300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1,000,000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83,300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166,700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333,300</w:t>
            </w:r>
          </w:p>
        </w:tc>
        <w:tc>
          <w:tcPr>
            <w:tcW w:w="880" w:type="dxa"/>
            <w:vAlign w:val="bottom"/>
          </w:tcPr>
          <w:p>
            <w:pPr>
              <w:jc w:val="right"/>
              <w:spacing w:after="0"/>
              <w:rPr>
                <w:sz w:val="20"/>
                <w:szCs w:val="20"/>
                <w:color w:val="auto"/>
              </w:rPr>
            </w:pPr>
            <w:r>
              <w:rPr>
                <w:rFonts w:ascii="Arial" w:cs="Arial" w:eastAsia="Arial" w:hAnsi="Arial"/>
                <w:sz w:val="18"/>
                <w:szCs w:val="18"/>
                <w:color w:val="auto"/>
              </w:rPr>
              <w:t>416,700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1,500,000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2,000,000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166,700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333,300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666,700</w:t>
            </w:r>
          </w:p>
        </w:tc>
        <w:tc>
          <w:tcPr>
            <w:tcW w:w="880" w:type="dxa"/>
            <w:vAlign w:val="bottom"/>
          </w:tcPr>
          <w:p>
            <w:pPr>
              <w:jc w:val="right"/>
              <w:spacing w:after="0"/>
              <w:rPr>
                <w:sz w:val="20"/>
                <w:szCs w:val="20"/>
                <w:color w:val="auto"/>
              </w:rPr>
            </w:pPr>
            <w:r>
              <w:rPr>
                <w:rFonts w:ascii="Arial" w:cs="Arial" w:eastAsia="Arial" w:hAnsi="Arial"/>
                <w:sz w:val="18"/>
                <w:szCs w:val="18"/>
                <w:color w:val="auto"/>
              </w:rPr>
              <w:t>833,400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2,500,000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208,300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416,700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833,400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3,000,000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750,000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1,000,000</w:t>
            </w:r>
          </w:p>
        </w:tc>
        <w:tc>
          <w:tcPr>
            <w:tcW w:w="880" w:type="dxa"/>
            <w:vAlign w:val="bottom"/>
          </w:tcPr>
          <w:p>
            <w:pPr>
              <w:jc w:val="right"/>
              <w:spacing w:after="0"/>
              <w:rPr>
                <w:sz w:val="20"/>
                <w:szCs w:val="20"/>
                <w:color w:val="auto"/>
              </w:rPr>
            </w:pPr>
            <w:r>
              <w:rPr>
                <w:rFonts w:ascii="Arial" w:cs="Arial" w:eastAsia="Arial" w:hAnsi="Arial"/>
                <w:sz w:val="18"/>
                <w:szCs w:val="18"/>
                <w:color w:val="auto"/>
              </w:rPr>
              <w:t>1,250,000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3,500,000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291,700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1,166,700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4,000,000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333,300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666,700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1,333,400</w:t>
            </w:r>
          </w:p>
        </w:tc>
        <w:tc>
          <w:tcPr>
            <w:tcW w:w="880" w:type="dxa"/>
            <w:vAlign w:val="bottom"/>
          </w:tcPr>
          <w:p>
            <w:pPr>
              <w:jc w:val="right"/>
              <w:spacing w:after="0"/>
              <w:rPr>
                <w:sz w:val="20"/>
                <w:szCs w:val="20"/>
                <w:color w:val="auto"/>
              </w:rPr>
            </w:pPr>
            <w:r>
              <w:rPr>
                <w:rFonts w:ascii="Arial" w:cs="Arial" w:eastAsia="Arial" w:hAnsi="Arial"/>
                <w:sz w:val="18"/>
                <w:szCs w:val="18"/>
                <w:color w:val="auto"/>
              </w:rPr>
              <w:t>1,666,700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4,500,000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5,000,000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416,700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833,400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1,666,700</w:t>
            </w:r>
          </w:p>
        </w:tc>
        <w:tc>
          <w:tcPr>
            <w:tcW w:w="880" w:type="dxa"/>
            <w:vAlign w:val="bottom"/>
          </w:tcPr>
          <w:p>
            <w:pPr>
              <w:jc w:val="right"/>
              <w:spacing w:after="0"/>
              <w:rPr>
                <w:sz w:val="20"/>
                <w:szCs w:val="20"/>
                <w:color w:val="auto"/>
              </w:rPr>
            </w:pPr>
            <w:r>
              <w:rPr>
                <w:rFonts w:ascii="Arial" w:cs="Arial" w:eastAsia="Arial" w:hAnsi="Arial"/>
                <w:sz w:val="18"/>
                <w:szCs w:val="18"/>
                <w:color w:val="auto"/>
              </w:rPr>
              <w:t>2,083,400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5,500,000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458,300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916,700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1,833,400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6,000,000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1,000,000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1,500,000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2,000,000</w:t>
            </w:r>
          </w:p>
        </w:tc>
        <w:tc>
          <w:tcPr>
            <w:tcW w:w="880" w:type="dxa"/>
            <w:vAlign w:val="bottom"/>
          </w:tcPr>
          <w:p>
            <w:pPr>
              <w:jc w:val="right"/>
              <w:spacing w:after="0"/>
              <w:rPr>
                <w:sz w:val="20"/>
                <w:szCs w:val="20"/>
                <w:color w:val="auto"/>
              </w:rPr>
            </w:pPr>
            <w:r>
              <w:rPr>
                <w:rFonts w:ascii="Arial" w:cs="Arial" w:eastAsia="Arial" w:hAnsi="Arial"/>
                <w:sz w:val="18"/>
                <w:szCs w:val="18"/>
                <w:color w:val="auto"/>
              </w:rPr>
              <w:t>2,500,100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6,500,000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541,700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1,083,400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2,166,700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7,000,000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583,300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1,166,700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1,750,000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2,333,400</w:t>
            </w:r>
          </w:p>
        </w:tc>
        <w:tc>
          <w:tcPr>
            <w:tcW w:w="880" w:type="dxa"/>
            <w:vAlign w:val="bottom"/>
          </w:tcPr>
          <w:p>
            <w:pPr>
              <w:jc w:val="right"/>
              <w:spacing w:after="0"/>
              <w:rPr>
                <w:sz w:val="20"/>
                <w:szCs w:val="20"/>
                <w:color w:val="auto"/>
              </w:rPr>
            </w:pPr>
            <w:r>
              <w:rPr>
                <w:rFonts w:ascii="Arial" w:cs="Arial" w:eastAsia="Arial" w:hAnsi="Arial"/>
                <w:sz w:val="18"/>
                <w:szCs w:val="18"/>
                <w:color w:val="auto"/>
              </w:rPr>
              <w:t>2,916,700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jc w:val="right"/>
              <w:ind w:right="1418"/>
              <w:spacing w:after="0"/>
              <w:rPr>
                <w:sz w:val="20"/>
                <w:szCs w:val="20"/>
                <w:color w:val="auto"/>
              </w:rPr>
            </w:pPr>
            <w:r>
              <w:rPr>
                <w:rFonts w:ascii="Arial" w:cs="Arial" w:eastAsia="Arial" w:hAnsi="Arial"/>
                <w:sz w:val="18"/>
                <w:szCs w:val="18"/>
                <w:color w:val="auto"/>
                <w:w w:val="94"/>
              </w:rPr>
              <w:t>7,500,000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1,875,000</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2,500,100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3,125,100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3,750,000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280" w:type="dxa"/>
            <w:vAlign w:val="bottom"/>
          </w:tcPr>
          <w:p>
            <w:pPr>
              <w:jc w:val="right"/>
              <w:ind w:right="1418"/>
              <w:spacing w:after="0"/>
              <w:rPr>
                <w:sz w:val="20"/>
                <w:szCs w:val="20"/>
                <w:color w:val="auto"/>
              </w:rPr>
            </w:pPr>
            <w:r>
              <w:rPr>
                <w:rFonts w:ascii="Arial" w:cs="Arial" w:eastAsia="Arial" w:hAnsi="Arial"/>
                <w:sz w:val="18"/>
                <w:szCs w:val="18"/>
                <w:color w:val="auto"/>
                <w:w w:val="94"/>
              </w:rPr>
              <w:t>8,000,000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666,700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1,333,400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2,000,000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2,666,700</w:t>
            </w:r>
          </w:p>
        </w:tc>
        <w:tc>
          <w:tcPr>
            <w:tcW w:w="880" w:type="dxa"/>
            <w:vAlign w:val="bottom"/>
          </w:tcPr>
          <w:p>
            <w:pPr>
              <w:jc w:val="right"/>
              <w:spacing w:after="0"/>
              <w:rPr>
                <w:sz w:val="20"/>
                <w:szCs w:val="20"/>
                <w:color w:val="auto"/>
              </w:rPr>
            </w:pPr>
            <w:r>
              <w:rPr>
                <w:rFonts w:ascii="Arial" w:cs="Arial" w:eastAsia="Arial" w:hAnsi="Arial"/>
                <w:sz w:val="18"/>
                <w:szCs w:val="18"/>
                <w:color w:val="auto"/>
              </w:rPr>
              <w:t>3,333,400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4,000,000</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1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cash balance formula</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Points</w:t>
            </w: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Eligible Pay in Excess of Social Security</w:t>
            </w:r>
          </w:p>
        </w:tc>
      </w:tr>
      <w:tr>
        <w:trPr>
          <w:trHeight w:val="168"/>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(attained age and total service)</w:t>
            </w:r>
          </w:p>
        </w:tc>
        <w:tc>
          <w:tcPr>
            <w:tcW w:w="184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All Eligible Pay</w:t>
            </w:r>
          </w:p>
        </w:tc>
        <w:tc>
          <w:tcPr>
            <w:tcW w:w="194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Wage Base</w:t>
            </w:r>
          </w:p>
        </w:tc>
        <w:tc>
          <w:tcPr>
            <w:tcW w:w="140" w:type="dxa"/>
            <w:vAlign w:val="bottom"/>
          </w:tcPr>
          <w:p>
            <w:pPr>
              <w:spacing w:after="0"/>
              <w:rPr>
                <w:sz w:val="14"/>
                <w:szCs w:val="14"/>
                <w:color w:val="auto"/>
              </w:rPr>
            </w:pP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Under 25</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6.0%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6"/>
              </w:rPr>
              <w:t>25 to 34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6.5%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35 to 44</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7.0%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6"/>
              </w:rPr>
              <w:t>45 to 54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7.5%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55 to 64</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8.0%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6"/>
              </w:rPr>
              <w:t>65 to 74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8.5%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75 to 84</w:t>
            </w:r>
          </w:p>
        </w:tc>
        <w:tc>
          <w:tcPr>
            <w:tcW w:w="47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9.0%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7"/>
              </w:rPr>
              <w:t>Over 84</w:t>
            </w:r>
          </w:p>
        </w:tc>
        <w:tc>
          <w:tcPr>
            <w:tcW w:w="4700" w:type="dxa"/>
            <w:vAlign w:val="bottom"/>
            <w:gridSpan w:val="3"/>
          </w:tcPr>
          <w:p>
            <w:pPr>
              <w:jc w:val="right"/>
              <w:ind w:right="1800"/>
              <w:spacing w:after="0"/>
              <w:rPr>
                <w:sz w:val="20"/>
                <w:szCs w:val="20"/>
                <w:color w:val="auto"/>
              </w:rPr>
            </w:pPr>
            <w:r>
              <w:rPr>
                <w:rFonts w:ascii="Arial" w:cs="Arial" w:eastAsia="Arial" w:hAnsi="Arial"/>
                <w:sz w:val="18"/>
                <w:szCs w:val="18"/>
                <w:color w:val="auto"/>
              </w:rPr>
              <w:t>9.5%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6.0%</w:t>
            </w:r>
          </w:p>
        </w:tc>
      </w:tr>
    </w:tbl>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Compensation covered by the ERISA Plans for executive officers is substantially equivalent to salary and bonuses as reflected in the Summary Compensation Table. Benefit service earned after January 1, 1995 in excess of 30 years is not taken into account for accrual of retirement benefits under the FAS Formula. Benefits under the ERISA Plans, as amended, are subject to a general limitation of 60% of final average salary for all Company pension benefits. Benefits payable under ERISA 1 and ERISA 2 have been secured through the establishment of two grantor trusts. The projected benefit service under the ERISA Plans of the Executives at normal retirement age is as follows: Dr. Sugar, 12 years (1.5 years as of June 30, 2003); Mr. Iorizzo, 4 years (1.5 years as of June 30, 2003); Dr. Winter, 3 years (.5 years as of June 30, 2003); Mr. Terry, 40 years (27.5 years as of June 30, 2003); Mr. Bush , 23 years (.5 years as of June 30, 2003); Mr. Seymour, 32 years (20 years as of June 30, 2003); and Mr. O’ Neill, 14.75 years (0 years as of June 30, 2003). Benefit service through June 30, 2003 is counted under the FAS Formula, benefit service from July 1, 2003 through June 30, 2008 will be counted under the greater of the FAS and cash balance formulas, and benefit service on and after July 1, 2008 will be counted under the cash balance formula. Benefits are calculated on a straight life annuity basis at selected compensation levels and years of service reflected in the tables above. The listed ERISA Plans’ benefit amounts are not subject to any reduction for Social Security benefits or other offset amounts.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CPC SERP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executives are eligible to participate in the CPC SERP which provides a pension equal to the greater of an amount accrued under the CPC SERP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formula or the benefit calculated using the Officers Supplemental Executive Retirement Plan (“OSERP”) formula. The CPC SERP formula is 3.33% of final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pay for each year or portion thereof that the participant has served on the CPC, less any other Company pension benefits accrued for the same service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(but, as explained below, with all other pension benefits, never more than 60% of final average salary). The projected age 65 CPC SERP single life annuity annual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benefits accrued by the Executive CPC SERP participants at normal retirement age are as follows: Dr. Sugar, $570,595; Mr. Iorizzo, $55,289; Mr. Seymour,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$51,801 and Mr. O’ Neill, $396,995. Because their projected annual benefits from the Company’s other pension plans will reach the 60% maximum, Mr. Terry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Mr. Bush are not projected to receive a CPC SERP benefit upon retirement. Since Dr. Winter’s OSERP benefit was larger, he did not receive a CPC SERP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at retirement.</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noted above, if it results in a greater amount, CPC SERP participants will have their benefit calculated under the OSERP formula. The OSERP was created on July 1, 2003 and provides a total pension benefit equal to a fixed percentage of final average pay where the percentage is determined by the following formula: 2% for each year of service up to 10 years, 1.5% for each subsequent year up to 20 years, and 1% for each additional year over 20, less any other Company pension benefits. In the OSERP formula, all years of service with the Company are used to determine the final percentage. For the participating Executives, projected OSERP service is as follows: Dr. Sugar, 33 years; Mr. Iorizzo, 43 years at retirement in December 2005; Dr. Winter, 32 years at retirement in December 2005; and Mr. Terry, 40 years; Mr. Bush, 38 years; Mr. Seymour, 33 years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O’Neill, 17 years. However, except for Dr. Winter, none of the Executives are projected to accrue an annual single life annuity benefit under the OSERP formula as each of their CPC SERP or other pension plan benefits is greater.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total accrual percentage under the CPC SERP (whether accrued under the CPC SERP or OSERP formula) cannot exceed the percentage necessary for the participant to receive an annuity of 60% of final average salary when all pension benefits are taken in total. CPC SERP benefits are payable in the options enumerated in Article 10 of the July 1, 2003 restatement of the NG Pension Plan, or in the form of a 75% joint and survivor annuity or modified lump sum payment. The compensation used in the calculation of benefits is the same as for the ERISA Plans. CPC SERP benefits are not subject to any reduction for Social Security benefits.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addition to the projected age 65 CPC SERP single life annuity annual benefit described above, Mr. Iorizzo has received a benefit under the Robert P. Iorizzo Program. The pension payable under that program is equal to the additional benefit, if any, that would be payable to Mr. Iorizzo under the CPC SERP if his benefit were determined at his retirement applying the CPC SERP formula in effect as of June 30, 2003. The CPC SERP formula in effect on June 30, 2003 was 1-2/3% of final average pay for each year or portion thereof that the participant served on the CPC. The total accrual percentage under the CPC SERP in effect as of June 30, 2003 cannot exceed the greater of (1) 10% of final average salary or (2) 50% of final average salary less any other Company pension benefits. The benefit under the Robert P. Iorizzo Program is paid in the same form and manner as Mr. Iorizzo’s benefit under the CPC SERP. Mr. Iorizzo’s projected age 65 single life annuity annual benefit from the Robert P. Iorizzo Program is $37,909.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SRI</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Dr. Sugar currently participates in the SRI. The gross amount of the supplemental benefit under the SRI is calculated as the greater of (1) the participant’s benefit under the ERISA Plans or (2) a fixed percentage of the participant’s final average salary (including bonuses and based on the average of the 3 highest years out of the last 10 consecutive years) equal to 30% at age 55, increasing 4% for each year up to and including age 60, and increasing 2% for each year beyond age 60 to 65. However, in no event will the gross SRI benefit exceed 60% of the participant’s final average salary. In all cases, the gross SRI benefit is reduced by the amount of any other Company pension benefits. Vesting in an SRI benefit, if any, requires the attainment of age 55 and 10 years of vesting service*.</w:t>
      </w:r>
    </w:p>
    <w:p>
      <w:pPr>
        <w:spacing w:after="0" w:line="14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SRI was amended to provide for Dr. Sugar’s participation beginning January 1, 2002. As noted above, Dr. Sugar’s SRI benefit is offset by his total benefits earned under the Company’s other pension plans including the ERISA Plans, the CPC SERP, a portion of the Litton Restoration Plans, the Litton Supplemental Executive Retirement Plan (“Litton SERP”) (including deferred and previously received payments due to change in control provisions), and the TRW Supplementary Retirement Income Plan (since renamed the Northrop Grumman Supplementary Retirement Income Plan or (“SRIP”)). Dr. Sugar’s projected annual benefit from the SRI is equal to $291,184. Other than Dr. Sugar, there are no other Executives currently participating in the 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461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Per his employment agreement, Dr. Sugar was credited with 5 years of service as of January 1, 2002 for this purpose.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Frozen Benefits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noted above, the Executives may also have benefits under one or more additional plans. Except where expressly provided otherwise, all values are expressed in the form of an annual single life annuity. The Executives’ service used in calculating the benefits was frozen as of the applicable dates provided below. Compensation, however, was either frozen or adjusted for projected future earnings (as described above) in accordance with the terms of the individual plans.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8" w:name="page39"/>
    <w:bookmarkEnd w:id="38"/>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Litton Industries, Inc. Retirement Plan “B”, Dr. Sugar accrued a benefit of $2,608, taking into account service and compensation through December 31, 2001, payable to him upon retirement subject to all applicable plan rules. He will not accrue benefits under this plan after December 31, 2001, but as required by law, he will continue to earn vesting service for future service with the Company.</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Under the Litton Restoration Plans (ERISA excess plans), Dr. Sugar accrued benefits taking into account service and compensation earned through December 31, 2001. As a result of the Litton change in control, Dr. Sugar previously received payments from the Litton Restoration Plans totaling $842,326 representing the lump sum value of an annual benefit of $50,148. This amount was a cash-out of his benefits accrued through April 3, 2001. Upon Dr. Sugar’s future retirement, he will be eligible to receive the remaining portion of his benefits from these plans, representing the value of an annual annuity of $42,560. Dr. Sugar earns no additional benefits under the Litton Restoration Plans.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Litton SERP, Dr. Sugar accrued benefits taking into account service and compensation earned through December 31, 2001. As a result of the Litton change in control, Dr. Sugar previously received payments from the Litton SERP totaling $2,096,041 representing the lump sum value of an annual benefit of $124,788. This amount was a cash-out of his benefits accrued through April 3, 2001. Upon Dr. Sugar’s future retirement, he will be eligible to receive the remaining portion of his benefits from the Litton SERP, representing the value of an annual annuity of $126,833. Dr. Sugar earns no additional benefits under the Litton SERP.</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Dr. Sugar is also entitled to receive annual benefits at age 65 equal to $56,653 from the TRW Salaried Pension Plan (since renamed the Northrop Grumman Space &amp; Mission Systems Corp. Salaried Pension Plan (“TRW SPP”)) and $113,679 from the SRIP. These benefits are frozen and do not take into account future service or compensation.</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Mr. Iorizzo retired effective December 1, 2005, and has commenced a frozen pension benefit earned during his service prior to joining the CPC under the Northrop Grumman Electronic Systems Pension Plan equal to an annual benefit of $65,985 beginning at age 65. Mr. Iorizzo also participated in the Northrop Grumman Electronic Systems Executive Pension Plan (“EPP”) and commenced an executive pension supplement equal to $557,982 upon retirement. The EPP benefits were determined using frozen pre-CPC service. Compensation, however, has been adjusted for projected increases in average monthly earnings, defined as the average of the 5 highest monthly pay rates during the last 10 years plus the average of the 5 highest incentive awards paid in the last 10 years divided by 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Actual and Projected Executive Benefits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Dr. Sugar is projected to earn age 65 single life annuity annual benefits of $886,546 from the ERISA Plans, $570,595 from the CPC SERP, and $291,184 from the SRI. Dr. Sugar has also earned frozen annual benefits equal to $2,608 from the Litton Industries, Inc. Retirement Plan “B”, $42,560 from the Litton Restoration Plans, $126,833 from the Litton SERP, $56,653 from the TRW SPP, and $113,679 from the SRIP. In addition, as detailed above, Dr. Sugar previously received payments totaling $842,326 from the Litton Restoration Plan and $2,096,041 from the Litton SERP on account of the Litton change in control.</w:t>
      </w:r>
    </w:p>
    <w:p>
      <w:pPr>
        <w:spacing w:after="0" w:line="9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Iorizzo earned age 65 single life annuity annual benefits of $94,992 from the ERISA Plans, $55,289 from the CPC SERP, $37,909 from the Robert P. Iorizzo Program, and $557,982 from the EPP. Mr. Iorizzo has also earned a frozen annual benefit of $65,985 from the Northrop Grumman Electronic Systems Pension Plan.</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Dr. Winter retired effective December 1, 2005. He participated in the TRW SPP and SRIP prior to joining the CPC. Dr. Winter’s benefits from the TRW SPP, as supplemented by the SRIP, were determined using frozen pre-CPC service. Compensation, however, has been adjusted for projected increases in average monthly earnings, defined as the 5 consecutive calendar years of compensation producing the highest average. Dr. Winter earned a combined benefit under the TRW SPP and SRIP equal to $386,983 beginning at age 57.5.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39" w:name="page40"/>
    <w:bookmarkEnd w:id="39"/>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 Winter earned a single life annuity annual benefit of $61,931 from the ERISA Plans and a combined annual benefit totaling $386,983 from the TRW SPP and SRIP at retirement. Dr. Winter also earned an OSERP benefit of $146,661. With the exception of the benefit earned under the Northrop Grumman Pension Plan, Dr. Winter has elected the lump sum payment option for all benefits.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Mr. Terry is projected to earn an age 65 single life annuity annual benefit of $749,663 from the ERISA Plans. Mr. Terry is not projected to receive a CPC SERP benefit.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Seymour is projected to earn an age 65 single life annuity annual benefit of $715,890 from the ERISA Plans and a CPC SERP benefit of $51,801.</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Mr. Bush is projected to earn an age 65 single life annuity annual benefit of $785,345 from the ERISA Plans and a combined annual benefit totaling $463,372 from the TRW SPP and SRIP. Mr. Bush is not projected to receive a CPC SERP benefit.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O’Neill is projected to earn an age 65 single life annuity annual benefit of $293,815 from the ERISA Plans and a CPC SERP benefit of $396,995.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March 2004 Special Agreements</w:t>
      </w:r>
      <w:r>
        <w:rPr>
          <w:rFonts w:ascii="Arial" w:cs="Arial" w:eastAsia="Arial" w:hAnsi="Arial"/>
          <w:sz w:val="18"/>
          <w:szCs w:val="18"/>
          <w:color w:val="auto"/>
        </w:rPr>
        <w:t>. Northrop Grumman entered into special severance agreements (the “March 2004 Special Agreements”) with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effective March 1, 2004. The purpose of the March 2004 Special Agreements is to encourage these key executives to continue to carry out their duties in the event of the possibility of a change in control of Northrop Grumman. The March 2004 Special Agreements replaced the March 2000 Special Agreements that had been in effect previously. Upon Mr. Iorizzo’s and Dr. Winter’s retirement, their March 2004 special agreements were no longer in effect.</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Under the March 2004 Special Agreements, a “Change in Control,” is generally deemed to occur when (1) certain persons acquire more than 25% of Northrop Grumman’s voting securities; (2) certain majority changes in Northrop Grumman’s Board of Directors occur during a 24-month period; (3) Northrop Grumman is liquidated or all or substantially all of Northrop Grumman’s assets are sold in one or a series of related transactions; or (4) Northrop Grumman is merged, consolidated, or reorganized and Northrop Grumman’s stockholders before the event do not own more than 60% of the voting stock of the resulting or surviving entity.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Executives are entitled to severance benefits under the March 2004 Special Agreements only (1) upon a termination of the executive’s employment that constitutes a Qualifying Termination, and (2) only if the termination occurs during a Protected Period (as defined below) prior to a Change in Control or in the 24-month period following a Change in Control. A “Qualifying Termination” generally means that the executive’s employment by Northrop Grumman is terminated by the Company for any reason other than Cause (as defined below) or by the executive for Good Reason (as defined below), that Northrop Grumman breaches the agreement, or that a successor breaches or fails to assume the agreement. In addition, a Qualifying Termination will also occur if (1) a Change in Control occurs, and (2) there is a change in the CEO other than due to death, disability or reaching age 65, and (3) the executive remains continuously employed for twelve months following a Change in Control and (4) the executive terminates employment during the 13</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w:t>
      </w:r>
    </w:p>
    <w:p>
      <w:pPr>
        <w:spacing w:after="0" w:line="4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“Protected Period” is the period of time that the executive is entitled to severance protections under the March 2004 Special Agreement prior to a Change in Control. Depending on the nature of the Change in Control, the Protected Period may commence as early as six months prior to a Change in Control event.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March 2004 Special Agreements define “Cause” as: (1) the executive’s conviction for committing an act of fraud, embezzlement, theft, or other act constituting a felony; or (2) the willful engaging by the executive in misconduct that is significantly injurious to the Company. However, no act or failure to act, on an executive’s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0" w:name="page41"/>
    <w:bookmarkEnd w:id="40"/>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will be considered “willful” for this purpose unless done, or omitted to be done, by the executive not in good faith and without reasonable belief that the act or omission was in the best interest of Northrop Grumman.</w:t>
      </w:r>
    </w:p>
    <w:p>
      <w:pPr>
        <w:spacing w:after="0" w:line="132" w:lineRule="exact"/>
        <w:rPr>
          <w:sz w:val="20"/>
          <w:szCs w:val="20"/>
          <w:color w:val="auto"/>
        </w:rPr>
      </w:pPr>
    </w:p>
    <w:p>
      <w:pPr>
        <w:ind w:right="320" w:firstLine="456"/>
        <w:spacing w:after="0" w:line="302" w:lineRule="auto"/>
        <w:rPr>
          <w:sz w:val="20"/>
          <w:szCs w:val="20"/>
          <w:color w:val="auto"/>
        </w:rPr>
      </w:pPr>
      <w:r>
        <w:rPr>
          <w:rFonts w:ascii="Arial" w:cs="Arial" w:eastAsia="Arial" w:hAnsi="Arial"/>
          <w:sz w:val="15"/>
          <w:szCs w:val="15"/>
          <w:color w:val="auto"/>
        </w:rPr>
        <w:t>“Good Reason” is defined in the March 2004 Special Agreements to include: (1) certain material reductions in the nature or status of the executive’s authorities, duties and/or responsibilities (when such authorities, duties, and/or responsibilities are viewed in the aggregate); (2) a reduction of the executive’s base salary as in effect on the date of the agreement or as increased thereafter; (3) a significant reduction of the executive’s aggregate incentive opportunities under the Northrop Grumman short and/or long term incentive programs as such opportunities exist on the date of the agreement or as increased thereafter;</w:t>
      </w:r>
    </w:p>
    <w:p>
      <w:pPr>
        <w:spacing w:after="0" w:line="3" w:lineRule="exact"/>
        <w:rPr>
          <w:sz w:val="20"/>
          <w:szCs w:val="20"/>
          <w:color w:val="auto"/>
        </w:rPr>
      </w:pPr>
    </w:p>
    <w:p>
      <w:pPr>
        <w:ind w:right="120" w:firstLine="8"/>
        <w:spacing w:after="0" w:line="252"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Northrop Grumman’s failure to maintain the executive’s relative level of coverage and accruals under the Company’s employee benefit and/or retirement plans, policies, practices or arrangements in which the executive participates as of the date of the agreement; (5) the failure of Northrop Grumman to obtain a satisfactory agreement from any successor to assume and agree to perform Northrop Grumman’s obligations under the agreement; (6) any purported termination of the executive’s employment with Northrop Grumman that is not effected pursuant to the procedures set forth in the agreement; and (7) the Participant is informed that his or her principal place of employment will be relocated to a location greater than 50 miles away from the executive’s principal place of employment.</w:t>
      </w:r>
    </w:p>
    <w:p>
      <w:pPr>
        <w:spacing w:after="0" w:line="1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Severance benefits generally consist of: (1) an amount equal to three times the executive’s highest annualized base salary earned with respect to the three full fiscal years prior to the date of the termination of the executive’s employment; (2) an amount equal to three times the greater of (a) the average of the executive’s bonus earned with respect to the three full fiscal years prior to the date of the termination of the executive’s employment or (b) the executive’s target annual bonus established for the bonus plan year during which the executive’s termination occurs; (3) a pro rata portion of the executive’s target bonus for the bonus plan year during which termination occurs; (4) continuation for 36 months following the effective date of termination of all benefits pursuant to all welfare benefit plans under which the executive or his family is eligible to receive benefits as of the effective date of the Change in Control, and further continuation of medical benefits for the lives of the executive and his or her spouse; (5) a lump sum cash payment representing the present value of the executive’s benefits accrued under Northrop Grumman’s qualified defined benefit pension plan and supplemental retirement plans (calculated as though the executive’s employment had continued for three years) offset by the actuarial present value equivalent of the benefits payable to the executive from Northrop Grumman’s qualified defined benefit pension plan accrued through the effective date of termination; (6) reimbursement by the Company for the costs of all outplacement services obtained by the executive for twelve months following the effective date of termination, up to an amount equal to 15% of the executive’s base salary; and (7) an amount equal to three times the greater of the annual value of the perquisites provided to the executive under the Company’s executive perquisite program as such program is in effect at the start of the Protected Period corresponding to the Change in Control or as such program is in effect immediately before the effective date of termination.</w:t>
      </w:r>
    </w:p>
    <w:p>
      <w:pPr>
        <w:spacing w:after="0" w:line="12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March 2004 Special Agreements also provide that if, following a Change in Control, excise taxes under Section 4999 of the Internal Revenue Code of 1986, as amended (the “Code”) apply to payments made under the March 2004 Special Agreements or other plans or agreements, the executive will be entitled to receive an additional payment (net of income, Medicare and excise taxes) to compensate the executive for any excise tax imposed.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Dr. Ronald D. Sugar</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Company entered into an Employment Agreement with Dr. Ronald D. Sugar in February 2003. The agreement provides that Dr. Sugar will serve as Chief Executive Officer and President of Northrop Grumman, as well as a member of the Board of Directors, effective April 1, 2003, for the term of the agreement. This new Employment Agreement replaced Dr. Sugar’s original employment agreement dated September 2001.</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initial term of the new Employment Agreement ends in February 2008, and automatically renews for one-year periods until Dr. Sugar reaches age 65 or until either party gives notice of non-renewal.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1" w:name="page42"/>
    <w:bookmarkEnd w:id="41"/>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 Dr. Sugar receives an annual base salary of at least $1,100,000 per year, which may be periodically increased during the Company’s normal salary review process. Dr. Sugar is eligible to participate in the Company’s incentive compensation plan, the Northrop Grumman pension plan, the Northrop Grumman supplemental executive retirement plans, and the Northrop Grumman special officer retiree medical program, and is entitled to all benefits and perquisites generally available to the Company’s senior executives.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the Employment Agreement Dr. Sugar received a one-time, 100,000 non-qualified stock option award pursuant to the Company’s 2001 Stock Plan in recognition of his increased responsibilities. The first two of the four installments vested in 2004 and 2005, and the remaining two will vest in 2006 and 2007.</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During his employment, Dr. Sugar is entitled to other benefits that include, among others, an annual vehicle allowance, financial planning and income tax preparation services, reimbursement for club memberships and provision of personal liability insurance at the Company’s expense.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Dr. Sugar remains employed by the Company through January 1, 2007, upon retirement he will receive the following benefits:</w:t>
      </w:r>
    </w:p>
    <w:p>
      <w:pPr>
        <w:spacing w:after="0" w:line="90" w:lineRule="exact"/>
        <w:rPr>
          <w:sz w:val="20"/>
          <w:szCs w:val="20"/>
          <w:color w:val="auto"/>
        </w:rPr>
      </w:pPr>
    </w:p>
    <w:p>
      <w:pPr>
        <w:ind w:left="780" w:right="4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Monthly benefits under the Company’s retirement plans and pension plans, as well as the plans from TRW Inc. and Litton Industries, his previous employers and, if greater,</w:t>
      </w:r>
    </w:p>
    <w:p>
      <w:pPr>
        <w:spacing w:after="0" w:line="5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Monthly benefits under the supplemental retirement income program for senior executives of up to 60% of Dr. Sugar’s salary and bonus at age 65, less the monthly benefits under other applicable retirement and pension plans and less $124,788 a year (representing amounts already paid to him under Litton retirement plans).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Dr. Sugar’s employment is terminated by the Company without “Cause,” by Dr. Sugar for “Good Reason,” or because of Dr. Sugar’s death or disability (inability to render services for 180 days during any 365 day period), Dr. Sugar or his estate will be entitled to receive, within 30 days after he signs a release of any and all claims that he may then have against the Company, or within 30 days of death:</w:t>
      </w:r>
    </w:p>
    <w:p>
      <w:pPr>
        <w:spacing w:after="0" w:line="59" w:lineRule="exact"/>
        <w:rPr>
          <w:sz w:val="20"/>
          <w:szCs w:val="20"/>
          <w:color w:val="auto"/>
        </w:rPr>
      </w:pPr>
    </w:p>
    <w:p>
      <w:pPr>
        <w:ind w:left="780" w:right="120" w:hanging="326"/>
        <w:spacing w:after="0" w:line="298"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Accrued obligations, to consist of (1) any unpaid base salary through the date of termination and any accrued vacation, (2) any unpaid bonus for services rendered during the calendar year prior to the calendar year in which the termination occurs, (3) reimbursement for any outstanding expenses incurred through the date of termination, and (4) all other payments, benefits or fringe benefits to which Dr. Sugar may be entitled in accordance with the terms of any applicable compensation or benefits arrangement; and</w:t>
      </w:r>
    </w:p>
    <w:p>
      <w:pPr>
        <w:spacing w:after="0" w:line="31" w:lineRule="exact"/>
        <w:rPr>
          <w:rFonts w:ascii="Arial" w:cs="Arial" w:eastAsia="Arial" w:hAnsi="Arial"/>
          <w:sz w:val="16"/>
          <w:szCs w:val="16"/>
          <w:color w:val="auto"/>
        </w:rPr>
      </w:pPr>
    </w:p>
    <w:p>
      <w:pPr>
        <w:ind w:left="780" w:right="120" w:hanging="326"/>
        <w:spacing w:after="0" w:line="28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Special severance benefits, to consist of (1) an amount equal to two times Dr. Sugar’s current annual base salary, (2) an amount equal to two times the greater of (a) Dr. Sugar’s target bonus percentage under the incentive compensation plan multiplied by his highest base salary in effect at any time in the six months preceding the termination of employment or (b) Dr. Sugar’s last bonus under the incentive compensation plan, (3) a pro rata portion of Dr. Sugar’s target bonus under the incentive compensation plan for the calendar year in which the termination occurs, (4) three years of continued coverage for Dr. Sugar and his eligible dependents under the Company’s medical, dental, vision and life insurance plans, (5) one year of additional vesting for all stock options, restricted stock rights and other stock incentive grants awarded to Dr. Sugar (other than restricted performance stock rights), (6) pro-rata vesting of restricted performance stock rights awarded to Dr. Sugar, (7) up to an additional two years to exercise stock options awarded to Dr. Sugar, and (8) certain other benefits, including a car allowance, financial planning and income tax preparation and outplacement benefits. In addition, if Dr. Sugar is entitled to payments that constitute “parachute payments” under Section 280G of the Code and excise taxes under Section 4999 of the Code apply, the Company will make an additional payment to Dr. Sugar to put him in the same position as though the excise tax did not apply.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2" w:name="page43"/>
    <w:bookmarkEnd w:id="42"/>
    <w:p>
      <w:pPr>
        <w:ind w:right="2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terminates Dr. Sugar’s employment for “Cause,” or if he terminates his employment without “Good Reason,” (both “Cause” and “Good Reason” as defined in the Employment Agreement) he will be entitled to receive only the accrued obligations described above.</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Dr. Sugar’s Employment Agreement contains provisions relating to confidentiality, nondisclosure, assignment of inventions to the Company, and non-solicitation of employees and non-disparagement upon the termination of his employment.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Sugar is also a party to a March 2004 Special Agreement discussed previously under “Change in Control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Wesley G. Bush</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has an employment agreement with Mr. Bush, which became effective as of December 11, 2002, the closing date of Northrop Grumman’s acquisition of TRW. Under this agreement, Mr. Bush served as our Corporate Vice President and President, Space Technology Sector. This employment agreement terminated his Employment Continuation Agreement (ECA) with TRW, his former employer.</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Mr. Bush’s employment agreement ends on December 11, 2006, unless terminated earlier by the Company or Mr. Bush. Under the employment agreement, Mr. Bush receives an annual base salary of at least $410,000 per year, which may be periodically increased during the Company’s normal salary review process. Mr. Bush is eligible to receive annual bonuses under the Company’s incentive compensation plan, with a target bonus of 50% of his base salary. Mr. Bush is also eligible to participate in Northrop Grumman’s welfare and pension plans, and is generally entitled to the benefits and perquisites available to the Company’s senior executives. Mr. Bush’s years of service at TRW will be credited in determining his years of vesting service under the plans. Mr. Bush may participate in the Company’s elected officer retiree medical program on the same terms and conditions as other elected officers of similar status.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Payments Related to TRW Service</w:t>
      </w:r>
      <w:r>
        <w:rPr>
          <w:rFonts w:ascii="Arial" w:cs="Arial" w:eastAsia="Arial" w:hAnsi="Arial"/>
          <w:sz w:val="16"/>
          <w:szCs w:val="16"/>
          <w:color w:val="auto"/>
        </w:rPr>
        <w:t>. Upon his employment with Northrop Grumman, Mr. Bush relinquished all rights and benefits he may have had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ECA. In lieu of any future payments under the ECA, Mr. Bush was entitled to a $1,200,000 special retention bonus from the Company, to be paid in four annual installments of $300,000. The first installment was paid in January 2003, and the final was paid in 2006. Mr. Bush also received a bonus under the TRW Operational Incentive Plan of $144,079 for his services during 2002 at TRW, with the understanding that he would receive no additional awards for his service at TRW. The Company also agreed to make a “gross-up” payment to Mr. Bush for any tax liabilities that he incurred because of the compensation and benefits that he received in the TRW acquisition. The gross-up payment would put him in the same position as though those benefits were not taxable to him.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Incentive Compensation. </w:t>
      </w:r>
      <w:r>
        <w:rPr>
          <w:rFonts w:ascii="Arial" w:cs="Arial" w:eastAsia="Arial" w:hAnsi="Arial"/>
          <w:sz w:val="16"/>
          <w:szCs w:val="16"/>
          <w:color w:val="auto"/>
        </w:rPr>
        <w:t>The employment agreement provided for the following initial grants, effective December 18, 2002 to Mr. Bush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2001 Stock Plan:</w:t>
      </w:r>
    </w:p>
    <w:p>
      <w:pPr>
        <w:spacing w:after="0" w:line="84"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25,000 non-qualified stock options, vesting annually over four years;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12,000 restricted performance stock rights awarded based upon the Company’s performance from January 1, 2003 through December 31, 2005;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9,000 restricted stock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2003, under the employment agreement, Mr. Bush received the following additional grants under the 2001 Stock Plan:</w:t>
      </w:r>
    </w:p>
    <w:p>
      <w:pPr>
        <w:spacing w:after="0" w:line="90"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40,000 non-qualified stock options, vesting annually over four years;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20,000 restricted performance stock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3" w:name="page44"/>
    <w:bookmarkEnd w:id="43"/>
    <w:p>
      <w:pPr>
        <w:ind w:right="1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his employment, Mr. Bush is entitled to other benefits that include an annual vehicle allowance, reimbursement for financial planning and income tax preparation services, reimbursement for club memberships, and provision of personal liability insurance at the Company’s expense.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If Mr. Bush’s employment is terminated by the Company without “Cause,” by Mr. Bush for “Good Reason,” or because of Mr. Bush’s death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disability, Mr. Bush or his estate will be entitled to:</w:t>
      </w:r>
    </w:p>
    <w:p>
      <w:pPr>
        <w:spacing w:after="0" w:line="51"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Full vesting of any outstanding and unvested options under the initial grants;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restricted performance stock rights under the initial grants as though Mr. Bush were still employed by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Mr. Bush’s employment is terminated by the Company without “Cause,” or by Mr. Bush for “Good Reason,” Mr. Bush will also be entitled to:</w:t>
      </w:r>
    </w:p>
    <w:p>
      <w:pPr>
        <w:spacing w:after="0" w:line="113"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Benefits under the Company’s Officer Severance Plan; and</w:t>
      </w:r>
    </w:p>
    <w:p>
      <w:pPr>
        <w:spacing w:after="0" w:line="9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Protected rights, to consist of: (1) tax gross-up provided by the Company under the employment agreement; (2) amounts and benefits due under any plan, arrangement or grant; and (3) rights of indemnification and liability insurance as provided for in the employment agreement.</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Company terminates Mr. Bush for “Cause,” if he terminates his employment without “Good Reason,” (both “Cause” and “Good Reason” as defined in Mr. Bush’s employment agreement) or if his employment is terminated because of death or disability, he will be entitled to receive only the protected rights described above.</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Provisions. </w:t>
      </w:r>
      <w:r>
        <w:rPr>
          <w:rFonts w:ascii="Arial" w:cs="Arial" w:eastAsia="Arial" w:hAnsi="Arial"/>
          <w:sz w:val="18"/>
          <w:szCs w:val="18"/>
          <w:color w:val="auto"/>
        </w:rPr>
        <w:t>Mr. Bush’s employment agreement contains standard provisions relating to indemnification (covering his service at both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TRW), non-disclosure of trade secrets, assignment of inventions, and non-solicitation of employees and non-disparagement upon the termination of his employment.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Bush is a party to a March 2004 Special Agreement discussed previously under “Change in Control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Dr. Donald C. Winter</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had an employment agreement with Dr. Winter, which became effective as of December 11, 2002, the closing date of Northrop Grumman’s acquisition of TRW. Under this agreement, Dr. Winter served as Corporate Vice President and President, Missions Systems Sector. This employment agreement terminated his Employment Continuation Agreement (ECA) with TRW, his former employer.</w:t>
      </w:r>
    </w:p>
    <w:p>
      <w:pPr>
        <w:spacing w:after="0" w:line="14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initial term of Dr. Winter’s employment agreement was scheduled to end on December 11, 2006 but was terminated when Dr. Winter retired to accept employment with the Federal Government. The Compensation and Management Development Committee determined that such employment would likely give rise to a conflict of interest. Therefore, pursuant to the terms of the 2002 Annual Incentive Plan, Dr. Winter received an accelerated bonus payment of $687,053 on his retirement date. Pursuant to the terms of the 2001 Stock Plan he received a total of 29,000 options that accelerated and were exercised by Dr. Winter. He forfeited 40,000 options and 30,000 RSRs. He received $3,045,113 as a cash payout on 51,214 RPSRs, and an additional 33,706 RPSRs were forfeited.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Northrop Grumman’s officers and directors, and persons who own more than ten percent of a registered class of Northrop Grumman’s equity securities, to file reports of ownership and changes in ownership on Forms 3, 4 and 5 with the SEC and the New York Stock Exchange. The SEC requires officers, directors and greater than ten percent beneficial owners to furnish Northrop Grumman with copies of all Forms 3, 4 and 5 they file.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4" w:name="page45"/>
    <w:bookmarkEnd w:id="44"/>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the requirement to file is that of the individual, the Company as an accommodation prepares and files forms for the officers and directors subject to Section 16 based upon information supplied by the reporting individual or, in the case of grants, vestings, or distributions, on information available to the Company.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upon a review of forms filed by its officers, directors and greater than ten percent beneficial owners pursuant to Section 16 of the Securities Exchange Act of 1934, as amended, the Company identified two filings that were filed late during the fiscal year ended December 31, 2005. A Form 4 reporting a distribution pursuant to the 1993 Stock Plan for Non-Employee Directors for Mr. Odeen was filed one day late, and a Form 4 for Admiral Larson reporting a purchase of 500 shares was filed eight days late due to clerical oversights.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 RATIFICATION OF APPOINTMENT OF INDEPENDENT AUDITORS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Audit Committee proposes and recommends that the stockholders ratify the Audit Committee’s appointment of Deloitte &amp; Touche LLP as the Company’s independent auditors for 2006. Deloitte &amp; Touche LLP served the Company as its independent auditors for 2005. Although ratification is not required by the Company’s bylaws or otherwise, the Audit Committee is submitting the selection of Deloitte &amp; Touche LLP to our stockholders as a matter of good corporate governance. Should the stockholders fail to ratify the appointment of Deloitte &amp; Touche LLP, the Audit Committee will consider this in its selection of auditors for the following year. A representative from Deloitte &amp; Touche LLP will attend the Annual Meeting, will have the opportunity to make a statement, and will be available to respond to appropriate questions.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the Independent Auditors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summarizes aggregate fees billed to the Company for the years ended December 31, 2005 and 2004 by the Company’s independent registered public accounting firm, Deloitte &amp; Touche LLP, the member firms of Deloitte Touche Tohmatsu, and their respective affiliates: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Fiscal Year Ended December 31</w:t>
            </w:r>
          </w:p>
        </w:tc>
      </w:tr>
      <w:tr>
        <w:trPr>
          <w:trHeight w:val="142"/>
        </w:trPr>
        <w:tc>
          <w:tcPr>
            <w:tcW w:w="11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(a)</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15,886,000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16,681,000</w:t>
            </w:r>
          </w:p>
        </w:tc>
        <w:tc>
          <w:tcPr>
            <w:tcW w:w="2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Audit Related Fees (b)</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485,000</w:t>
            </w:r>
          </w:p>
        </w:tc>
        <w:tc>
          <w:tcPr>
            <w:tcW w:w="2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Related Fees (c)</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1,596,000</w:t>
            </w:r>
          </w:p>
        </w:tc>
        <w:tc>
          <w:tcPr>
            <w:tcW w:w="20" w:type="dxa"/>
            <w:vAlign w:val="bottom"/>
          </w:tcPr>
          <w:p>
            <w:pPr>
              <w:spacing w:after="0"/>
              <w:rPr>
                <w:sz w:val="18"/>
                <w:szCs w:val="18"/>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Fees</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18,544,000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18,762,000</w:t>
            </w:r>
          </w:p>
        </w:tc>
        <w:tc>
          <w:tcPr>
            <w:tcW w:w="2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280" w:hanging="452"/>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Audit Fees in 2005 and 2004 reflect fees of $14,406,000 and $15,220,000, respectively, for the consolidated financial statement audits and includes the audit of internal controls pursuant to Section 404 of the Sarbanes-Oxley Act of 2002; additionally, 2005 and 2004 audit fees include $1,465,000 and $1,416,000, respectively, for the foreign statutory audits. Fees for foreign statutory audits are reported in the year in which the audits are performed. For example, foreign statutory audit fees reported in 2005 relate to audits of the Company’s foreign entities for the fiscal year ended 2004.</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Related Fees primarily reflect fees for audits of the Company’s employee benefit plans. Fees related to benefit plan audits which are paid by the plans are excluded.</w:t>
      </w:r>
    </w:p>
    <w:p>
      <w:pPr>
        <w:spacing w:after="0" w:line="5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Fees during 2005 and 2004 reflect fees of $1,980,800 and $1,520,000, respectively, for services concerning foreign income tax compliance, foreign Value Added Tax (VAT) compliance, expatriate tax services, transfer pricing analysis and software licensing fees. The remaining tax fees primarily concern other tax compliance matters.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Policy on Audit Committee Pre-Approval of Audit and Permissible Non-Audit Services of Independent Auditors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 is the Audit Committee’s policy to pre-approve all audit and permitted non-audit services provided by the independent auditors in order to assure that the provision of these services does not impair the independent auditor’s independence. These services may include audit services, audit-related services, tax services and other services. Pre-approval may be given at any time up to a year before commencement of the specified service. Any pre-approval is detailed as to the particular service or category of services. The Audit Committee has delegated pre-approval authority for any individual project up to a pre-determined amount to the Chairman of the Audit Committee.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decisions of the Chairman to pre-approve a permitted service are reported to the Audit Committee at its next meeting. The independent auditors and management are required to periodically report to the full Audit Committee regarding the extent of services provided by the independent auditors in accordance with this pre-approval, as well as the fees for the services performed to date.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approved all audit and non-audit services provided by Deloitte &amp; Touche LLP, the member firms of Deloitte Touche Tohmatsu, and their respective affiliates during 2005 and 2004 in each case before being engaged to provide those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quorum is present at the meeting, approval of this proposal requires the affirmative vote of a majority of the votes cast on the proposal.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ABOVE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4" w:right="299" w:bottom="1440" w:gutter="0" w:footer="0" w:header="0"/>
        </w:sectPr>
      </w:pPr>
    </w:p>
    <w:bookmarkStart w:id="46" w:name="page47"/>
    <w:bookmarkEnd w:id="46"/>
    <w:p>
      <w:pPr>
        <w:jc w:val="cente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THREE: APPROVAL OF A RESTATED CERTIFICATE OF INCORPORATION THAT WOULD ELIMINATE CERTAIN SUPERMAJORITY VOTING REQUIREMENTS AND RELATED PROVISIONS IN OUR CURRENT CERTIFICATE OF INCORPORATION</w:t>
      </w:r>
    </w:p>
    <w:p>
      <w:pPr>
        <w:spacing w:after="0" w:line="357"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Stockholders are being asked to approve a Restated Certificate of Incorporation that incorporates proposed amendments (the “Amendments”) to our current Certificate of Incorporation (the “Charter”) that would, if adopted, (i) eliminate provisions that require either a vote of certain directors or a greater than majority vote of the stockholders to (1) amend the Bylaws of the Company (the “Bylaws”), (2) remove directors, (3) amend certain provisions of the Charter and</w:t>
      </w:r>
    </w:p>
    <w:p>
      <w:pPr>
        <w:spacing w:after="0" w:line="1" w:lineRule="exact"/>
        <w:rPr>
          <w:sz w:val="20"/>
          <w:szCs w:val="20"/>
          <w:color w:val="auto"/>
        </w:rPr>
      </w:pPr>
    </w:p>
    <w:p>
      <w:pPr>
        <w:ind w:right="100" w:firstLine="8"/>
        <w:spacing w:after="0" w:line="255"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approve certain “Business Combinations,” as defined in Article FOURTEENTH of the Charter; (ii) change the director vote required to authorize stockholder action by written consent; and (iii) eliminate the Charter provision providing stockholders appraisal rights for certain Business Combinations that currently require supermajority stockholder approval under Article FOURTEENTH.</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2005, the Board asked the Nominating and Corporate Governance Committee of the Board (the “Governance Committee”) to consider whether the Board should recommend elimination of the supermajority voting requirements after stockholders approved a proposal, presented at the 2005 Company Annual Meeting, recommending that the Board “take each step necessary for a simple majority vote to apply on each issue that can be subject to stockholder vote—to the greatest extent possible.” After completing its review, the Governance Committee recommended that the Board adopt the changes that are set forth in the proposed Amendments, and, following its own evaluation, the Board agreed with that recommendation.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reaching their decision, the Governance Committee and the Board considered the benefits of the supermajority voting requirements, which give minority stockholders the ability to prevent a simple stockholder majority from taking action on certain Bylaw amendments, director removal actions, Charter amendments and Business Combinations. These provisions enhance the rights of a minority of stockholders. In addition, these provisions were intended to encourage would-be acquirors to negotiate with the Board before buying a controlling interest in the Company and prevent an acquiror who has bought such a controlling interest from taking actions, currently governed by the supermajority requirements, that would benefit only that acquiror. The chances of a would-be acquiror taking such actions is lessened, to some extent, by the Board’s ability to adopt a stockholder rights plan, among other measures, to deter such acquirors from buying a controlling interest in the Company on terms that are unfair to the stockholders. In recognition of the stockholders’ expressed desire to eliminate the supermajority voting requirements, and in light of the Board’s ability to adopt a rights plan and/or other measures to deter unfair offers, the Board decided to adopt the proposed Amendments in order to provide stockholders a greater voice in Company governance.</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Accordingly, the Board has approved the Amendments (which are described below) and the adoption of a Restated Certificate of Incorporation that would incorporate the Amendments into the Charter. The Board recommends that the Company stockholders approve the Amendments and the Restated Certificate of Incorporation by voting in favor of this Proposal.</w:t>
      </w:r>
    </w:p>
    <w:p>
      <w:pPr>
        <w:spacing w:after="0" w:line="5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Two-Thirds Vote Required To Amend The Bylaws Would Be Reduced To A Majority.</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Article SIXTH of the current Charter, the holders of a simple majority of the voting power of the outstanding “Voting Stock” (which is defined in the Charter as the stock entitled to “general voting power”) may not amend the Bylaws unless the amendment is approved by a majority of “Continuing Directors.” A “Continuing Director” is defined in the Charter as any director who (i) is neither an Interested Stockholder (which is defined in the Charter as a person who beneficially owns 10% or more of the outstanding Voting Stock) nor an “Affiliate” or “Associate” of an Interested Stockholder (as defined under the Rules of the Securities Exchange Act of 1934), and is elected to the Board before a person becomes an Interested Stockholder or (ii) is elected or nominated by a majority of Continuing Directors. Absent this Continuing Director approval, (i) stockholders may amend the Bylaws only if the amendment is approved by the holders of two-thirds of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7" w:name="page48"/>
    <w:bookmarkEnd w:id="47"/>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power of the outstanding Voting Stock, and (ii) if a Bylaw amendment is proposed by an Interested Stockholder, or one of its Affiliates or Associates, the amendment must also be approved by the holders of a majority of the voting power of the outstanding Voting Stock that is not held by the Interested Stockholder and its Affiliates and Associates.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proposed amendment to Article SIXTH would eliminate these Continuing Director and supermajority stockholder voting requirements. Following adoption of the Restated Certificate of Incorporation, stockholders could, subject to any additional class vote of any preferred stock, amend the Bylaws by the affirmative vote of the holders of a majority of the voting power of the outstanding Company stock entitled to vote on Bylaw amendments, regardless of whether the Board approves such amendments.</w:t>
      </w:r>
    </w:p>
    <w:p>
      <w:pPr>
        <w:spacing w:after="0" w:line="6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Two-Thirds Vote Required To Remove Directors Would Be Eliminated.</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Article TENTH of the Charter currently provides that the stockholders may remove a director from office without the approval of a majority of Continuing Directors only if the holders of two-thirds of the voting power of the outstanding Voting Stock entitled to elect that director vote in favor of removal. If a majority of Continuing Directors approve the removal action, however, the holders of a majority of the voting power of the outstanding Voting Stock entitled to elect that director may remove him or her from office.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Restated Certificate of Incorporation would delete the two-thirds voting requirement and the Continuing Director approval requirement. Accordingly, following adoption of the Restated Certificate of Incorporation, directors could be removed by the minimum vote required by the Delaware General Corporation Law (the “DGCL”). The DGCL provides that any director, or the entire Board, may be removed, with or without cause, by the holders of a majority of the voting power of the outstanding stock then entitled to vote in an election of directors, except that, whenever the holders of any class or series of stock is entitled to elect one or more directors by the Restated Certificate of Incorporation, such director or directors may be removed without cause by the holders of a majority of the voting power of the outstanding shares of such class or series of stock.</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Restated Certificate of Incorporation would continue to provide that directors serving the remainder of a three-year term of office pursuant to Article EIGHTH of the Charter may be removed only for cause and that all other directors may be removed either for or without cause. (The provision regarding the removal of directors serving three-year terms will only apply, as a practical matter, until the 2008 Company Annual Meeting, at and after which time all directors will be elected to one-year terms of office.)</w:t>
      </w:r>
    </w:p>
    <w:p>
      <w:pPr>
        <w:spacing w:after="0" w:line="6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Two-Thirds Vote Required To Amend Certain Charter Provisions Would Be Eliminated.</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Article SIXTEENTH of the Charter currently provides that the holders of a simple majority of the voting power of the outstanding Voting Stock cannot adopt amendments to Articles FOURTH through TWELFTH and Articles FOURTEENTH through SIXTEENTH of the Charter unless the amendments are also approved by a majority of Continuing Directors. These Charter provisions relate to the following matters:</w:t>
      </w:r>
    </w:p>
    <w:p>
      <w:pPr>
        <w:spacing w:after="0" w:line="59"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Article FOURTH sets forth the capitalization of the Company, including the Board’s authority to specify the terms of preferred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Article FIFTH grants directors the authority to amend the Bylaws;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Article SIXTH requires a supermajority stockholder vote to amend the Bylaws under the circumstances described above;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Article SEVENTH provides that the business and affairs of the Company are to be managed by or under the direction of the Board and that the number of directors shall be set forth in the Bylaws;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Article EIGHTH provides for the transition of the Board from a three-class staggered structure to the annual election of all directors at and after the 2008 Company Annual Meeting;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Article NINTH provides that director vacancies may be filled only by the Board;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48" w:name="page49"/>
    <w:bookmarkEnd w:id="48"/>
    <w:p>
      <w:pPr>
        <w:ind w:left="780" w:right="2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TENTH provides for removal of directors by a supermajority vote under the circumstances described above and for the removal of directors serving three-year terms only for cause;</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Article ELEVENTH provides that no action may be taken by written consent of stockholders except as approved by a majority of Continuing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Article TWELFTH provides that special meetings may be called only by a majority of the Board or by the Chairman of the Board;</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Article FOURTEENTH requires a supermajority vote for certain mergers and other Business Combinations unless certain conditions (described below) are satisfied;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Article FIFTEENTH grants appraisal rights to stockholders in connection with certain Business Combinations;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Article SIXTEENTH sets forth the supermajority voting requirements described herein.</w:t>
      </w:r>
    </w:p>
    <w:p>
      <w:pPr>
        <w:spacing w:after="0" w:line="171" w:lineRule="exact"/>
        <w:rPr>
          <w:sz w:val="20"/>
          <w:szCs w:val="20"/>
          <w:color w:val="auto"/>
        </w:rPr>
      </w:pPr>
    </w:p>
    <w:p>
      <w:pPr>
        <w:jc w:val="both"/>
        <w:ind w:right="340" w:firstLine="456"/>
        <w:spacing w:after="0" w:line="255" w:lineRule="auto"/>
        <w:rPr>
          <w:sz w:val="20"/>
          <w:szCs w:val="20"/>
          <w:color w:val="auto"/>
        </w:rPr>
      </w:pPr>
      <w:r>
        <w:rPr>
          <w:rFonts w:ascii="Arial" w:cs="Arial" w:eastAsia="Arial" w:hAnsi="Arial"/>
          <w:sz w:val="18"/>
          <w:szCs w:val="18"/>
          <w:color w:val="auto"/>
        </w:rPr>
        <w:t>Absent approval by a majority of Continuing Directors, an amendment to any of these provisions must be approved by the holders of two-thirds of the voting power of the outstanding Voting Stock, and, if an Interested Stockholder or one of its Associates or Affiliates proposes the amendment, it must also be approved by the holders of a majority of the voting power of the outstanding Voting Stock that is not held by the Interested Stockholder and its Affiliates and Associates. If a majority of Continuing Directors adopt the amendment, however, it may be approved by the holders of a majority of the voting power of the outstanding Voting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proposed Restated Certificate of Incorporation is adopted, Article SIXTEENTH would be deleted in its entirety, and amendments submitted to stockholders after the Restated Certificate of Incorporation becomes effective would, thereafter, be adopted if approved by a majority of the voting power of the outstanding Company stock entitled to vote on such amendments, unless a greater vote is required by the DGCL or the amendment requires an additional vote set forth in the terms of Company preferred stock.</w:t>
      </w:r>
    </w:p>
    <w:p>
      <w:pPr>
        <w:spacing w:after="0" w:line="6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Charter Provision Requiring A Two-Thirds Vote To Approve Certain Mergers And Other Business Combinations Would Be Eliminated.</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FOURTEENTH requires that any Business Combination, which is defined in the Charter to include a merger, consolidation, plan of liquidation or dissolution, sales of assets valued at $25 million or more, certain stock reclassifications that increase the percentage of ownership of an Interested Stockholder or its Affiliates or Associates, and transfers or issuances of equity securities valued at $10 million or more that is entered into by the Company with, or involving, an Interested Stockholder or one of its Affiliates or Associates, must be approved by the holders of two-thirds of the voting power of the outstanding Voting Stock and by the holders of a majority of the voting power of the outstanding Voting Stock that is not held by the Interested Stockholder and its Affiliates and Associates unless:</w:t>
      </w:r>
    </w:p>
    <w:p>
      <w:pPr>
        <w:spacing w:after="0" w:line="63"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Business Combination is approved by a majority of Continuing Directors and is approved by any stockholder vote required by law; or</w:t>
      </w:r>
    </w:p>
    <w:p>
      <w:pPr>
        <w:spacing w:after="0" w:line="113" w:lineRule="exact"/>
        <w:rPr>
          <w:rFonts w:ascii="Arial" w:cs="Arial" w:eastAsia="Arial" w:hAnsi="Arial"/>
          <w:sz w:val="16"/>
          <w:szCs w:val="16"/>
          <w:color w:val="auto"/>
        </w:rPr>
      </w:pPr>
    </w:p>
    <w:p>
      <w:pPr>
        <w:ind w:left="780" w:right="40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Business Combination is approved by the holders of a majority of the voting power of the outstanding Voting Stock and satisfies certain “fair price” requirements and other conditions set forth in Section 2(b) of Article FOURTEENTH.</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adopted, the proposed Restated Certificate of Incorporation would delete Article FOURTEENTH. As a result, “Business Combinations” would no longer be subject to the supermajority votes and fair price requirements set forth in Article FOURTEENTH, and, subject to the terms of any outstanding Company preferred stock, stockholders (i) would be entitled only to the majority voting rights set forth in the DGCL and (ii) would be entitled to vote only on the specific transactions for which a stockholder vote is required by the DGCL. Following adoption of the Restated Certificate of Incorporation:</w:t>
      </w:r>
    </w:p>
    <w:p>
      <w:pPr>
        <w:spacing w:after="0" w:line="32" w:lineRule="exact"/>
        <w:rPr>
          <w:sz w:val="20"/>
          <w:szCs w:val="20"/>
          <w:color w:val="auto"/>
        </w:rPr>
      </w:pPr>
    </w:p>
    <w:p>
      <w:pPr>
        <w:ind w:left="780" w:right="2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transactions, which are currently subject to the requirements of Article FOURTEENTH, would not be subject to Continuing Director approval or the fair price requirements set forth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49" w:name="page50"/>
    <w:bookmarkEnd w:id="49"/>
    <w:p>
      <w:pPr>
        <w:ind w:left="80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2(b) of Article FOURTEENTH, and, except pursuant to Section 203 of the DGCL (described below), or pursuant to the terms of any outstanding Company preferred stock, would not require any stockholder approval for purposes of Delaware law: (i) sales to an Interested Stockholder, or one of its Affiliates or Associates, of assets of the Company or a Company subsidiary valued at $25 million or more, if such assets do not constitute all or substantially all of the Company’s assets; (ii) the issuance or transfer to an Interested Stockholder, or one of its Affiliates or Associates, of any equity securities of the Company or a Company subsidiary valued at $10 million or more; and (iii) a merger or consolidation between a Company subsidiary and an Interested Stockholder or one of its Affiliates or Associates.</w:t>
      </w:r>
    </w:p>
    <w:p>
      <w:pPr>
        <w:spacing w:after="0" w:line="53" w:lineRule="exact"/>
        <w:rPr>
          <w:sz w:val="20"/>
          <w:szCs w:val="20"/>
          <w:color w:val="auto"/>
        </w:rPr>
      </w:pPr>
    </w:p>
    <w:p>
      <w:pPr>
        <w:ind w:left="780" w:right="60" w:hanging="326"/>
        <w:spacing w:after="0" w:line="294"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transactions, which are currently subject to the requirements of Article FOURTEENTH, would require approval by a majority of the voting power of the outstanding Company stock entitled to vote on such actions, unless a greater vote is required by the terms of any outstanding Company preferred stock, and would no longer require approval by the greater votes or satisfaction of the special requirements set forth in Article FOURTEENTH: (i) sales of all or substantially all of the Company’s assets; (ii) plans of dissolution; (iii) certain mergers and consolidations involving the Company; and (iv) subject to a greater vote required by the DGCL, amendments to the Restated Certificate of Incorporation.</w:t>
      </w:r>
    </w:p>
    <w:p>
      <w:pPr>
        <w:spacing w:after="0" w:line="34" w:lineRule="exact"/>
        <w:rPr>
          <w:rFonts w:ascii="Arial" w:cs="Arial" w:eastAsia="Arial" w:hAnsi="Arial"/>
          <w:sz w:val="16"/>
          <w:szCs w:val="16"/>
          <w:color w:val="auto"/>
        </w:rPr>
      </w:pPr>
    </w:p>
    <w:p>
      <w:pPr>
        <w:ind w:left="780" w:hanging="326"/>
        <w:spacing w:after="0" w:line="285"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addition, certain “business combinations,” as defined in Section 203 of the DGCL, between the Company and a person who, without prior Board approval, acquires ownership of fifteen percent or more of the outstanding Company stock entitled to vote generally in director elections, must be approved by the Board and two-thirds of the outstanding stock that such person does not own if the business combination occurs at any time during the three-year period following that person’s fifteen percent or more acquisition of ownership of stock, unless (i) the Board approves the business combination prior to that acquisition; or (ii) in a single transaction, such person’s stock ownership increases from below fifteen percent to at least eighty-five percent of the outstanding stock (excluding from the number of shares outstanding, but not the number of shares held by such person, shares owned by persons who are directors and also officers of the Company and shares owned by certain employee benefit plans). “Business combinations” are defined in Section 203 to include (i) any merger or consolidation of the Company or a direct or indirect majority-owned subsidiary of the Company with such fifteen percent or more owner, or any other merger or consolidation between the Company or such Company subsidiary and another entity that is caused by such owner and results in the surviving entity no longer being subject to the restrictions described in the previous sentence; (ii) certain sales or transfers to such fifteen percent or more owner of the assets of the Company or a direct or indirect majority owned Company subsidiary that have an aggregate market value equal to ten percent or more of the aggregate market value of all Company assets or of the outstanding stock of the Company; (iii) certain issuances or transfers of stock of the Company or a direct or indirect majority-owned Company subsidiary to such fifteen percent or more owner; (iv) any transaction involving the Company or a direct or indirect majority-owned Company subsidiary that increases the proportionate share of such fifteen percent or more owner’s interest in a class of stock of the Company or of such Company subsidiary; and (v) the receipt by the fifteen percent or more owner of certain financial benefits not shared proportionately with other stockholders.</w:t>
      </w:r>
    </w:p>
    <w:p>
      <w:pPr>
        <w:spacing w:after="0" w:line="4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Restated Certificate Of Incorporation Would Change The Director Vote Required To Authorize Stockholder Actions By Written Consent.</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Restated Certificate of Incorporation would also amend Article ELEVENTH of the Charter, which currently provides that stockholders may act by written consent in lieu of an annual or special meeting of stockholders only if the action is also approved by a majority of Continuing Directors. If adopted, the Restated Certificate of Incorporation would provide that stockholders may act by written consent only if such action by written consent is also authorized by the vote necessary for the Board to take action (which currently means approval by a majority of directors present at a meeting at which a quorum of the Board is present) rather than by a Continuing Director majority. Although Article ELEVENTH does not contain a supermajority stockholder voting requirement, the Board determined that it was in the best interests of the Company and its stockholders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0" w:name="page51"/>
    <w:bookmarkEnd w:id="5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eliminate the Continuing Director approval requirement from Article ELEVENTH because the Continuing Director approval requirements were being removed from the supermajority stockholder voting provisions discussed above.</w:t>
      </w:r>
    </w:p>
    <w:p>
      <w:pPr>
        <w:spacing w:after="0" w:line="5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Restated Certificate Of Incorporation Would Eliminate Stockholder Appraisal Rights For Certain Business Combinations.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proposed Restated Certificate of Incorporation would also eliminate Article FIFTEENTH of the current Charter, which affords stockholders an “appraisal right” to have the fair value of their shares determined by the Delaware Court of Chancery if a Business Combination does not meet the fair price and other related requirements set forth in Section 2(b) of Article FOURTEENTH and the transaction is consummated without approval by a majority of Continuing Directors. Because the proposed Restated Certificate of Incorporation would delete the votes required for Business Combinations, the Board decided it was also in the best interests of the Company and its stockholders to delete the accompanying grant of appraisal rights provided for in Article FIFTEENTH.</w:t>
      </w:r>
    </w:p>
    <w:p>
      <w:pPr>
        <w:spacing w:after="0" w:line="1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elimination of Article FIFTEENTH will not affect the appraisal rights that are provided to Company stockholders under the default provisions of Section 262 of the DGCL, but there are certain transactions for which stockholders are entitled to appraisal rights under Article FIFTEENTH but are not entitled to appraisal rights under such default provisions. For example, Article FIFTEENTH currently provides appraisal rights for the following transactions with an Interested Stockholder (or one of its Affiliates or Associates) if the transactions are not approved by Continuing Directors and, if applicable, do not satisfy the fair price and other related requirements set forth in Section 2(b) of Article FOURTEENTH: (i) a sale of all or substantially all of the Company’s assets;</w:t>
      </w:r>
    </w:p>
    <w:p>
      <w:pPr>
        <w:spacing w:after="0" w:line="2"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reclassifications of Company stock that directly or indirectly increase the percentage of stock ownership of the Interested Stockholder or its Affiliates or</w:t>
      </w:r>
    </w:p>
    <w:p>
      <w:pPr>
        <w:spacing w:after="0" w:line="32" w:lineRule="exact"/>
        <w:rPr>
          <w:rFonts w:ascii="Arial" w:cs="Arial" w:eastAsia="Arial" w:hAnsi="Arial"/>
          <w:sz w:val="16"/>
          <w:szCs w:val="16"/>
          <w:color w:val="auto"/>
        </w:rPr>
      </w:pP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Associates; (iii) mergers and consolidations with an Interested Stockholder or an Affiliate or Associate of an Interested Stockholder who owns less than 90% of each class of Company stock entitled to vote on a merger and for which stockholders are not afforded a vote under the DGCL; and (iv) mergers or consolidations in which Company stockholders receive publicly traded stock or stock in the corporation surviving the merger in exchange for their shares. If the proposed Restated Certificate of Incorporation is adopted, stockholders would not be entitled to appraisal rights for any of these transactions, but would be entitled to appraisal rights with respect to certain other mergers and consolidations, as set forth in Section 262 of the DGCL.</w:t>
      </w:r>
    </w:p>
    <w:p>
      <w:pPr>
        <w:spacing w:after="0" w:line="117" w:lineRule="exact"/>
        <w:rPr>
          <w:sz w:val="20"/>
          <w:szCs w:val="20"/>
          <w:color w:val="auto"/>
        </w:rPr>
      </w:pPr>
    </w:p>
    <w:p>
      <w:pPr>
        <w:ind w:left="5180"/>
        <w:spacing w:after="0"/>
        <w:tabs>
          <w:tab w:leader="none" w:pos="566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proposed Amendments are approved at the Meeting, the Company will file a Restated Certificate of Incorporation that contains the Amendments, which are set forth in Exhibit A attached hereto. Exhibit A is marked to reflect the changes to the current Charter that are proposed to be made in connection with this Proposal 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affirmative vote of a majority of the outstanding shares of Common Stock is required for approval of this Proposal.</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ABOVE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FOUR: STOCKHOLDER PROPOSAL</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John Chevedden, 2215 Nelson Avenue, No. 205, Redondo Beach, California 90278, a beneficial owner of 200 shares of the Common Stock of the Company, the proponent of a stockholder proposal has stated that the proponent intends to present a proposal at the Annual Meeting. The proposal and supporting statement, for which the Board of Directors accepts no responsibility, is set forth below. The Board of Directors opposes the proposal for the reasons stated after this proposal.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4—Independent Board Chairman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RESOLVED: Stockholders request that our Board change our governing documents (Charter or Bylaws if practicable) to require that the Chairman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 serve in that capacity only and have no management duties, titles, or responsibilities. This proposal gives our company an opportunity to cure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Chairman’s loss of independence should it exist or occur once this proposal is adopted.</w:t>
      </w:r>
    </w:p>
    <w:p>
      <w:pPr>
        <w:spacing w:after="0" w:line="16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primary purpose of our Chairman and Board of Directors is to protect shareholders’ interests by providing independent oversight of management, including the CEO. Separating the roles of Chairman and CEO can promote greater management accountability to shareholders and lead to a more objective evaluation of our CEO.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Yes-Vote</w:t>
      </w:r>
    </w:p>
    <w:p>
      <w:pPr>
        <w:spacing w:after="0" w:line="96" w:lineRule="exact"/>
        <w:rPr>
          <w:sz w:val="20"/>
          <w:szCs w:val="20"/>
          <w:color w:val="auto"/>
        </w:rPr>
      </w:pPr>
    </w:p>
    <w:p>
      <w:pPr>
        <w:jc w:val="both"/>
        <w:ind w:right="360" w:firstLine="456"/>
        <w:spacing w:after="0" w:line="268" w:lineRule="auto"/>
        <w:rPr>
          <w:sz w:val="20"/>
          <w:szCs w:val="20"/>
          <w:color w:val="auto"/>
        </w:rPr>
      </w:pPr>
      <w:r>
        <w:rPr>
          <w:rFonts w:ascii="Arial" w:cs="Arial" w:eastAsia="Arial" w:hAnsi="Arial"/>
          <w:sz w:val="18"/>
          <w:szCs w:val="18"/>
          <w:color w:val="auto"/>
        </w:rPr>
        <w:t>Twenty (20) shareholder proposals on this topic won an impressive 54% average yes-vote in 2005. The Council of Institutional Investors www.cii.org, whose members have $3 trillion invested, recommends adoption of this proposal topic.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Progress Begins with One Step</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It is important to take one forward step and adopt the above RESOLVED statement since our 2005 governance was not impeccable. For instance in 2005 it was reported (and certain concerns are noted):</w:t>
      </w:r>
    </w:p>
    <w:p>
      <w:pPr>
        <w:spacing w:after="0" w:line="51" w:lineRule="exact"/>
        <w:rPr>
          <w:sz w:val="20"/>
          <w:szCs w:val="20"/>
          <w:color w:val="auto"/>
        </w:rPr>
      </w:pPr>
    </w:p>
    <w:p>
      <w:pPr>
        <w:ind w:left="1500" w:right="2500" w:hanging="1046"/>
        <w:spacing w:after="0" w:line="344" w:lineRule="auto"/>
        <w:tabs>
          <w:tab w:leader="none" w:pos="7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Corporate Library (TCL) http://www.thecorporatelibrary.com/ a pro-investor research firm rated our company: “D” in Overall Board Effectiveness.</w:t>
      </w:r>
    </w:p>
    <w:p>
      <w:pPr>
        <w:jc w:val="both"/>
        <w:ind w:left="1500" w:right="7920"/>
        <w:spacing w:after="0" w:line="387" w:lineRule="auto"/>
        <w:rPr>
          <w:rFonts w:ascii="Arial" w:cs="Arial" w:eastAsia="Arial" w:hAnsi="Arial"/>
          <w:sz w:val="18"/>
          <w:szCs w:val="18"/>
          <w:color w:val="auto"/>
        </w:rPr>
      </w:pPr>
      <w:r>
        <w:rPr>
          <w:rFonts w:ascii="Arial" w:cs="Arial" w:eastAsia="Arial" w:hAnsi="Arial"/>
          <w:sz w:val="16"/>
          <w:szCs w:val="16"/>
          <w:color w:val="auto"/>
        </w:rPr>
        <w:t>“D” in Board Composition. “D” in CEO Compensation.</w:t>
      </w:r>
    </w:p>
    <w:p>
      <w:pPr>
        <w:ind w:left="1500" w:right="7340"/>
        <w:spacing w:after="0" w:line="413" w:lineRule="auto"/>
        <w:rPr>
          <w:rFonts w:ascii="Arial" w:cs="Arial" w:eastAsia="Arial" w:hAnsi="Arial"/>
          <w:sz w:val="18"/>
          <w:szCs w:val="18"/>
          <w:color w:val="auto"/>
        </w:rPr>
      </w:pPr>
      <w:r>
        <w:rPr>
          <w:rFonts w:ascii="Arial" w:cs="Arial" w:eastAsia="Arial" w:hAnsi="Arial"/>
          <w:sz w:val="15"/>
          <w:szCs w:val="15"/>
          <w:color w:val="auto"/>
        </w:rPr>
        <w:t>“D” in Shareholder Responsiveness. “D” in Takeover Defenses.</w:t>
      </w:r>
    </w:p>
    <w:p>
      <w:pPr>
        <w:ind w:left="1500"/>
        <w:spacing w:after="0"/>
        <w:rPr>
          <w:rFonts w:ascii="Arial" w:cs="Arial" w:eastAsia="Arial" w:hAnsi="Arial"/>
          <w:sz w:val="18"/>
          <w:szCs w:val="18"/>
          <w:color w:val="auto"/>
        </w:rPr>
      </w:pPr>
      <w:r>
        <w:rPr>
          <w:rFonts w:ascii="Arial" w:cs="Arial" w:eastAsia="Arial" w:hAnsi="Arial"/>
          <w:sz w:val="18"/>
          <w:szCs w:val="18"/>
          <w:color w:val="auto"/>
        </w:rPr>
        <w:t>“D” in Accounting.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Overall Governance Risk Assessment = High</w:t>
      </w:r>
    </w:p>
    <w:p>
      <w:pPr>
        <w:spacing w:after="0" w:line="90"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no Independent Chairman and not the best qualified Lead Director—Independent oversight concern.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Lead Director, Mr. Chain had 14-years director tenure—Independence concern.</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Chain also served on the ConAgra (CAG) and Reynolds American Boards (RAI) both rated “D” by The Corporate Library—the same rating as Northrop Grumman.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Chain had additional power at Northrop as the Chairman of our Compensation Committee.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52" w:name="page53"/>
    <w:bookmarkEnd w:id="52"/>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Chairman Mr. Sugar served on the Chevron Board (CVX) again with the same “D” rating as Northrop.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would have to marshal a 67% shareholder vote to make certain key governance improvements—Entrenchment concern.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directors can be elected with one yes-vote from our 350 million shares under plurality voting.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less-than-best practices reinforce the reason to take one step forward and adopt this proposal.</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Somewhat to our Board’s credit it finally enacted annual election of each director after ignoring majority shareholder votes on this topic for years. However enactment proceeds at a snail’s pace and will not be completed until 2008. Our poison pill was also belatedly terminated and termination continues. On the other hand our Board’s November 11, 2005 SEC filing makes it harder for shareholders to introduce items of business at our annual meeting.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Moreover</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It is well to remember that at Enron, WorldCom, Tyco, and other legends of mis-management and/or corruption, the Chairman also served as CEO. If a CEO, who is also the Chairman, wants to cover up improprieties and directors disagree, with whom do they lodge complaints? The Chairman?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Board Chairman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Yes on 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POSITION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Directors believes that it is in the best interests of the Company and its stockholders for the Board to have the flexibility to determine the best director to serve as Chairman of the Board, whether such director is an independent director or the Chief Executive Officer. At the present time, the Board believes that the Company and its stockholders are best served by having the Chief Executive Officer also serve as Chairman of the Board. While the Board may separate these positions in the future should circumstances change, it believes that implementing the proposal would deprive the Board of its ability to organize its functions and conduct its business in the most efficient and effective manner.</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Board of Directors has been, and continues to be committed to high standards of corporate governance. In March 2006 the Independent Directors selected a Lead Independent Director, with clearly defined responsibilities. The role of the Lead Independent Director is to:</w:t>
      </w:r>
    </w:p>
    <w:p>
      <w:pPr>
        <w:spacing w:after="0" w:line="4"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Advise on the quality, quantity and timeliness of the information sent to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the Chairman with input as to the preparation of the agendas of the Board and Committee meetings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Advise the Chairman on the appropriate schedule of Board meetings to assure that there is sufficient time for discussion of all agenda items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the authority to call meetings of the Independent Directors</w:t>
      </w:r>
    </w:p>
    <w:p>
      <w:pPr>
        <w:spacing w:after="0" w:line="90"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Interview, along with the Chairman and the Chair of the Nominating and Corporate Governance Committee, all Board candidates and make recommendations to the Committee and the Board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requested by major stockholders, ensure that he or she is available for consultation and direct communication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stockholder can communicate with the Lead Independent Director or any of the directors as described on Page 16 of this Proxy Statement and on the Company’s website.</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Board believes that the Company’s corporate governance structure makes it unnecessary to have an absolute requirement that the Chairman be an independent director. The Board believes that adopting such a rule would only limit the Board’s ability to select the director it believes best suited to serve as Chairman of the Board, and is not in the best interests of the Company and its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quorum is present at the meeting, approval of this proposal requires the affirmative vote of a majority of the votes cast on the proposal.</w:t>
      </w:r>
    </w:p>
    <w:p>
      <w:pPr>
        <w:spacing w:after="0" w:line="188" w:lineRule="exact"/>
        <w:rPr>
          <w:sz w:val="20"/>
          <w:szCs w:val="20"/>
          <w:color w:val="auto"/>
        </w:rPr>
      </w:pPr>
    </w:p>
    <w:p>
      <w:pPr>
        <w:jc w:val="center"/>
        <w:ind w:right="400"/>
        <w:spacing w:after="0" w:line="447" w:lineRule="auto"/>
        <w:rPr>
          <w:sz w:val="20"/>
          <w:szCs w:val="20"/>
          <w:color w:val="auto"/>
        </w:rPr>
      </w:pPr>
      <w:r>
        <w:rPr>
          <w:rFonts w:ascii="Arial" w:cs="Arial" w:eastAsia="Arial" w:hAnsi="Arial"/>
          <w:sz w:val="18"/>
          <w:szCs w:val="18"/>
          <w:b w:val="1"/>
          <w:bCs w:val="1"/>
          <w:color w:val="auto"/>
        </w:rPr>
        <w:t xml:space="preserve">THE BOARD OF DIRECTORS UNANIMOUSLY RECOMMENDS THAT YOU VOTE “AGAINST” PROPOSAL NUMBER FOUR. </w:t>
      </w: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on Other Matters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Management is not aware of any other business to be transacted at the Annual Meeting. Northrop Grumman’s Bylaws outline procedures, including minimum notice provisions, for stockholder nomination of directors and submission of other stockholder business to be transacted before the Annual Meeting. A copy of the pertinent Bylaw provisions is available on request to the Corporate Secretary, Northrop Grumman Corporation, 1840 Century Park East, Los Angeles, California 90067. If any other business properly comes before the Annual Meeting, it is intended that the shares represented by proxies will be voted in accordance with the judgment of the persons authorized to vote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of Stockholders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stockholder who intends to present a proposal at the annual meeting in the year 2007 must deliver the proposal to the Corporate Secretary at 1840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Century Park East, Los Angeles, California 90067:</w:t>
      </w:r>
    </w:p>
    <w:p>
      <w:pPr>
        <w:spacing w:after="0" w:line="84" w:lineRule="exact"/>
        <w:rPr>
          <w:sz w:val="20"/>
          <w:szCs w:val="20"/>
          <w:color w:val="auto"/>
        </w:rPr>
      </w:pPr>
    </w:p>
    <w:p>
      <w:pPr>
        <w:ind w:left="780" w:right="18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later than December 13, 2006, if the proposal is submitted for inclusion in our proxy materials for that meeting pursuant to Rule 14a-8 under the Securities Exchange Act of 1934</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earlier than November 13, 2006 and not later than December 13, 2006, if the proposal is submitted pursuant to the Company’s Bylaws, in which case we are not required to include the proposal in our proxy materials.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copy of the Company’s Bylaws is available on request to Corporate Secretary, Northrop Grumman Corporation, 1840 Century Park East, Los Angeles, California 90067.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As permitted by the SEC’s proxy statement rules, the Company will deliver only one annual report or proxy statement to multiple stockholders sharing the same address, unless the Company has received contrary instructions from one or more of the stockholders. The Company will, upon written or oral request, deliver a separate copy of the annual report or proxy statement to a stockholder at a shared address to which a single copy of the annual report or proxy statement was delivered and will include instructions as to how the stockholder can notify the Company that the stockholder wishes to received a separate copy of the annual report or proxy statement. Registered stockholders wishing to receive a separate annual report or proxy statement in the future or registered stockholders sharing an address wishing to receive a single copy of the annual report or proxy statement in the future may contact the Company’s Transfer Agent:</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 N.A.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43078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Providence, Rhode Island 02940-3078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(800) 756-8200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Soliciting Proxies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cost of soliciting proxies in the accompanying form will be paid by the Company. In addition to solicitation by mail, arrangements will, where appropriate, be made with brokerage houses and other custodians, nominees and fiduciaries to send proxy materials to beneficial owners. The Company will, upon request, reimburse them for reasonable expenses incurred. The Company has retained D.F. King &amp; Co, Inc. of New York at an estimated fee of $11,500 plus reasonable disbursements. Officers, directors and regular employees of the Company may request the return of proxies personally, by means of materials prepared for stockholders and employee-stockholders or by telephone or telegram to the extent deemed appropriate by the Board of Directors.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55" w:name="page56"/>
    <w:bookmarkEnd w:id="55"/>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additional compensation will be paid to such individuals for this activity. The extent to which this solicitation will be necessary will depend upon how promptly proxies are received; therefore, stockholders are urged to return their proxies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88900</wp:posOffset>
            </wp:positionV>
            <wp:extent cx="986155" cy="1183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615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Mullan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Vice President and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12, 2006</w:t>
      </w:r>
    </w:p>
    <w:p>
      <w:pPr>
        <w:spacing w:after="0" w:line="165"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NOTICE: THE COMPANY FILED AN ANNUAL REPORT ON FORM 10-K EFFECTIVE FEBRUARY 17, 2006. STOCKHOLDERS OF RECORD ON MARCH 21, 2006 MAY OBTAIN A COPY OF THIS REPORT WITHOUT CHARGE FROM THE CORPORATE SECRETARY, NORTHROP GRUMMAN CORPORATION, 1840 CENTURY PARK EAST, LOS ANGELES, CALIFORNIA 90067.</w:t>
      </w:r>
    </w:p>
    <w:p>
      <w:pPr>
        <w:spacing w:after="0" w:line="12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80"/>
          </w:cols>
          <w:pgMar w:left="240" w:top="280" w:right="7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January 16,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name NNG, Inc.)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is Northrop Grumman Corporation (the “Corporation”).</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SECOND: The address of the registered office of the Corporation in the State of Delaware is Corporation Trust Center, 1209 Orange Street, in the City of Wilmington, County of New Castle. The name and address of the Corporation’s registered agent in the State of Delaware is The Corporation Trust Company, Corporation Trust Center, 1209 Orange Street, in the City of Wilmington, County of New Castle, State of Delaware 19801.</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now or hereafter be organized under the General Corporation Law of the State of Delaware.</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FOURTH: 1. The total number of shares of stock which the Corporation shall have authority to issue is Eight Hundred Ten Million (810,000,000), consisting of Eight Hundred Million (800,000,000) shares of Common Stock, par value One Dollar ($1.00) per share (the “Common Stock”), and Ten Million (10,000,000) shares of Preferred Stock, par value One Dollar ($1.00) per share (the “Preferred Stock”).</w:t>
      </w:r>
    </w:p>
    <w:p>
      <w:pPr>
        <w:spacing w:after="0" w:line="140" w:lineRule="exact"/>
        <w:rPr>
          <w:sz w:val="20"/>
          <w:szCs w:val="20"/>
          <w:color w:val="auto"/>
        </w:rPr>
      </w:pPr>
    </w:p>
    <w:p>
      <w:pPr>
        <w:ind w:right="280" w:firstLine="464"/>
        <w:spacing w:after="0" w:line="289"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Shares of Preferred Stock may be issued from time to time in one or more classes or series, each of which class or series shall have such distinctive designation or title as shall be fixed by resolution of the Board of Directors of the Corporation (the “Board of Directors”) prior to the issuance of any shares thereof. Each such class or series of Preferred Stock shall have such voting powers, full or limited, or no voting powers, and such preferences and relative, participating, optional or other special rights and such qualifications, limitations or restrictions thereof, as shall be stated in such resolution providing for the issuance of such class or series of Preferred Stock as may be adopted from time to time by the Board of Directors prior to the issuance of any shares thereof pursuant to the authority hereby expressly vested in it, all in accordance with the laws of the State of Delaware. The Board of Directors is further authorized to increase or decrease (but not below the number of shares of such class or series then outstanding) the number of shares of any class or series subsequent to the issuance of shares of that class or series.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Pursuant to the authority conferred by this Article Fourth, the following series of Preferred Stock has been designated, such series consisting of such number of shares, with such voting powers and with such designations, preferences and relative, participating, optional or other special rights, and qualifications, limitations or restrictions therefor as are stated and expressed in the exhibit with respect to such series attached hereto as specified below and incorporated herein by reference: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1: Series B Convertible Preferred Stock</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FIFTH: In furtherance and not in limitation of the powers conferred by statute and subject to Article Sixth hereof, the Board of Directors is expressly authorized to adopt, repeal, rescind, alter or amend in any respect the bylaws of the Corporation (the “Bylaws”).</w:t>
      </w:r>
    </w:p>
    <w:p>
      <w:pPr>
        <w:spacing w:after="0" w:line="132" w:lineRule="exact"/>
        <w:rPr>
          <w:sz w:val="20"/>
          <w:szCs w:val="20"/>
          <w:color w:val="auto"/>
        </w:rPr>
      </w:pPr>
    </w:p>
    <w:p>
      <w:pPr>
        <w:jc w:val="both"/>
        <w:ind w:right="160" w:firstLine="456"/>
        <w:spacing w:after="0" w:line="283" w:lineRule="auto"/>
        <w:rPr>
          <w:sz w:val="20"/>
          <w:szCs w:val="20"/>
          <w:color w:val="auto"/>
        </w:rPr>
      </w:pPr>
      <w:r>
        <w:rPr>
          <w:rFonts w:ascii="Arial" w:cs="Arial" w:eastAsia="Arial" w:hAnsi="Arial"/>
          <w:sz w:val="15"/>
          <w:szCs w:val="15"/>
          <w:color w:val="auto"/>
        </w:rPr>
        <w:t xml:space="preserve">SIXTH: Notwithstanding Article Fifth hereof, the Bylaws may be adopted, repealed, rescinded, altered or amended in any respect by the stockholders of the Corporation, but only by the affirmative vote of the holders of not less than </w:t>
      </w:r>
      <w:r>
        <w:rPr>
          <w:rFonts w:ascii="Arial" w:cs="Arial" w:eastAsia="Arial" w:hAnsi="Arial"/>
          <w:sz w:val="15"/>
          <w:szCs w:val="15"/>
          <w:color w:val="auto"/>
          <w:strike w:val="1"/>
        </w:rPr>
        <w:t>66</w:t>
      </w:r>
      <w:r>
        <w:rPr>
          <w:rFonts w:ascii="Arial" w:cs="Arial" w:eastAsia="Arial" w:hAnsi="Arial"/>
          <w:sz w:val="15"/>
          <w:szCs w:val="15"/>
          <w:color w:val="auto"/>
        </w:rPr>
        <w:t xml:space="preserve"> </w:t>
      </w:r>
      <w:r>
        <w:rPr>
          <w:rFonts w:ascii="Arial" w:cs="Arial" w:eastAsia="Arial" w:hAnsi="Arial"/>
          <w:sz w:val="19"/>
          <w:szCs w:val="19"/>
          <w:color w:val="auto"/>
          <w:vertAlign w:val="superscript"/>
        </w:rPr>
        <w:t>2</w:t>
      </w:r>
      <w:r>
        <w:rPr>
          <w:rFonts w:ascii="Arial" w:cs="Arial" w:eastAsia="Arial" w:hAnsi="Arial"/>
          <w:sz w:val="15"/>
          <w:szCs w:val="15"/>
          <w:color w:val="auto"/>
          <w:strike w:val="1"/>
        </w:rPr>
        <w:t>/</w:t>
      </w:r>
      <w:r>
        <w:rPr>
          <w:rFonts w:ascii="Arial" w:cs="Arial" w:eastAsia="Arial" w:hAnsi="Arial"/>
          <w:sz w:val="12"/>
          <w:szCs w:val="12"/>
          <w:color w:val="auto"/>
          <w:strike w:val="1"/>
        </w:rPr>
        <w:t>3</w:t>
      </w:r>
      <w:r>
        <w:rPr>
          <w:rFonts w:ascii="Arial" w:cs="Arial" w:eastAsia="Arial" w:hAnsi="Arial"/>
          <w:sz w:val="15"/>
          <w:szCs w:val="15"/>
          <w:color w:val="auto"/>
          <w:strike w:val="1"/>
        </w:rPr>
        <w:t>% of the voting power of all outstanding shares of Voting Stock (as defined</w:t>
      </w:r>
      <w:r>
        <w:rPr>
          <w:rFonts w:ascii="Arial" w:cs="Arial" w:eastAsia="Arial" w:hAnsi="Arial"/>
          <w:sz w:val="15"/>
          <w:szCs w:val="15"/>
          <w:color w:val="auto"/>
        </w:rPr>
        <w:t xml:space="preserve"> </w:t>
      </w:r>
      <w:r>
        <w:rPr>
          <w:rFonts w:ascii="Arial" w:cs="Arial" w:eastAsia="Arial" w:hAnsi="Arial"/>
          <w:sz w:val="15"/>
          <w:szCs w:val="15"/>
          <w:color w:val="auto"/>
          <w:strike w:val="1"/>
        </w:rPr>
        <w:t>in paragraph (f) of Section 3 of Article Fourteenth hereof), regardless of class and voting together as a single voting class and, where such action is proposed by an Interested Stockholder (as defined in paragraph (d) of Section 3 of Article Fourteenth hereof, or by any Affiliate or Associate (each as defined in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-356235</wp:posOffset>
            </wp:positionV>
            <wp:extent cx="533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strike w:val="1"/>
        </w:rPr>
        <w:t>(g) of Section 3 of Article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7" w:name="page58"/>
    <w:bookmarkEnd w:id="57"/>
    <w:p>
      <w:pPr>
        <w:ind w:right="40"/>
        <w:spacing w:after="0" w:line="289" w:lineRule="auto"/>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Fourteenth hereof) of an Interested Stockholder, including the affirmative vote of the holders of a majority of the voting power of all outstanding shares of Voting Stock, regardless of class and voting together as a single voting class, other than shares held by the Interested Stockholder which proposed (or the Affiliate or Associate of which proposed) such action, or any Affiliate or Associate of such Interested Stockholder,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w:t>
      </w:r>
      <w:r>
        <w:rPr>
          <w:rFonts w:ascii="Arial" w:cs="Arial" w:eastAsia="Arial" w:hAnsi="Arial"/>
          <w:sz w:val="16"/>
          <w:szCs w:val="16"/>
          <w:i w:val="1"/>
          <w:iCs w:val="1"/>
          <w:color w:val="auto"/>
          <w:strike w:val="1"/>
        </w:rPr>
        <w:t>however</w:t>
      </w:r>
      <w:r>
        <w:rPr>
          <w:rFonts w:ascii="Arial" w:cs="Arial" w:eastAsia="Arial" w:hAnsi="Arial"/>
          <w:sz w:val="16"/>
          <w:szCs w:val="16"/>
          <w:color w:val="auto"/>
          <w:strike w:val="1"/>
        </w:rPr>
        <w:t xml:space="preserve">, that where such action is approved by a majority of the Continuing Directors (as defined in paragraph (a) of Section 3 of Article Fourteenth hereof), the affirmative vote of a majority of the voting power of all outstanding shares of Voting Stock, regardless of class and voting together as a single voting class shall be required for approval of such action. </w:t>
      </w:r>
      <w:r>
        <w:rPr>
          <w:rFonts w:ascii="Arial" w:cs="Arial" w:eastAsia="Arial" w:hAnsi="Arial"/>
          <w:sz w:val="16"/>
          <w:szCs w:val="16"/>
          <w:u w:val="single" w:color="auto"/>
          <w:color w:val="auto"/>
          <w:strike w:val="1"/>
        </w:rPr>
        <w:t>a</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majority of the voting power of all outstanding shares of capital stock entitled to vote thereon, voting as a single class, and by the holders of any one or more classes or series of capital stock entitled to vote thereon as a separate class pursuant to one or more resolutions adopted by the Board of Directors in accordance with Section 2 of Article Fourth hereof.</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SEVENTH: The business and affairs of the Corporation shall be managed by and under the direction of the Board of Directors. Except as may otherwise be provided pursuant to Section 2 of Article Fourth hereof in connection with rights to elect additional directors under specified circumstances which may be granted to the holders of any class or series of Preferred Stock, the exact number of directors of the Corporation shall be determined from time to time by a Bylaw or amendment thereto.</w:t>
      </w:r>
    </w:p>
    <w:p>
      <w:pPr>
        <w:spacing w:after="0" w:line="14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EIGHTH: Until the 2008 annual meeting of stockholders, the Board of Directors shall be and is divided into three classes, Class I, Class II and Class III. The number of authorized directors in each class shall be the whole number contained in the quotient obtained by dividing the authorized number of directors by three. If a fraction is also contained in such quotient, then additional directors shall be apportioned as follows: if such fraction is one-third, the additional director shall be a member of Class I; and if such fraction is two-thirds, one of the additional directors shall be a member of Class I and the other shall be a member of Class II. The directors elected to Class III in 2003 shall serve for a term ending on the date of the annual meeting held in calendar year 2006, the directors elected to Class I in 2004 shall serve for a term ending on the date of the annual meeting held in calendar year 2007 and the directors elected to Class II in 2005 shall serve for a term ending on the date of the annual meeting held in calendar year 2008. The term of each director elected after the 2005 annual meeting shall end at the first annual meeting following his or her election. Commencing with the annual meeting in 2008, the classification of the Board of Directors shall terminate, and all directors shall be of one class and shall serve for a term ending at the annual meeting following the annual meeting at which the director was elected.</w:t>
      </w:r>
    </w:p>
    <w:p>
      <w:pPr>
        <w:spacing w:after="0" w:line="1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foregoing provisions of this Article Eighth: each director shall serve until his successor is elected and qualified or until his death, resignation or removal; no decrease in the authorized number of directors shall shorten the term of any incumbent director, and additional directors, elected pursuant to Section 2 of Article Fourth hereof in connection with rights to elect such additional directors under specified circumstances which may be granted to the holders of any class or series of Preferred Stock, shall not be included in any class, but shall serve for such term or terms and pursuant to such other provisions as are specified in the resolution of the Board of Directors establishing such class or series.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NINTH: Except as may otherwise be provided pursuant to Section 2 of Article Fourth hereof in connection with rights to elect additional directors under specified circumstances which may be granted to the holders of any class or series of Preferred Stock, newly created directorships resulting from any increase in the number of directors, or any vacancies on the Board of Directors resulting from death, resignation, removal or other causes, shall be filled solely by the affirmative vote of a majority of the remaining directors then in office, even though less than a quorum of the Board of Directors. Any director elected in accordance with the preceding sentence shall hold office for a term that shall end at the first annual meeting following his or her election and until such director’s successor shall have been elected and qualified or until such director’s death, resignation or removal, whichever first occurs.</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TENTH: </w:t>
      </w:r>
      <w:r>
        <w:rPr>
          <w:rFonts w:ascii="Arial" w:cs="Arial" w:eastAsia="Arial" w:hAnsi="Arial"/>
          <w:sz w:val="18"/>
          <w:szCs w:val="18"/>
          <w:color w:val="auto"/>
          <w:strike w:val="1"/>
        </w:rPr>
        <w:t>Except as may otherwise be provided pursuant to Section 2 of Article Fourth hereof in connection with rights to elect additional directors under</w:t>
      </w:r>
      <w:r>
        <w:rPr>
          <w:rFonts w:ascii="Arial" w:cs="Arial" w:eastAsia="Arial" w:hAnsi="Arial"/>
          <w:sz w:val="18"/>
          <w:szCs w:val="18"/>
          <w:color w:val="auto"/>
        </w:rPr>
        <w:t xml:space="preserve"> </w:t>
      </w:r>
      <w:r>
        <w:rPr>
          <w:rFonts w:ascii="Arial" w:cs="Arial" w:eastAsia="Arial" w:hAnsi="Arial"/>
          <w:sz w:val="18"/>
          <w:szCs w:val="18"/>
          <w:color w:val="auto"/>
          <w:strike w:val="1"/>
        </w:rPr>
        <w:t>specified circumstances which may be granted to the holders of any class or series of Preferred Stock, any director whose term of office shall expire at the first annual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58" w:name="page59"/>
    <w:bookmarkEnd w:id="58"/>
    <w:p>
      <w:pPr>
        <w:ind w:right="40"/>
        <w:spacing w:after="0" w:line="278" w:lineRule="auto"/>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his or her election may be removed from office with or without cause but only by the affirmative vote of the holders of not less than 66</w:t>
      </w:r>
      <w:r>
        <w:rPr>
          <w:rFonts w:ascii="Arial" w:cs="Arial" w:eastAsia="Arial" w:hAnsi="Arial"/>
          <w:sz w:val="16"/>
          <w:szCs w:val="16"/>
          <w:color w:val="auto"/>
        </w:rPr>
        <w:t xml:space="preserve"> </w:t>
      </w:r>
      <w:r>
        <w:rPr>
          <w:rFonts w:ascii="Arial" w:cs="Arial" w:eastAsia="Arial" w:hAnsi="Arial"/>
          <w:sz w:val="20"/>
          <w:szCs w:val="20"/>
          <w:color w:val="auto"/>
          <w:vertAlign w:val="superscript"/>
        </w:rPr>
        <w:t>2</w:t>
      </w:r>
      <w:r>
        <w:rPr>
          <w:rFonts w:ascii="Arial" w:cs="Arial" w:eastAsia="Arial" w:hAnsi="Arial"/>
          <w:sz w:val="16"/>
          <w:szCs w:val="16"/>
          <w:color w:val="auto"/>
          <w:strike w:val="1"/>
        </w:rPr>
        <w:t>/</w:t>
      </w:r>
      <w:r>
        <w:rPr>
          <w:rFonts w:ascii="Arial" w:cs="Arial" w:eastAsia="Arial" w:hAnsi="Arial"/>
          <w:sz w:val="12"/>
          <w:szCs w:val="12"/>
          <w:color w:val="auto"/>
          <w:strike w:val="1"/>
        </w:rPr>
        <w:t>3</w:t>
      </w:r>
      <w:r>
        <w:rPr>
          <w:rFonts w:ascii="Arial" w:cs="Arial" w:eastAsia="Arial" w:hAnsi="Arial"/>
          <w:sz w:val="16"/>
          <w:szCs w:val="16"/>
          <w:color w:val="auto"/>
          <w:strike w:val="1"/>
        </w:rPr>
        <w:t>% of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voting power of all outstanding shares of Voting Stock entitled to vote in connection with the election of such director, regardless of class and voting together as a single voting class; </w:t>
      </w:r>
      <w:r>
        <w:rPr>
          <w:rFonts w:ascii="Arial" w:cs="Arial" w:eastAsia="Arial" w:hAnsi="Arial"/>
          <w:sz w:val="16"/>
          <w:szCs w:val="16"/>
          <w:i w:val="1"/>
          <w:iCs w:val="1"/>
          <w:color w:val="auto"/>
          <w:strike w:val="1"/>
        </w:rPr>
        <w:t>provided</w:t>
      </w:r>
      <w:r>
        <w:rPr>
          <w:rFonts w:ascii="Arial" w:cs="Arial" w:eastAsia="Arial" w:hAnsi="Arial"/>
          <w:sz w:val="16"/>
          <w:szCs w:val="16"/>
          <w:color w:val="auto"/>
          <w:strike w:val="1"/>
        </w:rPr>
        <w:t xml:space="preserve">, </w:t>
      </w:r>
      <w:r>
        <w:rPr>
          <w:rFonts w:ascii="Arial" w:cs="Arial" w:eastAsia="Arial" w:hAnsi="Arial"/>
          <w:sz w:val="16"/>
          <w:szCs w:val="16"/>
          <w:i w:val="1"/>
          <w:iCs w:val="1"/>
          <w:color w:val="auto"/>
          <w:strike w:val="1"/>
        </w:rPr>
        <w:t>however</w:t>
      </w:r>
      <w:r>
        <w:rPr>
          <w:rFonts w:ascii="Arial" w:cs="Arial" w:eastAsia="Arial" w:hAnsi="Arial"/>
          <w:sz w:val="16"/>
          <w:szCs w:val="16"/>
          <w:color w:val="auto"/>
          <w:strike w:val="1"/>
        </w:rPr>
        <w:t>, that where such removal is approved by a majority of the Continuing Directors, the affirmative vote of a majority of the voting power of all outstanding shares of Voting Stock entitled to vote in connection with the election of such director, regardless of class and voting together as a single voting class, shall be required for approval of such removal. Notwithstanding the foregoing, any</w:t>
      </w:r>
      <w:r>
        <w:rPr>
          <w:rFonts w:ascii="Arial" w:cs="Arial" w:eastAsia="Arial" w:hAnsi="Arial"/>
          <w:sz w:val="16"/>
          <w:szCs w:val="16"/>
          <w:u w:val="single" w:color="auto"/>
          <w:color w:val="auto"/>
          <w:strike w:val="1"/>
        </w:rPr>
        <w:t>Any</w:t>
      </w:r>
      <w:r>
        <w:rPr>
          <w:rFonts w:ascii="Arial" w:cs="Arial" w:eastAsia="Arial" w:hAnsi="Arial"/>
          <w:sz w:val="16"/>
          <w:szCs w:val="16"/>
          <w:color w:val="auto"/>
          <w:strike w:val="1"/>
        </w:rPr>
        <w:t xml:space="preserve"> director serving during his or her three-year term of office pursuant to the classification of the Board of Directors provided for in Article Eighth shall be removed only for cause and only by the affirmative vote of stockholders provided for in the first sentence of this Article Tenth, including the proviso in such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6487160</wp:posOffset>
            </wp:positionH>
            <wp:positionV relativeFrom="paragraph">
              <wp:posOffset>-923925</wp:posOffset>
            </wp:positionV>
            <wp:extent cx="533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1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ELEVENTH: Any action required or permitted to be taken by the stockholders of the Corporation must be effected at a duly called annual meeting or at a special meeting of stockholders of the Corporation, unless </w:t>
      </w:r>
      <w:r>
        <w:rPr>
          <w:rFonts w:ascii="Arial" w:cs="Arial" w:eastAsia="Arial" w:hAnsi="Arial"/>
          <w:sz w:val="18"/>
          <w:szCs w:val="18"/>
          <w:color w:val="auto"/>
          <w:strike w:val="1"/>
        </w:rPr>
        <w:t>such action requiring or permitting shareholder approval is approved by a majority of the</w:t>
      </w:r>
      <w:r>
        <w:rPr>
          <w:rFonts w:ascii="Arial" w:cs="Arial" w:eastAsia="Arial" w:hAnsi="Arial"/>
          <w:sz w:val="18"/>
          <w:szCs w:val="18"/>
          <w:color w:val="auto"/>
        </w:rPr>
        <w:t xml:space="preserve"> </w:t>
      </w:r>
      <w:r>
        <w:rPr>
          <w:rFonts w:ascii="Arial" w:cs="Arial" w:eastAsia="Arial" w:hAnsi="Arial"/>
          <w:sz w:val="18"/>
          <w:szCs w:val="18"/>
          <w:color w:val="auto"/>
          <w:strike w:val="1"/>
        </w:rPr>
        <w:t>Continuing</w:t>
      </w:r>
      <w:r>
        <w:rPr>
          <w:rFonts w:ascii="Arial" w:cs="Arial" w:eastAsia="Arial" w:hAnsi="Arial"/>
          <w:sz w:val="18"/>
          <w:szCs w:val="18"/>
          <w:u w:val="single" w:color="auto"/>
          <w:color w:val="auto"/>
        </w:rPr>
        <w:t>the Board of</w:t>
      </w:r>
      <w:r>
        <w:rPr>
          <w:rFonts w:ascii="Arial" w:cs="Arial" w:eastAsia="Arial" w:hAnsi="Arial"/>
          <w:sz w:val="18"/>
          <w:szCs w:val="18"/>
          <w:color w:val="auto"/>
        </w:rPr>
        <w:t xml:space="preserve"> Directors</w:t>
      </w:r>
      <w:r>
        <w:rPr>
          <w:rFonts w:ascii="Arial" w:cs="Arial" w:eastAsia="Arial" w:hAnsi="Arial"/>
          <w:sz w:val="18"/>
          <w:szCs w:val="18"/>
          <w:color w:val="auto"/>
          <w:strike w:val="1"/>
        </w:rPr>
        <w:t>, in which case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authorizes</w:t>
      </w:r>
      <w:r>
        <w:rPr>
          <w:rFonts w:ascii="Arial" w:cs="Arial" w:eastAsia="Arial" w:hAnsi="Arial"/>
          <w:sz w:val="18"/>
          <w:szCs w:val="18"/>
          <w:color w:val="auto"/>
        </w:rPr>
        <w:t xml:space="preserve"> such action </w:t>
      </w:r>
      <w:r>
        <w:rPr>
          <w:rFonts w:ascii="Arial" w:cs="Arial" w:eastAsia="Arial" w:hAnsi="Arial"/>
          <w:sz w:val="18"/>
          <w:szCs w:val="18"/>
          <w:color w:val="auto"/>
          <w:strike w:val="1"/>
        </w:rPr>
        <w:t>may</w:t>
      </w:r>
      <w:r>
        <w:rPr>
          <w:rFonts w:ascii="Arial" w:cs="Arial" w:eastAsia="Arial" w:hAnsi="Arial"/>
          <w:sz w:val="18"/>
          <w:szCs w:val="18"/>
          <w:u w:val="single" w:color="auto"/>
          <w:color w:val="auto"/>
        </w:rPr>
        <w:t>to</w:t>
      </w:r>
      <w:r>
        <w:rPr>
          <w:rFonts w:ascii="Arial" w:cs="Arial" w:eastAsia="Arial" w:hAnsi="Arial"/>
          <w:sz w:val="18"/>
          <w:szCs w:val="18"/>
          <w:color w:val="auto"/>
        </w:rPr>
        <w:t xml:space="preserve"> be </w:t>
      </w:r>
      <w:r>
        <w:rPr>
          <w:rFonts w:ascii="Arial" w:cs="Arial" w:eastAsia="Arial" w:hAnsi="Arial"/>
          <w:sz w:val="18"/>
          <w:szCs w:val="18"/>
          <w:color w:val="auto"/>
          <w:strike w:val="1"/>
        </w:rPr>
        <w:t>authorized or</w:t>
      </w:r>
      <w:r>
        <w:rPr>
          <w:rFonts w:ascii="Arial" w:cs="Arial" w:eastAsia="Arial" w:hAnsi="Arial"/>
          <w:sz w:val="18"/>
          <w:szCs w:val="18"/>
          <w:color w:val="auto"/>
        </w:rPr>
        <w:t xml:space="preserve"> taken by the written consent of the holders of outstanding shares of </w:t>
      </w:r>
      <w:r>
        <w:rPr>
          <w:rFonts w:ascii="Arial" w:cs="Arial" w:eastAsia="Arial" w:hAnsi="Arial"/>
          <w:sz w:val="18"/>
          <w:szCs w:val="18"/>
          <w:color w:val="auto"/>
          <w:strike w:val="1"/>
        </w:rPr>
        <w:t>Voting Stock</w:t>
      </w: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having not less than the minimum voting power that would be necessary to authorize or take such action at a meeting of stockholders at which all shares entitled to vote thereon were present and voted, provided all other requirements of applicable law and this Restated Certificate </w:t>
      </w:r>
      <w:r>
        <w:rPr>
          <w:rFonts w:ascii="Arial" w:cs="Arial" w:eastAsia="Arial" w:hAnsi="Arial"/>
          <w:sz w:val="18"/>
          <w:szCs w:val="18"/>
          <w:u w:val="single" w:color="auto"/>
          <w:color w:val="auto"/>
        </w:rPr>
        <w:t>of Incorporation</w:t>
      </w:r>
      <w:r>
        <w:rPr>
          <w:rFonts w:ascii="Arial" w:cs="Arial" w:eastAsia="Arial" w:hAnsi="Arial"/>
          <w:sz w:val="18"/>
          <w:szCs w:val="18"/>
          <w:color w:val="auto"/>
        </w:rPr>
        <w:t xml:space="preserve"> have been satisfied.</w:t>
      </w:r>
    </w:p>
    <w:p>
      <w:pPr>
        <w:spacing w:after="0" w:line="14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TWELFTH: Special meetings of the stockholders of the Corporation for any purpose or purposes may be called at any time by a majority of the Board of Directors or by the Chairman of the Board. Special meetings may not be called by any other person or persons. Each special meeting shall be held at such date and time as is requested by the person or persons calling the meeting, within the limits fixed by law.</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THIRTEENTH: Meetings of stockholders of the Corporation may be held within or without the State of Delaware, as the Bylaws may provide. The books of the Corporation may be kept (subject to any provision of applicable law) outside the State of Delaware at such place or places as may be designated from time to time by the Board of Directors or in the Bylaws.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FOURTEENTH: </w:t>
      </w:r>
      <w:r>
        <w:rPr>
          <w:rFonts w:ascii="Arial" w:cs="Arial" w:eastAsia="Arial" w:hAnsi="Arial"/>
          <w:sz w:val="16"/>
          <w:szCs w:val="16"/>
          <w:color w:val="auto"/>
          <w:strike w:val="1"/>
        </w:rPr>
        <w:t>1. Subject to the provisions of Section 2 of this Article Fourteenth, in addition to any vote required by law, a Business Combination (as</w:t>
      </w:r>
      <w:r>
        <w:rPr>
          <w:rFonts w:ascii="Arial" w:cs="Arial" w:eastAsia="Arial" w:hAnsi="Arial"/>
          <w:sz w:val="16"/>
          <w:szCs w:val="16"/>
          <w:color w:val="auto"/>
        </w:rPr>
        <w:t xml:space="preserve"> </w:t>
      </w:r>
      <w:r>
        <w:rPr>
          <w:rFonts w:ascii="Arial" w:cs="Arial" w:eastAsia="Arial" w:hAnsi="Arial"/>
          <w:sz w:val="16"/>
          <w:szCs w:val="16"/>
          <w:color w:val="auto"/>
          <w:strike w:val="1"/>
        </w:rPr>
        <w:t>defined in paragraph (b) of Section 3 of this Article Fourteenth) shall be approved by the affirmative vote of the holders of not less than:</w:t>
      </w:r>
    </w:p>
    <w:p>
      <w:pPr>
        <w:spacing w:after="0" w:line="4" w:lineRule="exact"/>
        <w:rPr>
          <w:sz w:val="20"/>
          <w:szCs w:val="20"/>
          <w:color w:val="auto"/>
        </w:rPr>
      </w:pPr>
    </w:p>
    <w:p>
      <w:pPr>
        <w:ind w:left="1140" w:hanging="237"/>
        <w:spacing w:after="0"/>
        <w:tabs>
          <w:tab w:leader="none" w:pos="1140" w:val="left"/>
        </w:tabs>
        <w:numPr>
          <w:ilvl w:val="0"/>
          <w:numId w:val="55"/>
        </w:numPr>
        <w:rPr>
          <w:rFonts w:ascii="Arial" w:cs="Arial" w:eastAsia="Arial" w:hAnsi="Arial"/>
          <w:sz w:val="16"/>
          <w:szCs w:val="16"/>
          <w:color w:val="auto"/>
          <w:strike w:val="1"/>
        </w:rPr>
      </w:pPr>
      <w:r>
        <w:rPr>
          <w:rFonts w:ascii="Arial" w:cs="Arial" w:eastAsia="Arial" w:hAnsi="Arial"/>
          <w:sz w:val="16"/>
          <w:szCs w:val="16"/>
          <w:color w:val="auto"/>
          <w:strike w:val="1"/>
        </w:rPr>
        <w:t>66</w:t>
      </w:r>
      <w:r>
        <w:rPr>
          <w:rFonts w:ascii="Arial" w:cs="Arial" w:eastAsia="Arial" w:hAnsi="Arial"/>
          <w:sz w:val="16"/>
          <w:szCs w:val="16"/>
          <w:color w:val="auto"/>
        </w:rPr>
        <w:t xml:space="preserve"> </w:t>
      </w:r>
      <w:r>
        <w:rPr>
          <w:rFonts w:ascii="Arial" w:cs="Arial" w:eastAsia="Arial" w:hAnsi="Arial"/>
          <w:sz w:val="20"/>
          <w:szCs w:val="20"/>
          <w:color w:val="auto"/>
          <w:vertAlign w:val="superscript"/>
        </w:rPr>
        <w:t>2</w:t>
      </w:r>
      <w:r>
        <w:rPr>
          <w:rFonts w:ascii="Arial" w:cs="Arial" w:eastAsia="Arial" w:hAnsi="Arial"/>
          <w:sz w:val="16"/>
          <w:szCs w:val="16"/>
          <w:color w:val="auto"/>
          <w:strike w:val="1"/>
        </w:rPr>
        <w:t>/</w:t>
      </w:r>
      <w:r>
        <w:rPr>
          <w:rFonts w:ascii="Arial" w:cs="Arial" w:eastAsia="Arial" w:hAnsi="Arial"/>
          <w:sz w:val="12"/>
          <w:szCs w:val="12"/>
          <w:color w:val="auto"/>
          <w:strike w:val="1"/>
        </w:rPr>
        <w:t>3</w:t>
      </w:r>
      <w:r>
        <w:rPr>
          <w:rFonts w:ascii="Arial" w:cs="Arial" w:eastAsia="Arial" w:hAnsi="Arial"/>
          <w:sz w:val="16"/>
          <w:szCs w:val="16"/>
          <w:color w:val="auto"/>
          <w:strike w:val="1"/>
        </w:rPr>
        <w:t>% of the voting power of all outstanding shares of Voting Stock, regardless of class and voting together as a single voting class; and</w:t>
      </w:r>
    </w:p>
    <w:p>
      <w:pPr>
        <w:spacing w:after="0" w:line="68" w:lineRule="exact"/>
        <w:rPr>
          <w:rFonts w:ascii="Arial" w:cs="Arial" w:eastAsia="Arial" w:hAnsi="Arial"/>
          <w:sz w:val="16"/>
          <w:szCs w:val="16"/>
          <w:color w:val="auto"/>
          <w:strike w:val="1"/>
        </w:rPr>
      </w:pPr>
    </w:p>
    <w:p>
      <w:pPr>
        <w:ind w:left="460" w:right="60" w:firstLine="443"/>
        <w:spacing w:after="0" w:line="258" w:lineRule="auto"/>
        <w:tabs>
          <w:tab w:leader="none" w:pos="1147" w:val="left"/>
        </w:tabs>
        <w:numPr>
          <w:ilvl w:val="0"/>
          <w:numId w:val="55"/>
        </w:numPr>
        <w:rPr>
          <w:rFonts w:ascii="Arial" w:cs="Arial" w:eastAsia="Arial" w:hAnsi="Arial"/>
          <w:sz w:val="18"/>
          <w:szCs w:val="18"/>
          <w:color w:val="auto"/>
          <w:strike w:val="1"/>
        </w:rPr>
      </w:pPr>
      <w:r>
        <w:rPr>
          <w:rFonts w:ascii="Arial" w:cs="Arial" w:eastAsia="Arial" w:hAnsi="Arial"/>
          <w:sz w:val="18"/>
          <w:szCs w:val="18"/>
          <w:color w:val="auto"/>
          <w:strike w:val="1"/>
        </w:rPr>
        <w:t>a majority of the voting power of all outstanding shares of Voting Stock, other than shares held by any Interested Stockholder which is (or the Affiliate or Associate of which is) a party to such Business Combination or by any Affiliate or Associate of such Interested Stockholder, regardless of class and voting together as a single voting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-556260</wp:posOffset>
            </wp:positionV>
            <wp:extent cx="533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strike w:val="1"/>
        </w:rPr>
        <w:t>The affirmative votes referred to in paragraphs (a) and (b) of this Section 1 shall be required notwithstanding the fact that no vote may be required, or that a lesser percentage or proportion may be specified, by law, or in any agreement between the Corporation and any national securities exchange or any other person, or otherwise.</w:t>
      </w:r>
    </w:p>
    <w:p>
      <w:pPr>
        <w:spacing w:after="0" w:line="140" w:lineRule="exact"/>
        <w:rPr>
          <w:sz w:val="20"/>
          <w:szCs w:val="20"/>
          <w:color w:val="auto"/>
        </w:rPr>
      </w:pPr>
    </w:p>
    <w:p>
      <w:pPr>
        <w:ind w:right="360" w:firstLine="464"/>
        <w:spacing w:after="0" w:line="268" w:lineRule="auto"/>
        <w:tabs>
          <w:tab w:leader="none" w:pos="632" w:val="left"/>
        </w:tabs>
        <w:numPr>
          <w:ilvl w:val="0"/>
          <w:numId w:val="56"/>
        </w:numPr>
        <w:rPr>
          <w:rFonts w:ascii="Arial" w:cs="Arial" w:eastAsia="Arial" w:hAnsi="Arial"/>
          <w:sz w:val="18"/>
          <w:szCs w:val="18"/>
          <w:color w:val="auto"/>
          <w:strike w:val="1"/>
        </w:rPr>
      </w:pPr>
      <w:r>
        <w:rPr>
          <w:rFonts w:ascii="Arial" w:cs="Arial" w:eastAsia="Arial" w:hAnsi="Arial"/>
          <w:sz w:val="18"/>
          <w:szCs w:val="18"/>
          <w:color w:val="auto"/>
          <w:strike w:val="1"/>
        </w:rPr>
        <w:t>Notwithstanding the provisions of Section 1 of this Article Fourteenth, a Business Combination may be approved if all of the conditions specified in either of the following paragraphs (a) or (b) have been satisfied:</w:t>
      </w:r>
    </w:p>
    <w:p>
      <w:pPr>
        <w:spacing w:after="0" w:line="50" w:lineRule="exact"/>
        <w:rPr>
          <w:rFonts w:ascii="Arial" w:cs="Arial" w:eastAsia="Arial" w:hAnsi="Arial"/>
          <w:sz w:val="18"/>
          <w:szCs w:val="18"/>
          <w:color w:val="auto"/>
          <w:strike w:val="1"/>
        </w:rPr>
      </w:pPr>
    </w:p>
    <w:p>
      <w:pPr>
        <w:ind w:left="1140" w:hanging="237"/>
        <w:spacing w:after="0"/>
        <w:tabs>
          <w:tab w:leader="none" w:pos="1140" w:val="left"/>
        </w:tabs>
        <w:numPr>
          <w:ilvl w:val="1"/>
          <w:numId w:val="56"/>
        </w:numPr>
        <w:rPr>
          <w:rFonts w:ascii="Arial" w:cs="Arial" w:eastAsia="Arial" w:hAnsi="Arial"/>
          <w:sz w:val="18"/>
          <w:szCs w:val="18"/>
          <w:color w:val="auto"/>
          <w:strike w:val="1"/>
        </w:rPr>
      </w:pPr>
      <w:r>
        <w:rPr>
          <w:rFonts w:ascii="Arial" w:cs="Arial" w:eastAsia="Arial" w:hAnsi="Arial"/>
          <w:sz w:val="18"/>
          <w:szCs w:val="18"/>
          <w:color w:val="auto"/>
          <w:strike w:val="1"/>
        </w:rPr>
        <w:t>both of the following conditions specified in clauses (i) and (ii) of this paragraph (a) have been satisfied:</w:t>
      </w:r>
    </w:p>
    <w:p>
      <w:pPr>
        <w:spacing w:after="0" w:line="90" w:lineRule="exact"/>
        <w:rPr>
          <w:rFonts w:ascii="Arial" w:cs="Arial" w:eastAsia="Arial" w:hAnsi="Arial"/>
          <w:sz w:val="18"/>
          <w:szCs w:val="18"/>
          <w:color w:val="auto"/>
          <w:strike w:val="1"/>
        </w:rPr>
      </w:pPr>
    </w:p>
    <w:p>
      <w:pPr>
        <w:ind w:left="1560" w:hanging="219"/>
        <w:spacing w:after="0"/>
        <w:tabs>
          <w:tab w:leader="none" w:pos="1560" w:val="left"/>
        </w:tabs>
        <w:numPr>
          <w:ilvl w:val="2"/>
          <w:numId w:val="56"/>
        </w:numPr>
        <w:rPr>
          <w:rFonts w:ascii="Arial" w:cs="Arial" w:eastAsia="Arial" w:hAnsi="Arial"/>
          <w:sz w:val="16"/>
          <w:szCs w:val="16"/>
          <w:color w:val="auto"/>
          <w:strike w:val="1"/>
        </w:rPr>
      </w:pPr>
      <w:r>
        <w:rPr>
          <w:rFonts w:ascii="Arial" w:cs="Arial" w:eastAsia="Arial" w:hAnsi="Arial"/>
          <w:sz w:val="16"/>
          <w:szCs w:val="16"/>
          <w:color w:val="auto"/>
          <w:strike w:val="1"/>
        </w:rPr>
        <w:t>there are one or more Continuing Directors and a majority of such Continuing Directors shall have approved such Business Combination;</w:t>
      </w:r>
    </w:p>
    <w:p>
      <w:pPr>
        <w:spacing w:after="0" w:line="38" w:lineRule="exact"/>
        <w:rPr>
          <w:rFonts w:ascii="Arial" w:cs="Arial" w:eastAsia="Arial" w:hAnsi="Arial"/>
          <w:sz w:val="16"/>
          <w:szCs w:val="16"/>
          <w:color w:val="auto"/>
          <w:strike w:val="1"/>
        </w:rPr>
      </w:pPr>
    </w:p>
    <w:p>
      <w:pPr>
        <w:ind w:left="920"/>
        <w:spacing w:after="0"/>
        <w:rPr>
          <w:rFonts w:ascii="Arial" w:cs="Arial" w:eastAsia="Arial" w:hAnsi="Arial"/>
          <w:sz w:val="16"/>
          <w:szCs w:val="16"/>
          <w:color w:val="auto"/>
          <w:strike w:val="1"/>
        </w:rPr>
      </w:pPr>
      <w:r>
        <w:rPr>
          <w:rFonts w:ascii="Arial" w:cs="Arial" w:eastAsia="Arial" w:hAnsi="Arial"/>
          <w:sz w:val="18"/>
          <w:szCs w:val="18"/>
          <w:color w:val="auto"/>
          <w:strike w:val="1"/>
        </w:rPr>
        <w:t>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59" w:name="page60"/>
    <w:bookmarkEnd w:id="59"/>
    <w:p>
      <w:pPr>
        <w:ind w:left="460" w:right="20" w:firstLine="421"/>
        <w:spacing w:after="0" w:line="268" w:lineRule="auto"/>
        <w:tabs>
          <w:tab w:leader="none" w:pos="1138" w:val="left"/>
        </w:tabs>
        <w:numPr>
          <w:ilvl w:val="1"/>
          <w:numId w:val="57"/>
        </w:numPr>
        <w:rPr>
          <w:rFonts w:ascii="Arial" w:cs="Arial" w:eastAsia="Arial" w:hAnsi="Arial"/>
          <w:sz w:val="18"/>
          <w:szCs w:val="18"/>
          <w:color w:val="auto"/>
          <w:strike w:val="1"/>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Business Combination shall have been approved by the affirmative vote of the Corporation’s stockholders required by law, if any such vote is so required: or</w:t>
      </w:r>
    </w:p>
    <w:p>
      <w:pPr>
        <w:spacing w:after="0" w:line="131" w:lineRule="exact"/>
        <w:rPr>
          <w:rFonts w:ascii="Arial" w:cs="Arial" w:eastAsia="Arial" w:hAnsi="Arial"/>
          <w:sz w:val="18"/>
          <w:szCs w:val="18"/>
          <w:color w:val="auto"/>
          <w:strike w:val="1"/>
        </w:rPr>
      </w:pPr>
    </w:p>
    <w:p>
      <w:pPr>
        <w:ind w:left="260" w:hanging="256"/>
        <w:spacing w:after="0"/>
        <w:tabs>
          <w:tab w:leader="none" w:pos="260" w:val="left"/>
        </w:tabs>
        <w:numPr>
          <w:ilvl w:val="0"/>
          <w:numId w:val="58"/>
        </w:numPr>
        <w:rPr>
          <w:rFonts w:ascii="Arial" w:cs="Arial" w:eastAsia="Arial" w:hAnsi="Arial"/>
          <w:sz w:val="18"/>
          <w:szCs w:val="18"/>
          <w:color w:val="auto"/>
          <w:strike w:val="1"/>
        </w:rPr>
      </w:pPr>
      <w:r>
        <w:rPr>
          <w:rFonts w:ascii="Arial" w:cs="Arial" w:eastAsia="Arial" w:hAnsi="Arial"/>
          <w:sz w:val="18"/>
          <w:szCs w:val="18"/>
          <w:color w:val="auto"/>
          <w:strike w:val="1"/>
        </w:rPr>
        <w:t>all of the following conditions satisfied in clauses (i) through (vii) of this paragraph (b) have been satisfied:</w:t>
      </w:r>
    </w:p>
    <w:p>
      <w:pPr>
        <w:spacing w:after="0" w:line="90" w:lineRule="exact"/>
        <w:rPr>
          <w:rFonts w:ascii="Arial" w:cs="Arial" w:eastAsia="Arial" w:hAnsi="Arial"/>
          <w:sz w:val="18"/>
          <w:szCs w:val="18"/>
          <w:color w:val="auto"/>
          <w:strike w:val="1"/>
        </w:rPr>
      </w:pPr>
    </w:p>
    <w:p>
      <w:pPr>
        <w:ind w:left="460" w:right="60" w:firstLine="421"/>
        <w:spacing w:after="0" w:line="268" w:lineRule="auto"/>
        <w:tabs>
          <w:tab w:leader="none" w:pos="1089" w:val="left"/>
        </w:tabs>
        <w:numPr>
          <w:ilvl w:val="1"/>
          <w:numId w:val="58"/>
        </w:numPr>
        <w:rPr>
          <w:rFonts w:ascii="Arial" w:cs="Arial" w:eastAsia="Arial" w:hAnsi="Arial"/>
          <w:sz w:val="18"/>
          <w:szCs w:val="18"/>
          <w:color w:val="auto"/>
          <w:strike w:val="1"/>
        </w:rPr>
      </w:pPr>
      <w:r>
        <w:rPr>
          <w:rFonts w:ascii="Arial" w:cs="Arial" w:eastAsia="Arial" w:hAnsi="Arial"/>
          <w:sz w:val="18"/>
          <w:szCs w:val="18"/>
          <w:color w:val="auto"/>
          <w:strike w:val="1"/>
        </w:rPr>
        <w:t>such Business Combination shall have been approved by the affirmative vote of holders of a majority of the voting power of all outstanding shares of Voting Stock, regardless of class and voting together as a single voting class;</w:t>
      </w:r>
    </w:p>
    <w:p>
      <w:pPr>
        <w:spacing w:after="0" w:line="51" w:lineRule="exact"/>
        <w:rPr>
          <w:sz w:val="20"/>
          <w:szCs w:val="20"/>
          <w:color w:val="auto"/>
        </w:rPr>
      </w:pPr>
    </w:p>
    <w:p>
      <w:pPr>
        <w:ind w:left="460" w:right="100" w:firstLine="421"/>
        <w:spacing w:after="0" w:line="306" w:lineRule="auto"/>
        <w:tabs>
          <w:tab w:leader="none" w:pos="1138" w:val="left"/>
        </w:tabs>
        <w:numPr>
          <w:ilvl w:val="0"/>
          <w:numId w:val="59"/>
        </w:numPr>
        <w:rPr>
          <w:rFonts w:ascii="Arial" w:cs="Arial" w:eastAsia="Arial" w:hAnsi="Arial"/>
          <w:sz w:val="16"/>
          <w:szCs w:val="16"/>
          <w:color w:val="auto"/>
          <w:strike w:val="1"/>
        </w:rPr>
      </w:pPr>
      <w:r>
        <w:rPr>
          <w:rFonts w:ascii="Arial" w:cs="Arial" w:eastAsia="Arial" w:hAnsi="Arial"/>
          <w:sz w:val="16"/>
          <w:szCs w:val="16"/>
          <w:color w:val="auto"/>
          <w:strike w:val="1"/>
        </w:rPr>
        <w:t>the aggregate amount of (A) the cash and (B) the Fair Market Value (as defined in paragraph (i) of Section 3 of this Article Fourteenth), as of the date of the consummation of the Business Combination (the “Consummation Date”), of consideration other than cash received or to be received, per share, by holders of shares of Common Stock in such Business Combination, shall be at least equal to the higher of the following:</w:t>
      </w:r>
    </w:p>
    <w:p>
      <w:pPr>
        <w:spacing w:after="0" w:line="25" w:lineRule="exact"/>
        <w:rPr>
          <w:rFonts w:ascii="Arial" w:cs="Arial" w:eastAsia="Arial" w:hAnsi="Arial"/>
          <w:sz w:val="16"/>
          <w:szCs w:val="16"/>
          <w:color w:val="auto"/>
          <w:strike w:val="1"/>
        </w:rPr>
      </w:pPr>
    </w:p>
    <w:p>
      <w:pPr>
        <w:ind w:left="1040" w:right="60" w:firstLine="389"/>
        <w:spacing w:after="0" w:line="255" w:lineRule="auto"/>
        <w:tabs>
          <w:tab w:leader="none" w:pos="1656" w:val="left"/>
        </w:tabs>
        <w:numPr>
          <w:ilvl w:val="1"/>
          <w:numId w:val="59"/>
        </w:numPr>
        <w:rPr>
          <w:rFonts w:ascii="Arial" w:cs="Arial" w:eastAsia="Arial" w:hAnsi="Arial"/>
          <w:sz w:val="18"/>
          <w:szCs w:val="18"/>
          <w:color w:val="auto"/>
          <w:strike w:val="1"/>
        </w:rPr>
      </w:pPr>
      <w:r>
        <w:rPr>
          <w:rFonts w:ascii="Arial" w:cs="Arial" w:eastAsia="Arial" w:hAnsi="Arial"/>
          <w:sz w:val="18"/>
          <w:szCs w:val="18"/>
          <w:color w:val="auto"/>
          <w:strike w:val="1"/>
        </w:rPr>
        <w:t>(if applicable) the highest per share price (including any brokerage commissions, transfer taxes and soliciting dealers’ fees) paid or agreed to be paid by the Interested Stockholder which is (or the Affiliate or Associate of which is) a party to such Business Combination for any shares of Common Stock (x) within the two-year period immediately prior to and including the date of the final public announcement of the terms of the proposed Business Combination (the “Announcement Date”), or (y) in the transaction in which it became an interested Stockholder, whichever is higher; or</w:t>
      </w:r>
    </w:p>
    <w:p>
      <w:pPr>
        <w:spacing w:after="0" w:line="62" w:lineRule="exact"/>
        <w:rPr>
          <w:sz w:val="20"/>
          <w:szCs w:val="20"/>
          <w:color w:val="auto"/>
        </w:rPr>
      </w:pPr>
    </w:p>
    <w:p>
      <w:pPr>
        <w:ind w:left="1040" w:right="500" w:firstLine="389"/>
        <w:spacing w:after="0" w:line="268" w:lineRule="auto"/>
        <w:tabs>
          <w:tab w:leader="none" w:pos="1715" w:val="left"/>
        </w:tabs>
        <w:numPr>
          <w:ilvl w:val="1"/>
          <w:numId w:val="60"/>
        </w:numPr>
        <w:rPr>
          <w:rFonts w:ascii="Arial" w:cs="Arial" w:eastAsia="Arial" w:hAnsi="Arial"/>
          <w:sz w:val="18"/>
          <w:szCs w:val="18"/>
          <w:color w:val="auto"/>
          <w:strike w:val="1"/>
        </w:rPr>
      </w:pPr>
      <w:r>
        <w:rPr>
          <w:rFonts w:ascii="Arial" w:cs="Arial" w:eastAsia="Arial" w:hAnsi="Arial"/>
          <w:sz w:val="18"/>
          <w:szCs w:val="18"/>
          <w:color w:val="auto"/>
          <w:strike w:val="1"/>
        </w:rPr>
        <w:t>the Fair Market Value per share of Common Stock (x) on the Announcement Date, or (y) on the date on which the Interested Stockholder became an Interested Stockholder (the “Determination Date”), whichever is higher;</w:t>
      </w:r>
    </w:p>
    <w:p>
      <w:pPr>
        <w:spacing w:after="0" w:line="50" w:lineRule="exact"/>
        <w:rPr>
          <w:rFonts w:ascii="Arial" w:cs="Arial" w:eastAsia="Arial" w:hAnsi="Arial"/>
          <w:sz w:val="18"/>
          <w:szCs w:val="18"/>
          <w:color w:val="auto"/>
          <w:strike w:val="1"/>
        </w:rPr>
      </w:pPr>
    </w:p>
    <w:p>
      <w:pPr>
        <w:jc w:val="both"/>
        <w:ind w:left="460" w:right="80" w:firstLine="421"/>
        <w:spacing w:after="0" w:line="294" w:lineRule="auto"/>
        <w:tabs>
          <w:tab w:leader="none" w:pos="1187" w:val="left"/>
        </w:tabs>
        <w:numPr>
          <w:ilvl w:val="0"/>
          <w:numId w:val="61"/>
        </w:numPr>
        <w:rPr>
          <w:rFonts w:ascii="Arial" w:cs="Arial" w:eastAsia="Arial" w:hAnsi="Arial"/>
          <w:sz w:val="16"/>
          <w:szCs w:val="16"/>
          <w:color w:val="auto"/>
          <w:strike w:val="1"/>
        </w:rPr>
      </w:pPr>
      <w:r>
        <w:rPr>
          <w:rFonts w:ascii="Arial" w:cs="Arial" w:eastAsia="Arial" w:hAnsi="Arial"/>
          <w:sz w:val="16"/>
          <w:szCs w:val="16"/>
          <w:color w:val="auto"/>
          <w:strike w:val="1"/>
        </w:rPr>
        <w:t>the aggregate amount of (A) the cash and (B) the Fair Market Value, as of the Consummation Date, of consideration other than cash received or to be received, per share, by holders of shares of any class of outstanding Voting Stock other than Common Stock in such Business Combination, shall be at least equal to the highest of the following (it being intended that the requirements of this clause (iii) shall be required to be met with respect to every class of outstanding Voting Stock other than Common Stock, whether or not such Interested Stockholder (or such Affiliate or Associate) has previously acquired any shares of a particular class of Voting Stock):</w:t>
      </w:r>
    </w:p>
    <w:p>
      <w:pPr>
        <w:spacing w:after="0" w:line="34" w:lineRule="exact"/>
        <w:rPr>
          <w:rFonts w:ascii="Arial" w:cs="Arial" w:eastAsia="Arial" w:hAnsi="Arial"/>
          <w:sz w:val="16"/>
          <w:szCs w:val="16"/>
          <w:color w:val="auto"/>
          <w:strike w:val="1"/>
        </w:rPr>
      </w:pPr>
    </w:p>
    <w:p>
      <w:pPr>
        <w:ind w:left="1040" w:right="40" w:firstLine="389"/>
        <w:spacing w:after="0" w:line="306" w:lineRule="auto"/>
        <w:tabs>
          <w:tab w:leader="none" w:pos="1656" w:val="left"/>
        </w:tabs>
        <w:numPr>
          <w:ilvl w:val="1"/>
          <w:numId w:val="61"/>
        </w:numPr>
        <w:rPr>
          <w:rFonts w:ascii="Arial" w:cs="Arial" w:eastAsia="Arial" w:hAnsi="Arial"/>
          <w:sz w:val="16"/>
          <w:szCs w:val="16"/>
          <w:color w:val="auto"/>
          <w:strike w:val="1"/>
        </w:rPr>
      </w:pPr>
      <w:r>
        <w:rPr>
          <w:rFonts w:ascii="Arial" w:cs="Arial" w:eastAsia="Arial" w:hAnsi="Arial"/>
          <w:sz w:val="16"/>
          <w:szCs w:val="16"/>
          <w:color w:val="auto"/>
          <w:strike w:val="1"/>
        </w:rPr>
        <w:t>(if applicable) the highest per share price (including any brokerage commissions, transfer taxes and soliciting dealers’ fees) paid or agreed to be paid by the Interested Stockholder for any shares of such class of Voting Stock (x) within the two-year period immediately prior to the Announcement Date, or (y) in the transaction in which it became an Interested Stockholder, whichever is higher;</w:t>
      </w:r>
    </w:p>
    <w:p>
      <w:pPr>
        <w:spacing w:after="0" w:line="26" w:lineRule="exact"/>
        <w:rPr>
          <w:sz w:val="20"/>
          <w:szCs w:val="20"/>
          <w:color w:val="auto"/>
        </w:rPr>
      </w:pPr>
    </w:p>
    <w:p>
      <w:pPr>
        <w:ind w:left="1040" w:right="120" w:firstLine="389"/>
        <w:spacing w:after="0" w:line="268" w:lineRule="auto"/>
        <w:tabs>
          <w:tab w:leader="none" w:pos="1715" w:val="left"/>
        </w:tabs>
        <w:numPr>
          <w:ilvl w:val="0"/>
          <w:numId w:val="62"/>
        </w:numPr>
        <w:rPr>
          <w:rFonts w:ascii="Arial" w:cs="Arial" w:eastAsia="Arial" w:hAnsi="Arial"/>
          <w:sz w:val="18"/>
          <w:szCs w:val="18"/>
          <w:color w:val="auto"/>
          <w:strike w:val="1"/>
        </w:rPr>
      </w:pPr>
      <w:r>
        <w:rPr>
          <w:rFonts w:ascii="Arial" w:cs="Arial" w:eastAsia="Arial" w:hAnsi="Arial"/>
          <w:sz w:val="18"/>
          <w:szCs w:val="18"/>
          <w:color w:val="auto"/>
          <w:strike w:val="1"/>
        </w:rPr>
        <w:t>(if applicable) the highest preferential amount per share to which the holders of shares of such class of Voting Stock are entitled in the event of any voluntary or involuntary liquidation, dissolution or winding up of the Corporation; or</w:t>
      </w:r>
    </w:p>
    <w:p>
      <w:pPr>
        <w:spacing w:after="0" w:line="51" w:lineRule="exact"/>
        <w:rPr>
          <w:sz w:val="20"/>
          <w:szCs w:val="20"/>
          <w:color w:val="auto"/>
        </w:rPr>
      </w:pPr>
    </w:p>
    <w:p>
      <w:pPr>
        <w:ind w:left="1040" w:right="240" w:firstLine="389"/>
        <w:spacing w:after="0" w:line="268" w:lineRule="auto"/>
        <w:tabs>
          <w:tab w:leader="none" w:pos="1773" w:val="left"/>
        </w:tabs>
        <w:numPr>
          <w:ilvl w:val="1"/>
          <w:numId w:val="63"/>
        </w:numPr>
        <w:rPr>
          <w:rFonts w:ascii="Arial" w:cs="Arial" w:eastAsia="Arial" w:hAnsi="Arial"/>
          <w:sz w:val="18"/>
          <w:szCs w:val="18"/>
          <w:color w:val="auto"/>
          <w:strike w:val="1"/>
        </w:rPr>
      </w:pPr>
      <w:r>
        <w:rPr>
          <w:rFonts w:ascii="Arial" w:cs="Arial" w:eastAsia="Arial" w:hAnsi="Arial"/>
          <w:sz w:val="18"/>
          <w:szCs w:val="18"/>
          <w:color w:val="auto"/>
          <w:strike w:val="1"/>
        </w:rPr>
        <w:t>the Fair Market Value per share of such class of Voting Stock (x) on the Announcement Date, or (y) on the Determination Date, whichever is higher;</w:t>
      </w:r>
    </w:p>
    <w:p>
      <w:pPr>
        <w:spacing w:after="0" w:line="50" w:lineRule="exact"/>
        <w:rPr>
          <w:rFonts w:ascii="Arial" w:cs="Arial" w:eastAsia="Arial" w:hAnsi="Arial"/>
          <w:sz w:val="18"/>
          <w:szCs w:val="18"/>
          <w:color w:val="auto"/>
          <w:strike w:val="1"/>
        </w:rPr>
      </w:pPr>
    </w:p>
    <w:p>
      <w:pPr>
        <w:ind w:left="460" w:firstLine="421"/>
        <w:spacing w:after="0" w:line="291" w:lineRule="auto"/>
        <w:tabs>
          <w:tab w:leader="none" w:pos="1177" w:val="left"/>
        </w:tabs>
        <w:numPr>
          <w:ilvl w:val="0"/>
          <w:numId w:val="64"/>
        </w:numPr>
        <w:rPr>
          <w:rFonts w:ascii="Arial" w:cs="Arial" w:eastAsia="Arial" w:hAnsi="Arial"/>
          <w:sz w:val="16"/>
          <w:szCs w:val="16"/>
          <w:color w:val="auto"/>
          <w:strike w:val="1"/>
        </w:rPr>
      </w:pPr>
      <w:r>
        <w:rPr>
          <w:rFonts w:ascii="Arial" w:cs="Arial" w:eastAsia="Arial" w:hAnsi="Arial"/>
          <w:sz w:val="16"/>
          <w:szCs w:val="16"/>
          <w:color w:val="auto"/>
          <w:strike w:val="1"/>
        </w:rPr>
        <w:t>the consideration to be received by the holders of a particular class of outstanding Voting Stock (including Common Stock) shall be in cash or in the same form as the Interested Stockholder has previously paid (or agreed to pay) for shares of such class of Voting Stock; if the Interested Stockholder has paid for shares of any class of Voting Stock with varying forms of consideration, the form of consideration to be received by holders of shares of such class of Voting Stock shall be either cash or the form used to acquire the largest number of shares of such class of Voting Stock previously acquired by such Interested Stockholder, and the price determined in accordance with clauses (ii) and (iii) of this paragraph (b) shall be subject to appropriate adjustment in the event of any stock dividend, stock split, combination of shares or similar event;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60"/>
          </w:cols>
          <w:pgMar w:left="700" w:top="280" w:right="239" w:bottom="1440" w:gutter="0" w:footer="0" w:header="0"/>
        </w:sectPr>
      </w:pPr>
    </w:p>
    <w:bookmarkStart w:id="60" w:name="page61"/>
    <w:bookmarkEnd w:id="60"/>
    <w:p>
      <w:pPr>
        <w:ind w:left="460" w:right="80" w:firstLine="421"/>
        <w:spacing w:after="0" w:line="294" w:lineRule="auto"/>
        <w:tabs>
          <w:tab w:leader="none" w:pos="1128" w:val="left"/>
        </w:tabs>
        <w:numPr>
          <w:ilvl w:val="2"/>
          <w:numId w:val="65"/>
        </w:numPr>
        <w:rPr>
          <w:rFonts w:ascii="Arial" w:cs="Arial" w:eastAsia="Arial" w:hAnsi="Arial"/>
          <w:sz w:val="16"/>
          <w:szCs w:val="16"/>
          <w:color w:val="auto"/>
          <w:strike w:val="1"/>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after such Interested Stockholder has become an Interested Stockholder, and prior to the consummation of such Business Combination, neither such Interested Stockholder nor any of its Affiliates or Associates shall have become the beneficial owner of any additional shares of Voting Stock, except (A) as part of the action which resulted in such Interested Stockholder becoming an Interested Stockholder, or (B) upon conversion of convertible securities acquired by it prior to such Interested Stockholder becoming an Interested Stockholder, upon exercise of warrants acquired by it prior to such Interested Stockholder becoming an Interested Stockholder, or as a result of a stock split or a </w:t>
      </w:r>
      <w:r>
        <w:rPr>
          <w:rFonts w:ascii="Arial" w:cs="Arial" w:eastAsia="Arial" w:hAnsi="Arial"/>
          <w:sz w:val="16"/>
          <w:szCs w:val="16"/>
          <w:i w:val="1"/>
          <w:iCs w:val="1"/>
          <w:color w:val="auto"/>
          <w:strike w:val="1"/>
        </w:rPr>
        <w:t>pro rata</w:t>
      </w:r>
      <w:r>
        <w:rPr>
          <w:rFonts w:ascii="Arial" w:cs="Arial" w:eastAsia="Arial" w:hAnsi="Arial"/>
          <w:sz w:val="16"/>
          <w:szCs w:val="16"/>
          <w:color w:val="auto"/>
          <w:strike w:val="1"/>
        </w:rPr>
        <w:t xml:space="preserve"> stock dividend;</w:t>
      </w:r>
    </w:p>
    <w:p>
      <w:pPr>
        <w:spacing w:after="0" w:line="34" w:lineRule="exact"/>
        <w:rPr>
          <w:rFonts w:ascii="Arial" w:cs="Arial" w:eastAsia="Arial" w:hAnsi="Arial"/>
          <w:sz w:val="16"/>
          <w:szCs w:val="16"/>
          <w:color w:val="auto"/>
          <w:strike w:val="1"/>
        </w:rPr>
      </w:pPr>
    </w:p>
    <w:p>
      <w:pPr>
        <w:ind w:left="460" w:right="300" w:firstLine="421"/>
        <w:spacing w:after="0" w:line="256" w:lineRule="auto"/>
        <w:tabs>
          <w:tab w:leader="none" w:pos="1177" w:val="left"/>
        </w:tabs>
        <w:numPr>
          <w:ilvl w:val="2"/>
          <w:numId w:val="65"/>
        </w:numPr>
        <w:rPr>
          <w:rFonts w:ascii="Arial" w:cs="Arial" w:eastAsia="Arial" w:hAnsi="Arial"/>
          <w:sz w:val="18"/>
          <w:szCs w:val="18"/>
          <w:color w:val="auto"/>
          <w:strike w:val="1"/>
        </w:rPr>
      </w:pPr>
      <w:r>
        <w:rPr>
          <w:rFonts w:ascii="Arial" w:cs="Arial" w:eastAsia="Arial" w:hAnsi="Arial"/>
          <w:sz w:val="18"/>
          <w:szCs w:val="18"/>
          <w:color w:val="auto"/>
          <w:strike w:val="1"/>
        </w:rPr>
        <w:t>after such Interested Stockholder has become an Interested Stockholder, neither such Interested Stockholder nor any of its Affiliates or Associates shall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 and</w:t>
      </w:r>
    </w:p>
    <w:p>
      <w:pPr>
        <w:spacing w:after="0" w:line="62" w:lineRule="exact"/>
        <w:rPr>
          <w:rFonts w:ascii="Arial" w:cs="Arial" w:eastAsia="Arial" w:hAnsi="Arial"/>
          <w:sz w:val="18"/>
          <w:szCs w:val="18"/>
          <w:color w:val="auto"/>
          <w:strike w:val="1"/>
        </w:rPr>
      </w:pPr>
    </w:p>
    <w:p>
      <w:pPr>
        <w:ind w:left="460" w:right="200" w:firstLine="421"/>
        <w:spacing w:after="0" w:line="255" w:lineRule="auto"/>
        <w:tabs>
          <w:tab w:leader="none" w:pos="1226" w:val="left"/>
        </w:tabs>
        <w:numPr>
          <w:ilvl w:val="2"/>
          <w:numId w:val="65"/>
        </w:numPr>
        <w:rPr>
          <w:rFonts w:ascii="Arial" w:cs="Arial" w:eastAsia="Arial" w:hAnsi="Arial"/>
          <w:sz w:val="18"/>
          <w:szCs w:val="18"/>
          <w:color w:val="auto"/>
          <w:strike w:val="1"/>
        </w:rPr>
      </w:pPr>
      <w:r>
        <w:rPr>
          <w:rFonts w:ascii="Arial" w:cs="Arial" w:eastAsia="Arial" w:hAnsi="Arial"/>
          <w:sz w:val="18"/>
          <w:szCs w:val="18"/>
          <w:color w:val="auto"/>
          <w:strike w:val="1"/>
        </w:rPr>
        <w:t>a proxy or information statement describing the proposed Business Combination and complying with the requirements of the Securities Exchange Act of 1934, as amended, and the rules and regulations thereunder (or any subsequent provisions replacing such Act, rules and/or regulations) shall be mailed to stockholders of the Corporation at least thirty (30) days prior to the consummation of such Business Combination (whether or not such proxy or information statement is required to be mailed pursuant to such Act, rules and/or regulations or such subsequent provisions).</w:t>
      </w:r>
    </w:p>
    <w:p>
      <w:pPr>
        <w:spacing w:after="0" w:line="142" w:lineRule="exact"/>
        <w:rPr>
          <w:rFonts w:ascii="Arial" w:cs="Arial" w:eastAsia="Arial" w:hAnsi="Arial"/>
          <w:sz w:val="18"/>
          <w:szCs w:val="18"/>
          <w:color w:val="auto"/>
          <w:strike w:val="1"/>
        </w:rPr>
      </w:pPr>
    </w:p>
    <w:p>
      <w:pPr>
        <w:ind w:left="180" w:hanging="176"/>
        <w:spacing w:after="0"/>
        <w:tabs>
          <w:tab w:leader="none" w:pos="180" w:val="left"/>
        </w:tabs>
        <w:numPr>
          <w:ilvl w:val="0"/>
          <w:numId w:val="66"/>
        </w:numPr>
        <w:rPr>
          <w:rFonts w:ascii="Arial" w:cs="Arial" w:eastAsia="Arial" w:hAnsi="Arial"/>
          <w:sz w:val="18"/>
          <w:szCs w:val="18"/>
          <w:color w:val="auto"/>
          <w:strike w:val="1"/>
        </w:rPr>
      </w:pPr>
      <w:r>
        <w:rPr>
          <w:rFonts w:ascii="Arial" w:cs="Arial" w:eastAsia="Arial" w:hAnsi="Arial"/>
          <w:sz w:val="18"/>
          <w:szCs w:val="18"/>
          <w:color w:val="auto"/>
          <w:strike w:val="1"/>
        </w:rPr>
        <w:t>For the purposes of this Restated Certificate of Incorporation, the following definitions shall apply:</w:t>
      </w:r>
    </w:p>
    <w:p>
      <w:pPr>
        <w:spacing w:after="0" w:line="90" w:lineRule="exact"/>
        <w:rPr>
          <w:rFonts w:ascii="Arial" w:cs="Arial" w:eastAsia="Arial" w:hAnsi="Arial"/>
          <w:sz w:val="18"/>
          <w:szCs w:val="18"/>
          <w:color w:val="auto"/>
          <w:strike w:val="1"/>
        </w:rPr>
      </w:pPr>
    </w:p>
    <w:p>
      <w:pPr>
        <w:ind w:firstLine="443"/>
        <w:spacing w:after="0" w:line="256" w:lineRule="auto"/>
        <w:tabs>
          <w:tab w:leader="none" w:pos="677" w:val="left"/>
        </w:tabs>
        <w:numPr>
          <w:ilvl w:val="1"/>
          <w:numId w:val="66"/>
        </w:numPr>
        <w:rPr>
          <w:rFonts w:ascii="Arial" w:cs="Arial" w:eastAsia="Arial" w:hAnsi="Arial"/>
          <w:sz w:val="18"/>
          <w:szCs w:val="18"/>
          <w:color w:val="auto"/>
          <w:strike w:val="1"/>
        </w:rPr>
      </w:pPr>
      <w:r>
        <w:rPr>
          <w:rFonts w:ascii="Arial" w:cs="Arial" w:eastAsia="Arial" w:hAnsi="Arial"/>
          <w:sz w:val="18"/>
          <w:szCs w:val="18"/>
          <w:color w:val="auto"/>
          <w:strike w:val="1"/>
        </w:rPr>
        <w:t>”Continuing Director” means (i) any member of the Board of Directors who (A) is not an Interested Stockholder or an Affiliate or Associate of an Interested Stockholder and (B) was a member of the Board of Directors prior to the time that an Interested Stockholder became an Interested Stockholder, and (ii) any person who is elected or nominated to succeed a Continuing Director, or to join the Board of Directors, by a majority of the Continuing Directors.</w:t>
      </w:r>
    </w:p>
    <w:p>
      <w:pPr>
        <w:spacing w:after="0" w:line="62" w:lineRule="exact"/>
        <w:rPr>
          <w:rFonts w:ascii="Arial" w:cs="Arial" w:eastAsia="Arial" w:hAnsi="Arial"/>
          <w:sz w:val="18"/>
          <w:szCs w:val="18"/>
          <w:color w:val="auto"/>
          <w:strike w:val="1"/>
        </w:rPr>
      </w:pPr>
    </w:p>
    <w:p>
      <w:pPr>
        <w:ind w:left="700" w:hanging="257"/>
        <w:spacing w:after="0"/>
        <w:tabs>
          <w:tab w:leader="none" w:pos="700" w:val="left"/>
        </w:tabs>
        <w:numPr>
          <w:ilvl w:val="1"/>
          <w:numId w:val="66"/>
        </w:numPr>
        <w:rPr>
          <w:rFonts w:ascii="Arial" w:cs="Arial" w:eastAsia="Arial" w:hAnsi="Arial"/>
          <w:sz w:val="16"/>
          <w:szCs w:val="16"/>
          <w:color w:val="auto"/>
          <w:strike w:val="1"/>
        </w:rPr>
      </w:pPr>
      <w:r>
        <w:rPr>
          <w:rFonts w:ascii="Arial" w:cs="Arial" w:eastAsia="Arial" w:hAnsi="Arial"/>
          <w:sz w:val="16"/>
          <w:szCs w:val="16"/>
          <w:color w:val="auto"/>
          <w:strike w:val="1"/>
        </w:rPr>
        <w:t>”Business Combination” means any one or more of the following transactions referred to in clauses (i) through (vi) of this paragraph (b):</w:t>
      </w:r>
    </w:p>
    <w:p>
      <w:pPr>
        <w:spacing w:after="0" w:line="113" w:lineRule="exact"/>
        <w:rPr>
          <w:rFonts w:ascii="Arial" w:cs="Arial" w:eastAsia="Arial" w:hAnsi="Arial"/>
          <w:sz w:val="16"/>
          <w:szCs w:val="16"/>
          <w:color w:val="auto"/>
          <w:strike w:val="1"/>
        </w:rPr>
      </w:pPr>
    </w:p>
    <w:p>
      <w:pPr>
        <w:ind w:left="460" w:right="440" w:firstLine="421"/>
        <w:spacing w:after="0" w:line="259" w:lineRule="auto"/>
        <w:tabs>
          <w:tab w:leader="none" w:pos="1089" w:val="left"/>
        </w:tabs>
        <w:numPr>
          <w:ilvl w:val="2"/>
          <w:numId w:val="66"/>
        </w:numPr>
        <w:rPr>
          <w:rFonts w:ascii="Arial" w:cs="Arial" w:eastAsia="Arial" w:hAnsi="Arial"/>
          <w:sz w:val="18"/>
          <w:szCs w:val="18"/>
          <w:color w:val="auto"/>
          <w:strike w:val="1"/>
        </w:rPr>
      </w:pPr>
      <w:r>
        <w:rPr>
          <w:rFonts w:ascii="Arial" w:cs="Arial" w:eastAsia="Arial" w:hAnsi="Arial"/>
          <w:sz w:val="18"/>
          <w:szCs w:val="18"/>
          <w:color w:val="auto"/>
          <w:strike w:val="1"/>
        </w:rPr>
        <w:t>any merger or consolidation of the Corporation or any Subsidiary (as defined in paragraph (h) of this Section 3) with or into (A) any Interested Stockholder or (B) any other corporation (whether or not itself an Interested Stockholder) which immediately before is, or after such merger or consolidation would be, an Affiliate or Associate of an Interested Stockholder;</w:t>
      </w:r>
    </w:p>
    <w:p>
      <w:pPr>
        <w:spacing w:after="0" w:line="59" w:lineRule="exact"/>
        <w:rPr>
          <w:rFonts w:ascii="Arial" w:cs="Arial" w:eastAsia="Arial" w:hAnsi="Arial"/>
          <w:sz w:val="18"/>
          <w:szCs w:val="18"/>
          <w:color w:val="auto"/>
          <w:strike w:val="1"/>
        </w:rPr>
      </w:pPr>
    </w:p>
    <w:p>
      <w:pPr>
        <w:ind w:left="460" w:right="220" w:firstLine="421"/>
        <w:spacing w:after="0" w:line="306" w:lineRule="auto"/>
        <w:tabs>
          <w:tab w:leader="none" w:pos="1138" w:val="left"/>
        </w:tabs>
        <w:numPr>
          <w:ilvl w:val="2"/>
          <w:numId w:val="66"/>
        </w:numPr>
        <w:rPr>
          <w:rFonts w:ascii="Arial" w:cs="Arial" w:eastAsia="Arial" w:hAnsi="Arial"/>
          <w:sz w:val="16"/>
          <w:szCs w:val="16"/>
          <w:color w:val="auto"/>
          <w:strike w:val="1"/>
        </w:rPr>
      </w:pPr>
      <w:r>
        <w:rPr>
          <w:rFonts w:ascii="Arial" w:cs="Arial" w:eastAsia="Arial" w:hAnsi="Arial"/>
          <w:sz w:val="16"/>
          <w:szCs w:val="16"/>
          <w:color w:val="auto"/>
          <w:strike w:val="1"/>
        </w:rPr>
        <w:t>any sale, lease, exchange, mortgage, pledge, transfer or other disposition (in one transaction or a series of related transactions) to or with any Interested Stockholder, Affiliate and/or any Associate of any Interested Stockholder of any assets of the Corporation and/or any Subsidiary, where such assets have an aggregate Fair Market Value of Twenty-Five Million Dollars ($25,000,000) or more;</w:t>
      </w:r>
    </w:p>
    <w:p>
      <w:pPr>
        <w:spacing w:after="0" w:line="25" w:lineRule="exact"/>
        <w:rPr>
          <w:rFonts w:ascii="Arial" w:cs="Arial" w:eastAsia="Arial" w:hAnsi="Arial"/>
          <w:sz w:val="16"/>
          <w:szCs w:val="16"/>
          <w:color w:val="auto"/>
          <w:strike w:val="1"/>
        </w:rPr>
      </w:pPr>
    </w:p>
    <w:p>
      <w:pPr>
        <w:ind w:left="460" w:right="80" w:firstLine="421"/>
        <w:spacing w:after="0" w:line="256" w:lineRule="auto"/>
        <w:tabs>
          <w:tab w:leader="none" w:pos="1187" w:val="left"/>
        </w:tabs>
        <w:numPr>
          <w:ilvl w:val="2"/>
          <w:numId w:val="66"/>
        </w:numPr>
        <w:rPr>
          <w:rFonts w:ascii="Arial" w:cs="Arial" w:eastAsia="Arial" w:hAnsi="Arial"/>
          <w:sz w:val="18"/>
          <w:szCs w:val="18"/>
          <w:color w:val="auto"/>
          <w:strike w:val="1"/>
        </w:rPr>
      </w:pPr>
      <w:r>
        <w:rPr>
          <w:rFonts w:ascii="Arial" w:cs="Arial" w:eastAsia="Arial" w:hAnsi="Arial"/>
          <w:sz w:val="18"/>
          <w:szCs w:val="18"/>
          <w:color w:val="auto"/>
          <w:strike w:val="1"/>
        </w:rPr>
        <w:t>the issuance or transfer by the Corporation and/or any Subsidiary (in one transaction or a series of related transactions) of any equity securities of the Corporation and/or any Subsidiary to a person which, immediately prior to such issuance or transfer, is an Interested Stockholder or an Affiliate or Associate of an Interested Stockholder, where such equity securities have an aggregate Fair Market Value of Ten Million Dollars ($10,000,000) or more;</w:t>
      </w:r>
    </w:p>
    <w:p>
      <w:pPr>
        <w:spacing w:after="0" w:line="62" w:lineRule="exact"/>
        <w:rPr>
          <w:rFonts w:ascii="Arial" w:cs="Arial" w:eastAsia="Arial" w:hAnsi="Arial"/>
          <w:sz w:val="18"/>
          <w:szCs w:val="18"/>
          <w:color w:val="auto"/>
          <w:strike w:val="1"/>
        </w:rPr>
      </w:pPr>
    </w:p>
    <w:p>
      <w:pPr>
        <w:ind w:left="1180" w:hanging="299"/>
        <w:spacing w:after="0"/>
        <w:tabs>
          <w:tab w:leader="none" w:pos="1180" w:val="left"/>
        </w:tabs>
        <w:numPr>
          <w:ilvl w:val="2"/>
          <w:numId w:val="66"/>
        </w:numPr>
        <w:rPr>
          <w:rFonts w:ascii="Arial" w:cs="Arial" w:eastAsia="Arial" w:hAnsi="Arial"/>
          <w:sz w:val="18"/>
          <w:szCs w:val="18"/>
          <w:color w:val="auto"/>
          <w:strike w:val="1"/>
        </w:rPr>
      </w:pPr>
      <w:r>
        <w:rPr>
          <w:rFonts w:ascii="Arial" w:cs="Arial" w:eastAsia="Arial" w:hAnsi="Arial"/>
          <w:sz w:val="18"/>
          <w:szCs w:val="18"/>
          <w:color w:val="auto"/>
          <w:strike w:val="1"/>
        </w:rPr>
        <w:t>the adoption of any plan or proposal for the liquidation or dissolution of the Corporation;</w:t>
      </w:r>
    </w:p>
    <w:p>
      <w:pPr>
        <w:spacing w:after="0" w:line="90" w:lineRule="exact"/>
        <w:rPr>
          <w:rFonts w:ascii="Arial" w:cs="Arial" w:eastAsia="Arial" w:hAnsi="Arial"/>
          <w:sz w:val="18"/>
          <w:szCs w:val="18"/>
          <w:color w:val="auto"/>
          <w:strike w:val="1"/>
        </w:rPr>
      </w:pPr>
    </w:p>
    <w:p>
      <w:pPr>
        <w:jc w:val="both"/>
        <w:ind w:left="460" w:right="20" w:firstLine="421"/>
        <w:spacing w:after="0" w:line="255" w:lineRule="auto"/>
        <w:tabs>
          <w:tab w:leader="none" w:pos="1128" w:val="left"/>
        </w:tabs>
        <w:numPr>
          <w:ilvl w:val="2"/>
          <w:numId w:val="66"/>
        </w:numPr>
        <w:rPr>
          <w:rFonts w:ascii="Arial" w:cs="Arial" w:eastAsia="Arial" w:hAnsi="Arial"/>
          <w:sz w:val="18"/>
          <w:szCs w:val="18"/>
          <w:color w:val="auto"/>
          <w:strike w:val="1"/>
        </w:rPr>
      </w:pPr>
      <w:r>
        <w:rPr>
          <w:rFonts w:ascii="Arial" w:cs="Arial" w:eastAsia="Arial" w:hAnsi="Arial"/>
          <w:sz w:val="18"/>
          <w:szCs w:val="18"/>
          <w:color w:val="auto"/>
          <w:strike w:val="1"/>
        </w:rPr>
        <w:t>any reclassification of securities (including any reverse stock split) or recapitalization of the Corporation, or any merger or consolidation of the Corporation with any of its Subsidiaries or any similar transaction (whether or not with or into or otherwise involving an Interested Stockholder), which has the effect, directly or indirectly, of increasing the percentage of the outstanding shares of any class of equity or convertible securities of the Corporation or any Subsidiary which is directly or indirectly owned by any Interested Stockholder or by any Affiliate and/or Associate of any Interested Stockholder; or</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40"/>
          </w:cols>
          <w:pgMar w:left="700" w:top="280" w:right="259" w:bottom="1440" w:gutter="0" w:footer="0" w:header="0"/>
        </w:sectPr>
      </w:pPr>
    </w:p>
    <w:bookmarkStart w:id="61" w:name="page62"/>
    <w:bookmarkEnd w:id="61"/>
    <w:p>
      <w:pPr>
        <w:ind w:left="880"/>
        <w:spacing w:after="0"/>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 any agreement, contract or other arrangement providing for any of the transactions described in clauses (i) through (v) of this paragraph</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(b).</w:t>
      </w:r>
    </w:p>
    <w:p>
      <w:pPr>
        <w:spacing w:after="0" w:line="84" w:lineRule="exact"/>
        <w:rPr>
          <w:sz w:val="20"/>
          <w:szCs w:val="20"/>
          <w:color w:val="auto"/>
        </w:rPr>
      </w:pPr>
    </w:p>
    <w:p>
      <w:pPr>
        <w:ind w:left="680" w:hanging="237"/>
        <w:spacing w:after="0"/>
        <w:tabs>
          <w:tab w:leader="none" w:pos="680" w:val="left"/>
        </w:tabs>
        <w:numPr>
          <w:ilvl w:val="0"/>
          <w:numId w:val="67"/>
        </w:numPr>
        <w:rPr>
          <w:rFonts w:ascii="Arial" w:cs="Arial" w:eastAsia="Arial" w:hAnsi="Arial"/>
          <w:sz w:val="18"/>
          <w:szCs w:val="18"/>
          <w:color w:val="auto"/>
          <w:strike w:val="1"/>
        </w:rPr>
      </w:pPr>
      <w:r>
        <w:rPr>
          <w:rFonts w:ascii="Arial" w:cs="Arial" w:eastAsia="Arial" w:hAnsi="Arial"/>
          <w:sz w:val="18"/>
          <w:szCs w:val="18"/>
          <w:color w:val="auto"/>
          <w:strike w:val="1"/>
        </w:rPr>
        <w:t>A “person” means an individual, firm, partnership, trust, corporation or other entity.</w:t>
      </w:r>
    </w:p>
    <w:p>
      <w:pPr>
        <w:spacing w:after="0" w:line="90" w:lineRule="exact"/>
        <w:rPr>
          <w:rFonts w:ascii="Arial" w:cs="Arial" w:eastAsia="Arial" w:hAnsi="Arial"/>
          <w:sz w:val="18"/>
          <w:szCs w:val="18"/>
          <w:color w:val="auto"/>
          <w:strike w:val="1"/>
        </w:rPr>
      </w:pPr>
    </w:p>
    <w:p>
      <w:pPr>
        <w:ind w:right="20" w:firstLine="443"/>
        <w:spacing w:after="0" w:line="306" w:lineRule="auto"/>
        <w:tabs>
          <w:tab w:leader="none" w:pos="687" w:val="left"/>
        </w:tabs>
        <w:numPr>
          <w:ilvl w:val="0"/>
          <w:numId w:val="67"/>
        </w:numPr>
        <w:rPr>
          <w:rFonts w:ascii="Arial" w:cs="Arial" w:eastAsia="Arial" w:hAnsi="Arial"/>
          <w:sz w:val="16"/>
          <w:szCs w:val="16"/>
          <w:color w:val="auto"/>
          <w:strike w:val="1"/>
        </w:rPr>
      </w:pPr>
      <w:r>
        <w:rPr>
          <w:rFonts w:ascii="Arial" w:cs="Arial" w:eastAsia="Arial" w:hAnsi="Arial"/>
          <w:sz w:val="16"/>
          <w:szCs w:val="16"/>
          <w:color w:val="auto"/>
          <w:strike w:val="1"/>
        </w:rPr>
        <w:t>”Interested Stockholder” means any person who or which, together with its Affiliates and Associates, as of the record date for the determination of stockholders entitled to notice of, and to vote on, any Business Combination, the removal of a director or the adoption of any proposed amendment, alteration, rescission or repeal of any provision of this Restated Certificate of Incorporation or any Bylaw, or immediately prior to the Consummation Date:</w:t>
      </w:r>
    </w:p>
    <w:p>
      <w:pPr>
        <w:spacing w:after="0" w:line="25" w:lineRule="exact"/>
        <w:rPr>
          <w:rFonts w:ascii="Arial" w:cs="Arial" w:eastAsia="Arial" w:hAnsi="Arial"/>
          <w:sz w:val="16"/>
          <w:szCs w:val="16"/>
          <w:color w:val="auto"/>
          <w:strike w:val="1"/>
        </w:rPr>
      </w:pPr>
    </w:p>
    <w:p>
      <w:pPr>
        <w:ind w:left="460" w:right="280" w:firstLine="421"/>
        <w:spacing w:after="0" w:line="259" w:lineRule="auto"/>
        <w:tabs>
          <w:tab w:leader="none" w:pos="1089" w:val="left"/>
        </w:tabs>
        <w:numPr>
          <w:ilvl w:val="1"/>
          <w:numId w:val="67"/>
        </w:numPr>
        <w:rPr>
          <w:rFonts w:ascii="Arial" w:cs="Arial" w:eastAsia="Arial" w:hAnsi="Arial"/>
          <w:sz w:val="18"/>
          <w:szCs w:val="18"/>
          <w:color w:val="auto"/>
          <w:strike w:val="1"/>
        </w:rPr>
      </w:pPr>
      <w:r>
        <w:rPr>
          <w:rFonts w:ascii="Arial" w:cs="Arial" w:eastAsia="Arial" w:hAnsi="Arial"/>
          <w:sz w:val="18"/>
          <w:szCs w:val="18"/>
          <w:color w:val="auto"/>
          <w:strike w:val="1"/>
        </w:rPr>
        <w:t>is the beneficial owner (as defined in paragraph (e) of this Section 3), directly or indirectly, of ten percent (10%) or more of the voting power of (A) all outstanding shares of Voting Stock or (B) all outstanding shares of the capital stock of a Subsidiary having general voting power (“Subsidiary Stock”); or</w:t>
      </w:r>
    </w:p>
    <w:p>
      <w:pPr>
        <w:spacing w:after="0" w:line="59" w:lineRule="exact"/>
        <w:rPr>
          <w:rFonts w:ascii="Arial" w:cs="Arial" w:eastAsia="Arial" w:hAnsi="Arial"/>
          <w:sz w:val="18"/>
          <w:szCs w:val="18"/>
          <w:color w:val="auto"/>
          <w:strike w:val="1"/>
        </w:rPr>
      </w:pPr>
    </w:p>
    <w:p>
      <w:pPr>
        <w:ind w:left="460" w:firstLine="421"/>
        <w:spacing w:after="0" w:line="298" w:lineRule="auto"/>
        <w:tabs>
          <w:tab w:leader="none" w:pos="1138" w:val="left"/>
        </w:tabs>
        <w:numPr>
          <w:ilvl w:val="1"/>
          <w:numId w:val="67"/>
        </w:numPr>
        <w:rPr>
          <w:rFonts w:ascii="Arial" w:cs="Arial" w:eastAsia="Arial" w:hAnsi="Arial"/>
          <w:sz w:val="16"/>
          <w:szCs w:val="16"/>
          <w:color w:val="auto"/>
          <w:strike w:val="1"/>
        </w:rPr>
      </w:pPr>
      <w:r>
        <w:rPr>
          <w:rFonts w:ascii="Arial" w:cs="Arial" w:eastAsia="Arial" w:hAnsi="Arial"/>
          <w:sz w:val="16"/>
          <w:szCs w:val="16"/>
          <w:color w:val="auto"/>
          <w:strike w:val="1"/>
        </w:rPr>
        <w:t>is an assignee of or has otherwise succeeded to any share of Voting Stock or Subsidiary Stock which was, at any time within the two year period prior thereto, beneficially owned by any person who at such time was an Interested Stockholder, and such assignment or succession shall have occurred in the course of a transaction or series of transactions not involving a public offering within the meaning of the Securities Act of 1933, as amended, and the rules and regulations thereunder (or any subsequent provisions replacing such Act, rules and/or regulations);</w:t>
      </w:r>
    </w:p>
    <w:p>
      <w:pPr>
        <w:spacing w:after="0" w:line="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strike w:val="1"/>
        </w:rPr>
        <w:t xml:space="preserve">provided, however, </w:t>
      </w:r>
      <w:r>
        <w:rPr>
          <w:rFonts w:ascii="Arial" w:cs="Arial" w:eastAsia="Arial" w:hAnsi="Arial"/>
          <w:sz w:val="18"/>
          <w:szCs w:val="18"/>
          <w:color w:val="auto"/>
          <w:strike w:val="1"/>
        </w:rPr>
        <w:t>that the term “Interested Stockholder” shall not include (A) the Corporation or any Subsidiary or (B) any profit-sharing, employee stock</w:t>
      </w:r>
      <w:r>
        <w:rPr>
          <w:rFonts w:ascii="Arial" w:cs="Arial" w:eastAsia="Arial" w:hAnsi="Arial"/>
          <w:sz w:val="18"/>
          <w:szCs w:val="18"/>
          <w:i w:val="1"/>
          <w:iCs w:val="1"/>
          <w:color w:val="auto"/>
          <w:strike w:val="1"/>
        </w:rPr>
        <w:t xml:space="preserve"> </w:t>
      </w:r>
      <w:r>
        <w:rPr>
          <w:rFonts w:ascii="Arial" w:cs="Arial" w:eastAsia="Arial" w:hAnsi="Arial"/>
          <w:sz w:val="18"/>
          <w:szCs w:val="18"/>
          <w:color w:val="auto"/>
          <w:strike w:val="1"/>
        </w:rPr>
        <w:t>ownership or other employee benefit plan of the Corporation or any Subsidiary, or any trustee of, or fiduciary with respect to, any such plan when acting in such capacity.</w:t>
      </w:r>
    </w:p>
    <w:p>
      <w:pPr>
        <w:spacing w:after="0" w:line="59" w:lineRule="exact"/>
        <w:rPr>
          <w:sz w:val="20"/>
          <w:szCs w:val="20"/>
          <w:color w:val="auto"/>
        </w:rPr>
      </w:pPr>
    </w:p>
    <w:p>
      <w:pPr>
        <w:ind w:left="680" w:hanging="237"/>
        <w:spacing w:after="0"/>
        <w:tabs>
          <w:tab w:leader="none" w:pos="680" w:val="left"/>
        </w:tabs>
        <w:numPr>
          <w:ilvl w:val="0"/>
          <w:numId w:val="68"/>
        </w:numPr>
        <w:rPr>
          <w:rFonts w:ascii="Arial" w:cs="Arial" w:eastAsia="Arial" w:hAnsi="Arial"/>
          <w:sz w:val="18"/>
          <w:szCs w:val="18"/>
          <w:color w:val="auto"/>
          <w:strike w:val="1"/>
        </w:rPr>
      </w:pPr>
      <w:r>
        <w:rPr>
          <w:rFonts w:ascii="Arial" w:cs="Arial" w:eastAsia="Arial" w:hAnsi="Arial"/>
          <w:sz w:val="18"/>
          <w:szCs w:val="18"/>
          <w:color w:val="auto"/>
          <w:strike w:val="1"/>
        </w:rPr>
        <w:t>A person is the “beneficial owner” of any shares of capital stock:</w:t>
      </w:r>
    </w:p>
    <w:p>
      <w:pPr>
        <w:spacing w:after="0" w:line="90" w:lineRule="exact"/>
        <w:rPr>
          <w:rFonts w:ascii="Arial" w:cs="Arial" w:eastAsia="Arial" w:hAnsi="Arial"/>
          <w:sz w:val="18"/>
          <w:szCs w:val="18"/>
          <w:color w:val="auto"/>
          <w:strike w:val="1"/>
        </w:rPr>
      </w:pPr>
    </w:p>
    <w:p>
      <w:pPr>
        <w:ind w:left="1100" w:hanging="219"/>
        <w:spacing w:after="0"/>
        <w:tabs>
          <w:tab w:leader="none" w:pos="1100" w:val="left"/>
        </w:tabs>
        <w:numPr>
          <w:ilvl w:val="1"/>
          <w:numId w:val="68"/>
        </w:numPr>
        <w:rPr>
          <w:rFonts w:ascii="Arial" w:cs="Arial" w:eastAsia="Arial" w:hAnsi="Arial"/>
          <w:sz w:val="18"/>
          <w:szCs w:val="18"/>
          <w:color w:val="auto"/>
          <w:strike w:val="1"/>
        </w:rPr>
      </w:pPr>
      <w:r>
        <w:rPr>
          <w:rFonts w:ascii="Arial" w:cs="Arial" w:eastAsia="Arial" w:hAnsi="Arial"/>
          <w:sz w:val="18"/>
          <w:szCs w:val="18"/>
          <w:color w:val="auto"/>
          <w:strike w:val="1"/>
        </w:rPr>
        <w:t>which such person or any of its Affiliates or Associates beneficially owns, directly or indirectly;</w:t>
      </w:r>
    </w:p>
    <w:p>
      <w:pPr>
        <w:spacing w:after="0" w:line="90" w:lineRule="exact"/>
        <w:rPr>
          <w:rFonts w:ascii="Arial" w:cs="Arial" w:eastAsia="Arial" w:hAnsi="Arial"/>
          <w:sz w:val="18"/>
          <w:szCs w:val="18"/>
          <w:color w:val="auto"/>
          <w:strike w:val="1"/>
        </w:rPr>
      </w:pPr>
    </w:p>
    <w:p>
      <w:pPr>
        <w:ind w:left="460" w:right="100" w:firstLine="421"/>
        <w:spacing w:after="0" w:line="306" w:lineRule="auto"/>
        <w:tabs>
          <w:tab w:leader="none" w:pos="1138" w:val="left"/>
        </w:tabs>
        <w:numPr>
          <w:ilvl w:val="1"/>
          <w:numId w:val="68"/>
        </w:numPr>
        <w:rPr>
          <w:rFonts w:ascii="Arial" w:cs="Arial" w:eastAsia="Arial" w:hAnsi="Arial"/>
          <w:sz w:val="16"/>
          <w:szCs w:val="16"/>
          <w:color w:val="auto"/>
          <w:strike w:val="1"/>
        </w:rPr>
      </w:pPr>
      <w:r>
        <w:rPr>
          <w:rFonts w:ascii="Arial" w:cs="Arial" w:eastAsia="Arial" w:hAnsi="Arial"/>
          <w:sz w:val="16"/>
          <w:szCs w:val="16"/>
          <w:color w:val="auto"/>
          <w:strike w:val="1"/>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25" w:lineRule="exact"/>
        <w:rPr>
          <w:rFonts w:ascii="Arial" w:cs="Arial" w:eastAsia="Arial" w:hAnsi="Arial"/>
          <w:sz w:val="16"/>
          <w:szCs w:val="16"/>
          <w:color w:val="auto"/>
          <w:strike w:val="1"/>
        </w:rPr>
      </w:pPr>
    </w:p>
    <w:p>
      <w:pPr>
        <w:jc w:val="both"/>
        <w:ind w:left="460" w:right="20" w:firstLine="421"/>
        <w:spacing w:after="0" w:line="259" w:lineRule="auto"/>
        <w:tabs>
          <w:tab w:leader="none" w:pos="1187" w:val="left"/>
        </w:tabs>
        <w:numPr>
          <w:ilvl w:val="1"/>
          <w:numId w:val="68"/>
        </w:numPr>
        <w:rPr>
          <w:rFonts w:ascii="Arial" w:cs="Arial" w:eastAsia="Arial" w:hAnsi="Arial"/>
          <w:sz w:val="18"/>
          <w:szCs w:val="18"/>
          <w:color w:val="auto"/>
          <w:strike w:val="1"/>
        </w:rPr>
      </w:pPr>
      <w:r>
        <w:rPr>
          <w:rFonts w:ascii="Arial" w:cs="Arial" w:eastAsia="Arial" w:hAnsi="Arial"/>
          <w:sz w:val="18"/>
          <w:szCs w:val="18"/>
          <w:color w:val="auto"/>
          <w:strike w:val="1"/>
        </w:rPr>
        <w:t>which are beneficially owned, directly or indirectly, by any other person with which such first-mentioned person or any of its Affiliates or Associates has any agreement, arrangement or understanding for the purpose of acquiring, holding, voting or disposing of any shares of capital stock of the Corporation or a Subsidiary, as the case may be.</w:t>
      </w:r>
    </w:p>
    <w:p>
      <w:pPr>
        <w:spacing w:after="0" w:line="59" w:lineRule="exact"/>
        <w:rPr>
          <w:rFonts w:ascii="Arial" w:cs="Arial" w:eastAsia="Arial" w:hAnsi="Arial"/>
          <w:sz w:val="18"/>
          <w:szCs w:val="18"/>
          <w:color w:val="auto"/>
          <w:strike w:val="1"/>
        </w:rPr>
      </w:pPr>
    </w:p>
    <w:p>
      <w:pPr>
        <w:ind w:firstLine="443"/>
        <w:spacing w:after="0" w:line="294" w:lineRule="auto"/>
        <w:tabs>
          <w:tab w:leader="none" w:pos="657" w:val="left"/>
        </w:tabs>
        <w:numPr>
          <w:ilvl w:val="0"/>
          <w:numId w:val="68"/>
        </w:numPr>
        <w:rPr>
          <w:rFonts w:ascii="Arial" w:cs="Arial" w:eastAsia="Arial" w:hAnsi="Arial"/>
          <w:sz w:val="16"/>
          <w:szCs w:val="16"/>
          <w:color w:val="auto"/>
          <w:strike w:val="1"/>
        </w:rPr>
      </w:pPr>
      <w:r>
        <w:rPr>
          <w:rFonts w:ascii="Arial" w:cs="Arial" w:eastAsia="Arial" w:hAnsi="Arial"/>
          <w:sz w:val="16"/>
          <w:szCs w:val="16"/>
          <w:color w:val="auto"/>
          <w:strike w:val="1"/>
        </w:rPr>
        <w:t>”Voting Stock” means the capital stock of the Corporation having general voting power. For the purpose of determining whether a person is an Interested Stockholder pursuant to paragraph (d) of this Section 3, the number of shares of Voting Stock or Subsidiary Stock, as the case may be, deemed to be outstanding shall include shares deemed owned by a beneficial owner through application of paragraph (e) of this Section 3, but shall not include any other shares of Voting Stock or Subsidiary Stock, as the case may be, which may be issuable to any other person pursuant to any agreement, arrangement or understanding, or upon exercise of conversion rights, warrants or options, or otherwise,</w:t>
      </w:r>
    </w:p>
    <w:p>
      <w:pPr>
        <w:spacing w:after="0" w:line="34" w:lineRule="exact"/>
        <w:rPr>
          <w:rFonts w:ascii="Arial" w:cs="Arial" w:eastAsia="Arial" w:hAnsi="Arial"/>
          <w:sz w:val="16"/>
          <w:szCs w:val="16"/>
          <w:color w:val="auto"/>
          <w:strike w:val="1"/>
        </w:rPr>
      </w:pPr>
    </w:p>
    <w:p>
      <w:pPr>
        <w:ind w:right="360" w:firstLine="443"/>
        <w:spacing w:after="0" w:line="268" w:lineRule="auto"/>
        <w:tabs>
          <w:tab w:leader="none" w:pos="687" w:val="left"/>
        </w:tabs>
        <w:numPr>
          <w:ilvl w:val="0"/>
          <w:numId w:val="68"/>
        </w:numPr>
        <w:rPr>
          <w:rFonts w:ascii="Arial" w:cs="Arial" w:eastAsia="Arial" w:hAnsi="Arial"/>
          <w:sz w:val="18"/>
          <w:szCs w:val="18"/>
          <w:color w:val="auto"/>
          <w:strike w:val="1"/>
        </w:rPr>
      </w:pPr>
      <w:r>
        <w:rPr>
          <w:rFonts w:ascii="Arial" w:cs="Arial" w:eastAsia="Arial" w:hAnsi="Arial"/>
          <w:sz w:val="18"/>
          <w:szCs w:val="18"/>
          <w:color w:val="auto"/>
          <w:strike w:val="1"/>
        </w:rPr>
        <w:t>”Affiliate” and “Associate” have the respective meanings given to those terms in Rule 12b-2 of the General Rules and Regulations under the Securities Exchange Act of 1934, as amended, as in effect on January 1, 2001.</w:t>
      </w:r>
    </w:p>
    <w:p>
      <w:pPr>
        <w:spacing w:after="0" w:line="50" w:lineRule="exact"/>
        <w:rPr>
          <w:rFonts w:ascii="Arial" w:cs="Arial" w:eastAsia="Arial" w:hAnsi="Arial"/>
          <w:sz w:val="18"/>
          <w:szCs w:val="18"/>
          <w:color w:val="auto"/>
          <w:strike w:val="1"/>
        </w:rPr>
      </w:pPr>
    </w:p>
    <w:p>
      <w:pPr>
        <w:ind w:right="180" w:firstLine="443"/>
        <w:spacing w:after="0" w:line="370" w:lineRule="auto"/>
        <w:tabs>
          <w:tab w:leader="none" w:pos="687" w:val="left"/>
        </w:tabs>
        <w:numPr>
          <w:ilvl w:val="0"/>
          <w:numId w:val="68"/>
        </w:numPr>
        <w:rPr>
          <w:rFonts w:ascii="Arial" w:cs="Arial" w:eastAsia="Arial" w:hAnsi="Arial"/>
          <w:sz w:val="15"/>
          <w:szCs w:val="15"/>
          <w:color w:val="auto"/>
          <w:strike w:val="1"/>
        </w:rPr>
      </w:pPr>
      <w:r>
        <w:rPr>
          <w:rFonts w:ascii="Arial" w:cs="Arial" w:eastAsia="Arial" w:hAnsi="Arial"/>
          <w:sz w:val="15"/>
          <w:szCs w:val="15"/>
          <w:color w:val="auto"/>
          <w:strike w:val="1"/>
        </w:rPr>
        <w:t>”Subsidiary” means any corporation of which a majority of any class of equity security (as defined in Rule 3a 11-l of the General Rules and Regulations under the Securities Exchange Act of 1934, as amended, as in effect on January 1, 2001) is owned, directly or indirectly, by the Corporation.</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40"/>
          </w:cols>
          <w:pgMar w:left="700" w:top="280" w:right="259" w:bottom="1440" w:gutter="0" w:footer="0" w:header="0"/>
        </w:sectPr>
      </w:pPr>
    </w:p>
    <w:bookmarkStart w:id="62" w:name="page63"/>
    <w:bookmarkEnd w:id="62"/>
    <w:p>
      <w:pPr>
        <w:ind w:left="460" w:right="60" w:firstLine="443"/>
        <w:spacing w:after="0" w:line="287" w:lineRule="auto"/>
        <w:tabs>
          <w:tab w:leader="none" w:pos="1108" w:val="left"/>
        </w:tabs>
        <w:numPr>
          <w:ilvl w:val="2"/>
          <w:numId w:val="69"/>
        </w:numPr>
        <w:rPr>
          <w:rFonts w:ascii="Arial" w:cs="Arial" w:eastAsia="Arial" w:hAnsi="Arial"/>
          <w:sz w:val="16"/>
          <w:szCs w:val="16"/>
          <w:color w:val="auto"/>
          <w:strike w:val="1"/>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Market Value” means (i) in the case of stock (A) the highest closing sale price during the 30-day period including and immediately preceding the date in the question of a share of such stock on the Composite Tape for New York Stock Exchange-Listed Stocks, or (B) if such stock is not quoted on the Composite Tape, the highest closing sale price during such 30-day period on the New York Stock Exchange, or (C) if such stock is not listed on such Exchange, the highest closing sale price during such 30-day period on the principal United States securities exchange registered under the Securities Exchange Act of 1934, as amended, on which such stock is listed, or (D) if such stock is not listed on any such exchange, the highest closing bid quotation with respect to a share of such stock on the National Association of Securities Dealers, Inc. Automated Quotations System or any system then in use during such 30-day period, or (E) if no such quotations are available, the fair market value on the date in question of a share of such stock as determined in good faith by a majority of the Continuing Directors (or if there are no Continuing Directors, then by a majority of the Board of Directors), and (ii) in the case of property other than cash or stock, the fair market value of such property on the date in question as determined in good faith by a majority of the Continuing Directors (or if there are no Continuing Directors, then by a majority of the Board of Directors).</w:t>
      </w:r>
    </w:p>
    <w:p>
      <w:pPr>
        <w:spacing w:after="0" w:line="41" w:lineRule="exact"/>
        <w:rPr>
          <w:rFonts w:ascii="Arial" w:cs="Arial" w:eastAsia="Arial" w:hAnsi="Arial"/>
          <w:sz w:val="16"/>
          <w:szCs w:val="16"/>
          <w:color w:val="auto"/>
          <w:strike w:val="1"/>
        </w:rPr>
      </w:pPr>
    </w:p>
    <w:p>
      <w:pPr>
        <w:ind w:left="460" w:right="20" w:firstLine="443"/>
        <w:spacing w:after="0" w:line="259" w:lineRule="auto"/>
        <w:tabs>
          <w:tab w:leader="none" w:pos="1108" w:val="left"/>
        </w:tabs>
        <w:numPr>
          <w:ilvl w:val="2"/>
          <w:numId w:val="69"/>
        </w:numPr>
        <w:rPr>
          <w:rFonts w:ascii="Arial" w:cs="Arial" w:eastAsia="Arial" w:hAnsi="Arial"/>
          <w:sz w:val="18"/>
          <w:szCs w:val="18"/>
          <w:color w:val="auto"/>
          <w:strike w:val="1"/>
        </w:rPr>
      </w:pPr>
      <w:r>
        <w:rPr>
          <w:rFonts w:ascii="Arial" w:cs="Arial" w:eastAsia="Arial" w:hAnsi="Arial"/>
          <w:sz w:val="18"/>
          <w:szCs w:val="18"/>
          <w:color w:val="auto"/>
          <w:strike w:val="1"/>
        </w:rPr>
        <w:t>In the event of any Business Combination in which the Corporation survives, the phrase “consideration other than cash received or to be received” as used in clauses (ii) and (iii) of paragraph (b) of Section 2 of this Article Fourteenth shall include the shares of Common Stock and/or the shares of any other class of Voting Stock retained by the holder of such shares.</w:t>
      </w:r>
    </w:p>
    <w:p>
      <w:pPr>
        <w:spacing w:after="0" w:line="140" w:lineRule="exact"/>
        <w:rPr>
          <w:rFonts w:ascii="Arial" w:cs="Arial" w:eastAsia="Arial" w:hAnsi="Arial"/>
          <w:sz w:val="18"/>
          <w:szCs w:val="18"/>
          <w:color w:val="auto"/>
          <w:strike w:val="1"/>
        </w:rPr>
      </w:pPr>
    </w:p>
    <w:p>
      <w:pPr>
        <w:ind w:firstLine="464"/>
        <w:spacing w:after="0" w:line="305" w:lineRule="auto"/>
        <w:tabs>
          <w:tab w:leader="none" w:pos="622" w:val="left"/>
        </w:tabs>
        <w:numPr>
          <w:ilvl w:val="1"/>
          <w:numId w:val="70"/>
        </w:numPr>
        <w:rPr>
          <w:rFonts w:ascii="Arial" w:cs="Arial" w:eastAsia="Arial" w:hAnsi="Arial"/>
          <w:sz w:val="15"/>
          <w:szCs w:val="15"/>
          <w:color w:val="auto"/>
          <w:strike w:val="1"/>
        </w:rPr>
      </w:pPr>
      <w:r>
        <w:rPr>
          <w:rFonts w:ascii="Arial" w:cs="Arial" w:eastAsia="Arial" w:hAnsi="Arial"/>
          <w:sz w:val="15"/>
          <w:szCs w:val="15"/>
          <w:color w:val="auto"/>
          <w:strike w:val="1"/>
        </w:rPr>
        <w:t>A majority of the Continuing Directors shall have the power and duty to determine, for purposes of this Article Fourteenth, on the basis of information known to them: (a) whether a person is an Interested Stockholder, (b) the number of shares of Voting Stock or Subsidiary Stock beneficially owned by any person,</w:t>
      </w:r>
    </w:p>
    <w:p>
      <w:pPr>
        <w:ind w:right="160" w:firstLine="8"/>
        <w:spacing w:after="0" w:line="290" w:lineRule="auto"/>
        <w:tabs>
          <w:tab w:leader="none" w:pos="239" w:val="left"/>
        </w:tabs>
        <w:numPr>
          <w:ilvl w:val="0"/>
          <w:numId w:val="71"/>
        </w:numPr>
        <w:rPr>
          <w:rFonts w:ascii="Arial" w:cs="Arial" w:eastAsia="Arial" w:hAnsi="Arial"/>
          <w:sz w:val="16"/>
          <w:szCs w:val="16"/>
          <w:color w:val="auto"/>
          <w:strike w:val="1"/>
        </w:rPr>
      </w:pPr>
      <w:r>
        <w:rPr>
          <w:rFonts w:ascii="Arial" w:cs="Arial" w:eastAsia="Arial" w:hAnsi="Arial"/>
          <w:sz w:val="16"/>
          <w:szCs w:val="16"/>
          <w:color w:val="auto"/>
          <w:strike w:val="1"/>
        </w:rPr>
        <w:t>whether a person is an Affiliate or Associate of another person, (d) whether a person has an agreement, arrangement or understanding with another person as to the matters referred to in clause (vi) of paragraph (b), or clause (ii) or (iii) of paragraph (e), of Section 3 of this Article Fourteenth, (e) whether any particular assets of the Corporation and/or any Subsidiary have an aggregate Fair Market Value of Twenty-Five Million Dollars ($25,000,000) or more, or (f) whether the consideration received for the issuance or transfer of securities by the Corporation and/or any Subsidiary has an aggregate Fair Market Value of Ten Million Dollars ($10,000,000) or more. In furtherance and not in limitation of the preceding powers and duties set forth in this Section 4, a majority of the Continuing Directors shall have the power and duty to interpret all of the terms and provisions of this Article Fourteenth.</w:t>
      </w:r>
    </w:p>
    <w:p>
      <w:pPr>
        <w:spacing w:after="0" w:line="118" w:lineRule="exact"/>
        <w:rPr>
          <w:rFonts w:ascii="Arial" w:cs="Arial" w:eastAsia="Arial" w:hAnsi="Arial"/>
          <w:sz w:val="16"/>
          <w:szCs w:val="16"/>
          <w:color w:val="auto"/>
          <w:strike w:val="1"/>
        </w:rPr>
      </w:pPr>
    </w:p>
    <w:p>
      <w:pPr>
        <w:ind w:right="460" w:firstLine="464"/>
        <w:spacing w:after="0" w:line="268" w:lineRule="auto"/>
        <w:tabs>
          <w:tab w:leader="none" w:pos="632" w:val="left"/>
        </w:tabs>
        <w:numPr>
          <w:ilvl w:val="1"/>
          <w:numId w:val="71"/>
        </w:numPr>
        <w:rPr>
          <w:rFonts w:ascii="Arial" w:cs="Arial" w:eastAsia="Arial" w:hAnsi="Arial"/>
          <w:sz w:val="18"/>
          <w:szCs w:val="18"/>
          <w:color w:val="auto"/>
          <w:strike w:val="1"/>
        </w:rPr>
      </w:pPr>
      <w:r>
        <w:rPr>
          <w:rFonts w:ascii="Arial" w:cs="Arial" w:eastAsia="Arial" w:hAnsi="Arial"/>
          <w:sz w:val="18"/>
          <w:szCs w:val="18"/>
          <w:color w:val="auto"/>
          <w:strike w:val="1"/>
        </w:rPr>
        <w:t>Nothing contained in this Article Fourteenth shall be construed to relieve any Interested Stockholder or any Affiliate or Associate thereof from any fiduciary obligation imposed by law.</w:t>
      </w:r>
    </w:p>
    <w:p>
      <w:pPr>
        <w:spacing w:after="0" w:line="131" w:lineRule="exact"/>
        <w:rPr>
          <w:rFonts w:ascii="Arial" w:cs="Arial" w:eastAsia="Arial" w:hAnsi="Arial"/>
          <w:sz w:val="18"/>
          <w:szCs w:val="18"/>
          <w:color w:val="auto"/>
          <w:strike w:val="1"/>
        </w:rPr>
      </w:pPr>
    </w:p>
    <w:p>
      <w:pPr>
        <w:ind w:right="40" w:firstLine="464"/>
        <w:spacing w:after="0" w:line="298" w:lineRule="auto"/>
        <w:tabs>
          <w:tab w:leader="none" w:pos="629" w:val="left"/>
        </w:tabs>
        <w:numPr>
          <w:ilvl w:val="1"/>
          <w:numId w:val="71"/>
        </w:numPr>
        <w:rPr>
          <w:rFonts w:ascii="Arial" w:cs="Arial" w:eastAsia="Arial" w:hAnsi="Arial"/>
          <w:sz w:val="16"/>
          <w:szCs w:val="16"/>
          <w:color w:val="auto"/>
          <w:strike w:val="1"/>
        </w:rPr>
      </w:pPr>
      <w:r>
        <w:rPr>
          <w:rFonts w:ascii="Arial" w:cs="Arial" w:eastAsia="Arial" w:hAnsi="Arial"/>
          <w:sz w:val="16"/>
          <w:szCs w:val="16"/>
          <w:color w:val="auto"/>
          <w:strike w:val="1"/>
        </w:rPr>
        <w:t>The fact that any action or transaction complies with the provisions of this Article Fourteenth shall not be construed to impose any fiduciary duty, obligation or responsibility on the Board of Directors or any member thereof to approve such action or transaction or recommend its adoption or approval to the stockholders of the Corporation, nor shall such compliance limit, prohibit or otherwise restrict in any manner the Board of Directors, or any member thereof, with respect to evaluations of, or actions and responses taken with respect to, such action or transaction.</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strike w:val="1"/>
        </w:rPr>
        <w:t>FIFTEENTH: To the maximum extent permissible under Section 262 of the General Corporation Law of the State of Delaware, the stockholders of the Corporation shall be entitled to the statutory appraisal rights provided therein, notwithstanding any exception otherwise provided therein, with respect to any Business Combination involving the Corporation and any Interested Stockholder (or any Affiliate or Associate of any Interested Stockholder), which requires the affirmative vote specified in paragraph (a) of Section I of Article Fourteenth hereof.</w:t>
      </w:r>
    </w:p>
    <w:p>
      <w:pPr>
        <w:spacing w:after="0" w:line="113" w:lineRule="exact"/>
        <w:rPr>
          <w:sz w:val="20"/>
          <w:szCs w:val="20"/>
          <w:color w:val="auto"/>
        </w:rPr>
      </w:pPr>
    </w:p>
    <w:p>
      <w:pPr>
        <w:ind w:right="240" w:firstLine="456"/>
        <w:spacing w:after="0" w:line="317" w:lineRule="auto"/>
        <w:rPr>
          <w:sz w:val="20"/>
          <w:szCs w:val="20"/>
          <w:color w:val="auto"/>
        </w:rPr>
      </w:pPr>
      <w:r>
        <w:rPr>
          <w:rFonts w:ascii="Arial" w:cs="Arial" w:eastAsia="Arial" w:hAnsi="Arial"/>
          <w:sz w:val="16"/>
          <w:szCs w:val="16"/>
          <w:color w:val="auto"/>
          <w:strike w:val="1"/>
        </w:rPr>
        <w:t xml:space="preserve">SIXTEENTH: The provisions set forth in this Article Sixteenth and in Articles Fourth, Fifth, Sixth, Seventh, Eighth, Ninth, Tenth, Eleventh, Twelfth, Fourteenth and Fifteenth hereof may not be repealed, rescinded, altered or amended in any respect, and no other provision or provisions may be adopted which impair(s) in any respect the operation or effect of any such provision, except by the affirmative vote of the holders of not less than 66 </w:t>
      </w:r>
      <w:r>
        <w:rPr>
          <w:rFonts w:ascii="Arial" w:cs="Arial" w:eastAsia="Arial" w:hAnsi="Arial"/>
          <w:sz w:val="20"/>
          <w:szCs w:val="20"/>
          <w:color w:val="auto"/>
          <w:strike w:val="1"/>
          <w:vertAlign w:val="superscript"/>
        </w:rPr>
        <w:t>2</w:t>
      </w:r>
      <w:r>
        <w:rPr>
          <w:rFonts w:ascii="Arial" w:cs="Arial" w:eastAsia="Arial" w:hAnsi="Arial"/>
          <w:sz w:val="16"/>
          <w:szCs w:val="16"/>
          <w:color w:val="auto"/>
          <w:strike w:val="1"/>
        </w:rPr>
        <w:t>/</w:t>
      </w:r>
      <w:r>
        <w:rPr>
          <w:rFonts w:ascii="Arial" w:cs="Arial" w:eastAsia="Arial" w:hAnsi="Arial"/>
          <w:sz w:val="12"/>
          <w:szCs w:val="12"/>
          <w:color w:val="auto"/>
          <w:strike w:val="1"/>
        </w:rPr>
        <w:t>3</w:t>
      </w:r>
      <w:r>
        <w:rPr>
          <w:rFonts w:ascii="Arial" w:cs="Arial" w:eastAsia="Arial" w:hAnsi="Arial"/>
          <w:sz w:val="16"/>
          <w:szCs w:val="16"/>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-169545</wp:posOffset>
            </wp:positionV>
            <wp:extent cx="533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63" w:name="page64"/>
    <w:bookmarkEnd w:id="63"/>
    <w:p>
      <w:pPr>
        <w:ind w:right="20"/>
        <w:spacing w:after="0" w:line="291" w:lineRule="auto"/>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the voting power of all outstanding shares of Voting Stock regardless of class and voting together as a single voting class and, where such action is proposed by an Interested Stockholder or by any Associate or Affiliate of an Interested Stockholder, the affirmative vote of the holders of a majority of the voting power of all outstanding shares of Voting Stock, regardless of class and voting together as a single class, other than shares held by the Interested Stockholder which proposed (or the Affiliate or Associate of which proposed) such action, or any Affiliate or Associate of such Interested Stockholder, </w:t>
      </w:r>
      <w:r>
        <w:rPr>
          <w:rFonts w:ascii="Arial" w:cs="Arial" w:eastAsia="Arial" w:hAnsi="Arial"/>
          <w:sz w:val="16"/>
          <w:szCs w:val="16"/>
          <w:i w:val="1"/>
          <w:iCs w:val="1"/>
          <w:color w:val="auto"/>
          <w:strike w:val="1"/>
        </w:rPr>
        <w:t>provided, however,</w:t>
      </w:r>
      <w:r>
        <w:rPr>
          <w:rFonts w:ascii="Arial" w:cs="Arial" w:eastAsia="Arial" w:hAnsi="Arial"/>
          <w:sz w:val="16"/>
          <w:szCs w:val="16"/>
          <w:color w:val="auto"/>
          <w:strike w:val="1"/>
        </w:rPr>
        <w:t xml:space="preserve"> that where such action is approved by a majority of the Continuing Directors, the affirmative vote of a majority of the voting power of all outstanding shares of Voting Stock, regardless of class and voting together as a single voting class, shall be required for approval of such action.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strike w:val="1"/>
        </w:rPr>
        <w:t>SEVENTEENTH:</w:t>
      </w:r>
      <w:r>
        <w:rPr>
          <w:rFonts w:ascii="Arial" w:cs="Arial" w:eastAsia="Arial" w:hAnsi="Arial"/>
          <w:sz w:val="16"/>
          <w:szCs w:val="16"/>
          <w:color w:val="auto"/>
        </w:rPr>
        <w:t xml:space="preserve"> The Corporation reserves the right to adopt, repeal, rescind, alter or amend in any respect any provision contained in this Restated Certificate of Incorporation in the manner now or hereafter prescribed by applicable law, and all rights conferred on stockholders herein are granted subject to this reservation. </w:t>
      </w:r>
      <w:r>
        <w:rPr>
          <w:rFonts w:ascii="Arial" w:cs="Arial" w:eastAsia="Arial" w:hAnsi="Arial"/>
          <w:sz w:val="16"/>
          <w:szCs w:val="16"/>
          <w:color w:val="auto"/>
          <w:strike w:val="1"/>
        </w:rPr>
        <w:t>Notwithstanding the preceding sentence, the provisions set forth in Articles Fourth, Fifth, Sixth, Seventh, Eighth, Ninth, Tenth, Eleventh, Twelfth,</w:t>
      </w:r>
      <w:r>
        <w:rPr>
          <w:rFonts w:ascii="Arial" w:cs="Arial" w:eastAsia="Arial" w:hAnsi="Arial"/>
          <w:sz w:val="16"/>
          <w:szCs w:val="16"/>
          <w:color w:val="auto"/>
        </w:rPr>
        <w:t xml:space="preserve"> </w:t>
      </w:r>
      <w:r>
        <w:rPr>
          <w:rFonts w:ascii="Arial" w:cs="Arial" w:eastAsia="Arial" w:hAnsi="Arial"/>
          <w:sz w:val="16"/>
          <w:szCs w:val="16"/>
          <w:color w:val="auto"/>
          <w:strike w:val="1"/>
        </w:rPr>
        <w:t>Fourteenth, Fifteenth and Sixteenth may not be repealed, rescinded, altered or amended in any respect, and no other provision or provisions may be adopted which impair(s) in any respect the operation or effect of any such provision, unless such action is approved as specified in Article Sixteenth hereof.</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strike w:val="1"/>
        </w:rPr>
        <w:t>EIGHTEENTH</w:t>
      </w:r>
      <w:r>
        <w:rPr>
          <w:rFonts w:ascii="Arial" w:cs="Arial" w:eastAsia="Arial" w:hAnsi="Arial"/>
          <w:sz w:val="16"/>
          <w:szCs w:val="16"/>
          <w:u w:val="single" w:color="auto"/>
          <w:color w:val="auto"/>
        </w:rPr>
        <w:t>FIFTEENTH</w:t>
      </w:r>
      <w:r>
        <w:rPr>
          <w:rFonts w:ascii="Arial" w:cs="Arial" w:eastAsia="Arial" w:hAnsi="Arial"/>
          <w:sz w:val="16"/>
          <w:szCs w:val="16"/>
          <w:color w:val="auto"/>
        </w:rPr>
        <w:t>: A director of the Corporation shall not be personally liable to the Corporation or to its stockholders for monetary damages for breach of fiduciary duty as a director, except for liability (i) for any breach of the director’s duty of loyalty to the Corporation or to its stockholders, (ii) for acts or omissions not in good faith or which involve intentional misconduct or a knowing violation of law, (iii) under Section 174 of the General Corporation Law of the State of Delaware, or (iv) for any transaction from which the director derives any improper personal benefit. If, after approval of this Article by the stockholders of the Corporation, the General Corporation Law of the State of Delaware is amended to authorize the further elimination or limitation of the liability of directors, then the liability of a director of the Corporation shall be eliminated or limited to the fullest extent permitted by the General Corporation Law of the State of Delaware, as so amended.</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Any repeal or modification of this Article by the stockholders of the Corporation </w:t>
      </w:r>
      <w:r>
        <w:rPr>
          <w:rFonts w:ascii="Arial" w:cs="Arial" w:eastAsia="Arial" w:hAnsi="Arial"/>
          <w:sz w:val="18"/>
          <w:szCs w:val="18"/>
          <w:color w:val="auto"/>
          <w:strike w:val="1"/>
        </w:rPr>
        <w:t>as provided in Article Seventeen hereof</w:t>
      </w:r>
      <w:r>
        <w:rPr>
          <w:rFonts w:ascii="Arial" w:cs="Arial" w:eastAsia="Arial" w:hAnsi="Arial"/>
          <w:sz w:val="18"/>
          <w:szCs w:val="18"/>
          <w:color w:val="auto"/>
        </w:rPr>
        <w:t xml:space="preserve"> shall not adversely affect any right or protection of a director of the Corporation existing at the time of such repeal or modification.</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WITNESS WHEREOF, this Restated Certificate of Incorporation which restates and integrates and further amends the provisions of the Restated Certificate of Incorporation of this Corporation, and which has been duly adopted in accordance with Sections 242 and 245 of the Delaware General Corporation Law, has been executed by its duly authorized officer as of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May </w:t>
      </w:r>
      <w:r>
        <w:rPr>
          <w:rFonts w:ascii="Arial" w:cs="Arial" w:eastAsia="Arial" w:hAnsi="Arial"/>
          <w:sz w:val="18"/>
          <w:szCs w:val="18"/>
          <w:color w:val="auto"/>
          <w:strike w:val="1"/>
        </w:rPr>
        <w:t>17, 2005</w:t>
      </w:r>
      <w:r>
        <w:rPr>
          <w:rFonts w:ascii="Arial" w:cs="Arial" w:eastAsia="Arial" w:hAnsi="Arial"/>
          <w:sz w:val="18"/>
          <w:szCs w:val="18"/>
          <w:color w:val="auto"/>
        </w:rPr>
        <w:t xml:space="preserve">. </w:t>
      </w:r>
      <w:r>
        <w:rPr>
          <w:rFonts w:ascii="Arial" w:cs="Arial" w:eastAsia="Arial" w:hAnsi="Arial"/>
          <w:sz w:val="18"/>
          <w:szCs w:val="18"/>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-33655</wp:posOffset>
            </wp:positionV>
            <wp:extent cx="279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-33655</wp:posOffset>
            </wp:positionV>
            <wp:extent cx="4552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5295" cy="8890"/>
                    </a:xfrm>
                    <a:prstGeom prst="rect">
                      <a:avLst/>
                    </a:prstGeom>
                    <a:noFill/>
                  </pic:spPr>
                </pic:pic>
              </a:graphicData>
            </a:graphic>
          </wp:anchor>
        </w:drawing>
      </w:r>
    </w:p>
    <w:p>
      <w:pPr>
        <w:spacing w:after="0" w:line="15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5"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John H. Mullan</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Corporate Vice President and Secretary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64" w:name="page65"/>
    <w:bookmarkEnd w:id="64"/>
    <w:p>
      <w:pPr>
        <w:ind w:left="10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Designation and Amount.</w:t>
      </w:r>
      <w:r>
        <w:rPr>
          <w:rFonts w:ascii="Arial" w:cs="Arial" w:eastAsia="Arial" w:hAnsi="Arial"/>
          <w:sz w:val="18"/>
          <w:szCs w:val="18"/>
          <w:color w:val="auto"/>
        </w:rPr>
        <w:t xml:space="preserve"> The shares of such series shall be designated as the “Series B Convertible Preferred Stock” (the “Series B Convertible Preferred Stock”) and the number of shares constituting such series shall be 3,500,000.</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Dividends.</w:t>
      </w:r>
      <w:r>
        <w:rPr>
          <w:rFonts w:ascii="Arial" w:cs="Arial" w:eastAsia="Arial" w:hAnsi="Arial"/>
          <w:sz w:val="16"/>
          <w:szCs w:val="16"/>
          <w:color w:val="auto"/>
        </w:rPr>
        <w:t xml:space="preserve"> The holders of shares of Series B Convertible Preferred Stock shall be entitled to receive cumulative cash dividends when, as and if declared by the Board of Directors out of any funds legally available therefor, at the rate per year herein specified, payable quarterly at the rate of one-fourth of such amount on the fifteenth day (or, if such day is not a business day, on the first business day thereafter) of January, April, July and October in each year. The rate of dividends shall initially be $7.00 per year per share. Thereafter, the rate of dividends shall be increased to $9.00 per share per year after the October 2001 dividend payment date if the stockholders of the Corporation shall not have, prior to that time, approved the issuance of all Common Stock issuable upon conversion of the Series B Convertible Preferred Stock. The rate of dividends shall be decreased to $7.00 per share after the first quarterly dividend payment date after Stockholder Approval is obtained. Cash dividends upon the Series B Convertible Preferred Stock shall commence to accrue and shall be cumulative from the date of issuance.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dividend for any dividend period shall not have been paid or set apart in full for the Series B Convertible Preferred Stock, the deficiency shall be fully paid or set apart for payment before (i) any distributions or dividends, other than distributions or dividends paid in stock ranking junior to the Series B Convertible Preferred Stock as to dividends, redemption payments and rights upon liquidation, dissolution or winding up of the Corporation, shall be paid upon or set apart for Common Stock or stock of any other class or series of Preferred Stock ranking junior to the Series B Convertible Preferred Stock as to dividends, redemption payments or rights upon liquidation, dissolution or winding up of the Corporation; and (ii) any Common Stock or shares of Preferred Stock of any class or series ranking junior to the Series B Convertible Preferred Stock as to dividends, redemption payments or rights upon liquidation, dissolution or winding up of the Corporation shall be redeemed, repurchased or otherwise acquired for any consideration other than stock ranking junior to the Series B Preferred Stock as to dividends, redemption payments and rights upon liquidation, dissolution or winding up of the Corporation. No distribution or dividend shall be paid upon, or declared and set apart for, any shares of Preferred Stock ranking on a parity with the Series B Convertible Preferred Stock as to dividends, redemption payments or rights upon liquidation, dissolution or winding up of the Corporation for any dividend period unless at the same time a like proportionate distribution or dividend for the same or similar dividend period, ratably in proportion to the respective annual dividends fixed therefor, shall be paid upon or declared and set apart for all shares of Preferred Stock of all series so ranking then outstanding and entitled to receive such dividend.</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 Rights.</w:t>
      </w:r>
      <w:r>
        <w:rPr>
          <w:rFonts w:ascii="Arial" w:cs="Arial" w:eastAsia="Arial" w:hAnsi="Arial"/>
          <w:sz w:val="18"/>
          <w:szCs w:val="18"/>
          <w:color w:val="auto"/>
        </w:rPr>
        <w:t xml:space="preserve"> Except as provided herein or as may otherwise be required by law, the holders of shares of Series B Convertible Preferred Stock shall not be entitled to any voting rights as stockholders with respect to such shares.</w:t>
      </w:r>
    </w:p>
    <w:p>
      <w:pPr>
        <w:spacing w:after="0" w:line="51" w:lineRule="exact"/>
        <w:rPr>
          <w:sz w:val="20"/>
          <w:szCs w:val="20"/>
          <w:color w:val="auto"/>
        </w:rPr>
      </w:pPr>
    </w:p>
    <w:p>
      <w:pPr>
        <w:ind w:left="460" w:right="140" w:firstLine="443"/>
        <w:spacing w:after="0" w:line="259"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 long as any shares of Series B Convertible Preferred Stock shall be outstanding, the Corporation shall not, without the affirmative vote of the holders of at least two-thirds of the aggregate number of shares of Series B Convertible Preferred Stock at the time outstanding, by an amendment to the Restated Certificate of Incorporation, by merger or consolidation, or in any other manner:</w:t>
      </w:r>
    </w:p>
    <w:p>
      <w:pPr>
        <w:spacing w:after="0" w:line="59" w:lineRule="exact"/>
        <w:rPr>
          <w:rFonts w:ascii="Arial" w:cs="Arial" w:eastAsia="Arial" w:hAnsi="Arial"/>
          <w:sz w:val="18"/>
          <w:szCs w:val="18"/>
          <w:color w:val="auto"/>
        </w:rPr>
      </w:pPr>
    </w:p>
    <w:p>
      <w:pPr>
        <w:ind w:left="920" w:right="360" w:firstLine="421"/>
        <w:spacing w:after="0" w:line="268" w:lineRule="auto"/>
        <w:tabs>
          <w:tab w:leader="none" w:pos="1549" w:val="left"/>
        </w:tabs>
        <w:numPr>
          <w:ilvl w:val="1"/>
          <w:numId w:val="72"/>
        </w:numPr>
        <w:rPr>
          <w:rFonts w:ascii="Arial" w:cs="Arial" w:eastAsia="Arial" w:hAnsi="Arial"/>
          <w:sz w:val="18"/>
          <w:szCs w:val="18"/>
          <w:color w:val="auto"/>
        </w:rPr>
      </w:pPr>
      <w:r>
        <w:rPr>
          <w:rFonts w:ascii="Arial" w:cs="Arial" w:eastAsia="Arial" w:hAnsi="Arial"/>
          <w:sz w:val="18"/>
          <w:szCs w:val="18"/>
          <w:color w:val="auto"/>
        </w:rPr>
        <w:t>authorize any class or series of stock ranking prior to the Series B Convertible Preferred Stock as to dividends, redemption payments or rights upon liquidation, dissolution or winding up of the Corporation;</w:t>
      </w:r>
    </w:p>
    <w:p>
      <w:pPr>
        <w:spacing w:after="0" w:line="50" w:lineRule="exact"/>
        <w:rPr>
          <w:rFonts w:ascii="Arial" w:cs="Arial" w:eastAsia="Arial" w:hAnsi="Arial"/>
          <w:sz w:val="18"/>
          <w:szCs w:val="18"/>
          <w:color w:val="auto"/>
        </w:rPr>
      </w:pPr>
    </w:p>
    <w:p>
      <w:pPr>
        <w:ind w:left="920" w:right="400" w:firstLine="421"/>
        <w:spacing w:after="0" w:line="268" w:lineRule="auto"/>
        <w:tabs>
          <w:tab w:leader="none" w:pos="159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alter or change the preferences, special rights, or powers given to the Series B Convertible Preferred Stock so as to affect such class of stock adversely, but nothing in this clause (ii) shall require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4" w:right="239" w:bottom="1440" w:gutter="0" w:footer="0" w:header="0"/>
        </w:sectPr>
      </w:pPr>
    </w:p>
    <w:bookmarkStart w:id="65" w:name="page66"/>
    <w:bookmarkEnd w:id="65"/>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 class vote (x) in connection with any increase in the total number of authorized shares of Common Stock or Preferred Stock; (y) in connection with the authorization or increase in the total number of authorized shares of any class of stock ranking on a parity with the Series B Convertible Preferred Stock; or (z) in connection with the fixing of any of the particulars of shares of any other series of Preferred Stock ranking on a parity with the Series B Convertible Preferred Stock that may be fixed by the Board of Directors as provided in Article FOURTH of the Certificate of Incorporation; or</w:t>
      </w:r>
    </w:p>
    <w:p>
      <w:pPr>
        <w:spacing w:after="0" w:line="62" w:lineRule="exact"/>
        <w:rPr>
          <w:sz w:val="20"/>
          <w:szCs w:val="20"/>
          <w:color w:val="auto"/>
        </w:rPr>
      </w:pPr>
    </w:p>
    <w:p>
      <w:pPr>
        <w:ind w:left="460" w:right="40" w:firstLine="421"/>
        <w:spacing w:after="0" w:line="259" w:lineRule="auto"/>
        <w:tabs>
          <w:tab w:leader="none" w:pos="11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directly or indirectly purchase or redeem less than all of the Series B Convertible Preferred Stock at the time outstanding unless the full dividends to which all shares of the Series B Convertible Preferred Stock then outstanding shall then be entitled shall have been paid or declared and a sum sufficient for the payment thereof set apart.</w:t>
      </w:r>
    </w:p>
    <w:p>
      <w:pPr>
        <w:spacing w:after="0" w:line="59" w:lineRule="exact"/>
        <w:rPr>
          <w:rFonts w:ascii="Arial" w:cs="Arial" w:eastAsia="Arial" w:hAnsi="Arial"/>
          <w:sz w:val="18"/>
          <w:szCs w:val="18"/>
          <w:color w:val="auto"/>
        </w:rPr>
      </w:pPr>
    </w:p>
    <w:p>
      <w:pPr>
        <w:ind w:firstLine="443"/>
        <w:spacing w:after="0" w:line="284" w:lineRule="auto"/>
        <w:tabs>
          <w:tab w:leader="none" w:pos="68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and whenever accrued dividends on the Series B Convertible Preferred Stock shall not have been paid or declared and a sum sufficient for the payment thereof set aside for six quarterly dividend periods (whether or not consecutive), then and in such event, the holders of the Series B Convertible Preferred Stock, voting separately as a class, shall be entitled to elect two directors at any annual meeting of the stockholders or any special meeting held in place thereof, or at a special meeting of the holders of the Series B Convertible Preferred Stock called as hereinafter provided. Such right of the holders of the Series B Convertible Preferred Stock to elect two directors may be exercised until the dividends in default on the Series B Convertible Preferred Stock shall have been paid in full or funds sufficient therefor set aside; and when so paid or provided for, then the right of the holders of the Series B Convertible Preferred Stock to elect such number of directors shall cease, but subject always to the same provisions for the vesting of such voting rights in the case of any such future default or defaults. At any time after such voting power shall have so vested in the holders of the Series B Convertible Preferred Stock, the Secretary of the Corporation may, and upon the written request of the holders of record of ten percent (10%) or more in amount of the Series B Convertible Preferred Stock then outstanding addressed to him at the principal executive office of the Corporation shall, call a special meeting of the holders of the Series B Convertible Preferred Stock for the election of the directors to be elected by them as hereinafter provided, to be held within sixty (60) days after delivery of such request and at the place and upon the notice provided by law and in the bylaws of the Corporation for the holding of meetings of stockholders; provided, however, that the Secretary shall not be required to call such special meeting in the case of any such request received less than ninety (90) days before the date fixed for the next ensuing annual meeting of stockholders. If at any such annual or special meeting or any adjournment thereof the holders of at least a majority of the Series B Convertible Preferred Stock then outstanding and entitled to vote thereat shall be present or represented by proxy, then, by vote of the holders of at least a majority of the Series B Convertible Preferred Stock present or so represented at such meeting, the then authorized number of directors of the Corporation shall be increased by two, and the holders of the Series B Convertible Preferred Stock shall be entitled to elect the additional directors so provided for. The directors so elected shall serve until the next annual meeting or until their respective successors shall be elected and shall qualify; provided, however, that whenever the holders of the Series B Convertible Preferred Stock shall be divested of voting power as above provided, the terms of office of all persons elected as directors by the holders of the Series B Convertible Preferred Stock as a class shall forthwith terminate and the number of the Board of Directors shall be reduced accordingly.</w:t>
      </w:r>
    </w:p>
    <w:p>
      <w:pPr>
        <w:spacing w:after="0" w:line="46" w:lineRule="exact"/>
        <w:rPr>
          <w:rFonts w:ascii="Arial" w:cs="Arial" w:eastAsia="Arial" w:hAnsi="Arial"/>
          <w:sz w:val="16"/>
          <w:szCs w:val="16"/>
          <w:color w:val="auto"/>
        </w:rPr>
      </w:pPr>
    </w:p>
    <w:p>
      <w:pPr>
        <w:ind w:right="40" w:firstLine="443"/>
        <w:spacing w:after="0" w:line="290" w:lineRule="auto"/>
        <w:tabs>
          <w:tab w:leader="none" w:pos="67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during any interval between any special meeting of the holders of the Series B Convertible Preferred Stock for the election of directors to be elected by them as provided in this Section 3 and the next ensuing annual meeting of stockholders, or between annual meetings of stockholders for the election of directors, and while the holders of the Series B Convertible Preferred Stock shall be entitled to elect two directors, the number of directors who have been elected by the holders of the Series B Convertible Preferred Stock shall, by reason of resignation, death, or removal, be less than the total number of directors subject to election by the holders of the Series B Convertible Preferred Stock, (i) the vacancy or vacancies in the directors elected by the holders of the Series B Convertible Preferred Stock shall be filled by the remaining director then in office, if any, who was elected by the holders of the Series B Convertible Preferred Stock, although less than a quorum, and (ii) if not so filled within sixty (60) days after the creation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40"/>
          </w:cols>
          <w:pgMar w:left="700" w:top="280" w:right="259" w:bottom="1440" w:gutter="0" w:footer="0" w:header="0"/>
        </w:sectPr>
      </w:pPr>
    </w:p>
    <w:bookmarkStart w:id="66" w:name="page67"/>
    <w:bookmarkEnd w:id="6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the Secretary of the Corporation shall call a special meeting of the holders of the Series B Convertible Preferred Stock and such vacancy or vacancies shall be filled at such special meeting. Any director elected to fill any such vacancy by the remaining director then in office may be removed from office by vote of the holders of a majority of the shares of the Series B Convertible Preferred Stock. A special meeting of the holders of the Series B Convertible Preferred Stock may be called by a majority vote of the Board of Directors for the purpose of removing such director. The Secretary of the Corporation shall, in any event, within ten (10) days after delivery to the Corporation at its principal office of a request to such effect signed by the holders of at least ten percent (10%) of the outstanding shares of the Series B Convertible Preferred Stock, call a special meeting for such purpose to be held within sixty (60) days after delivery of such request; provided, however, that the Secretary shall not be required to call such a special meeting in the case of any such request received less than ninety (90) days before the date fixed for the next ensuing annual meeting of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Redemption.</w:t>
      </w:r>
    </w:p>
    <w:p>
      <w:pPr>
        <w:spacing w:after="0" w:line="90" w:lineRule="exact"/>
        <w:rPr>
          <w:sz w:val="20"/>
          <w:szCs w:val="20"/>
          <w:color w:val="auto"/>
        </w:rPr>
      </w:pPr>
    </w:p>
    <w:p>
      <w:pPr>
        <w:ind w:left="680" w:hanging="237"/>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Series B Convertible Preferred Stock shall not be redeemable except as follows:</w:t>
      </w:r>
    </w:p>
    <w:p>
      <w:pPr>
        <w:spacing w:after="0" w:line="90" w:lineRule="exact"/>
        <w:rPr>
          <w:rFonts w:ascii="Arial" w:cs="Arial" w:eastAsia="Arial" w:hAnsi="Arial"/>
          <w:sz w:val="18"/>
          <w:szCs w:val="18"/>
          <w:color w:val="auto"/>
        </w:rPr>
      </w:pPr>
    </w:p>
    <w:p>
      <w:pPr>
        <w:ind w:left="460" w:right="20" w:firstLine="421"/>
        <w:spacing w:after="0" w:line="291" w:lineRule="auto"/>
        <w:tabs>
          <w:tab w:leader="none" w:pos="10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but not less than all, of the shares of Series B Convertible Preferred Stock shall be redeemed for cash in an amount equal to (X) if prior to Stockholder Approval, the greater of (a) the Liquidation Value plus all accrued and unpaid dividends with respect to such shares, whether or not declared, and (b) the Current Market Price of the number of shares of Common Stock which would be issued to such holders if all shares of Series B Convertible Preferred Stock were converted into Common Stock on the Redemption Date pursuant to Section 8; and (Y) after Stockholder Approval, the Liquidation Value plus all dividends with respect to such shares, whether or not declared, accrued and unpaid as of the Redemption Date, as defined below, on the first day after the twentieth anniversary of the initial issuance of the Series B Convertible Preferred Stock.</w:t>
      </w:r>
    </w:p>
    <w:p>
      <w:pPr>
        <w:spacing w:after="0" w:line="39" w:lineRule="exact"/>
        <w:rPr>
          <w:rFonts w:ascii="Arial" w:cs="Arial" w:eastAsia="Arial" w:hAnsi="Arial"/>
          <w:sz w:val="16"/>
          <w:szCs w:val="16"/>
          <w:color w:val="auto"/>
        </w:rPr>
      </w:pPr>
    </w:p>
    <w:p>
      <w:pPr>
        <w:ind w:left="460" w:firstLine="421"/>
        <w:spacing w:after="0" w:line="286" w:lineRule="auto"/>
        <w:tabs>
          <w:tab w:leader="none" w:pos="1129"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but not less than all, of the shares of Series B Convertible Preferred Stock may be redeemed at the option of the Corporation at any time after the seventh anniversary of the initial issuance of the Series B Convertible Preferred Stock. Any redemption pursuant to this clause (ii) shall be solely for Common Stock of the Corporation and at the Redemption Date each holder of shares of Series B Convertible Preferred Stock shall be entitled to receive, in exchange and upon surrender of the certificate therefor, that number of fully paid and nonassessable shares of Common Stock determined by dividing (X) if prior to Stockholder Approval, the greater of (a) the Liquidation Value plus all accrued and unpaid dividends with respect to such shares, whether or not declared, and (b) the Current Market Price of the number of shares of Common Stock which would be issued if all shares of Series B Convertible Preferred Stock were converted into Common Stock pursuant to Section 8 on the Redemption Date; or (Y) if after Stockholder Approval, the Liquidation Value plus all accrued and unpaid dividends with respect to such shares, whether or not declared thereon to the Redemption Date, by (Z) the Current Market Price of the Common Stock as of the Redemption Date; provided, however, that if prior to the Redemption Date there shall have occurred a Transaction, as defined in Section 8(b)(iii), the consideration deliverable in any such exchange shall be the Alternate Consideration as provided in Section 12.</w:t>
      </w:r>
    </w:p>
    <w:p>
      <w:pPr>
        <w:spacing w:after="0" w:line="46" w:lineRule="exact"/>
        <w:rPr>
          <w:rFonts w:ascii="Arial" w:cs="Arial" w:eastAsia="Arial" w:hAnsi="Arial"/>
          <w:sz w:val="16"/>
          <w:szCs w:val="16"/>
          <w:color w:val="auto"/>
        </w:rPr>
      </w:pPr>
    </w:p>
    <w:p>
      <w:pPr>
        <w:ind w:right="180" w:firstLine="443"/>
        <w:spacing w:after="0" w:line="255" w:lineRule="auto"/>
        <w:tabs>
          <w:tab w:leader="none" w:pos="6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Notice of every mandatory or optional redemption shall be mailed at least thirty (30) days but not more than fifty (50) days prior to the Redemption Date to the holders of record of the shares of Series B Convertible Preferred Stock so to be redeemed at their respective addresses as they appear upon the books of the Corporation. Each such notice shall specify the date on which such redemption shall be effective (the “Redemption Date”), the redemption price or manner of calculating the redemption price and the place where certificates for the Series B Convertible Preferred Stock are to be surrendered for cancellation.</w:t>
      </w:r>
    </w:p>
    <w:p>
      <w:pPr>
        <w:spacing w:after="0" w:line="61" w:lineRule="exact"/>
        <w:rPr>
          <w:rFonts w:ascii="Arial" w:cs="Arial" w:eastAsia="Arial" w:hAnsi="Arial"/>
          <w:sz w:val="18"/>
          <w:szCs w:val="18"/>
          <w:color w:val="auto"/>
        </w:rPr>
      </w:pPr>
    </w:p>
    <w:p>
      <w:pPr>
        <w:ind w:right="120" w:firstLine="443"/>
        <w:spacing w:after="0" w:line="259" w:lineRule="auto"/>
        <w:tabs>
          <w:tab w:leader="none" w:pos="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date that redemption is being made pursuant to paragraph (a) of this Section 4, the Corporation shall deposit for the benefit of the holders of shares of Series B Convertible Preferred Stock the funds, or stock certificates for Common Stock, necessary for such redemption with a bank or trust company</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60"/>
          </w:cols>
          <w:pgMar w:left="700" w:top="280" w:right="239" w:bottom="1440" w:gutter="0" w:footer="0" w:header="0"/>
        </w:sectPr>
      </w:pPr>
    </w:p>
    <w:bookmarkStart w:id="67" w:name="page68"/>
    <w:bookmarkEnd w:id="6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Borough of Manhattan, the City of New York, having a capital and surplus of at least $1,000,000,000. Dividends paid on Common Stock held for the benefit of the holders of shares of Series B Convertible Preferred Stock hereunder shall be held for the benefit of such holders and paid over, without interest, on surrender of certificates for the Series B Convertible Preferred Stock. Any monies or stock certificates so deposited by the Corporation and unclaimed at the end of one year from the Redemption Date shall revert to the Corporation. After such reversion, any such bank or trust company shall, upon demand, pay over to the Corporation such unclaimed amounts or deliver such stock certificates and thereupon such bank or trust company shall be relieved of all responsibility in respect thereof and any holder of shares of Series B Convertible Preferred Stock shall look only to the Corporation for the payment of the redemption price. Any interest accrued on funds deposited pursuant to this paragraph (c) shall be paid from time to time to the Corporation for its own account.</w:t>
      </w:r>
    </w:p>
    <w:p>
      <w:pPr>
        <w:spacing w:after="0" w:line="37" w:lineRule="exact"/>
        <w:rPr>
          <w:sz w:val="20"/>
          <w:szCs w:val="20"/>
          <w:color w:val="auto"/>
        </w:rPr>
      </w:pPr>
    </w:p>
    <w:p>
      <w:pPr>
        <w:ind w:firstLine="443"/>
        <w:spacing w:after="0" w:line="291" w:lineRule="auto"/>
        <w:tabs>
          <w:tab w:leader="none" w:pos="687"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the deposit of funds or certificates for Common Stock pursuant to paragraph (c) in respect of shares of Series B Convertible Preferred Stock being redeemed pursuant to paragraph (a) of this Section 4, notwithstanding that any certificates for such shares shall not have been surrendered for cancellation, the shares represented thereby shall on and after the Redemption Date no longer be deemed outstanding, and all rights of the holders of shares of Series B Convertible Preferred Stock shall cease and terminate, excepting only the right to receive the redemption price therefor. Nothing in this Section 4 shall limit the right of a holder to convert shares of Series B Convertible Preferred Stock pursuant to Section 8 at any time prior to the Redemption Date, even if such shares have been called for redemption pursuant to Section 4(a).</w:t>
      </w:r>
    </w:p>
    <w:p>
      <w:pPr>
        <w:spacing w:after="0" w:line="39" w:lineRule="exact"/>
        <w:rPr>
          <w:rFonts w:ascii="Arial" w:cs="Arial" w:eastAsia="Arial" w:hAnsi="Arial"/>
          <w:sz w:val="16"/>
          <w:szCs w:val="16"/>
          <w:color w:val="auto"/>
        </w:rPr>
      </w:pPr>
    </w:p>
    <w:p>
      <w:pPr>
        <w:ind w:right="300" w:firstLine="443"/>
        <w:spacing w:after="0" w:line="259" w:lineRule="auto"/>
        <w:tabs>
          <w:tab w:leader="none" w:pos="6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connection with any redemption pursuant to clause (ii) of paragraph (a) of this Section 4, no fraction of a share of common stock shall be issued, but in lieu thereof the Corporation shall pay a cash adjustment in respect of such fractional interest in an amount equal to such fractional interest multiplied by the Current Market Price per share of Common Stock on the Redemption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Fundamental Change in Control.</w:t>
      </w:r>
    </w:p>
    <w:p>
      <w:pPr>
        <w:spacing w:after="0" w:line="90" w:lineRule="exact"/>
        <w:rPr>
          <w:sz w:val="20"/>
          <w:szCs w:val="20"/>
          <w:color w:val="auto"/>
        </w:rPr>
      </w:pPr>
    </w:p>
    <w:p>
      <w:pPr>
        <w:ind w:right="80" w:firstLine="443"/>
        <w:spacing w:after="0" w:line="287" w:lineRule="auto"/>
        <w:tabs>
          <w:tab w:leader="none" w:pos="6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 later than 10 business days following a Fundamental Change in Control, as defined below, the Corporation shall mail notice to the holders of Series B Convertible Preferred Stock stating that a Fundamental Change in Control has occurred and advising such holders of their right to exchange (the “Exchange Right”) any and all shares of Series B Convertible Preferred Stock for shares of Common Stock as provided herein; provided, however, that if prior to the Exchange Date (as defined below) there shall have occurred a Transaction, as defined in Section 8(b)(iii), the consideration deliverable in any such exchange shall be the Alternate Consideration as provided in Section 12. Such notice shall state: (i) the date on which such exchanges shall be effective (the “Exchange Date”), which shall be the 21st business day from the date of giving such notice; (ii) the number of shares of Common Stock (or Alternate Consideration) for which each share of Series B Convertible Preferred Stock may be exchanged; and (iii) the method by which each holder may give notice of its exercise of the Exchange Right; and (iv) the method and place for delivery of certificates for Series B Convertible Preferred Stock in connection with exchanges pursuant hereto. For a period of twenty (20) business days following the notice provided herein, each holder of Series B Convertible Preferred Stock may exercise the Exchange Right as provided herein.</w:t>
      </w:r>
    </w:p>
    <w:p>
      <w:pPr>
        <w:spacing w:after="0" w:line="41" w:lineRule="exact"/>
        <w:rPr>
          <w:rFonts w:ascii="Arial" w:cs="Arial" w:eastAsia="Arial" w:hAnsi="Arial"/>
          <w:sz w:val="16"/>
          <w:szCs w:val="16"/>
          <w:color w:val="auto"/>
        </w:rPr>
      </w:pPr>
    </w:p>
    <w:p>
      <w:pPr>
        <w:ind w:right="120" w:firstLine="443"/>
        <w:spacing w:after="0" w:line="291" w:lineRule="auto"/>
        <w:tabs>
          <w:tab w:leader="none" w:pos="687" w:val="left"/>
        </w:tabs>
        <w:numPr>
          <w:ilvl w:val="0"/>
          <w:numId w:val="77"/>
        </w:numPr>
        <w:rPr>
          <w:rFonts w:ascii="Arial" w:cs="Arial" w:eastAsia="Arial" w:hAnsi="Arial"/>
          <w:sz w:val="16"/>
          <w:szCs w:val="16"/>
          <w:color w:val="auto"/>
        </w:rPr>
      </w:pPr>
      <w:r>
        <w:rPr>
          <w:rFonts w:ascii="Arial" w:cs="Arial" w:eastAsia="Arial" w:hAnsi="Arial"/>
          <w:sz w:val="16"/>
          <w:szCs w:val="16"/>
          <w:color w:val="auto"/>
        </w:rPr>
        <w:t>Pursuant to the Exchange Right, each share of Series B Convertible Preferred Stock shall be exchanged for that number of shares of Common Stock determined by dividing an amount equal to (X) if prior to Stockholder Approval, the greater of (a) the Liquidation Value plus all dividends accrued and unpaid with respect to such share as of the Exchange Date, whether or not declared, and (b) the Current Market Price of the number of shares of Common Stock which would be issued if such share of Series B Convertible Preferred Stock were converted into Common Stock pursuant to Section 8 on the Exchange Date; or (Y) if after Stockholder Approval, the Liquidation Value plus all dividends accrued and unpaid with respect to such share as of the Exchange Date, whether or not declared, in each case by the Current Market Price per share of Common Stock as of the Exchange Date.</w:t>
      </w:r>
    </w:p>
    <w:p>
      <w:pPr>
        <w:spacing w:after="0" w:line="39" w:lineRule="exact"/>
        <w:rPr>
          <w:rFonts w:ascii="Arial" w:cs="Arial" w:eastAsia="Arial" w:hAnsi="Arial"/>
          <w:sz w:val="16"/>
          <w:szCs w:val="16"/>
          <w:color w:val="auto"/>
        </w:rPr>
      </w:pPr>
    </w:p>
    <w:p>
      <w:pPr>
        <w:ind w:right="580" w:firstLine="443"/>
        <w:spacing w:after="0" w:line="268" w:lineRule="auto"/>
        <w:tabs>
          <w:tab w:leader="none" w:pos="6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holder of any share of Series B Convertible Preferred Stock may exercise the Exchange Right by surrendering for such purpose to the Corporation, at its principal office or at such other office or agency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60"/>
          </w:cols>
          <w:pgMar w:left="700" w:top="280" w:right="239" w:bottom="1440" w:gutter="0" w:footer="0" w:header="0"/>
        </w:sectPr>
      </w:pPr>
    </w:p>
    <w:bookmarkStart w:id="68" w:name="page69"/>
    <w:bookmarkEnd w:id="68"/>
    <w:p>
      <w:pPr>
        <w:ind w:left="460" w:right="6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maintained by the Corporation for that purpose, a certificate or certificates representing the shares of Series B Convertible Preferred Stock to be exchanged accompanied by a written notice stating that such holder elects to exercise the Exchange Right as to all or a specified number of such shares in accordance with this Section 5 and specifying the name or names in which such holder wishes the certificate or certificates for shares of Common Stock to which such holder is entitled to be issued and such other customary documents as are necessary to effect the exchange. In case such notice shall specify a name or names other than that of such holder, such notice shall be accompanied by payment of all transfer taxes payable upon the issuance in such name or names of shares of Common Stock to which such holder has become entitled. Other than such taxes, the Corporation will pay any and all issue and other taxes (other than taxes based on income) that may be payable in respect of any issue or delivery of shares of Common Stock to which such holder has become entitled on exchange of shares of Series B Convertible Preferred Stock pursuant hereto. As promptly as practicable, and in any event within five</w:t>
      </w:r>
    </w:p>
    <w:p>
      <w:pPr>
        <w:spacing w:after="0" w:line="4" w:lineRule="exact"/>
        <w:rPr>
          <w:sz w:val="20"/>
          <w:szCs w:val="20"/>
          <w:color w:val="auto"/>
        </w:rPr>
      </w:pPr>
    </w:p>
    <w:p>
      <w:pPr>
        <w:jc w:val="both"/>
        <w:ind w:left="460" w:right="360" w:firstLine="4"/>
        <w:spacing w:after="0" w:line="254" w:lineRule="auto"/>
        <w:tabs>
          <w:tab w:leader="none" w:pos="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business days after the surrender of such certificate or certificates and the receipt of such notice relating thereto and, if applicable, payment of all transfer taxes (or the demonstration to the satisfaction of the Corporation that such taxes have been paid), the Corporation shall deliver or cause to be delivered certificates representing the number of validly issued, fully paid and nonassessable shares of Common Stock to which the holder of shares of Series B Convertible Preferred Stock so exchanged shall be entitled.</w:t>
      </w:r>
    </w:p>
    <w:p>
      <w:pPr>
        <w:spacing w:after="0" w:line="62"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From and after the Exchange Date, a holder of shares of Series B Convertible Preferred Stock who has elected to exchange such shares for Common Stock as herein provided shall have no voting or other rights with respect to the shares of Series B Convertible Preferred Stock subject thereto, other than the right to receive the Common Stock provided herein upon delivery of the certificate or certificates evidencing shares of Series B Convertible Preferred Stock.</w:t>
      </w:r>
    </w:p>
    <w:p>
      <w:pPr>
        <w:spacing w:after="0" w:line="62" w:lineRule="exact"/>
        <w:rPr>
          <w:rFonts w:ascii="Arial" w:cs="Arial" w:eastAsia="Arial" w:hAnsi="Arial"/>
          <w:sz w:val="18"/>
          <w:szCs w:val="18"/>
          <w:color w:val="auto"/>
        </w:rPr>
      </w:pPr>
    </w:p>
    <w:p>
      <w:pPr>
        <w:ind w:left="460" w:right="60" w:firstLine="443"/>
        <w:spacing w:after="0" w:line="259"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connection with the exchange of any shares of Series B Convertible Preferred Stock, no fraction of a share of Common Stock shall be issued, but in lieu thereof the Corporation shall pay a cash adjustment in respect of such fractional interest in an amount equal to such fractional interest multiplied by the Current Market Price per share of Common Stock on the Exchange Date.</w:t>
      </w:r>
    </w:p>
    <w:p>
      <w:pPr>
        <w:spacing w:after="0" w:line="59" w:lineRule="exact"/>
        <w:rPr>
          <w:rFonts w:ascii="Arial" w:cs="Arial" w:eastAsia="Arial" w:hAnsi="Arial"/>
          <w:sz w:val="18"/>
          <w:szCs w:val="18"/>
          <w:color w:val="auto"/>
        </w:rPr>
      </w:pPr>
    </w:p>
    <w:p>
      <w:pPr>
        <w:ind w:left="460" w:right="80" w:firstLine="443"/>
        <w:spacing w:after="0" w:line="255" w:lineRule="auto"/>
        <w:tabs>
          <w:tab w:leader="none" w:pos="111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Corporation shall at all times reserve and keep available out of its authorized and unissued Common Stock, solely for the purpose of the Exchange Rights provided herein, such number of shares of Common Stock as shall from time to time be sufficient to effect the exchange provided herein. The Corporation shall from time to time, in accordance with the laws of Delaware, increase the authorized amount of Common Stock if at any time the number of authorized shares of Common Stock remaining unissued shall not be sufficient to permit the exchange of all then outstanding shares of Series B Convertible Preferred Stock.</w:t>
      </w:r>
    </w:p>
    <w:p>
      <w:pPr>
        <w:spacing w:after="0" w:line="61" w:lineRule="exact"/>
        <w:rPr>
          <w:rFonts w:ascii="Arial" w:cs="Arial" w:eastAsia="Arial" w:hAnsi="Arial"/>
          <w:sz w:val="18"/>
          <w:szCs w:val="18"/>
          <w:color w:val="auto"/>
        </w:rPr>
      </w:pPr>
    </w:p>
    <w:p>
      <w:pPr>
        <w:ind w:left="1140" w:hanging="237"/>
        <w:spacing w:after="0"/>
        <w:tabs>
          <w:tab w:leader="none" w:pos="11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As used herein, the term “Fundamental Change in Control” shall mean any merger, consolidation, sale of all or substantially all of the</w:t>
      </w:r>
    </w:p>
    <w:p>
      <w:pPr>
        <w:spacing w:after="0" w:line="38" w:lineRule="exact"/>
        <w:rPr>
          <w:rFonts w:ascii="Arial" w:cs="Arial" w:eastAsia="Arial" w:hAnsi="Arial"/>
          <w:sz w:val="16"/>
          <w:szCs w:val="16"/>
          <w:color w:val="auto"/>
        </w:rPr>
      </w:pPr>
    </w:p>
    <w:p>
      <w:pPr>
        <w:ind w:left="460" w:right="40"/>
        <w:spacing w:after="0" w:line="288" w:lineRule="auto"/>
        <w:rPr>
          <w:rFonts w:ascii="Arial" w:cs="Arial" w:eastAsia="Arial" w:hAnsi="Arial"/>
          <w:sz w:val="16"/>
          <w:szCs w:val="16"/>
          <w:color w:val="auto"/>
        </w:rPr>
      </w:pPr>
      <w:r>
        <w:rPr>
          <w:rFonts w:ascii="Arial" w:cs="Arial" w:eastAsia="Arial" w:hAnsi="Arial"/>
          <w:sz w:val="16"/>
          <w:szCs w:val="16"/>
          <w:color w:val="auto"/>
        </w:rPr>
        <w:t>Corporation’s assets, liquidation or recapitalization (other than solely a change in the par value of equity securities) of the Common Stock in which more than one-third of the previously outstanding Common Stock shall be changed into or exchanged for cash, property or securities other than capital stock of the Corporation or another corporation (“Non Stock Consideration”). For purposes of the preceding sentence, any transaction in which shares of Common Stock shall be changed into or exchanged for a combination of Non Stock Consideration and capital stock of the Corporation or another corporation shall be deemed to have involved the exchange of a number of shares of Common Stock for Non Stock Consideration equal to the total number of shares exchanged multiplied by a fraction in which the numerator is the Fair Market Value of the Non Stock Consideration and the denominator is the Fair Market Value of the total consideration in such exchange, each as determined by a resolution of the Board of Directors of the Corporation.</w:t>
      </w:r>
    </w:p>
    <w:p>
      <w:pPr>
        <w:spacing w:after="0" w:line="12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Reacquired Shares.</w:t>
      </w:r>
      <w:r>
        <w:rPr>
          <w:rFonts w:ascii="Arial" w:cs="Arial" w:eastAsia="Arial" w:hAnsi="Arial"/>
          <w:sz w:val="16"/>
          <w:szCs w:val="16"/>
          <w:color w:val="auto"/>
        </w:rPr>
        <w:t xml:space="preserve"> Any shares of Series B Convertible Preferred Stock converted, redeemed, exchanged, purchased or otherwise acquired by the Corporation in any manner whatsoever shall be retired and canceled promptly after the acquisition thereof. All such shares shall upon their cancellation, and upon the filing of an appropriate certificate with the Secretary of State of the State of Delaware, become authorized but unissued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80" w:right="239" w:bottom="1440" w:gutter="0" w:footer="0" w:header="0"/>
        </w:sectPr>
      </w:pPr>
    </w:p>
    <w:bookmarkStart w:id="69" w:name="page70"/>
    <w:bookmarkEnd w:id="69"/>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Preferred Stock, par value $1.00 per share, of the Corporation and may be reissued as part of another series of Preferred Stock, par value $1.00 per share, of the Corporation subject to the conditions or restrictions on issuance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Liquidation, Dissolution or Winding Up.</w:t>
      </w:r>
    </w:p>
    <w:p>
      <w:pPr>
        <w:spacing w:after="0" w:line="90" w:lineRule="exact"/>
        <w:rPr>
          <w:sz w:val="20"/>
          <w:szCs w:val="20"/>
          <w:color w:val="auto"/>
        </w:rPr>
      </w:pPr>
    </w:p>
    <w:p>
      <w:pPr>
        <w:ind w:left="460" w:firstLine="443"/>
        <w:spacing w:after="0" w:line="287"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as provided in paragraph (b) of this Section 7, upon any voluntary or involuntary liquidation, dissolution or winding up of the Corporation, no distribution shall be made (i) to the holders of shares of capital stock of the Corporation ranking junior as to dividends, redemption payments and rights upon liquidation, dissolution or winding up of the Corporation to the Series B Convertible Preferred Stock unless, prior thereto, the holders of shares of Series B Convertible Preferred Stock shall have received (X) if prior to Stockholder Approval, the greater of (a) the Liquidation Value plus all accrued and unpaid dividends with respect to such shares, whether or not declared, and (b) the amount which would be distributed to such holders if all shares of Series B Convertible Preferred Stock had been converted into Common Stock pursuant to Section 8; and (Y) after Stockholder Approval, the Liquidation Value plus all accrued and unpaid dividends with respect to such shares, whether or not declared or (ii) to the holders of shares of capital stock ranking on a parity with the Series B Convertible Preferred Stock as to dividends, redemption payments and rights upon liquidation, dissolution or winding up of the Corporation, except distributions made ratably on the Series B Convertible Preferred Stock and all such parity stock in proportion to the total amounts to which the holders of all such shares are entitled upon such liquidation, dissolution or winding up. The Liquidation Value shall be $100.00 per share.</w:t>
      </w:r>
    </w:p>
    <w:p>
      <w:pPr>
        <w:spacing w:after="0" w:line="257" w:lineRule="exact"/>
        <w:rPr>
          <w:rFonts w:ascii="Arial" w:cs="Arial" w:eastAsia="Arial" w:hAnsi="Arial"/>
          <w:sz w:val="16"/>
          <w:szCs w:val="16"/>
          <w:color w:val="auto"/>
        </w:rPr>
      </w:pPr>
    </w:p>
    <w:p>
      <w:pPr>
        <w:ind w:left="460" w:right="100" w:firstLine="443"/>
        <w:spacing w:after="0" w:line="285"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Corporation shall commence a voluntary case under the Federal bankruptcy laws or any other applicable Federal or State bankruptcy, insolvency or similar law, or consent to the entry of an order for relief in an involuntary case under any such law or to the appointment of a receiver, liquidator, assignee, custodian, trustee, sequestrator (or other similar official) of the Corporation or of any substantial part of its property, or make an 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 up or liquidation of its affairs, and on account of any such event the Corporation shall liquidate, dissolve or wind up, no distribution shall be made (i) to the holders of shares of capital stock of the Corporation ranking junior to the Series B Convertible Preferred Stock as to dividends, redemption payments and rights upon liquidation, dissolution or winding up of the Corporation unless, prior thereto, the holders of shares of Series B Convertible Preferred Stock shall have received (X) if prior to Stockholder Approval, the greater of (a) the Liquidation Value plus all accrued and unpaid dividends with respect to such shares, whether or not declared, and (b) the amount which would be distributed to such holders if all shares of Series B Convertible Preferred Stock had been converted into Common Stock pursuant to Section 8; and (Y) after Stockholder Approval, the Liquidation Value plus all accrued and unpaid dividends with respect to such shares, whether or not declared, or (ii) to the holders of shares of capital stock ranking on a parity with the Series B Convertible Preferred Stock as to dividends, redemption payments and rights upon liquidation, dissolution or winding up of the Corporation, except distributions made ratably on the Series B Convertible Preferred Stock and all such parity stock in proportion to the total amounts to which the holders of all such shares are entitled upon such liquidation, dissolution or winding up.</w:t>
      </w:r>
    </w:p>
    <w:p>
      <w:pPr>
        <w:spacing w:after="0" w:line="40" w:lineRule="exact"/>
        <w:rPr>
          <w:rFonts w:ascii="Arial" w:cs="Arial" w:eastAsia="Arial" w:hAnsi="Arial"/>
          <w:sz w:val="16"/>
          <w:szCs w:val="16"/>
          <w:color w:val="auto"/>
        </w:rPr>
      </w:pPr>
    </w:p>
    <w:p>
      <w:pPr>
        <w:ind w:left="460" w:right="100" w:firstLine="443"/>
        <w:spacing w:after="0" w:line="259"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Neither the consolidation, merger or other business combination of the Corporation with or into any other Person or Persons nor the sale of all or substantially all of the assets of the Corporation shall be deemed to be a liquidation, dissolution or winding up of the Corporation for purposes of this Section 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70" w:name="page71"/>
    <w:bookmarkEnd w:id="70"/>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 </w:t>
      </w:r>
      <w:r>
        <w:rPr>
          <w:rFonts w:ascii="Arial" w:cs="Arial" w:eastAsia="Arial" w:hAnsi="Arial"/>
          <w:sz w:val="18"/>
          <w:szCs w:val="18"/>
          <w:i w:val="1"/>
          <w:iCs w:val="1"/>
          <w:color w:val="auto"/>
        </w:rPr>
        <w:t>Conversion.</w:t>
      </w:r>
      <w:r>
        <w:rPr>
          <w:rFonts w:ascii="Arial" w:cs="Arial" w:eastAsia="Arial" w:hAnsi="Arial"/>
          <w:sz w:val="18"/>
          <w:szCs w:val="18"/>
          <w:color w:val="auto"/>
        </w:rPr>
        <w:t xml:space="preserve"> Subject to the condition that the Stockholder Approval shall first have been obtained, each share of Series B Convertible Preferred Stock shall be convertible, at any time, at the option of the holder thereof into the right to receive shares of Common Stock, on the terms and conditions set forth in this Section 8.</w:t>
      </w:r>
    </w:p>
    <w:p>
      <w:pPr>
        <w:spacing w:after="0" w:line="59" w:lineRule="exact"/>
        <w:rPr>
          <w:sz w:val="20"/>
          <w:szCs w:val="20"/>
          <w:color w:val="auto"/>
        </w:rPr>
      </w:pPr>
    </w:p>
    <w:p>
      <w:pPr>
        <w:ind w:left="460" w:right="100" w:firstLine="443"/>
        <w:spacing w:after="0" w:line="256"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the provisions for adjustment hereinafter set forth, each share of Series B Convertible Preferred Stock shall be converted into the right to receive a number of fully paid and nonassessable shares of Common Stock, which shall be equal to the Liquidation Value divided by the Conversion Price, as herein defined. Initially the Conversion Price shall be 127% of $86.42. The Conversion Price shall be subject to adjustment as provided in this Section 8.</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Conversion Price shall be subject to adjustment from time to time as follows:</w:t>
      </w:r>
    </w:p>
    <w:p>
      <w:pPr>
        <w:spacing w:after="0" w:line="90" w:lineRule="exact"/>
        <w:rPr>
          <w:rFonts w:ascii="Arial" w:cs="Arial" w:eastAsia="Arial" w:hAnsi="Arial"/>
          <w:sz w:val="18"/>
          <w:szCs w:val="18"/>
          <w:color w:val="auto"/>
        </w:rPr>
      </w:pPr>
    </w:p>
    <w:p>
      <w:pPr>
        <w:ind w:left="920" w:right="20" w:firstLine="421"/>
        <w:spacing w:after="0" w:line="282" w:lineRule="auto"/>
        <w:tabs>
          <w:tab w:leader="none" w:pos="1549" w:val="left"/>
        </w:tabs>
        <w:numPr>
          <w:ilvl w:val="2"/>
          <w:numId w:val="80"/>
        </w:numPr>
        <w:rPr>
          <w:rFonts w:ascii="Arial" w:cs="Arial" w:eastAsia="Arial" w:hAnsi="Arial"/>
          <w:sz w:val="16"/>
          <w:szCs w:val="16"/>
          <w:color w:val="auto"/>
        </w:rPr>
      </w:pPr>
      <w:r>
        <w:rPr>
          <w:rFonts w:ascii="Arial" w:cs="Arial" w:eastAsia="Arial" w:hAnsi="Arial"/>
          <w:sz w:val="16"/>
          <w:szCs w:val="16"/>
          <w:color w:val="auto"/>
        </w:rPr>
        <w:t>In case the Corporation shall at any time or from time to time declare a dividend, or make a distribution, on the outstanding shares of Common Stock in shares of Common Stock or subdivide or reclassify the outstanding shares of Common Stock into a greater number of shares or combine or reclassify the outstanding shares of Common Stock into a smaller number of shares of Common Stock, or shall declare, order, pay or make a dividend or other distribution on any other class or series of capital stock, which dividend or distribution includes Common Stock then, and in each such case, the Conversion Price shall be adjusted to equal the number determined by multiplying (A) the Conversion Price immediately prior to such adjustment by (B) a fraction, the denominator of which shall be the number of shares of Common Stock outstanding immediately after such dividend, distribution, subdivision or reclassification, and the numerator of which shall be the number of shares of Common Stock outstanding immediately before such dividend, distribution, subdivision or reclassification. An adjustment made pursuant to this clause (i) shall become effective</w:t>
      </w:r>
    </w:p>
    <w:p>
      <w:pPr>
        <w:spacing w:after="0" w:line="5" w:lineRule="exact"/>
        <w:rPr>
          <w:rFonts w:ascii="Arial" w:cs="Arial" w:eastAsia="Arial" w:hAnsi="Arial"/>
          <w:sz w:val="16"/>
          <w:szCs w:val="16"/>
          <w:color w:val="auto"/>
        </w:rPr>
      </w:pPr>
    </w:p>
    <w:p>
      <w:pPr>
        <w:ind w:left="920" w:right="20" w:firstLine="1"/>
        <w:spacing w:after="0" w:line="255" w:lineRule="auto"/>
        <w:tabs>
          <w:tab w:leader="none" w:pos="12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case of any such dividend or distribution, immediately after the close of business on the record date for the determination of holders of shares of Common Stock entitled to receive such dividend or distribution, or (B) in the case of any such subdivision, reclassification or combination, at the close of business on the day upon which such corporate action becomes effective.</w:t>
      </w:r>
    </w:p>
    <w:p>
      <w:pPr>
        <w:spacing w:after="0" w:line="63" w:lineRule="exact"/>
        <w:rPr>
          <w:rFonts w:ascii="Arial" w:cs="Arial" w:eastAsia="Arial" w:hAnsi="Arial"/>
          <w:sz w:val="18"/>
          <w:szCs w:val="18"/>
          <w:color w:val="auto"/>
        </w:rPr>
      </w:pPr>
    </w:p>
    <w:p>
      <w:pPr>
        <w:ind w:left="920" w:firstLine="421"/>
        <w:spacing w:after="0" w:line="284" w:lineRule="auto"/>
        <w:tabs>
          <w:tab w:leader="none" w:pos="1598" w:val="left"/>
        </w:tabs>
        <w:numPr>
          <w:ilvl w:val="2"/>
          <w:numId w:val="81"/>
        </w:numPr>
        <w:rPr>
          <w:rFonts w:ascii="Arial" w:cs="Arial" w:eastAsia="Arial" w:hAnsi="Arial"/>
          <w:sz w:val="16"/>
          <w:szCs w:val="16"/>
          <w:color w:val="auto"/>
        </w:rPr>
      </w:pPr>
      <w:r>
        <w:rPr>
          <w:rFonts w:ascii="Arial" w:cs="Arial" w:eastAsia="Arial" w:hAnsi="Arial"/>
          <w:sz w:val="16"/>
          <w:szCs w:val="16"/>
          <w:color w:val="auto"/>
        </w:rPr>
        <w:t>In case the Corporation shall at any time or from time to time declare, order, pay or make a dividend or other distribution (including, without limitation, any distribution of stock, evidences of indebtedness or other securities, cash or other property or rights or warrants to subscribe for securities of the Corporation or any of its Subsidiaries by way of distribution, dividend or spinoff, but excluding regular ordinary cash dividends as may be declared from time to time by the Corporation) on its Common Stock, other than a distribution or dividend of shares of Common Stock that is referred to in clause (i) of this paragraph (b), then, and in each such case, the Conversion Price shall be adjusted to equal the number determined by multiplying (A) the Conversion Price immediately prior to the record date fixed for the determination of stockholders entitled to receive such dividend or distribution by (B) a fraction, the denominator of which shall be the Current Market Price per share of Common Stock on the last Trading Day on which purchasers of Common Stock in regular way trading would be entitled to receive such dividend or distribution and the numerator of which shall be the Current Market Price per share of Common Stock on the first Trading Day on which purchasers of Common Stock in regular way trading would not be entitled to receive such dividend or distribution (the “Ex-dividend Date”); provided that the fraction determined by the foregoing clause (B) shall not be greater than 1. An adjustment made pursuant to this clause (ii) shall be effective at the close of business on the Ex-dividend Date. If the Corporation completes a tender offer or otherwise repurchases shares of Common Stock in a single transaction or a related series of transactions, provided such tender offer or offer to repurchase is open to all or substantially all holders of Common Stock (not including open market or other selective repurchase programs), the Conversion Price shall be adjusted as though (A) the Corporation had effected a reverse split of the Common Stock to reduce the number of shares of Common Stock outstanding from (x) the number outstanding immediately prior to the completion of the tender offer or the first repurchase for which the adjustment is being made to (y) the number outstanding immediately after the completion of the tender offer or the last repurchase for which the adjustment is being made and (B) the Corporation had paid a dividend on the Common Stock</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80" w:right="259" w:bottom="1440" w:gutter="0" w:footer="0" w:header="0"/>
        </w:sectPr>
      </w:pPr>
    </w:p>
    <w:bookmarkStart w:id="71" w:name="page72"/>
    <w:bookmarkEnd w:id="71"/>
    <w:p>
      <w:pPr>
        <w:ind w:left="460"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immediately after completion of the tender offer or the last repurchase for which the adjustment is being made in an aggregate amount equal to the aggregate consideration paid by the Corporation pursuant to the tender offer or the repurchases for which the adjustment is being made (the “Aggregate Consideration”); provided that in no event shall the Conversion Price be increased as a result of the foregoing adjustment. In applying the first two sentences of this Section 8(b)(ii) to the event described in clause (B) of the preceding sentence, the Current Market Price of the Common Stock on the date immediately following the closing of any such tender offer or on the date of the last repurchase shall be taken as the value of the Common Stock on the Ex-dividend Date, and the value of the Common Stock on the day preceding the Ex-dividend Date shall be assumed to be equal to the sum of (x) the value on the Ex-dividend Date and (y) the per share amount of the dividend described in such clause</w:t>
      </w:r>
    </w:p>
    <w:p>
      <w:pPr>
        <w:ind w:left="460" w:right="60" w:firstLine="1"/>
        <w:spacing w:after="0" w:line="295" w:lineRule="auto"/>
        <w:tabs>
          <w:tab w:leader="none" w:pos="738" w:val="left"/>
        </w:tabs>
        <w:numPr>
          <w:ilvl w:val="1"/>
          <w:numId w:val="82"/>
        </w:numPr>
        <w:rPr>
          <w:rFonts w:ascii="Arial" w:cs="Arial" w:eastAsia="Arial" w:hAnsi="Arial"/>
          <w:sz w:val="16"/>
          <w:szCs w:val="16"/>
          <w:color w:val="auto"/>
        </w:rPr>
      </w:pPr>
      <w:r>
        <w:rPr>
          <w:rFonts w:ascii="Arial" w:cs="Arial" w:eastAsia="Arial" w:hAnsi="Arial"/>
          <w:sz w:val="16"/>
          <w:szCs w:val="16"/>
          <w:color w:val="auto"/>
        </w:rPr>
        <w:t>computed by dividing the Aggregate Consideration by the number of shares of Common Stock outstanding after the completion of such tender offer or repurchase. In the event that any of the consideration paid by the Corporation in any tender offer or repurchase to which this Section 8(b) (ii) applies is in a form other than cash, the value of such consideration shall be determined by an independent investment banking firm of nationally recognized standing to be selected by the Board of Directors of the Corporation.</w:t>
      </w:r>
    </w:p>
    <w:p>
      <w:pPr>
        <w:spacing w:after="0" w:line="34" w:lineRule="exact"/>
        <w:rPr>
          <w:rFonts w:ascii="Arial" w:cs="Arial" w:eastAsia="Arial" w:hAnsi="Arial"/>
          <w:sz w:val="16"/>
          <w:szCs w:val="16"/>
          <w:color w:val="auto"/>
        </w:rPr>
      </w:pPr>
    </w:p>
    <w:p>
      <w:pPr>
        <w:ind w:left="460" w:right="100" w:firstLine="421"/>
        <w:spacing w:after="0" w:line="286" w:lineRule="auto"/>
        <w:tabs>
          <w:tab w:leader="none" w:pos="1187" w:val="left"/>
        </w:tabs>
        <w:numPr>
          <w:ilvl w:val="2"/>
          <w:numId w:val="82"/>
        </w:numPr>
        <w:rPr>
          <w:rFonts w:ascii="Arial" w:cs="Arial" w:eastAsia="Arial" w:hAnsi="Arial"/>
          <w:sz w:val="16"/>
          <w:szCs w:val="16"/>
          <w:color w:val="auto"/>
        </w:rPr>
      </w:pPr>
      <w:r>
        <w:rPr>
          <w:rFonts w:ascii="Arial" w:cs="Arial" w:eastAsia="Arial" w:hAnsi="Arial"/>
          <w:sz w:val="16"/>
          <w:szCs w:val="16"/>
          <w:color w:val="auto"/>
        </w:rPr>
        <w:t>In case at any time the Corporation shall be a party to any transaction (including, without limitation, a merger, consolidation, sale of all or substantially all of the Corporation’s assets, liquidation or recapitalization (other than solely a change in the par value of equity securities) of the Common Stock and excluding any transaction to which clause (i) or (ii) of this paragraph (b) applies) in which the previously outstanding Common Stock shall be changed into or exchanged for different securities of the Corporation or common stock or other securities of another corporation or interests in a noncorporate entity or other property (including cash) or any combination of any of the foregoing (each such transaction being herein called the “Transaction”), then each share of Series B Convertible Preferred Stock then outstanding shall thereafter be convertible into, in lieu of the Common Stock issuable upon such conversion prior to consummation of such Transaction, the kind and amount of shares of stock and other securities and property receivable (including cash) upon the consummation of such Transaction by a holder of that number of shares of Common Stock into which one share of Series B Convertible Preferred Stock would have been convertible (without giving effect to any restriction on convertibility) immediately prior to such Transaction including, on a pro rata basis, the cash, securities or property received by holders of Common Stock in any such transaction. The Corporation shall not be a party to a Transaction that does not expressly contemplate and provide for the foregoing.</w:t>
      </w:r>
    </w:p>
    <w:p>
      <w:pPr>
        <w:spacing w:after="0" w:line="43" w:lineRule="exact"/>
        <w:rPr>
          <w:rFonts w:ascii="Arial" w:cs="Arial" w:eastAsia="Arial" w:hAnsi="Arial"/>
          <w:sz w:val="16"/>
          <w:szCs w:val="16"/>
          <w:color w:val="auto"/>
        </w:rPr>
      </w:pPr>
    </w:p>
    <w:p>
      <w:pPr>
        <w:ind w:left="460" w:firstLine="421"/>
        <w:spacing w:after="0" w:line="291" w:lineRule="auto"/>
        <w:tabs>
          <w:tab w:leader="none" w:pos="1177" w:val="left"/>
        </w:tabs>
        <w:numPr>
          <w:ilvl w:val="2"/>
          <w:numId w:val="82"/>
        </w:numPr>
        <w:rPr>
          <w:rFonts w:ascii="Arial" w:cs="Arial" w:eastAsia="Arial" w:hAnsi="Arial"/>
          <w:sz w:val="16"/>
          <w:szCs w:val="16"/>
          <w:color w:val="auto"/>
        </w:rPr>
      </w:pPr>
      <w:r>
        <w:rPr>
          <w:rFonts w:ascii="Arial" w:cs="Arial" w:eastAsia="Arial" w:hAnsi="Arial"/>
          <w:sz w:val="16"/>
          <w:szCs w:val="16"/>
          <w:color w:val="auto"/>
        </w:rPr>
        <w:t>If any event occurs as to which the foregoing provisions of this Section 8(b) are not strictly applicable but the failure to make any adjustment to the Conversion Price or other conversion mechanics would not fully and equitably protect the conversion rights of the Series B Preferred Stock in accordance with the essential intent and principles of such provisions, then in each such case the Board of Directors of the Corporation shall make such appropriate adjustments to the Conversion Price or other conversion mechanics (on a basis consistent with the essential intent and principles established in this Section 8) as may be necessary to fully and equitably preserve, without dilution or diminution, the conversion rights of the Series B Convertible Preferred Stock.</w:t>
      </w:r>
    </w:p>
    <w:p>
      <w:pPr>
        <w:spacing w:after="0" w:line="39" w:lineRule="exact"/>
        <w:rPr>
          <w:rFonts w:ascii="Arial" w:cs="Arial" w:eastAsia="Arial" w:hAnsi="Arial"/>
          <w:sz w:val="16"/>
          <w:szCs w:val="16"/>
          <w:color w:val="auto"/>
        </w:rPr>
      </w:pPr>
    </w:p>
    <w:p>
      <w:pPr>
        <w:ind w:right="140" w:firstLine="443"/>
        <w:spacing w:after="0" w:line="335" w:lineRule="auto"/>
        <w:tabs>
          <w:tab w:leader="none" w:pos="677" w:val="left"/>
        </w:tabs>
        <w:numPr>
          <w:ilvl w:val="0"/>
          <w:numId w:val="83"/>
        </w:numPr>
        <w:rPr>
          <w:rFonts w:ascii="Arial" w:cs="Arial" w:eastAsia="Arial" w:hAnsi="Arial"/>
          <w:sz w:val="15"/>
          <w:szCs w:val="15"/>
          <w:color w:val="auto"/>
        </w:rPr>
      </w:pPr>
      <w:r>
        <w:rPr>
          <w:rFonts w:ascii="Arial" w:cs="Arial" w:eastAsia="Arial" w:hAnsi="Arial"/>
          <w:sz w:val="15"/>
          <w:szCs w:val="15"/>
          <w:color w:val="auto"/>
        </w:rPr>
        <w:t>If any adjustment required pursuant to this Section 8 would result in an increase or decrease of less than 1% in the Conversion Price, the amount of any such adjustment shall be carried forward and adjustment with respect thereto shall be made at the time of and together with any subsequent adjustment, which, together with such amount and any other amount or amounts so carried forward, shall aggregate at least 1% of the Conversion Price.</w:t>
      </w:r>
    </w:p>
    <w:p>
      <w:pPr>
        <w:spacing w:after="0" w:line="7" w:lineRule="exact"/>
        <w:rPr>
          <w:rFonts w:ascii="Arial" w:cs="Arial" w:eastAsia="Arial" w:hAnsi="Arial"/>
          <w:sz w:val="15"/>
          <w:szCs w:val="15"/>
          <w:color w:val="auto"/>
        </w:rPr>
      </w:pPr>
    </w:p>
    <w:p>
      <w:pPr>
        <w:ind w:left="680" w:hanging="237"/>
        <w:spacing w:after="0"/>
        <w:tabs>
          <w:tab w:leader="none" w:pos="6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Board of Directors may at its option increase the number of shares of Common Stock into which each share of Series B Convertible</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Preferred Stock may be converted, in addition to the adjustments required by this Section 8, as shall be determined by it (as evidenced by a resolution of the Board of Directors) to be advisable in order to avoid or diminish any income deemed to be received by any holder for</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60"/>
          </w:cols>
          <w:pgMar w:left="700" w:top="280" w:right="239" w:bottom="1440" w:gutter="0" w:footer="0" w:header="0"/>
        </w:sectPr>
      </w:pPr>
    </w:p>
    <w:bookmarkStart w:id="72" w:name="page73"/>
    <w:bookmarkEnd w:id="72"/>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income tax purposes of shares of Common Stock or Series B Convertible Preferred Stock resulting from any events or occurrences giving rise to adjustments pursuant to this Section 8 or from any other similar event.</w:t>
      </w:r>
    </w:p>
    <w:p>
      <w:pPr>
        <w:spacing w:after="0" w:line="51" w:lineRule="exact"/>
        <w:rPr>
          <w:sz w:val="20"/>
          <w:szCs w:val="20"/>
          <w:color w:val="auto"/>
        </w:rPr>
      </w:pPr>
    </w:p>
    <w:p>
      <w:pPr>
        <w:ind w:firstLine="443"/>
        <w:spacing w:after="0" w:line="285" w:lineRule="auto"/>
        <w:tabs>
          <w:tab w:leader="none" w:pos="67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holder of any shares of Series B Convertible Preferred Stock may exercise his right to receive in respect of such shares the shares of Common Stock or other property or securities, as the case may be, to which such holder is entitled by surrendering for such purpose to the Corporation, at its principal office or at such other office or agency maintained by the Corporation for that purpose, a certificate or certificates representing the shares of Series B Convertible Preferred Stock to be converted, accompanied by a written notice stating that such holder elects to convert all or a specified number of such shares in accordance with this Section 8 and specifying the name or names in which such holder wishes the certificate or certificates for shares of Common Stock or other property or securities, as the case may be, to which such holder is entitled to be issued and such other customary documents as are necessary to effect the conversion. In case such notice shall specify a name or names other than that of such holder, such notice shall be accompanied by payment of all transfer taxes payable upon the issuance in such name or names of shares of Common Stock or other property or securities, as the case may be, to which such holder has become entitled. Other than such taxes, the Corporation will pay any and all issue and other taxes (other than taxes based on income) that may be payable in respect of any issue or delivery of shares of Common Stock or such other property or securities, as the case may be, to which such holder has become entitled on conversion of Series B Convertible Preferred Stock pursuant hereto. As promptly as practicable, and in any event within five (5) business days after the surrender of such certificate or certificates and the receipt of such notice relating thereto and, if applicable, payment of all transfer taxes (or the demonstration to the satisfaction of the Corporation that such taxes have been paid), the Corporation shall deliver or cause to be delivered certificates representing the number of validly issued, fully paid and nonassessable full shares of Common Stock to which the holder of shares of Series B Convertible Preferred Stock so converted shall be entitled or such other property or assets, as the case may be, to which such holder has become entitled. The date upon which a holder delivers to the Corporation a notice of conversion and the accompanying documents referred to above is referred to herein as the “Conversion Date.”</w:t>
      </w:r>
    </w:p>
    <w:p>
      <w:pPr>
        <w:spacing w:after="0" w:line="40" w:lineRule="exact"/>
        <w:rPr>
          <w:rFonts w:ascii="Arial" w:cs="Arial" w:eastAsia="Arial" w:hAnsi="Arial"/>
          <w:sz w:val="16"/>
          <w:szCs w:val="16"/>
          <w:color w:val="auto"/>
        </w:rPr>
      </w:pPr>
    </w:p>
    <w:p>
      <w:pPr>
        <w:ind w:right="20" w:firstLine="443"/>
        <w:spacing w:after="0" w:line="306" w:lineRule="auto"/>
        <w:tabs>
          <w:tab w:leader="none" w:pos="657" w:val="left"/>
        </w:tabs>
        <w:numPr>
          <w:ilvl w:val="0"/>
          <w:numId w:val="84"/>
        </w:numPr>
        <w:rPr>
          <w:rFonts w:ascii="Arial" w:cs="Arial" w:eastAsia="Arial" w:hAnsi="Arial"/>
          <w:sz w:val="16"/>
          <w:szCs w:val="16"/>
          <w:color w:val="auto"/>
        </w:rPr>
      </w:pPr>
      <w:r>
        <w:rPr>
          <w:rFonts w:ascii="Arial" w:cs="Arial" w:eastAsia="Arial" w:hAnsi="Arial"/>
          <w:sz w:val="16"/>
          <w:szCs w:val="16"/>
          <w:color w:val="auto"/>
        </w:rPr>
        <w:t>From and after the Conversion Date, a holder of shares of Series B Convertible Preferred Stock shall have no voting or other rights with respect to the shares of Series B Convertible Stock subject thereto, other than the right to receive upon delivery of the certificate or certificates evidencing shares of Series B Convertible Preferred Stock as provided by paragraph 8(e), the securities or property described in this Section 8.</w:t>
      </w:r>
    </w:p>
    <w:p>
      <w:pPr>
        <w:spacing w:after="0" w:line="25" w:lineRule="exact"/>
        <w:rPr>
          <w:rFonts w:ascii="Arial" w:cs="Arial" w:eastAsia="Arial" w:hAnsi="Arial"/>
          <w:sz w:val="16"/>
          <w:szCs w:val="16"/>
          <w:color w:val="auto"/>
        </w:rPr>
      </w:pPr>
    </w:p>
    <w:p>
      <w:pPr>
        <w:jc w:val="both"/>
        <w:ind w:right="40" w:firstLine="443"/>
        <w:spacing w:after="0" w:line="256" w:lineRule="auto"/>
        <w:tabs>
          <w:tab w:leader="none" w:pos="6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connection with the conversion of any shares of Series B Convertible Preferred Stock, no fraction of a share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B Convertible Preferred Stock are deemed to have been converted.</w:t>
      </w:r>
    </w:p>
    <w:p>
      <w:pPr>
        <w:spacing w:after="0" w:line="62" w:lineRule="exact"/>
        <w:rPr>
          <w:rFonts w:ascii="Arial" w:cs="Arial" w:eastAsia="Arial" w:hAnsi="Arial"/>
          <w:sz w:val="18"/>
          <w:szCs w:val="18"/>
          <w:color w:val="auto"/>
        </w:rPr>
      </w:pPr>
    </w:p>
    <w:p>
      <w:pPr>
        <w:ind w:right="240" w:firstLine="443"/>
        <w:spacing w:after="0" w:line="306" w:lineRule="auto"/>
        <w:tabs>
          <w:tab w:leader="none" w:pos="6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Upon conversion of any shares of Series B Convertible Preferred Stock, if there are any accrued but unpaid dividends thereon, the Corporation shall, at its option, either pay the same in cash or deliver to the holder an additional number of fully paid and nonassessable shares of Common Stock determined by dividing the amount of such accrued and unpaid dividends by the Conversion Price.</w:t>
      </w:r>
    </w:p>
    <w:p>
      <w:pPr>
        <w:spacing w:after="0" w:line="25" w:lineRule="exact"/>
        <w:rPr>
          <w:rFonts w:ascii="Arial" w:cs="Arial" w:eastAsia="Arial" w:hAnsi="Arial"/>
          <w:sz w:val="16"/>
          <w:szCs w:val="16"/>
          <w:color w:val="auto"/>
        </w:rPr>
      </w:pPr>
    </w:p>
    <w:p>
      <w:pPr>
        <w:ind w:right="20" w:firstLine="443"/>
        <w:spacing w:after="0" w:line="294" w:lineRule="auto"/>
        <w:tabs>
          <w:tab w:leader="none" w:pos="64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Corporation shall at all times reserve and keep available out of its authorized and unissued Common Stock, solely for the purpose of effecting the conversion of the Series B Convertible Preferred Stock, such number of shares of Common Stock as shall from time to time be sufficient to effect the conversion of all then outstanding shares of Series B Convertible Preferred Stock. The Corporation shall from time to time, in accordance with the laws of Delaware, increase the authorized amount of Common Stock if at any time the number of authorized shares of Common Stock remaining unissued shall not be sufficient to permit the conversion at such time of all then outstanding shares of Series B Convertible Preferred Stock.</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0"/>
          </w:cols>
          <w:pgMar w:left="700" w:top="280" w:right="239" w:bottom="1440" w:gutter="0" w:footer="0" w:header="0"/>
        </w:sectPr>
      </w:pPr>
    </w:p>
    <w:bookmarkStart w:id="73" w:name="page74"/>
    <w:bookmarkEnd w:id="73"/>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6"/>
          <w:szCs w:val="16"/>
          <w:i w:val="1"/>
          <w:iCs w:val="1"/>
          <w:color w:val="auto"/>
        </w:rPr>
        <w:t>Reports as to Adjustments.</w:t>
      </w:r>
      <w:r>
        <w:rPr>
          <w:rFonts w:ascii="Arial" w:cs="Arial" w:eastAsia="Arial" w:hAnsi="Arial"/>
          <w:sz w:val="16"/>
          <w:szCs w:val="16"/>
          <w:color w:val="auto"/>
        </w:rPr>
        <w:t xml:space="preserve"> Whenever the Conversion Price is adjusted as provided in Section 8 hereof, the Corporation shall (i) promptly place on file at its principal office and at the office of each transfer agent for the Series B Convertible Preferred Stock, if any, a statement, signed by an officer of the Corporation, setting forth in reasonable detail the event requiring the adjustment and the method by which such adjustment was calculated and specifying the new Conversion Price, and (ii) promptly mail to the holders of record of the outstanding shares of Series B Convertible Preferred Stock at their respective addresses as the same shall appear in the Corporation’s stock records a notice stating that the number of shares of Common Stock into which the shares of Series B Convertible Preferred Stock are convertible has been adjusted and setting forth the new Conversion Price (or describing the new stock, securities, cash or other property) as a result of such adjustment, a brief statement of the facts requiring such adjustment and the computation thereof, and when such adjustment became effective.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the purposes of the Certificate of Designations, Preferences and Rights of Series B Convertible Redeemable Preferred Stock which embodies this resolution:</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“Current Market Price” per share of Common Stock on any date for all purposes of Section 8 shall be deemed to be the closing price per share of Common Stock on the date specified. For all other purposes hereunder, “Current Market Price” on any date shall be deemed to be the average of the closing prices per share of Common Stock for the five (5) consecutive trading days ending two trading days prior to such date.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Common Stock is not listed or admitted to trading on the New York Stock Exchange, as reported in the principal consolidated transaction reporting system with respect to securities listed on the principal national securities exchange on which the Common Stock is listed or admitted to trading or, if the Common Stock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is not quoted by any such organization, the average of the closing bid and asked prices as furnished by a professional market maker making a market in the Common Stock selected by the Board of Directors. If the Common Stock is not publicly held or so listed or publicly traded, “Current Market Price” shall mean the Fair Market Value per share as determined in good faith by the Board of Directors of the Corporation.</w:t>
      </w:r>
    </w:p>
    <w:p>
      <w:pPr>
        <w:spacing w:after="0" w:line="12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“Fair Market Value” means the amount which a willing buyer would pay a willing seller in an arm’s-length transaction as determined in good faith by the Board of Directors of the Corporation, unless otherwise provided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 means any individual, firm, corporation or other entity, and shall include any successor (by merger or otherwise) of such entity.</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“Trading Day” means a day on which the principal national securities exchange on which the Common Stock is listed or admitted to trading is open for the transaction of business or, if the Common Stock is not listed or admitted to trading on any national securities exchange, any day other than a Saturday, Sunday, or a day on which banking institutions in the State of New York are authorized or obligated by law or executive order to close.</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Rank.</w:t>
      </w:r>
      <w:r>
        <w:rPr>
          <w:rFonts w:ascii="Arial" w:cs="Arial" w:eastAsia="Arial" w:hAnsi="Arial"/>
          <w:sz w:val="16"/>
          <w:szCs w:val="16"/>
          <w:color w:val="auto"/>
        </w:rPr>
        <w:t xml:space="preserve"> The Series B Convertible Preferred Stock shall, with respect to payment of dividends, redemption payments and rights upon liquidation, dissolution or winding up of the Corporation, rank (i) prior to the Common Stock of the Corporation and any class or series of Preferred Stock which provides by its terms that it is to rank junior to the Series B Preferred Stock and (ii) on a parity with each other class or series of Preferred Stock of the Corporation.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80" w:right="259" w:bottom="1440" w:gutter="0" w:footer="0" w:header="0"/>
        </w:sectPr>
      </w:pPr>
    </w:p>
    <w:bookmarkStart w:id="74" w:name="page75"/>
    <w:bookmarkEnd w:id="74"/>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 </w:t>
      </w:r>
      <w:r>
        <w:rPr>
          <w:rFonts w:ascii="Arial" w:cs="Arial" w:eastAsia="Arial" w:hAnsi="Arial"/>
          <w:sz w:val="16"/>
          <w:szCs w:val="16"/>
          <w:i w:val="1"/>
          <w:iCs w:val="1"/>
          <w:color w:val="auto"/>
        </w:rPr>
        <w:t>Alternate Consideration.</w:t>
      </w:r>
      <w:r>
        <w:rPr>
          <w:rFonts w:ascii="Arial" w:cs="Arial" w:eastAsia="Arial" w:hAnsi="Arial"/>
          <w:sz w:val="16"/>
          <w:szCs w:val="16"/>
          <w:color w:val="auto"/>
        </w:rPr>
        <w:t xml:space="preserve"> For purposes of determining the consideration payable upon exercise of the optional redemption provided in Section 4(a)(ii) and upon the exercise of the Exchange Right provided in Section 5, if there shall have occurred a Transaction, as defined in Section 8(b)(iii), the Common Stock that would otherwise have been issued to a holder of Series B Convertible Preferred Stock for each share of Series B Convertible Preferred Stock pursuant to Section 4(a)(ii) or Section 5, as applicable, shall be deemed to instead be the kind and amount of shares of stock or other securities and property receivable (including cash) upon consummation of such Transaction (the “Alternate Consideration”) in respect of the Common Stock that would result in the Fair Market Value of such Alternate Consideration, measured as of the Redemption Date or Exchange Date, as applicable, being equal to (X) if prior to Stockholder Approval, the greater of (a) the Liquidation Value plus all dividends accrued and unpaid with respect to such share of Series B Convertible Preferred Stock, whether or not declared, measured as of the Redemption Date or the Exchange Date, as applicable, and (b) the Fair Market Value of the kind and amount of shares of stock and other securities and property receivable (including cash) pursuant to Section 8(b)(iii) which would have been issued if such share of Series B Convertible Preferred Stock had been converted pursuant to Section 8 immediately prior to the consummation of the Transaction; or (Y) if after Stockholder Approval, the Liquidation Value plus all dividends accrued and unpaid with respect to such share of Series B Convertible Preferred Stock, whether or not declared, measured as of the Redemption Date or Exchange Date, as applicable. In the event the subject Transaction provides for an election of the consideration to be received in respect of the Common Stock, then each holder of Series B Convertible Preferred Stock shall be entitled to make a similar election with respect to the Alternate Consideration to be received by it under Section 4(a)(ii) or Section 5, as applicable. Any determination of the Fair Market Value of any Alternate Consideration (other than cash) shall be determined by an independent investment banking firm of nationally recognized standing selected by the Board of Directors of the Corporation. The Fair Market Value of any Alternate Consideration that is listed on any national securities exchange or traded on the NASDAQ National Market shall be deemed to be the Current Market Price of such Alternate Consideration.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280" w:right="299" w:bottom="1440"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0491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1826895" cy="325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8268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MR A SAMPLE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DESIGNATION (IF ANY)</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1</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2</w:t>
      </w:r>
    </w:p>
    <w:p>
      <w:pPr>
        <w:ind w:left="660"/>
        <w:spacing w:after="0" w:line="221" w:lineRule="auto"/>
        <w:rPr>
          <w:sz w:val="20"/>
          <w:szCs w:val="20"/>
          <w:color w:val="auto"/>
        </w:rPr>
      </w:pPr>
      <w:r>
        <w:rPr>
          <w:rFonts w:ascii="Arial" w:cs="Arial" w:eastAsia="Arial" w:hAnsi="Arial"/>
          <w:sz w:val="14"/>
          <w:szCs w:val="14"/>
          <w:color w:val="auto"/>
        </w:rPr>
        <w:t>ADD 3</w:t>
      </w:r>
    </w:p>
    <w:p>
      <w:pPr>
        <w:ind w:left="660"/>
        <w:spacing w:after="0"/>
        <w:rPr>
          <w:sz w:val="20"/>
          <w:szCs w:val="20"/>
          <w:color w:val="auto"/>
        </w:rPr>
      </w:pPr>
      <w:r>
        <w:rPr>
          <w:rFonts w:ascii="Arial" w:cs="Arial" w:eastAsia="Arial" w:hAnsi="Arial"/>
          <w:sz w:val="14"/>
          <w:szCs w:val="14"/>
          <w:color w:val="auto"/>
        </w:rPr>
        <w:t>ADD 4</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-635</wp:posOffset>
            </wp:positionV>
            <wp:extent cx="180340" cy="11918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34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401955</wp:posOffset>
            </wp:positionV>
            <wp:extent cx="210121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0121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43"/>
          <w:szCs w:val="4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-379730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-131445</wp:posOffset>
            </wp:positionV>
            <wp:extent cx="158623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623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000004</w:t>
            </w: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Least Address Line</w:t>
            </w: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8"/>
                <w:szCs w:val="18"/>
                <w:color w:val="auto"/>
              </w:rPr>
            </w:pPr>
          </w:p>
        </w:tc>
      </w:tr>
      <w:tr>
        <w:trPr>
          <w:trHeight w:val="222"/>
        </w:trPr>
        <w:tc>
          <w:tcPr>
            <w:tcW w:w="1800" w:type="dxa"/>
            <w:vAlign w:val="bottom"/>
          </w:tcPr>
          <w:p>
            <w:pPr>
              <w:spacing w:after="0"/>
              <w:rPr>
                <w:sz w:val="19"/>
                <w:szCs w:val="19"/>
                <w:color w:val="auto"/>
              </w:rPr>
            </w:pPr>
          </w:p>
        </w:tc>
        <w:tc>
          <w:tcPr>
            <w:tcW w:w="2180" w:type="dxa"/>
            <w:vAlign w:val="bottom"/>
          </w:tcPr>
          <w:p>
            <w:pPr>
              <w:ind w:left="420"/>
              <w:spacing w:after="0"/>
              <w:rPr>
                <w:sz w:val="20"/>
                <w:szCs w:val="20"/>
                <w:color w:val="auto"/>
              </w:rPr>
            </w:pPr>
            <w:r>
              <w:rPr>
                <w:rFonts w:ascii="Arial" w:cs="Arial" w:eastAsia="Arial" w:hAnsi="Arial"/>
                <w:sz w:val="18"/>
                <w:szCs w:val="18"/>
                <w:color w:val="auto"/>
              </w:rPr>
              <w:t>000000000.000 ext</w:t>
            </w:r>
          </w:p>
        </w:tc>
        <w:tc>
          <w:tcPr>
            <w:tcW w:w="820" w:type="dxa"/>
            <w:vAlign w:val="bottom"/>
          </w:tcPr>
          <w:p>
            <w:pPr>
              <w:spacing w:after="0"/>
              <w:rPr>
                <w:sz w:val="19"/>
                <w:szCs w:val="19"/>
                <w:color w:val="auto"/>
              </w:rPr>
            </w:pPr>
          </w:p>
        </w:tc>
      </w:tr>
      <w:tr>
        <w:trPr>
          <w:trHeight w:val="552"/>
        </w:trPr>
        <w:tc>
          <w:tcPr>
            <w:tcW w:w="1800" w:type="dxa"/>
            <w:vAlign w:val="bottom"/>
          </w:tcPr>
          <w:p>
            <w:pPr>
              <w:spacing w:after="0"/>
              <w:rPr>
                <w:sz w:val="24"/>
                <w:szCs w:val="24"/>
                <w:color w:val="auto"/>
              </w:rPr>
            </w:pPr>
          </w:p>
        </w:tc>
        <w:tc>
          <w:tcPr>
            <w:tcW w:w="2180" w:type="dxa"/>
            <w:vAlign w:val="bottom"/>
          </w:tcPr>
          <w:p>
            <w:pPr>
              <w:ind w:left="420"/>
              <w:spacing w:after="0"/>
              <w:rPr>
                <w:sz w:val="20"/>
                <w:szCs w:val="20"/>
                <w:color w:val="auto"/>
              </w:rPr>
            </w:pPr>
            <w:r>
              <w:rPr>
                <w:rFonts w:ascii="Arial" w:cs="Arial" w:eastAsia="Arial" w:hAnsi="Arial"/>
                <w:sz w:val="22"/>
                <w:szCs w:val="22"/>
                <w:color w:val="auto"/>
              </w:rPr>
              <w:t>C  1234567890</w:t>
            </w:r>
          </w:p>
        </w:tc>
        <w:tc>
          <w:tcPr>
            <w:tcW w:w="820" w:type="dxa"/>
            <w:vAlign w:val="bottom"/>
          </w:tcPr>
          <w:p>
            <w:pPr>
              <w:ind w:left="340"/>
              <w:spacing w:after="0"/>
              <w:rPr>
                <w:sz w:val="20"/>
                <w:szCs w:val="20"/>
                <w:color w:val="auto"/>
              </w:rPr>
            </w:pPr>
            <w:r>
              <w:rPr>
                <w:rFonts w:ascii="Arial" w:cs="Arial" w:eastAsia="Arial" w:hAnsi="Arial"/>
                <w:sz w:val="22"/>
                <w:szCs w:val="22"/>
                <w:color w:val="auto"/>
                <w:w w:val="87"/>
              </w:rPr>
              <w:t>J N 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1322705</wp:posOffset>
            </wp:positionV>
            <wp:extent cx="1852295"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60" w:right="100" w:hanging="539"/>
        <w:spacing w:after="0" w:line="197" w:lineRule="auto"/>
        <w:tabs>
          <w:tab w:leader="none" w:pos="2760" w:val="left"/>
        </w:tabs>
        <w:numPr>
          <w:ilvl w:val="0"/>
          <w:numId w:val="85"/>
        </w:numPr>
        <w:rPr>
          <w:rFonts w:ascii="MS PGothic" w:cs="MS PGothic" w:eastAsia="MS PGothic" w:hAnsi="MS PGothic"/>
          <w:sz w:val="39"/>
          <w:szCs w:val="39"/>
          <w:color w:val="auto"/>
          <w:vertAlign w:val="subscript"/>
        </w:rPr>
      </w:pPr>
      <w:r>
        <w:rPr>
          <w:rFonts w:ascii="Arial" w:cs="Arial" w:eastAsia="Arial" w:hAnsi="Arial"/>
          <w:sz w:val="11"/>
          <w:szCs w:val="11"/>
          <w:color w:val="auto"/>
        </w:rPr>
        <w:t>Mark this box with an X if you have made changes to your name or address details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240665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403860</wp:posOffset>
            </wp:positionV>
            <wp:extent cx="72009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9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340"/>
          </w:cols>
          <w:pgMar w:left="240" w:top="244"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460"/>
              <w:spacing w:after="0"/>
              <w:rPr>
                <w:sz w:val="20"/>
                <w:szCs w:val="20"/>
                <w:color w:val="auto"/>
              </w:rPr>
            </w:pPr>
            <w:r>
              <w:rPr>
                <w:rFonts w:ascii="Arial" w:cs="Arial" w:eastAsia="Arial" w:hAnsi="Arial"/>
                <w:sz w:val="18"/>
                <w:szCs w:val="18"/>
                <w:b w:val="1"/>
                <w:bCs w:val="1"/>
                <w:color w:val="auto"/>
              </w:rPr>
              <w:t>Annual Meeting Proxy Card</w:t>
            </w:r>
          </w:p>
        </w:tc>
        <w:tc>
          <w:tcPr>
            <w:tcW w:w="29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w w:val="90"/>
              </w:rPr>
              <w:t>C0123456789[12345]</w:t>
            </w:r>
          </w:p>
        </w:tc>
      </w:tr>
      <w:tr>
        <w:trPr>
          <w:trHeight w:val="412"/>
        </w:trPr>
        <w:tc>
          <w:tcPr>
            <w:tcW w:w="3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384"/>
        </w:trPr>
        <w:tc>
          <w:tcPr>
            <w:tcW w:w="3020" w:type="dxa"/>
            <w:vAlign w:val="bottom"/>
          </w:tcPr>
          <w:p>
            <w:pPr>
              <w:spacing w:after="0"/>
              <w:rPr>
                <w:sz w:val="24"/>
                <w:szCs w:val="24"/>
                <w:color w:val="auto"/>
              </w:rPr>
            </w:pPr>
          </w:p>
        </w:tc>
        <w:tc>
          <w:tcPr>
            <w:tcW w:w="8400" w:type="dxa"/>
            <w:vAlign w:val="bottom"/>
            <w:gridSpan w:val="3"/>
          </w:tcPr>
          <w:p>
            <w:pPr>
              <w:ind w:left="420"/>
              <w:spacing w:after="0"/>
              <w:rPr>
                <w:sz w:val="20"/>
                <w:szCs w:val="20"/>
                <w:color w:val="auto"/>
              </w:rPr>
            </w:pPr>
            <w:r>
              <w:rPr>
                <w:rFonts w:ascii="Arial" w:cs="Arial" w:eastAsia="Arial" w:hAnsi="Arial"/>
                <w:sz w:val="18"/>
                <w:szCs w:val="18"/>
                <w:b w:val="1"/>
                <w:bCs w:val="1"/>
                <w:color w:val="auto"/>
              </w:rPr>
              <w:t>PLEASE REFER TO THE REVERSE SIDE FOR TELEPHONE AND INTERNET VOTING</w:t>
            </w:r>
          </w:p>
        </w:tc>
      </w:tr>
      <w:tr>
        <w:trPr>
          <w:trHeight w:val="228"/>
        </w:trPr>
        <w:tc>
          <w:tcPr>
            <w:tcW w:w="3020" w:type="dxa"/>
            <w:vAlign w:val="bottom"/>
          </w:tcPr>
          <w:p>
            <w:pPr>
              <w:spacing w:after="0"/>
              <w:rPr>
                <w:sz w:val="20"/>
                <w:szCs w:val="20"/>
                <w:color w:val="auto"/>
              </w:rPr>
            </w:pPr>
            <w:r>
              <w:rPr>
                <w:rFonts w:ascii="Arial" w:cs="Arial" w:eastAsia="Arial" w:hAnsi="Arial"/>
                <w:sz w:val="18"/>
                <w:szCs w:val="18"/>
                <w:b w:val="1"/>
                <w:bCs w:val="1"/>
                <w:color w:val="auto"/>
              </w:rPr>
              <w:t>A   Election of Directors</w:t>
            </w:r>
          </w:p>
        </w:tc>
        <w:tc>
          <w:tcPr>
            <w:tcW w:w="8400" w:type="dxa"/>
            <w:vAlign w:val="bottom"/>
            <w:gridSpan w:val="3"/>
          </w:tcPr>
          <w:p>
            <w:pPr>
              <w:ind w:left="420"/>
              <w:spacing w:after="0"/>
              <w:rPr>
                <w:sz w:val="20"/>
                <w:szCs w:val="20"/>
                <w:color w:val="auto"/>
              </w:rPr>
            </w:pPr>
            <w:r>
              <w:rPr>
                <w:rFonts w:ascii="Arial" w:cs="Arial" w:eastAsia="Arial" w:hAnsi="Arial"/>
                <w:sz w:val="18"/>
                <w:szCs w:val="18"/>
                <w:b w:val="1"/>
                <w:bCs w:val="1"/>
                <w:color w:val="auto"/>
              </w:rPr>
              <w:t>INSTRUCTIONS.</w:t>
            </w:r>
          </w:p>
        </w:tc>
      </w:tr>
    </w:tbl>
    <w:p>
      <w:pPr>
        <w:spacing w:after="0" w:line="105" w:lineRule="exact"/>
        <w:rPr>
          <w:sz w:val="20"/>
          <w:szCs w:val="20"/>
          <w:color w:val="auto"/>
        </w:rPr>
      </w:pPr>
    </w:p>
    <w:p>
      <w:pPr>
        <w:ind w:left="800" w:hanging="792"/>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4"/>
          <w:szCs w:val="14"/>
          <w:color w:val="auto"/>
        </w:rPr>
        <w:t>The Board of Directors recommends a vote FOR the listed nominees.</w:t>
      </w:r>
    </w:p>
    <w:p>
      <w:pPr>
        <w:spacing w:after="0" w:line="42" w:lineRule="exact"/>
        <w:rPr>
          <w:sz w:val="20"/>
          <w:szCs w:val="20"/>
          <w:color w:val="auto"/>
        </w:rPr>
      </w:pPr>
    </w:p>
    <w:p>
      <w:pPr>
        <w:ind w:left="3840"/>
        <w:spacing w:after="0"/>
        <w:tabs>
          <w:tab w:leader="none" w:pos="4780" w:val="left"/>
          <w:tab w:leader="none" w:pos="9780" w:val="left"/>
          <w:tab w:leader="none" w:pos="107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Withhold</w:t>
      </w:r>
    </w:p>
    <w:p>
      <w:pPr>
        <w:sectPr>
          <w:pgSz w:w="11900" w:h="16838" w:orient="portrait"/>
          <w:cols w:equalWidth="0" w:num="1">
            <w:col w:w="11420"/>
          </w:cols>
          <w:pgMar w:left="240" w:top="244" w:right="239" w:bottom="1440" w:gutter="0" w:footer="0" w:header="0"/>
          <w:type w:val="continuous"/>
        </w:sectPr>
      </w:pPr>
    </w:p>
    <w:p>
      <w:pPr>
        <w:spacing w:after="0" w:line="98" w:lineRule="exact"/>
        <w:rPr>
          <w:sz w:val="20"/>
          <w:szCs w:val="20"/>
          <w:color w:val="auto"/>
        </w:rPr>
      </w:pPr>
    </w:p>
    <w:p>
      <w:pPr>
        <w:ind w:left="800"/>
        <w:spacing w:after="0"/>
        <w:rPr>
          <w:sz w:val="20"/>
          <w:szCs w:val="20"/>
          <w:color w:val="auto"/>
        </w:rPr>
      </w:pPr>
      <w:r>
        <w:rPr>
          <w:rFonts w:ascii="Arial" w:cs="Arial" w:eastAsia="Arial" w:hAnsi="Arial"/>
          <w:sz w:val="11"/>
          <w:szCs w:val="11"/>
          <w:color w:val="auto"/>
        </w:rPr>
        <w:t>01 - John T. Chain, Jr.</w:t>
      </w:r>
    </w:p>
    <w:p>
      <w:pPr>
        <w:spacing w:after="0" w:line="36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02 - Vic Fazio</w:t>
      </w:r>
    </w:p>
    <w:p>
      <w:pPr>
        <w:spacing w:after="0" w:line="32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03 - Stephen E. Frank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31"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6"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04 - Charles R. Larson</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05 - Richard B. Myers</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06 - Ronald D. Sugar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1" w:lineRule="exact"/>
        <w:tabs>
          <w:tab w:leader="none" w:pos="110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31" w:lineRule="exact"/>
        <w:rPr>
          <w:sz w:val="20"/>
          <w:szCs w:val="20"/>
          <w:color w:val="auto"/>
        </w:rPr>
      </w:pPr>
    </w:p>
    <w:p>
      <w:pPr>
        <w:spacing w:after="0" w:line="281" w:lineRule="exact"/>
        <w:tabs>
          <w:tab w:leader="none" w:pos="110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6" w:lineRule="exact"/>
        <w:rPr>
          <w:sz w:val="20"/>
          <w:szCs w:val="20"/>
          <w:color w:val="auto"/>
        </w:rPr>
      </w:pPr>
    </w:p>
    <w:p>
      <w:pPr>
        <w:spacing w:after="0" w:line="281" w:lineRule="exact"/>
        <w:tabs>
          <w:tab w:leader="none" w:pos="1100" w:val="left"/>
        </w:tabs>
        <w:rPr>
          <w:sz w:val="20"/>
          <w:szCs w:val="20"/>
          <w:color w:val="auto"/>
        </w:rPr>
      </w:pPr>
      <w:r>
        <w:rPr>
          <w:rFonts w:ascii="MS PGothic" w:cs="MS PGothic" w:eastAsia="MS PGothic" w:hAnsi="MS PGothic"/>
          <w:sz w:val="28"/>
          <w:szCs w:val="28"/>
          <w:color w:val="auto"/>
        </w:rPr>
        <w:t>☐</w:t>
      </w:r>
      <w:r>
        <w:rPr>
          <w:sz w:val="20"/>
          <w:szCs w:val="20"/>
          <w:color w:val="auto"/>
        </w:rPr>
        <w:tab/>
      </w:r>
      <w:r>
        <w:rPr>
          <w:rFonts w:ascii="MS PGothic" w:cs="MS PGothic" w:eastAsia="MS PGothic" w:hAnsi="MS PGothic"/>
          <w:sz w:val="28"/>
          <w:szCs w:val="28"/>
          <w:color w:val="auto"/>
        </w:rPr>
        <w:t>☐</w:t>
      </w:r>
    </w:p>
    <w:p>
      <w:pPr>
        <w:spacing w:after="0" w:line="200" w:lineRule="exact"/>
        <w:rPr>
          <w:sz w:val="20"/>
          <w:szCs w:val="20"/>
          <w:color w:val="auto"/>
        </w:rPr>
      </w:pPr>
    </w:p>
    <w:p>
      <w:pPr>
        <w:sectPr>
          <w:pgSz w:w="11900" w:h="16838" w:orient="portrait"/>
          <w:cols w:equalWidth="0" w:num="4">
            <w:col w:w="3060" w:space="720"/>
            <w:col w:w="1500" w:space="720"/>
            <w:col w:w="3040" w:space="720"/>
            <w:col w:w="1660"/>
          </w:cols>
          <w:pgMar w:left="240" w:top="244" w:right="239" w:bottom="1440" w:gutter="0" w:footer="0" w:header="0"/>
          <w:type w:val="continuous"/>
        </w:sectPr>
      </w:pPr>
    </w:p>
    <w:p>
      <w:pPr>
        <w:spacing w:after="0" w:line="141" w:lineRule="exact"/>
        <w:rPr>
          <w:sz w:val="20"/>
          <w:szCs w:val="20"/>
          <w:color w:val="auto"/>
        </w:rPr>
      </w:pPr>
    </w:p>
    <w:p>
      <w:pPr>
        <w:ind w:left="420" w:hanging="412"/>
        <w:spacing w:after="0"/>
        <w:tabs>
          <w:tab w:leader="none" w:pos="420"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color w:val="auto"/>
        </w:rPr>
        <w:t>Issues</w:t>
      </w:r>
    </w:p>
    <w:p>
      <w:pPr>
        <w:sectPr>
          <w:pgSz w:w="11900" w:h="16838" w:orient="portrait"/>
          <w:cols w:equalWidth="0" w:num="1">
            <w:col w:w="11420"/>
          </w:cols>
          <w:pgMar w:left="240" w:top="244" w:right="239"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recommends a vote FOR the following proposals.</w:t>
      </w:r>
    </w:p>
    <w:p>
      <w:pPr>
        <w:spacing w:after="0" w:line="159" w:lineRule="exact"/>
        <w:rPr>
          <w:sz w:val="20"/>
          <w:szCs w:val="20"/>
          <w:color w:val="auto"/>
        </w:rPr>
      </w:pPr>
    </w:p>
    <w:p>
      <w:pPr>
        <w:ind w:left="420" w:right="120" w:hanging="412"/>
        <w:spacing w:after="0" w:line="239" w:lineRule="auto"/>
        <w:tabs>
          <w:tab w:leader="none" w:pos="4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Proposal to ratify the appointment of Deloitte &amp; Touche LLP as the Company’s Independent Auditor.</w:t>
      </w:r>
    </w:p>
    <w:p>
      <w:pPr>
        <w:spacing w:after="0" w:line="273" w:lineRule="exact"/>
        <w:rPr>
          <w:rFonts w:ascii="Arial" w:cs="Arial" w:eastAsia="Arial" w:hAnsi="Arial"/>
          <w:sz w:val="14"/>
          <w:szCs w:val="14"/>
          <w:color w:val="auto"/>
        </w:rPr>
      </w:pPr>
    </w:p>
    <w:p>
      <w:pPr>
        <w:ind w:left="420" w:right="160" w:hanging="412"/>
        <w:spacing w:after="0" w:line="318" w:lineRule="auto"/>
        <w:tabs>
          <w:tab w:leader="none" w:pos="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Proposal to amend the Company’s Restated Certificate of Incorporation to eliminate the super majority vote requirement.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60"/>
        <w:spacing w:after="0"/>
        <w:tabs>
          <w:tab w:leader="none" w:pos="480" w:val="left"/>
          <w:tab w:leader="none" w:pos="11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321" w:lineRule="exact"/>
        <w:tabs>
          <w:tab w:leader="none" w:pos="122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28"/>
          <w:szCs w:val="28"/>
          <w:color w:val="auto"/>
        </w:rPr>
        <w:t>☐</w:t>
      </w:r>
    </w:p>
    <w:p>
      <w:pPr>
        <w:spacing w:after="0" w:line="198" w:lineRule="exact"/>
        <w:rPr>
          <w:sz w:val="20"/>
          <w:szCs w:val="20"/>
          <w:color w:val="auto"/>
        </w:rPr>
      </w:pPr>
    </w:p>
    <w:p>
      <w:pPr>
        <w:spacing w:after="0" w:line="321" w:lineRule="exact"/>
        <w:tabs>
          <w:tab w:leader="none" w:pos="122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28"/>
          <w:szCs w:val="28"/>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3"/>
          </w:tcPr>
          <w:p>
            <w:pPr>
              <w:ind w:left="300"/>
              <w:spacing w:after="0"/>
              <w:rPr>
                <w:sz w:val="20"/>
                <w:szCs w:val="20"/>
                <w:color w:val="auto"/>
              </w:rPr>
            </w:pPr>
            <w:r>
              <w:rPr>
                <w:rFonts w:ascii="Arial" w:cs="Arial" w:eastAsia="Arial" w:hAnsi="Arial"/>
                <w:sz w:val="14"/>
                <w:szCs w:val="14"/>
                <w:color w:val="auto"/>
                <w:w w:val="97"/>
              </w:rPr>
              <w:t>The Board of Directors recommends a vote AGAINST the following proposal.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720" w:type="dxa"/>
            <w:vAlign w:val="bottom"/>
          </w:tcPr>
          <w:p>
            <w:pPr>
              <w:ind w:left="380"/>
              <w:spacing w:after="0" w:line="135"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Against</w:t>
            </w:r>
          </w:p>
        </w:tc>
        <w:tc>
          <w:tcPr>
            <w:tcW w:w="560" w:type="dxa"/>
            <w:vAlign w:val="bottom"/>
          </w:tcPr>
          <w:p>
            <w:pPr>
              <w:jc w:val="center"/>
              <w:ind w:left="18"/>
              <w:spacing w:after="0" w:line="135" w:lineRule="exact"/>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Arial" w:cs="Arial" w:eastAsia="Arial" w:hAnsi="Arial"/>
                <w:sz w:val="14"/>
                <w:szCs w:val="14"/>
                <w:color w:val="auto"/>
                <w:w w:val="98"/>
              </w:rPr>
              <w:t>4.   Shareholder proposal regarding an Independent Board</w:t>
            </w:r>
          </w:p>
        </w:tc>
        <w:tc>
          <w:tcPr>
            <w:tcW w:w="1380" w:type="dxa"/>
            <w:vAlign w:val="bottom"/>
            <w:gridSpan w:val="2"/>
          </w:tcPr>
          <w:p>
            <w:pPr>
              <w:ind w:left="340"/>
              <w:spacing w:after="0" w:line="149" w:lineRule="exact"/>
              <w:rPr>
                <w:sz w:val="20"/>
                <w:szCs w:val="20"/>
                <w:color w:val="auto"/>
              </w:rPr>
            </w:pPr>
            <w:r>
              <w:rPr>
                <w:rFonts w:ascii="MS PGothic" w:cs="MS PGothic" w:eastAsia="MS PGothic" w:hAnsi="MS PGothic"/>
                <w:sz w:val="19"/>
                <w:szCs w:val="19"/>
                <w:color w:val="auto"/>
              </w:rPr>
              <w:t>☐ ☐</w:t>
            </w:r>
          </w:p>
        </w:tc>
        <w:tc>
          <w:tcPr>
            <w:tcW w:w="560" w:type="dxa"/>
            <w:vAlign w:val="bottom"/>
          </w:tcPr>
          <w:p>
            <w:pPr>
              <w:jc w:val="center"/>
              <w:ind w:left="18"/>
              <w:spacing w:after="0" w:line="149"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8"/>
        </w:trPr>
        <w:tc>
          <w:tcPr>
            <w:tcW w:w="35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00"/>
        <w:spacing w:after="0"/>
        <w:rPr>
          <w:sz w:val="20"/>
          <w:szCs w:val="20"/>
          <w:color w:val="auto"/>
        </w:rPr>
      </w:pPr>
      <w:r>
        <w:rPr>
          <w:rFonts w:ascii="Arial" w:cs="Arial" w:eastAsia="Arial" w:hAnsi="Arial"/>
          <w:sz w:val="14"/>
          <w:szCs w:val="14"/>
          <w:color w:val="auto"/>
        </w:rPr>
        <w:t>Chairman.</w:t>
      </w:r>
    </w:p>
    <w:p>
      <w:pPr>
        <w:spacing w:after="0" w:line="838" w:lineRule="exact"/>
        <w:rPr>
          <w:sz w:val="20"/>
          <w:szCs w:val="20"/>
          <w:color w:val="auto"/>
        </w:rPr>
      </w:pPr>
    </w:p>
    <w:p>
      <w:pPr>
        <w:sectPr>
          <w:pgSz w:w="11900" w:h="16838" w:orient="portrait"/>
          <w:cols w:equalWidth="0" w:num="3">
            <w:col w:w="3980" w:space="100"/>
            <w:col w:w="1600" w:space="220"/>
            <w:col w:w="5520"/>
          </w:cols>
          <w:pgMar w:left="240" w:top="244" w:right="239" w:bottom="1440" w:gutter="0" w:footer="0" w:header="0"/>
          <w:type w:val="continuous"/>
        </w:sectPr>
      </w:pPr>
    </w:p>
    <w:p>
      <w:pPr>
        <w:spacing w:after="0" w:line="1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Signatures - Sign Here - This section must be completed for your instructions to be executed.</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0540" w:type="dxa"/>
            <w:vAlign w:val="bottom"/>
            <w:gridSpan w:val="12"/>
          </w:tcPr>
          <w:p>
            <w:pPr>
              <w:spacing w:after="0"/>
              <w:rPr>
                <w:sz w:val="20"/>
                <w:szCs w:val="20"/>
                <w:color w:val="auto"/>
              </w:rPr>
            </w:pPr>
            <w:r>
              <w:rPr>
                <w:rFonts w:ascii="Arial" w:cs="Arial" w:eastAsia="Arial" w:hAnsi="Arial"/>
                <w:sz w:val="14"/>
                <w:szCs w:val="14"/>
                <w:color w:val="auto"/>
                <w:w w:val="91"/>
              </w:rPr>
              <w:t>NOTE: Please sign exactly as name appears hereon. Joint owners should each sign. When signing as attorney, executor, administrator, trustee or guardian, please give full title as such.</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20" w:type="dxa"/>
            <w:vAlign w:val="bottom"/>
            <w:gridSpan w:val="2"/>
          </w:tcPr>
          <w:p>
            <w:pPr>
              <w:spacing w:after="0"/>
              <w:rPr>
                <w:sz w:val="20"/>
                <w:szCs w:val="20"/>
                <w:color w:val="auto"/>
              </w:rPr>
            </w:pPr>
            <w:r>
              <w:rPr>
                <w:rFonts w:ascii="Arial" w:cs="Arial" w:eastAsia="Arial" w:hAnsi="Arial"/>
                <w:sz w:val="14"/>
                <w:szCs w:val="14"/>
                <w:color w:val="auto"/>
              </w:rPr>
              <w:t>Signature 1 - Please keep signature within the box</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gridSpan w:val="4"/>
          </w:tcPr>
          <w:p>
            <w:pPr>
              <w:ind w:left="20"/>
              <w:spacing w:after="0"/>
              <w:rPr>
                <w:sz w:val="20"/>
                <w:szCs w:val="20"/>
                <w:color w:val="auto"/>
              </w:rPr>
            </w:pPr>
            <w:r>
              <w:rPr>
                <w:rFonts w:ascii="Arial" w:cs="Arial" w:eastAsia="Arial" w:hAnsi="Arial"/>
                <w:sz w:val="14"/>
                <w:szCs w:val="14"/>
                <w:color w:val="auto"/>
              </w:rPr>
              <w:t>Signature 2 - Please keep signature within the box</w:t>
            </w:r>
          </w:p>
        </w:tc>
        <w:tc>
          <w:tcPr>
            <w:tcW w:w="320" w:type="dxa"/>
            <w:vAlign w:val="bottom"/>
          </w:tcPr>
          <w:p>
            <w:pPr>
              <w:spacing w:after="0"/>
              <w:rPr>
                <w:sz w:val="19"/>
                <w:szCs w:val="19"/>
                <w:color w:val="auto"/>
              </w:rPr>
            </w:pPr>
          </w:p>
        </w:tc>
        <w:tc>
          <w:tcPr>
            <w:tcW w:w="2880" w:type="dxa"/>
            <w:vAlign w:val="bottom"/>
            <w:gridSpan w:val="2"/>
          </w:tcPr>
          <w:p>
            <w:pPr>
              <w:ind w:left="240"/>
              <w:spacing w:after="0"/>
              <w:rPr>
                <w:sz w:val="20"/>
                <w:szCs w:val="20"/>
                <w:color w:val="auto"/>
              </w:rPr>
            </w:pPr>
            <w:r>
              <w:rPr>
                <w:rFonts w:ascii="Arial" w:cs="Arial" w:eastAsia="Arial" w:hAnsi="Arial"/>
                <w:sz w:val="14"/>
                <w:szCs w:val="14"/>
                <w:color w:val="auto"/>
              </w:rPr>
              <w:t>Date (mm/dd/yyyy)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46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320" w:type="dxa"/>
            <w:vAlign w:val="bottom"/>
            <w:vMerge w:val="restart"/>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460" w:type="dxa"/>
            <w:vAlign w:val="bottom"/>
            <w:tcBorders>
              <w:top w:val="single" w:sz="8" w:color="auto"/>
              <w:left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tcBorders>
              <w:top w:val="single" w:sz="8" w:color="CCCCCC"/>
              <w:left w:val="single" w:sz="8" w:color="auto"/>
              <w:bottom w:val="single" w:sz="8" w:color="auto"/>
            </w:tcBorders>
            <w:shd w:val="clear" w:color="auto" w:fill="CCCCCC"/>
          </w:tcPr>
          <w:p>
            <w:pPr>
              <w:ind w:left="600"/>
              <w:spacing w:after="0" w:line="197" w:lineRule="exact"/>
              <w:rPr>
                <w:sz w:val="20"/>
                <w:szCs w:val="20"/>
                <w:color w:val="auto"/>
              </w:rPr>
            </w:pPr>
            <w:r>
              <w:rPr>
                <w:rFonts w:ascii="Arial" w:cs="Arial" w:eastAsia="Arial" w:hAnsi="Arial"/>
                <w:sz w:val="22"/>
                <w:szCs w:val="22"/>
                <w:color w:val="auto"/>
              </w:rPr>
              <w:t>/</w:t>
            </w:r>
          </w:p>
        </w:tc>
        <w:tc>
          <w:tcPr>
            <w:tcW w:w="1980" w:type="dxa"/>
            <w:vAlign w:val="bottom"/>
            <w:tcBorders>
              <w:top w:val="single" w:sz="8" w:color="CCCCCC"/>
              <w:bottom w:val="single" w:sz="8" w:color="auto"/>
            </w:tcBorders>
            <w:shd w:val="clear" w:color="auto" w:fill="CCCCCC"/>
          </w:tcPr>
          <w:p>
            <w:pPr>
              <w:jc w:val="right"/>
              <w:ind w:right="1572"/>
              <w:spacing w:after="0" w:line="197"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CCCCCC"/>
              <w:bottom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60" w:type="dxa"/>
            <w:vAlign w:val="bottom"/>
          </w:tcPr>
          <w:p>
            <w:pPr>
              <w:spacing w:after="0"/>
              <w:rPr>
                <w:sz w:val="24"/>
                <w:szCs w:val="24"/>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8 9 2</w:t>
            </w:r>
          </w:p>
        </w:tc>
        <w:tc>
          <w:tcPr>
            <w:tcW w:w="140" w:type="dxa"/>
            <w:vAlign w:val="bottom"/>
            <w:gridSpan w:val="2"/>
            <w:vMerge w:val="restart"/>
          </w:tcPr>
          <w:p>
            <w:pPr>
              <w:ind w:left="40"/>
              <w:spacing w:after="0"/>
              <w:rPr>
                <w:sz w:val="20"/>
                <w:szCs w:val="20"/>
                <w:color w:val="auto"/>
              </w:rPr>
            </w:pPr>
            <w:r>
              <w:rPr>
                <w:rFonts w:ascii="Arial" w:cs="Arial" w:eastAsia="Arial" w:hAnsi="Arial"/>
                <w:sz w:val="14"/>
                <w:szCs w:val="14"/>
                <w:color w:val="auto"/>
              </w:rPr>
              <w:t>8</w:t>
            </w:r>
          </w:p>
        </w:tc>
        <w:tc>
          <w:tcPr>
            <w:tcW w:w="920" w:type="dxa"/>
            <w:vAlign w:val="bottom"/>
            <w:vMerge w:val="restart"/>
          </w:tcPr>
          <w:p>
            <w:pPr>
              <w:jc w:val="right"/>
              <w:ind w:right="752"/>
              <w:spacing w:after="0"/>
              <w:rPr>
                <w:sz w:val="20"/>
                <w:szCs w:val="20"/>
                <w:color w:val="auto"/>
              </w:rPr>
            </w:pPr>
            <w:r>
              <w:rPr>
                <w:rFonts w:ascii="Arial" w:cs="Arial" w:eastAsia="Arial" w:hAnsi="Arial"/>
                <w:sz w:val="14"/>
                <w:szCs w:val="14"/>
                <w:color w:val="auto"/>
              </w:rPr>
              <w:t>1</w:t>
            </w:r>
          </w:p>
        </w:tc>
        <w:tc>
          <w:tcPr>
            <w:tcW w:w="2420" w:type="dxa"/>
            <w:vAlign w:val="bottom"/>
            <w:vMerge w:val="restart"/>
          </w:tcPr>
          <w:p>
            <w:pPr>
              <w:ind w:left="820"/>
              <w:spacing w:after="0"/>
              <w:rPr>
                <w:sz w:val="20"/>
                <w:szCs w:val="20"/>
                <w:color w:val="auto"/>
              </w:rPr>
            </w:pPr>
            <w:r>
              <w:rPr>
                <w:rFonts w:ascii="Arial" w:cs="Arial" w:eastAsia="Arial" w:hAnsi="Arial"/>
                <w:sz w:val="22"/>
                <w:szCs w:val="22"/>
                <w:color w:val="auto"/>
              </w:rPr>
              <w:t>1 U P X</w:t>
            </w:r>
          </w:p>
        </w:tc>
        <w:tc>
          <w:tcPr>
            <w:tcW w:w="320" w:type="dxa"/>
            <w:vAlign w:val="bottom"/>
          </w:tcPr>
          <w:p>
            <w:pPr>
              <w:spacing w:after="0"/>
              <w:rPr>
                <w:sz w:val="24"/>
                <w:szCs w:val="24"/>
                <w:color w:val="auto"/>
              </w:rPr>
            </w:pPr>
          </w:p>
        </w:tc>
        <w:tc>
          <w:tcPr>
            <w:tcW w:w="2880" w:type="dxa"/>
            <w:vAlign w:val="bottom"/>
            <w:gridSpan w:val="2"/>
            <w:vMerge w:val="restart"/>
          </w:tcPr>
          <w:p>
            <w:pPr>
              <w:ind w:left="580"/>
              <w:spacing w:after="0"/>
              <w:rPr>
                <w:sz w:val="20"/>
                <w:szCs w:val="20"/>
                <w:color w:val="auto"/>
              </w:rPr>
            </w:pPr>
            <w:r>
              <w:rPr>
                <w:rFonts w:ascii="Arial" w:cs="Arial" w:eastAsia="Arial" w:hAnsi="Arial"/>
                <w:sz w:val="22"/>
                <w:szCs w:val="22"/>
                <w:color w:val="auto"/>
              </w:rPr>
              <w:t>C O Y</w:t>
            </w:r>
          </w:p>
        </w:tc>
        <w:tc>
          <w:tcPr>
            <w:tcW w:w="88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shd w:val="clear" w:color="auto" w:fill="000000"/>
          </w:tcPr>
          <w:p>
            <w:pPr>
              <w:spacing w:after="0"/>
              <w:rPr>
                <w:sz w:val="10"/>
                <w:szCs w:val="10"/>
                <w:color w:val="auto"/>
              </w:rPr>
            </w:pPr>
          </w:p>
        </w:tc>
        <w:tc>
          <w:tcPr>
            <w:tcW w:w="28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auto"/>
            </w:tcBorders>
            <w:shd w:val="clear" w:color="auto" w:fill="000000"/>
          </w:tcPr>
          <w:p>
            <w:pPr>
              <w:spacing w:after="0"/>
              <w:rPr>
                <w:sz w:val="3"/>
                <w:szCs w:val="3"/>
                <w:color w:val="auto"/>
              </w:rPr>
            </w:pPr>
          </w:p>
        </w:tc>
        <w:tc>
          <w:tcPr>
            <w:tcW w:w="28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8"/>
        </w:trPr>
        <w:tc>
          <w:tcPr>
            <w:tcW w:w="460" w:type="dxa"/>
            <w:vAlign w:val="bottom"/>
            <w:tcBorders>
              <w:left w:val="single" w:sz="8" w:color="auto"/>
            </w:tcBorders>
            <w:shd w:val="clear" w:color="auto" w:fill="000000"/>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4"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Proxy - 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ANNUAL MEETING OF STOCKHOLDERS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MAY 17, 2006</w:t>
      </w:r>
    </w:p>
    <w:p>
      <w:pPr>
        <w:jc w:val="center"/>
        <w:ind w:right="-139"/>
        <w:spacing w:after="0" w:line="230" w:lineRule="auto"/>
        <w:rPr>
          <w:sz w:val="20"/>
          <w:szCs w:val="20"/>
          <w:color w:val="auto"/>
        </w:rPr>
      </w:pPr>
      <w:r>
        <w:rPr>
          <w:rFonts w:ascii="Arial" w:cs="Arial" w:eastAsia="Arial" w:hAnsi="Arial"/>
          <w:sz w:val="22"/>
          <w:szCs w:val="22"/>
          <w:b w:val="1"/>
          <w:bCs w:val="1"/>
          <w:color w:val="auto"/>
        </w:rPr>
        <w:t>10:00 A.M.</w:t>
      </w:r>
    </w:p>
    <w:p>
      <w:pPr>
        <w:jc w:val="center"/>
        <w:ind w:right="-139"/>
        <w:spacing w:after="0" w:line="231" w:lineRule="auto"/>
        <w:rPr>
          <w:sz w:val="20"/>
          <w:szCs w:val="20"/>
          <w:color w:val="auto"/>
        </w:rPr>
      </w:pPr>
      <w:r>
        <w:rPr>
          <w:rFonts w:ascii="Arial" w:cs="Arial" w:eastAsia="Arial" w:hAnsi="Arial"/>
          <w:sz w:val="22"/>
          <w:szCs w:val="22"/>
          <w:b w:val="1"/>
          <w:bCs w:val="1"/>
          <w:color w:val="auto"/>
        </w:rPr>
        <w:t>The Space Technology Presentation Center</w:t>
      </w:r>
    </w:p>
    <w:p>
      <w:pPr>
        <w:jc w:val="center"/>
        <w:ind w:right="-139"/>
        <w:spacing w:after="0" w:line="230" w:lineRule="auto"/>
        <w:rPr>
          <w:sz w:val="20"/>
          <w:szCs w:val="20"/>
          <w:color w:val="auto"/>
        </w:rPr>
      </w:pPr>
      <w:r>
        <w:rPr>
          <w:rFonts w:ascii="Arial" w:cs="Arial" w:eastAsia="Arial" w:hAnsi="Arial"/>
          <w:sz w:val="22"/>
          <w:szCs w:val="22"/>
          <w:b w:val="1"/>
          <w:bCs w:val="1"/>
          <w:color w:val="auto"/>
        </w:rPr>
        <w:t>One Space Park</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Redondo Beach, California 90278</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This Proxy/Voting Instruction Card is Solicited on Behalf of The Board of Directors for the 2006 Annual Meeting of Stockholders</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undersigned hereby constitutes and appoints W. Burks Terry and John H. Mullan, and each of them, attorneys and proxies with full power of substitution, to represent the undersigned and to vote all shares of Common Stock, $1.00 par value, of Northrop Grumman Corporation (the “Company”), that the undersigned would be entitled to vote if personally present at the 2006 Annual Meeting of Stockholders of the Company to be held on Wednesday, May 17, 2006, at 10:00 a.m. (Pacific Daylight Time) at The Space Technology Presentation Center, One Space Park, Redondo Beach, California 90278, and at any and all adjournments or postponements thereof (the “Meeting”), as herein specified (or, if no direction is given, “FOR” the nominees) and in such proxyholder’s discretion upon any other matter that may properly come before the Meeting.</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PROXY WILL BE VOTED AS DIRECTED. IF NOT OTHERWISE DIRECTED, THIS PROXY WILL BE VOTED “FOR” PROPOSALS 1, 2 AND 3 AND AGAINST PROPOSAL 4.</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PLEASE MARK, DATE AND SIGN THIS PROXY AND RETURN IT PROMPTLY, EVEN IF YOU PLAN TO ATTEND THE ANNUAL MEETING.</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If shares are held on your behalf under any of the Company Saving Plans, the proxy serves to provide confidential instructions to the plan Trustee or Voting Manager who then votes the shares. Instructions must be received by May 12, 2006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signed on the other side)</w:t>
      </w:r>
    </w:p>
    <w:p>
      <w:pPr>
        <w:sectPr>
          <w:pgSz w:w="11900" w:h="16838" w:orient="portrait"/>
          <w:cols w:equalWidth="0" w:num="1">
            <w:col w:w="11280"/>
          </w:cols>
          <w:pgMar w:left="240" w:top="705" w:right="37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Telephone and Internet Voting Instructions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can vote by telephone OR Internet! Available 24 hours a day 7 days a week!</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Instead of mailing your proxy, you may choose one of the two voting methods outlined below to vote your proxy.</w:t>
      </w:r>
    </w:p>
    <w:p>
      <w:pPr>
        <w:spacing w:after="0" w:line="200" w:lineRule="exact"/>
        <w:rPr>
          <w:sz w:val="20"/>
          <w:szCs w:val="20"/>
          <w:color w:val="auto"/>
        </w:rPr>
      </w:pPr>
    </w:p>
    <w:p>
      <w:pPr>
        <w:spacing w:after="0" w:line="2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To vote using the Telephone (within U.S.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22885" cy="3517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885" cy="3517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31750</wp:posOffset>
            </wp:positionV>
            <wp:extent cx="300355"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0355" cy="197485"/>
                    </a:xfrm>
                    <a:prstGeom prst="rect">
                      <a:avLst/>
                    </a:prstGeom>
                    <a:noFill/>
                  </pic:spPr>
                </pic:pic>
              </a:graphicData>
            </a:graphic>
          </wp:anchor>
        </w:drawing>
      </w:r>
    </w:p>
    <w:p>
      <w:pPr>
        <w:spacing w:after="0" w:line="330" w:lineRule="exact"/>
        <w:rPr>
          <w:sz w:val="20"/>
          <w:szCs w:val="20"/>
          <w:color w:val="auto"/>
        </w:rPr>
      </w:pPr>
    </w:p>
    <w:p>
      <w:pPr>
        <w:ind w:left="900" w:right="460" w:hanging="217"/>
        <w:spacing w:after="0" w:line="239" w:lineRule="auto"/>
        <w:tabs>
          <w:tab w:leader="none" w:pos="832" w:val="left"/>
        </w:tabs>
        <w:numPr>
          <w:ilvl w:val="0"/>
          <w:numId w:val="90"/>
        </w:numPr>
        <w:rPr>
          <w:rFonts w:ascii="Arial" w:cs="Arial" w:eastAsia="Arial" w:hAnsi="Arial"/>
          <w:sz w:val="14"/>
          <w:szCs w:val="14"/>
          <w:color w:val="auto"/>
        </w:rPr>
      </w:pPr>
      <w:r>
        <w:rPr>
          <w:rFonts w:ascii="Arial" w:cs="Arial" w:eastAsia="Arial" w:hAnsi="Arial"/>
          <w:sz w:val="14"/>
          <w:szCs w:val="14"/>
          <w:color w:val="auto"/>
        </w:rPr>
        <w:t xml:space="preserve">Call toll free 1-800-652-VOTE (8683) in the United States or Canada any time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p>
      <w:pPr>
        <w:ind w:left="840" w:hanging="157"/>
        <w:spacing w:after="0"/>
        <w:tabs>
          <w:tab w:leader="none" w:pos="8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Follow the simple instructions provided by the recorded message.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To vote using the Internet</w:t>
      </w:r>
    </w:p>
    <w:p>
      <w:pPr>
        <w:spacing w:after="0" w:line="12" w:lineRule="exact"/>
        <w:rPr>
          <w:sz w:val="20"/>
          <w:szCs w:val="20"/>
          <w:color w:val="auto"/>
        </w:rPr>
      </w:pPr>
    </w:p>
    <w:p>
      <w:pPr>
        <w:ind w:left="141" w:hanging="141"/>
        <w:spacing w:after="0"/>
        <w:tabs>
          <w:tab w:leader="none" w:pos="141" w:val="left"/>
        </w:tabs>
        <w:numPr>
          <w:ilvl w:val="0"/>
          <w:numId w:val="91"/>
        </w:numPr>
        <w:rPr>
          <w:rFonts w:ascii="Arial" w:cs="Arial" w:eastAsia="Arial" w:hAnsi="Arial"/>
          <w:sz w:val="14"/>
          <w:szCs w:val="14"/>
          <w:color w:val="auto"/>
        </w:rPr>
      </w:pPr>
      <w:r>
        <w:rPr>
          <w:rFonts w:ascii="Arial" w:cs="Arial" w:eastAsia="Arial" w:hAnsi="Arial"/>
          <w:sz w:val="14"/>
          <w:szCs w:val="14"/>
          <w:color w:val="auto"/>
        </w:rPr>
        <w:t>Go to the following web site:</w:t>
      </w:r>
    </w:p>
    <w:p>
      <w:pPr>
        <w:ind w:left="141"/>
        <w:spacing w:after="0"/>
        <w:rPr>
          <w:rFonts w:ascii="Arial" w:cs="Arial" w:eastAsia="Arial" w:hAnsi="Arial"/>
          <w:sz w:val="14"/>
          <w:szCs w:val="14"/>
          <w:color w:val="auto"/>
        </w:rPr>
      </w:pPr>
      <w:r>
        <w:rPr>
          <w:rFonts w:ascii="Arial" w:cs="Arial" w:eastAsia="Arial" w:hAnsi="Arial"/>
          <w:sz w:val="14"/>
          <w:szCs w:val="14"/>
          <w:b w:val="1"/>
          <w:bCs w:val="1"/>
          <w:color w:val="auto"/>
        </w:rPr>
        <w:t>WWW.COMPUTERSHARE.COM/EXPRESSVOTE</w:t>
      </w:r>
    </w:p>
    <w:p>
      <w:pPr>
        <w:ind w:left="221" w:right="200" w:hanging="221"/>
        <w:spacing w:after="0" w:line="231" w:lineRule="auto"/>
        <w:tabs>
          <w:tab w:leader="none" w:pos="153"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Enter the information requested on your computer screen and follow the simple instructions.</w:t>
      </w:r>
    </w:p>
    <w:p>
      <w:pPr>
        <w:spacing w:after="0" w:line="135" w:lineRule="exact"/>
        <w:rPr>
          <w:sz w:val="20"/>
          <w:szCs w:val="20"/>
          <w:color w:val="auto"/>
        </w:rPr>
      </w:pPr>
    </w:p>
    <w:p>
      <w:pPr>
        <w:sectPr>
          <w:pgSz w:w="11900" w:h="16838" w:orient="portrait"/>
          <w:cols w:equalWidth="0" w:num="2">
            <w:col w:w="6140" w:space="499"/>
            <w:col w:w="4641"/>
          </w:cols>
          <w:pgMar w:left="240" w:top="705" w:right="379" w:bottom="1440" w:gutter="0" w:footer="0" w:header="0"/>
          <w:type w:val="continuous"/>
        </w:sectPr>
      </w:pPr>
    </w:p>
    <w:p>
      <w:pPr>
        <w:ind w:left="1720"/>
        <w:spacing w:after="0"/>
        <w:rPr>
          <w:sz w:val="20"/>
          <w:szCs w:val="20"/>
          <w:color w:val="auto"/>
        </w:rPr>
      </w:pPr>
      <w:r>
        <w:rPr>
          <w:rFonts w:ascii="Arial" w:cs="Arial" w:eastAsia="Arial" w:hAnsi="Arial"/>
          <w:sz w:val="16"/>
          <w:szCs w:val="16"/>
          <w:b w:val="1"/>
          <w:bCs w:val="1"/>
          <w:color w:val="auto"/>
        </w:rPr>
        <w:t>VALIDATION DETAILS ARE LOCATED ON THE FRONT OF THIS FORM IN THE COLORED BAR.</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telephone or the Internet, please DO NOT mail back this proxy card.</w:t>
      </w:r>
    </w:p>
    <w:p>
      <w:pPr>
        <w:spacing w:after="0" w:line="223" w:lineRule="auto"/>
        <w:rPr>
          <w:sz w:val="20"/>
          <w:szCs w:val="20"/>
          <w:color w:val="auto"/>
        </w:rPr>
      </w:pPr>
      <w:r>
        <w:rPr>
          <w:rFonts w:ascii="Arial" w:cs="Arial" w:eastAsia="Arial" w:hAnsi="Arial"/>
          <w:sz w:val="14"/>
          <w:szCs w:val="14"/>
          <w:b w:val="1"/>
          <w:bCs w:val="1"/>
          <w:color w:val="auto"/>
        </w:rPr>
        <w:t>Proxies submitted by telephone or the Internet must be received by 1:00 a.m., Central Time, on May 17, 2006.</w:t>
      </w:r>
    </w:p>
    <w:p>
      <w:pPr>
        <w:spacing w:after="0"/>
        <w:rPr>
          <w:sz w:val="20"/>
          <w:szCs w:val="20"/>
          <w:color w:val="auto"/>
        </w:rPr>
      </w:pPr>
      <w:r>
        <w:rPr>
          <w:rFonts w:ascii="Arial" w:cs="Arial" w:eastAsia="Arial" w:hAnsi="Arial"/>
          <w:sz w:val="14"/>
          <w:szCs w:val="14"/>
          <w:b w:val="1"/>
          <w:bCs w:val="1"/>
          <w:color w:val="auto"/>
        </w:rPr>
        <w:t>THANK YOU FOR VOTING</w:t>
      </w:r>
    </w:p>
    <w:sectPr>
      <w:pgSz w:w="11900" w:h="16838" w:orient="portrait"/>
      <w:cols w:equalWidth="0" w:num="1">
        <w:col w:w="11280"/>
      </w:cols>
      <w:pgMar w:left="240" w:top="70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lvl w:ilvl="1">
      <w:lvlJc w:val="left"/>
      <w:lvlText w:val="(%2)"/>
      <w:numFmt w:val="decimal"/>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lowerLetter"/>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2"/>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5"/>
    </w:lvl>
  </w:abstractNum>
  <w:abstractNum w:abstractNumId="22">
    <w:nsid w:val="1CF10FD8"/>
    <w:multiLevelType w:val="hybridMultilevel"/>
    <w:lvl w:ilvl="0">
      <w:lvlJc w:val="left"/>
      <w:lvlText w:val="(%1)"/>
      <w:numFmt w:val="decimal"/>
      <w:start w:val="15"/>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4"/>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lowerLetter"/>
      <w:start w:val="1"/>
    </w:lvl>
  </w:abstractNum>
  <w:abstractNum w:abstractNumId="35">
    <w:nsid w:val="579BE4F1"/>
    <w:multiLevelType w:val="hybridMultilevel"/>
    <w:lvl w:ilvl="0">
      <w:lvlJc w:val="left"/>
      <w:lvlText w:val="(%1)"/>
      <w:numFmt w:val="decimal"/>
      <w:start w:val="4"/>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2"/>
    </w:lvl>
  </w:abstractNum>
  <w:abstractNum w:abstractNumId="38">
    <w:nsid w:val="2F305DEF"/>
    <w:multiLevelType w:val="hybridMultilevel"/>
    <w:lvl w:ilvl="0">
      <w:lvlJc w:val="left"/>
      <w:lvlText w:val="%1."/>
      <w:numFmt w:val="decimal"/>
      <w:start w:val="3"/>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1."/>
      <w:numFmt w:val="decimal"/>
      <w:start w:val="4"/>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decimal"/>
      <w:start w:val="5"/>
    </w:lvl>
  </w:abstractNum>
  <w:abstractNum w:abstractNumId="46">
    <w:nsid w:val="6590700B"/>
    <w:multiLevelType w:val="hybridMultilevel"/>
    <w:lvl w:ilvl="0">
      <w:lvlJc w:val="left"/>
      <w:lvlText w:val="%1."/>
      <w:numFmt w:val="decimal"/>
      <w:start w:val="6"/>
    </w:lvl>
  </w:abstractNum>
  <w:abstractNum w:abstractNumId="47">
    <w:nsid w:val="15014ACB"/>
    <w:multiLevelType w:val="hybridMultilevel"/>
    <w:lvl w:ilvl="0">
      <w:lvlJc w:val="left"/>
      <w:lvlText w:val="(%1)"/>
      <w:numFmt w:val="lowerRoman"/>
      <w:start w:val="2"/>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decimal"/>
      <w:start w:val="2"/>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6">
    <w:nsid w:val="5DC79EA8"/>
    <w:multiLevelType w:val="hybridMultilevel"/>
    <w:lvl w:ilvl="0">
      <w:lvlJc w:val="left"/>
      <w:lvlText w:val="%1"/>
      <w:numFmt w:val="lowerLetter"/>
      <w:start w:val="1"/>
    </w:lvl>
    <w:lvl w:ilvl="1">
      <w:lvlJc w:val="left"/>
      <w:lvlText w:val="(%2)"/>
      <w:numFmt w:val="lowerLetter"/>
      <w:start w:val="35"/>
    </w:lvl>
  </w:abstractNum>
  <w:abstractNum w:abstractNumId="57">
    <w:nsid w:val="540A471C"/>
    <w:multiLevelType w:val="hybridMultilevel"/>
    <w:lvl w:ilvl="0">
      <w:lvlJc w:val="left"/>
      <w:lvlText w:val="(%1)"/>
      <w:numFmt w:val="lowerLetter"/>
      <w:start w:val="2"/>
    </w:lvl>
    <w:lvl w:ilvl="1">
      <w:lvlJc w:val="left"/>
      <w:lvlText w:val="(%2)"/>
      <w:numFmt w:val="lowerLetter"/>
      <w:start w:val="9"/>
    </w:lvl>
  </w:abstractNum>
  <w:abstractNum w:abstractNumId="58">
    <w:nsid w:val="7BD3EE7B"/>
    <w:multiLevelType w:val="hybridMultilevel"/>
    <w:lvl w:ilvl="0">
      <w:lvlJc w:val="left"/>
      <w:lvlText w:val="(%1)"/>
      <w:numFmt w:val="lowerRoman"/>
      <w:start w:val="2"/>
    </w:lvl>
    <w:lvl w:ilvl="1">
      <w:lvlJc w:val="left"/>
      <w:lvlText w:val="(%2)"/>
      <w:numFmt w:val="upperLetter"/>
      <w:start w:val="9"/>
    </w:lvl>
  </w:abstractNum>
  <w:abstractNum w:abstractNumId="59">
    <w:nsid w:val="51D9C564"/>
    <w:multiLevelType w:val="hybridMultilevel"/>
    <w:lvl w:ilvl="0">
      <w:lvlJc w:val="left"/>
      <w:lvlText w:val="%1"/>
      <w:numFmt w:val="lowerRoman"/>
      <w:start w:val="1"/>
    </w:lvl>
    <w:lvl w:ilvl="1">
      <w:lvlJc w:val="left"/>
      <w:lvlText w:val="(%2)"/>
      <w:numFmt w:val="upperLetter"/>
      <w:start w:val="35"/>
    </w:lvl>
  </w:abstractNum>
  <w:abstractNum w:abstractNumId="60">
    <w:nsid w:val="613EFDC5"/>
    <w:multiLevelType w:val="hybridMultilevel"/>
    <w:lvl w:ilvl="0">
      <w:lvlJc w:val="left"/>
      <w:lvlText w:val="(%1)"/>
      <w:numFmt w:val="lowerRoman"/>
      <w:start w:val="3"/>
    </w:lvl>
    <w:lvl w:ilvl="1">
      <w:lvlJc w:val="left"/>
      <w:lvlText w:val="(%2)"/>
      <w:numFmt w:val="upperLetter"/>
      <w:start w:val="9"/>
    </w:lvl>
  </w:abstractNum>
  <w:abstractNum w:abstractNumId="61">
    <w:nsid w:val="BF72B14"/>
    <w:multiLevelType w:val="hybridMultilevel"/>
    <w:lvl w:ilvl="0">
      <w:lvlJc w:val="left"/>
      <w:lvlText w:val="(%1)"/>
      <w:numFmt w:val="upperLetter"/>
      <w:start w:val="35"/>
    </w:lvl>
  </w:abstractNum>
  <w:abstractNum w:abstractNumId="62">
    <w:nsid w:val="11447B73"/>
    <w:multiLevelType w:val="hybridMultilevel"/>
    <w:lvl w:ilvl="0">
      <w:lvlJc w:val="left"/>
      <w:lvlText w:val="%1"/>
      <w:numFmt w:val="lowerRoman"/>
      <w:start w:val="1"/>
    </w:lvl>
    <w:lvl w:ilvl="1">
      <w:lvlJc w:val="left"/>
      <w:lvlText w:val="(%2)"/>
      <w:numFmt w:val="upperLetter"/>
      <w:start w:val="61"/>
    </w:lvl>
  </w:abstractNum>
  <w:abstractNum w:abstractNumId="63">
    <w:nsid w:val="42963E5A"/>
    <w:multiLevelType w:val="hybridMultilevel"/>
    <w:lvl w:ilvl="0">
      <w:lvlJc w:val="left"/>
      <w:lvlText w:val="(%1)"/>
      <w:numFmt w:val="lowerRoman"/>
      <w:start w:val="4"/>
    </w:lvl>
    <w:lvl w:ilvl="1">
      <w:lvlJc w:val="left"/>
      <w:lvlText w:val="%2"/>
      <w:numFmt w:val="upperLetter"/>
      <w:start w:val="1"/>
    </w:lvl>
  </w:abstractNum>
  <w:abstractNum w:abstractNumId="64">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5">
    <w:nsid w:val="8F2B1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6">
    <w:nsid w:val="1A32234B"/>
    <w:multiLevelType w:val="hybridMultilevel"/>
    <w:lvl w:ilvl="0">
      <w:lvlJc w:val="left"/>
      <w:lvlText w:val="(%1)"/>
      <w:numFmt w:val="lowerLetter"/>
      <w:start w:val="3"/>
    </w:lvl>
    <w:lvl w:ilvl="1">
      <w:lvlJc w:val="left"/>
      <w:lvlText w:val="(%2)"/>
      <w:numFmt w:val="lowerRoman"/>
      <w:start w:val="1"/>
    </w:lvl>
  </w:abstractNum>
  <w:abstractNum w:abstractNumId="67">
    <w:nsid w:val="3B0FD379"/>
    <w:multiLevelType w:val="hybridMultilevel"/>
    <w:lvl w:ilvl="0">
      <w:lvlJc w:val="left"/>
      <w:lvlText w:val="(%1)"/>
      <w:numFmt w:val="lowerLetter"/>
      <w:start w:val="5"/>
    </w:lvl>
    <w:lvl w:ilvl="1">
      <w:lvlJc w:val="left"/>
      <w:lvlText w:val="(%2)"/>
      <w:numFmt w:val="lowerRoman"/>
      <w:start w:val="1"/>
    </w:lvl>
  </w:abstractNum>
  <w:abstractNum w:abstractNumId="68">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69">
    <w:nsid w:val="4962813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70">
    <w:nsid w:val="60B6DF70"/>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1"/>
    </w:lvl>
  </w:abstractNum>
  <w:abstractNum w:abstractNumId="71">
    <w:nsid w:val="6A5EE64"/>
    <w:multiLevelType w:val="hybridMultilevel"/>
    <w:lvl w:ilvl="0">
      <w:lvlJc w:val="left"/>
      <w:lvlText w:val="(%1)"/>
      <w:numFmt w:val="lowerLetter"/>
      <w:start w:val="1"/>
    </w:lvl>
    <w:lvl w:ilvl="1">
      <w:lvlJc w:val="left"/>
      <w:lvlText w:val="(%2)"/>
      <w:numFmt w:val="lowerRoman"/>
      <w:start w:val="1"/>
    </w:lvl>
  </w:abstractNum>
  <w:abstractNum w:abstractNumId="72">
    <w:nsid w:val="14330624"/>
    <w:multiLevelType w:val="hybridMultilevel"/>
    <w:lvl w:ilvl="0">
      <w:lvlJc w:val="left"/>
      <w:lvlText w:val="%1"/>
      <w:numFmt w:val="lowerLetter"/>
      <w:start w:val="1"/>
    </w:lvl>
    <w:lvl w:ilvl="1">
      <w:lvlJc w:val="left"/>
      <w:lvlText w:val="(%2)"/>
      <w:numFmt w:val="lowerLetter"/>
      <w:start w:val="61"/>
    </w:lvl>
  </w:abstractNum>
  <w:abstractNum w:abstractNumId="73">
    <w:nsid w:val="7FFFCA11"/>
    <w:multiLevelType w:val="hybridMultilevel"/>
    <w:lvl w:ilvl="0">
      <w:lvlJc w:val="left"/>
      <w:lvlText w:val="(%1)"/>
      <w:numFmt w:val="lowerLetter"/>
      <w:start w:val="2"/>
    </w:lvl>
    <w:lvl w:ilvl="1">
      <w:lvlJc w:val="left"/>
      <w:lvlText w:val="%2"/>
      <w:numFmt w:val="lowerLetter"/>
      <w:start w:val="1"/>
    </w:lvl>
  </w:abstractNum>
  <w:abstractNum w:abstractNumId="74">
    <w:nsid w:val="1A27709E"/>
    <w:multiLevelType w:val="hybridMultilevel"/>
    <w:lvl w:ilvl="0">
      <w:lvlJc w:val="left"/>
      <w:lvlText w:val="(%1)"/>
      <w:numFmt w:val="lowerLetter"/>
      <w:start w:val="1"/>
    </w:lvl>
    <w:lvl w:ilvl="1">
      <w:lvlJc w:val="left"/>
      <w:lvlText w:val="(%2)"/>
      <w:numFmt w:val="lowerRoman"/>
      <w:start w:val="1"/>
    </w:lvl>
  </w:abstractNum>
  <w:abstractNum w:abstractNumId="75">
    <w:nsid w:val="71EA1109"/>
    <w:multiLevelType w:val="hybridMultilevel"/>
    <w:lvl w:ilvl="0">
      <w:lvlJc w:val="left"/>
      <w:lvlText w:val="(%1)"/>
      <w:numFmt w:val="lowerLetter"/>
      <w:start w:val="4"/>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decimal"/>
      <w:start w:val="5"/>
    </w:lvl>
    <w:lvl w:ilvl="1">
      <w:lvlJc w:val="left"/>
      <w:lvlText w:val="(%2)"/>
      <w:numFmt w:val="lowerLetter"/>
      <w:start w:val="4"/>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80">
    <w:nsid w:val="94211F2"/>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81">
    <w:nsid w:val="885E1B"/>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82">
    <w:nsid w:val="76272110"/>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83">
    <w:nsid w:val="4C04A8AF"/>
    <w:multiLevelType w:val="hybridMultilevel"/>
    <w:lvl w:ilvl="0">
      <w:lvlJc w:val="left"/>
      <w:lvlText w:val="(%1)"/>
      <w:numFmt w:val="lowerLetter"/>
      <w:start w:val="5"/>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B"/>
      <w:numFmt w:val="bullet"/>
      <w:start w:val="1"/>
    </w:lvl>
  </w:abstractNum>
  <w:abstractNum w:abstractNumId="87">
    <w:nsid w:val="74DE0EE3"/>
    <w:multiLevelType w:val="hybridMultilevel"/>
    <w:lvl w:ilvl="0">
      <w:lvlJc w:val="left"/>
      <w:lvlText w:val="%1."/>
      <w:numFmt w:val="decimal"/>
      <w:start w:val="2"/>
    </w:lvl>
  </w:abstractNum>
  <w:abstractNum w:abstractNumId="88">
    <w:nsid w:val="68EBC550"/>
    <w:multiLevelType w:val="hybridMultilevel"/>
    <w:lvl w:ilvl="0">
      <w:lvlJc w:val="left"/>
      <w:lvlText w:val="C"/>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2019-12-15T05:02:41Z</dcterms:created>
  <dcterms:modified xsi:type="dcterms:W3CDTF">2019-12-15T05:02:41Z</dcterms:modified>
</cp:coreProperties>
</file>