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6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27940</wp:posOffset>
            </wp:positionV>
            <wp:extent cx="41662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66235" cy="8255"/>
                    </a:xfrm>
                    <a:prstGeom prst="rect">
                      <a:avLst/>
                    </a:prstGeom>
                    <a:noFill/>
                  </pic:spPr>
                </pic:pic>
              </a:graphicData>
            </a:graphic>
          </wp:anchor>
        </w:drawing>
        <w:drawing>
          <wp:anchor simplePos="0" relativeHeight="251657728" behindDoc="1" locked="0" layoutInCell="0" allowOverlap="1">
            <wp:simplePos x="0" y="0"/>
            <wp:positionH relativeFrom="column">
              <wp:posOffset>1487805</wp:posOffset>
            </wp:positionH>
            <wp:positionV relativeFrom="paragraph">
              <wp:posOffset>-220345</wp:posOffset>
            </wp:positionV>
            <wp:extent cx="41662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color w:val="auto"/>
        </w:rPr>
        <w:t>January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53975</wp:posOffset>
            </wp:positionV>
            <wp:extent cx="41662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NORTHROP GRUMMAN CORPORATION</w:t>
      </w: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1504950</wp:posOffset>
            </wp:positionH>
            <wp:positionV relativeFrom="paragraph">
              <wp:posOffset>71120</wp:posOffset>
            </wp:positionV>
            <wp:extent cx="41662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7"/>
          <w:szCs w:val="17"/>
          <w:b w:val="1"/>
          <w:bCs w:val="1"/>
          <w:color w:val="auto"/>
        </w:rPr>
        <w:t>1-16411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80-0640649</w:t>
      </w:r>
    </w:p>
    <w:p>
      <w:pPr>
        <w:spacing w:after="0" w:line="43" w:lineRule="exact"/>
        <w:rPr>
          <w:sz w:val="24"/>
          <w:szCs w:val="24"/>
          <w:color w:val="auto"/>
        </w:rPr>
      </w:pPr>
    </w:p>
    <w:p>
      <w:pPr>
        <w:sectPr>
          <w:pgSz w:w="11900" w:h="16838" w:orient="portrait"/>
          <w:cols w:equalWidth="0" w:num="3">
            <w:col w:w="4560" w:space="720"/>
            <w:col w:w="3020" w:space="720"/>
            <w:col w:w="2220"/>
          </w:cols>
          <w:pgMar w:left="320" w:top="1029" w:right="339" w:bottom="1440" w:gutter="0" w:footer="0" w:header="0"/>
          <w:type w:val="continuous"/>
        </w:sectPr>
      </w:pPr>
    </w:p>
    <w:p>
      <w:pPr>
        <w:ind w:left="88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30" w:lineRule="exact"/>
        <w:rPr>
          <w:sz w:val="24"/>
          <w:szCs w:val="24"/>
          <w:color w:val="auto"/>
        </w:rPr>
      </w:pPr>
    </w:p>
    <w:p>
      <w:pPr>
        <w:sectPr>
          <w:pgSz w:w="11900" w:h="16838" w:orient="portrait"/>
          <w:cols w:equalWidth="0" w:num="3">
            <w:col w:w="4020" w:space="720"/>
            <w:col w:w="3520" w:space="720"/>
            <w:col w:w="2260"/>
          </w:cols>
          <w:pgMar w:left="320" w:top="1029"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2">
            <w:col w:w="8160" w:space="720"/>
            <w:col w:w="2360"/>
          </w:cols>
          <w:pgMar w:left="320" w:top="1029" w:right="339" w:bottom="1440" w:gutter="0" w:footer="0" w:header="0"/>
          <w:type w:val="continuous"/>
        </w:sectPr>
      </w:pPr>
    </w:p>
    <w:p>
      <w:pPr>
        <w:spacing w:after="0" w:line="208"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7"/>
          <w:szCs w:val="17"/>
          <w:b w:val="1"/>
          <w:bCs w:val="1"/>
          <w:color w:val="auto"/>
        </w:rPr>
        <w:t>2980 Fairview Park Drive, Falls Church, VA 22042</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offices)(Zip Code)</w:t>
      </w:r>
    </w:p>
    <w:p>
      <w:pPr>
        <w:spacing w:after="0" w:line="3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(703) 280-2900</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3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ectPr>
          <w:pgSz w:w="11900" w:h="16838" w:orient="portrait"/>
          <w:cols w:equalWidth="0" w:num="1">
            <w:col w:w="11240"/>
          </w:cols>
          <w:pgMar w:left="320" w:top="1029" w:right="339" w:bottom="1440" w:gutter="0" w:footer="0" w:header="0"/>
          <w:type w:val="continuous"/>
        </w:sectPr>
      </w:pPr>
    </w:p>
    <w:p>
      <w:pPr>
        <w:spacing w:after="0" w:line="291" w:lineRule="exact"/>
        <w:rPr>
          <w:sz w:val="24"/>
          <w:szCs w:val="24"/>
          <w:color w:val="auto"/>
        </w:rPr>
      </w:pPr>
    </w:p>
    <w:p>
      <w:pPr>
        <w:ind w:right="680"/>
        <w:spacing w:after="0" w:line="25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9" w:lineRule="exact"/>
        <w:rPr>
          <w:sz w:val="24"/>
          <w:szCs w:val="24"/>
          <w:color w:val="auto"/>
        </w:rPr>
      </w:pPr>
    </w:p>
    <w:tbl>
      <w:tblPr>
        <w:tblLayout w:type="fixed"/>
        <w:tblInd w:w="30" w:type="dxa"/>
        <w:tblCellMar>
          <w:top w:w="0" w:type="dxa"/>
          <w:left w:w="0" w:type="dxa"/>
          <w:bottom w:w="0" w:type="dxa"/>
          <w:right w:w="0" w:type="dxa"/>
        </w:tblCellMar>
      </w:tblPr>
      <w:tr>
        <w:trPr>
          <w:trHeight w:val="243"/>
        </w:trPr>
        <w:tc>
          <w:tcPr>
            <w:tcW w:w="40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Title of each class</w:t>
            </w:r>
          </w:p>
        </w:tc>
        <w:tc>
          <w:tcPr>
            <w:tcW w:w="30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Trading Symbol(s)</w:t>
            </w:r>
          </w:p>
        </w:tc>
        <w:tc>
          <w:tcPr>
            <w:tcW w:w="414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40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3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NOC</w:t>
            </w:r>
          </w:p>
        </w:tc>
        <w:tc>
          <w:tcPr>
            <w:tcW w:w="4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New York Stock Exchange</w:t>
            </w:r>
          </w:p>
        </w:tc>
      </w:tr>
    </w:tbl>
    <w:p>
      <w:pPr>
        <w:spacing w:after="0" w:line="200" w:lineRule="exact"/>
        <w:rPr>
          <w:sz w:val="24"/>
          <w:szCs w:val="24"/>
          <w:color w:val="auto"/>
        </w:rPr>
      </w:pPr>
    </w:p>
    <w:p>
      <w:pPr>
        <w:spacing w:after="0" w:line="34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highlight w:val="black"/>
        </w:rPr>
        <w:t>☐</w:t>
      </w:r>
    </w:p>
    <w:p>
      <w:pPr>
        <w:spacing w:after="0" w:line="29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January 27, 2026, Northrop Grumman Corporation issued an earnings release announcing its financial results for the quarter and year ended December 31, 2025, under the heading “Northrop Grumman Reports Fourth Quarter and Full-Year 2025 Financial Results.” The earnings release is furnished as Exhibit 99.</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  Exhibits</w:t>
            </w:r>
          </w:p>
        </w:tc>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59"/>
        </w:trPr>
        <w:tc>
          <w:tcPr>
            <w:tcW w:w="380" w:type="dxa"/>
            <w:vAlign w:val="bottom"/>
          </w:tcPr>
          <w:p>
            <w:pPr>
              <w:spacing w:after="0"/>
              <w:rPr>
                <w:sz w:val="24"/>
                <w:szCs w:val="24"/>
                <w:color w:val="auto"/>
              </w:rPr>
            </w:pPr>
          </w:p>
        </w:tc>
        <w:tc>
          <w:tcPr>
            <w:tcW w:w="1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2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520" w:type="dxa"/>
            <w:vAlign w:val="bottom"/>
          </w:tcPr>
          <w:p>
            <w:pPr>
              <w:spacing w:after="0"/>
              <w:rPr>
                <w:sz w:val="24"/>
                <w:szCs w:val="24"/>
                <w:color w:val="auto"/>
              </w:rPr>
            </w:pPr>
          </w:p>
        </w:tc>
      </w:tr>
      <w:tr>
        <w:trPr>
          <w:trHeight w:val="439"/>
        </w:trPr>
        <w:tc>
          <w:tcPr>
            <w:tcW w:w="1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Earnings Release dated January 27, 2026 (furnished)</w:t>
            </w:r>
          </w:p>
        </w:tc>
      </w:tr>
      <w:tr>
        <w:trPr>
          <w:trHeight w:val="20"/>
        </w:trPr>
        <w:tc>
          <w:tcPr>
            <w:tcW w:w="19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0" w:type="dxa"/>
            <w:vAlign w:val="bottom"/>
            <w:shd w:val="clear" w:color="auto" w:fill="0000FF"/>
          </w:tcPr>
          <w:p>
            <w:pPr>
              <w:spacing w:after="0" w:line="20" w:lineRule="exact"/>
              <w:rPr>
                <w:sz w:val="1"/>
                <w:szCs w:val="1"/>
                <w:color w:val="auto"/>
              </w:rPr>
            </w:pPr>
          </w:p>
        </w:tc>
        <w:tc>
          <w:tcPr>
            <w:tcW w:w="5260" w:type="dxa"/>
            <w:vAlign w:val="bottom"/>
            <w:gridSpan w:val="2"/>
          </w:tcPr>
          <w:p>
            <w:pPr>
              <w:spacing w:after="0" w:line="20" w:lineRule="exact"/>
              <w:rPr>
                <w:sz w:val="1"/>
                <w:szCs w:val="1"/>
                <w:color w:val="auto"/>
              </w:rPr>
            </w:pPr>
          </w:p>
        </w:tc>
      </w:tr>
      <w:tr>
        <w:trPr>
          <w:trHeight w:val="250"/>
        </w:trPr>
        <w:tc>
          <w:tcPr>
            <w:tcW w:w="1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19"/>
        </w:trPr>
        <w:tc>
          <w:tcPr>
            <w:tcW w:w="3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47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NORTHROP GRUMMAN CORPORATION</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220"/>
        <w:spacing w:after="0"/>
        <w:tabs>
          <w:tab w:leader="none" w:pos="6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Jennifer C. McGarey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17145</wp:posOffset>
            </wp:positionV>
            <wp:extent cx="31635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(Signature)</w:t>
      </w:r>
    </w:p>
    <w:p>
      <w:pPr>
        <w:ind w:left="6320"/>
        <w:spacing w:after="0" w:line="203" w:lineRule="auto"/>
        <w:rPr>
          <w:sz w:val="20"/>
          <w:szCs w:val="20"/>
          <w:color w:val="auto"/>
        </w:rPr>
      </w:pPr>
      <w:r>
        <w:rPr>
          <w:rFonts w:ascii="Times New Roman" w:cs="Times New Roman" w:eastAsia="Times New Roman" w:hAnsi="Times New Roman"/>
          <w:sz w:val="18"/>
          <w:szCs w:val="18"/>
          <w:color w:val="auto"/>
        </w:rPr>
        <w:t>Jennifer C. McGarey</w:t>
      </w:r>
    </w:p>
    <w:p>
      <w:pPr>
        <w:ind w:left="6320"/>
        <w:spacing w:after="0"/>
        <w:rPr>
          <w:sz w:val="20"/>
          <w:szCs w:val="20"/>
          <w:color w:val="auto"/>
        </w:rPr>
      </w:pPr>
      <w:r>
        <w:rPr>
          <w:rFonts w:ascii="Times New Roman" w:cs="Times New Roman" w:eastAsia="Times New Roman" w:hAnsi="Times New Roman"/>
          <w:sz w:val="18"/>
          <w:szCs w:val="18"/>
          <w:color w:val="auto"/>
        </w:rPr>
        <w:t>Corporate Vice President and Secretary</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27, 2026</w:t>
      </w:r>
    </w:p>
    <w:p>
      <w:pPr>
        <w:sectPr>
          <w:pgSz w:w="11900" w:h="16838" w:orient="portrait"/>
          <w:cols w:equalWidth="0" w:num="1">
            <w:col w:w="10600"/>
          </w:cols>
          <w:pgMar w:left="320" w:top="927" w:right="97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0"/>
        <w:spacing w:after="0"/>
        <w:rPr>
          <w:sz w:val="20"/>
          <w:szCs w:val="20"/>
          <w:color w:val="auto"/>
        </w:rPr>
      </w:pPr>
      <w:r>
        <w:rPr>
          <w:rFonts w:ascii="Arial" w:cs="Arial" w:eastAsia="Arial" w:hAnsi="Arial"/>
          <w:sz w:val="30"/>
          <w:szCs w:val="30"/>
          <w:b w:val="1"/>
          <w:bCs w:val="1"/>
          <w:color w:val="auto"/>
        </w:rPr>
        <w:t>News Release</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22"/>
          <w:szCs w:val="22"/>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1070610</wp:posOffset>
            </wp:positionH>
            <wp:positionV relativeFrom="paragraph">
              <wp:posOffset>80645</wp:posOffset>
            </wp:positionV>
            <wp:extent cx="1748790" cy="3771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4879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380" w:type="dxa"/>
            <w:vAlign w:val="bottom"/>
          </w:tcPr>
          <w:p>
            <w:pPr>
              <w:spacing w:after="0"/>
              <w:rPr>
                <w:sz w:val="20"/>
                <w:szCs w:val="20"/>
                <w:color w:val="auto"/>
              </w:rPr>
            </w:pPr>
            <w:r>
              <w:rPr>
                <w:rFonts w:ascii="Arial" w:cs="Arial" w:eastAsia="Arial" w:hAnsi="Arial"/>
                <w:sz w:val="20"/>
                <w:szCs w:val="20"/>
                <w:color w:val="auto"/>
              </w:rPr>
              <w:t>Contact:</w:t>
            </w:r>
          </w:p>
        </w:tc>
        <w:tc>
          <w:tcPr>
            <w:tcW w:w="2360" w:type="dxa"/>
            <w:vAlign w:val="bottom"/>
            <w:gridSpan w:val="2"/>
          </w:tcPr>
          <w:p>
            <w:pPr>
              <w:spacing w:after="0"/>
              <w:rPr>
                <w:sz w:val="20"/>
                <w:szCs w:val="20"/>
                <w:color w:val="auto"/>
              </w:rPr>
            </w:pPr>
            <w:r>
              <w:rPr>
                <w:rFonts w:ascii="Arial" w:cs="Arial" w:eastAsia="Arial" w:hAnsi="Arial"/>
                <w:sz w:val="20"/>
                <w:szCs w:val="20"/>
                <w:color w:val="auto"/>
              </w:rPr>
              <w:t>Katie Young (Media)</w:t>
            </w:r>
          </w:p>
        </w:tc>
      </w:tr>
      <w:tr>
        <w:trPr>
          <w:trHeight w:val="257"/>
        </w:trPr>
        <w:tc>
          <w:tcPr>
            <w:tcW w:w="1380" w:type="dxa"/>
            <w:vAlign w:val="bottom"/>
          </w:tcPr>
          <w:p>
            <w:pPr>
              <w:spacing w:after="0"/>
              <w:rPr>
                <w:sz w:val="22"/>
                <w:szCs w:val="22"/>
                <w:color w:val="auto"/>
              </w:rPr>
            </w:pPr>
          </w:p>
        </w:tc>
        <w:tc>
          <w:tcPr>
            <w:tcW w:w="1820" w:type="dxa"/>
            <w:vAlign w:val="bottom"/>
          </w:tcPr>
          <w:p>
            <w:pPr>
              <w:spacing w:after="0"/>
              <w:rPr>
                <w:sz w:val="20"/>
                <w:szCs w:val="20"/>
                <w:color w:val="auto"/>
              </w:rPr>
            </w:pPr>
            <w:r>
              <w:rPr>
                <w:rFonts w:ascii="Arial" w:cs="Arial" w:eastAsia="Arial" w:hAnsi="Arial"/>
                <w:sz w:val="20"/>
                <w:szCs w:val="20"/>
                <w:color w:val="auto"/>
              </w:rPr>
              <w:t>908-520-9948</w:t>
            </w:r>
          </w:p>
        </w:tc>
        <w:tc>
          <w:tcPr>
            <w:tcW w:w="540" w:type="dxa"/>
            <w:vAlign w:val="bottom"/>
          </w:tcPr>
          <w:p>
            <w:pPr>
              <w:spacing w:after="0"/>
              <w:rPr>
                <w:sz w:val="22"/>
                <w:szCs w:val="22"/>
                <w:color w:val="auto"/>
              </w:rPr>
            </w:pPr>
          </w:p>
        </w:tc>
      </w:tr>
      <w:tr>
        <w:trPr>
          <w:trHeight w:val="211"/>
        </w:trPr>
        <w:tc>
          <w:tcPr>
            <w:tcW w:w="1380" w:type="dxa"/>
            <w:vAlign w:val="bottom"/>
          </w:tcPr>
          <w:p>
            <w:pPr>
              <w:spacing w:after="0"/>
              <w:rPr>
                <w:sz w:val="18"/>
                <w:szCs w:val="18"/>
                <w:color w:val="auto"/>
              </w:rPr>
            </w:pPr>
          </w:p>
        </w:tc>
        <w:tc>
          <w:tcPr>
            <w:tcW w:w="2360" w:type="dxa"/>
            <w:vAlign w:val="bottom"/>
            <w:tcBorders>
              <w:bottom w:val="single" w:sz="8" w:color="auto"/>
            </w:tcBorders>
            <w:gridSpan w:val="2"/>
          </w:tcPr>
          <w:p>
            <w:pPr>
              <w:spacing w:after="0" w:line="210" w:lineRule="exact"/>
              <w:rPr>
                <w:sz w:val="20"/>
                <w:szCs w:val="20"/>
                <w:color w:val="auto"/>
              </w:rPr>
            </w:pPr>
            <w:r>
              <w:rPr>
                <w:rFonts w:ascii="Arial" w:cs="Arial" w:eastAsia="Arial" w:hAnsi="Arial"/>
                <w:sz w:val="20"/>
                <w:szCs w:val="20"/>
                <w:color w:val="auto"/>
                <w:w w:val="98"/>
              </w:rPr>
              <w:t>katherine.young@ngc.com</w:t>
            </w:r>
          </w:p>
        </w:tc>
      </w:tr>
      <w:tr>
        <w:trPr>
          <w:trHeight w:val="539"/>
        </w:trPr>
        <w:tc>
          <w:tcPr>
            <w:tcW w:w="138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Arial" w:cs="Arial" w:eastAsia="Arial" w:hAnsi="Arial"/>
                <w:sz w:val="20"/>
                <w:szCs w:val="20"/>
                <w:color w:val="auto"/>
              </w:rPr>
              <w:t>Todd Ernst (Investors)</w:t>
            </w:r>
          </w:p>
        </w:tc>
      </w:tr>
      <w:tr>
        <w:trPr>
          <w:trHeight w:val="256"/>
        </w:trPr>
        <w:tc>
          <w:tcPr>
            <w:tcW w:w="1380" w:type="dxa"/>
            <w:vAlign w:val="bottom"/>
          </w:tcPr>
          <w:p>
            <w:pPr>
              <w:spacing w:after="0"/>
              <w:rPr>
                <w:sz w:val="22"/>
                <w:szCs w:val="22"/>
                <w:color w:val="auto"/>
              </w:rPr>
            </w:pPr>
          </w:p>
        </w:tc>
        <w:tc>
          <w:tcPr>
            <w:tcW w:w="1820" w:type="dxa"/>
            <w:vAlign w:val="bottom"/>
          </w:tcPr>
          <w:p>
            <w:pPr>
              <w:spacing w:after="0"/>
              <w:rPr>
                <w:sz w:val="20"/>
                <w:szCs w:val="20"/>
                <w:color w:val="auto"/>
              </w:rPr>
            </w:pPr>
            <w:r>
              <w:rPr>
                <w:rFonts w:ascii="Arial" w:cs="Arial" w:eastAsia="Arial" w:hAnsi="Arial"/>
                <w:sz w:val="20"/>
                <w:szCs w:val="20"/>
                <w:color w:val="auto"/>
              </w:rPr>
              <w:t>703-280-4535</w:t>
            </w:r>
          </w:p>
        </w:tc>
        <w:tc>
          <w:tcPr>
            <w:tcW w:w="540" w:type="dxa"/>
            <w:vAlign w:val="bottom"/>
          </w:tcPr>
          <w:p>
            <w:pPr>
              <w:spacing w:after="0"/>
              <w:rPr>
                <w:sz w:val="22"/>
                <w:szCs w:val="22"/>
                <w:color w:val="auto"/>
              </w:rPr>
            </w:pPr>
          </w:p>
        </w:tc>
      </w:tr>
      <w:tr>
        <w:trPr>
          <w:trHeight w:val="211"/>
        </w:trPr>
        <w:tc>
          <w:tcPr>
            <w:tcW w:w="1380" w:type="dxa"/>
            <w:vAlign w:val="bottom"/>
          </w:tcPr>
          <w:p>
            <w:pPr>
              <w:spacing w:after="0"/>
              <w:rPr>
                <w:sz w:val="18"/>
                <w:szCs w:val="18"/>
                <w:color w:val="auto"/>
              </w:rPr>
            </w:pPr>
          </w:p>
        </w:tc>
        <w:tc>
          <w:tcPr>
            <w:tcW w:w="2360" w:type="dxa"/>
            <w:vAlign w:val="bottom"/>
            <w:gridSpan w:val="2"/>
          </w:tcPr>
          <w:p>
            <w:pPr>
              <w:spacing w:after="0" w:line="210" w:lineRule="exact"/>
              <w:rPr>
                <w:sz w:val="20"/>
                <w:szCs w:val="20"/>
                <w:color w:val="auto"/>
              </w:rPr>
            </w:pPr>
            <w:r>
              <w:rPr>
                <w:rFonts w:ascii="Arial" w:cs="Arial" w:eastAsia="Arial" w:hAnsi="Arial"/>
                <w:sz w:val="20"/>
                <w:szCs w:val="20"/>
                <w:color w:val="auto"/>
              </w:rPr>
              <w:t>todd.ernst@ngc.com</w:t>
            </w:r>
          </w:p>
        </w:tc>
      </w:tr>
      <w:tr>
        <w:trPr>
          <w:trHeight w:val="20"/>
        </w:trPr>
        <w:tc>
          <w:tcPr>
            <w:tcW w:w="138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080" w:space="720"/>
            <w:col w:w="4420"/>
          </w:cols>
          <w:pgMar w:left="320" w:top="1440" w:right="359" w:bottom="1440" w:gutter="0" w:footer="0" w:header="0"/>
        </w:sectPr>
      </w:pPr>
    </w:p>
    <w:p>
      <w:pPr>
        <w:spacing w:after="0" w:line="7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Northrop Grumman Reports Fourth Quarter and Full-Year 2025 Financial Results</w:t>
      </w:r>
    </w:p>
    <w:p>
      <w:pPr>
        <w:spacing w:after="0" w:line="116" w:lineRule="exact"/>
        <w:rPr>
          <w:sz w:val="20"/>
          <w:szCs w:val="20"/>
          <w:color w:val="auto"/>
        </w:rPr>
      </w:pPr>
    </w:p>
    <w:p>
      <w:pPr>
        <w:ind w:left="320" w:hanging="312"/>
        <w:spacing w:after="0"/>
        <w:tabs>
          <w:tab w:leader="none" w:pos="320" w:val="left"/>
        </w:tabs>
        <w:numPr>
          <w:ilvl w:val="0"/>
          <w:numId w:val="2"/>
        </w:numPr>
        <w:rPr>
          <w:rFonts w:ascii="Arial" w:cs="Arial" w:eastAsia="Arial" w:hAnsi="Arial"/>
          <w:sz w:val="22"/>
          <w:szCs w:val="22"/>
          <w:color w:val="auto"/>
        </w:rPr>
      </w:pPr>
      <w:r>
        <w:rPr>
          <w:rFonts w:ascii="Arial" w:cs="Arial" w:eastAsia="Arial" w:hAnsi="Arial"/>
          <w:sz w:val="22"/>
          <w:szCs w:val="22"/>
          <w:color w:val="auto"/>
        </w:rPr>
        <w:t>Backlog grows to new company record of $95.7 billion driven by full year book to bill of 1.10</w:t>
      </w:r>
    </w:p>
    <w:p>
      <w:pPr>
        <w:spacing w:after="0" w:line="23" w:lineRule="exact"/>
        <w:rPr>
          <w:rFonts w:ascii="Arial" w:cs="Arial" w:eastAsia="Arial" w:hAnsi="Arial"/>
          <w:sz w:val="22"/>
          <w:szCs w:val="22"/>
          <w:color w:val="auto"/>
        </w:rPr>
      </w:pPr>
    </w:p>
    <w:p>
      <w:pPr>
        <w:ind w:left="320" w:hanging="312"/>
        <w:spacing w:after="0"/>
        <w:tabs>
          <w:tab w:leader="none" w:pos="320" w:val="left"/>
        </w:tabs>
        <w:numPr>
          <w:ilvl w:val="0"/>
          <w:numId w:val="2"/>
        </w:numPr>
        <w:rPr>
          <w:rFonts w:ascii="Arial" w:cs="Arial" w:eastAsia="Arial" w:hAnsi="Arial"/>
          <w:sz w:val="22"/>
          <w:szCs w:val="22"/>
          <w:color w:val="auto"/>
        </w:rPr>
      </w:pPr>
      <w:r>
        <w:rPr>
          <w:rFonts w:ascii="Arial" w:cs="Arial" w:eastAsia="Arial" w:hAnsi="Arial"/>
          <w:sz w:val="22"/>
          <w:szCs w:val="22"/>
          <w:color w:val="auto"/>
        </w:rPr>
        <w:t>Q4 sales increase 10 percent to $11.7 billion; 2025 sales of $42.0 billion</w:t>
      </w:r>
    </w:p>
    <w:p>
      <w:pPr>
        <w:spacing w:after="0" w:line="3" w:lineRule="exact"/>
        <w:rPr>
          <w:rFonts w:ascii="Arial" w:cs="Arial" w:eastAsia="Arial" w:hAnsi="Arial"/>
          <w:sz w:val="22"/>
          <w:szCs w:val="22"/>
          <w:color w:val="auto"/>
        </w:rPr>
      </w:pPr>
    </w:p>
    <w:p>
      <w:pPr>
        <w:ind w:left="320" w:hanging="312"/>
        <w:spacing w:after="0"/>
        <w:tabs>
          <w:tab w:leader="none" w:pos="320" w:val="left"/>
        </w:tabs>
        <w:numPr>
          <w:ilvl w:val="0"/>
          <w:numId w:val="2"/>
        </w:numPr>
        <w:rPr>
          <w:rFonts w:ascii="Arial" w:cs="Arial" w:eastAsia="Arial" w:hAnsi="Arial"/>
          <w:sz w:val="22"/>
          <w:szCs w:val="22"/>
          <w:color w:val="auto"/>
        </w:rPr>
      </w:pPr>
      <w:r>
        <w:rPr>
          <w:rFonts w:ascii="Arial" w:cs="Arial" w:eastAsia="Arial" w:hAnsi="Arial"/>
          <w:sz w:val="22"/>
          <w:szCs w:val="22"/>
          <w:color w:val="auto"/>
        </w:rPr>
        <w:t>Q4 operating income increases 17 percent to $1.3 billion; OM rate of 10.9 percent</w:t>
      </w:r>
    </w:p>
    <w:p>
      <w:pPr>
        <w:spacing w:after="0" w:line="3" w:lineRule="exact"/>
        <w:rPr>
          <w:rFonts w:ascii="Arial" w:cs="Arial" w:eastAsia="Arial" w:hAnsi="Arial"/>
          <w:sz w:val="22"/>
          <w:szCs w:val="22"/>
          <w:color w:val="auto"/>
        </w:rPr>
      </w:pPr>
    </w:p>
    <w:p>
      <w:pPr>
        <w:ind w:left="320" w:hanging="312"/>
        <w:spacing w:after="0" w:line="191" w:lineRule="auto"/>
        <w:tabs>
          <w:tab w:leader="none" w:pos="320" w:val="left"/>
        </w:tabs>
        <w:numPr>
          <w:ilvl w:val="0"/>
          <w:numId w:val="2"/>
        </w:numPr>
        <w:rPr>
          <w:rFonts w:ascii="Arial" w:cs="Arial" w:eastAsia="Arial" w:hAnsi="Arial"/>
          <w:sz w:val="22"/>
          <w:szCs w:val="22"/>
          <w:color w:val="auto"/>
        </w:rPr>
      </w:pPr>
      <w:r>
        <w:rPr>
          <w:rFonts w:ascii="Arial" w:cs="Arial" w:eastAsia="Arial" w:hAnsi="Arial"/>
          <w:sz w:val="22"/>
          <w:szCs w:val="22"/>
          <w:color w:val="auto"/>
        </w:rPr>
        <w:t>Q4 segment operating income</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increases 10 percent; segment OM rate</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of 11.2 percent</w:t>
      </w:r>
    </w:p>
    <w:p>
      <w:pPr>
        <w:ind w:left="320" w:hanging="312"/>
        <w:spacing w:after="0" w:line="201" w:lineRule="auto"/>
        <w:tabs>
          <w:tab w:leader="none" w:pos="320" w:val="left"/>
        </w:tabs>
        <w:numPr>
          <w:ilvl w:val="0"/>
          <w:numId w:val="2"/>
        </w:numPr>
        <w:rPr>
          <w:rFonts w:ascii="Arial" w:cs="Arial" w:eastAsia="Arial" w:hAnsi="Arial"/>
          <w:sz w:val="22"/>
          <w:szCs w:val="22"/>
          <w:color w:val="auto"/>
        </w:rPr>
      </w:pPr>
      <w:r>
        <w:rPr>
          <w:rFonts w:ascii="Arial" w:cs="Arial" w:eastAsia="Arial" w:hAnsi="Arial"/>
          <w:sz w:val="22"/>
          <w:szCs w:val="22"/>
          <w:color w:val="auto"/>
        </w:rPr>
        <w:t>2025 diluted earnings per share (EPS) of $29.08; MTM-adjusted EPS</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of $26.34</w:t>
      </w:r>
    </w:p>
    <w:p>
      <w:pPr>
        <w:ind w:left="320" w:hanging="312"/>
        <w:spacing w:after="0" w:line="191" w:lineRule="auto"/>
        <w:tabs>
          <w:tab w:leader="none" w:pos="320" w:val="left"/>
        </w:tabs>
        <w:numPr>
          <w:ilvl w:val="0"/>
          <w:numId w:val="2"/>
        </w:numPr>
        <w:rPr>
          <w:rFonts w:ascii="Arial" w:cs="Arial" w:eastAsia="Arial" w:hAnsi="Arial"/>
          <w:sz w:val="22"/>
          <w:szCs w:val="22"/>
          <w:color w:val="auto"/>
        </w:rPr>
      </w:pPr>
      <w:r>
        <w:rPr>
          <w:rFonts w:ascii="Arial" w:cs="Arial" w:eastAsia="Arial" w:hAnsi="Arial"/>
          <w:sz w:val="22"/>
          <w:szCs w:val="22"/>
          <w:color w:val="auto"/>
        </w:rPr>
        <w:t>2025 operating cash flow of $4.8 billion; free cash flow</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of $3.3 billion</w:t>
      </w:r>
    </w:p>
    <w:p>
      <w:pPr>
        <w:ind w:left="340" w:right="320" w:hanging="332"/>
        <w:spacing w:after="0" w:line="262" w:lineRule="auto"/>
        <w:tabs>
          <w:tab w:leader="none" w:pos="335" w:val="left"/>
        </w:tabs>
        <w:numPr>
          <w:ilvl w:val="0"/>
          <w:numId w:val="2"/>
        </w:numPr>
        <w:rPr>
          <w:rFonts w:ascii="Arial" w:cs="Arial" w:eastAsia="Arial" w:hAnsi="Arial"/>
          <w:sz w:val="22"/>
          <w:szCs w:val="22"/>
          <w:color w:val="auto"/>
        </w:rPr>
      </w:pPr>
      <w:r>
        <w:rPr>
          <w:rFonts w:ascii="Arial" w:cs="Arial" w:eastAsia="Arial" w:hAnsi="Arial"/>
          <w:sz w:val="22"/>
          <w:szCs w:val="22"/>
          <w:color w:val="auto"/>
        </w:rPr>
        <w:t>2026 financial guidance projects mid-single digit sales growth and continued strong performance and free cash flow</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consistent with the outlook provided in October</w:t>
      </w:r>
    </w:p>
    <w:p>
      <w:pPr>
        <w:spacing w:after="0" w:line="108" w:lineRule="exact"/>
        <w:rPr>
          <w:sz w:val="20"/>
          <w:szCs w:val="20"/>
          <w:color w:val="auto"/>
        </w:rPr>
      </w:pPr>
    </w:p>
    <w:p>
      <w:pPr>
        <w:ind w:right="240"/>
        <w:spacing w:after="0" w:line="236" w:lineRule="auto"/>
        <w:rPr>
          <w:sz w:val="20"/>
          <w:szCs w:val="20"/>
          <w:color w:val="auto"/>
        </w:rPr>
      </w:pPr>
      <w:r>
        <w:rPr>
          <w:rFonts w:ascii="Arial" w:cs="Arial" w:eastAsia="Arial" w:hAnsi="Arial"/>
          <w:sz w:val="22"/>
          <w:szCs w:val="22"/>
          <w:color w:val="auto"/>
        </w:rPr>
        <w:t>FALLS CHURCH, Va. – January 27, 2026 – Northrop Grumman Corporation (NYSE: NOC) reported fourth quarter 2025 sales increased 10 percent to $11.7 billion, as compared with $10.7 billion in the fourth quarter of 2024. Sales increased 2 percent to $42.0 billion in 2025, as compared with $41.0 billion in 2024. Organic sales</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increased 3 percent to $41.8 billion in 2025, as compared with $40.7 billion in 2024.</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Fourth quarter 2025 net earnings totaled $1.4 billion, or $9.99 per diluted share, and 2025 net earnings were</w:t>
      </w:r>
    </w:p>
    <w:p>
      <w:pPr>
        <w:spacing w:after="0" w:line="24" w:lineRule="exact"/>
        <w:rPr>
          <w:sz w:val="20"/>
          <w:szCs w:val="20"/>
          <w:color w:val="auto"/>
        </w:rPr>
      </w:pPr>
    </w:p>
    <w:p>
      <w:pPr>
        <w:spacing w:after="0"/>
        <w:rPr>
          <w:sz w:val="20"/>
          <w:szCs w:val="20"/>
          <w:color w:val="auto"/>
        </w:rPr>
      </w:pPr>
      <w:r>
        <w:rPr>
          <w:rFonts w:ascii="Arial" w:cs="Arial" w:eastAsia="Arial" w:hAnsi="Arial"/>
          <w:sz w:val="21"/>
          <w:szCs w:val="21"/>
          <w:color w:val="auto"/>
        </w:rPr>
        <w:t>$4.2 billion, or $29.08 per diluted share. Excluding the after-tax mark-to-market (MTM) benefit of $394 million, fourth</w:t>
      </w:r>
    </w:p>
    <w:p>
      <w:pPr>
        <w:spacing w:after="0" w:line="209" w:lineRule="auto"/>
        <w:rPr>
          <w:sz w:val="20"/>
          <w:szCs w:val="20"/>
          <w:color w:val="auto"/>
        </w:rPr>
      </w:pPr>
      <w:r>
        <w:rPr>
          <w:rFonts w:ascii="Arial" w:cs="Arial" w:eastAsia="Arial" w:hAnsi="Arial"/>
          <w:sz w:val="21"/>
          <w:szCs w:val="21"/>
          <w:color w:val="auto"/>
        </w:rPr>
        <w:t>quarter 2025 MTM-adjusted net earnings</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totaled $1.0 billion, or $7.23 per diluted share, and 2025 MTM-adjusted net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earnings</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totaled $3.8 billion, or $26.34 per diluted share.</w:t>
      </w:r>
    </w:p>
    <w:p>
      <w:pPr>
        <w:spacing w:after="0" w:line="29" w:lineRule="exact"/>
        <w:rPr>
          <w:sz w:val="20"/>
          <w:szCs w:val="20"/>
          <w:color w:val="auto"/>
        </w:rPr>
      </w:pPr>
    </w:p>
    <w:p>
      <w:pPr>
        <w:ind w:right="40" w:firstLine="324"/>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color w:val="212121"/>
        </w:rPr>
        <w:t>We delivered outstanding results in 2025 through strong performance and a laser focus on our customers’ and</w:t>
      </w:r>
      <w:r>
        <w:rPr>
          <w:rFonts w:ascii="Arial" w:cs="Arial" w:eastAsia="Arial" w:hAnsi="Arial"/>
          <w:sz w:val="22"/>
          <w:szCs w:val="22"/>
          <w:color w:val="auto"/>
        </w:rPr>
        <w:t xml:space="preserve"> </w:t>
      </w:r>
      <w:r>
        <w:rPr>
          <w:rFonts w:ascii="Arial" w:cs="Arial" w:eastAsia="Arial" w:hAnsi="Arial"/>
          <w:sz w:val="22"/>
          <w:szCs w:val="22"/>
          <w:color w:val="212121"/>
        </w:rPr>
        <w:t>stakeholders’ highest priorities,” said Kathy Warden, chair, chief executive officer and president. “Investments in anticipation of our customers’ requirements and ability to deliver differentiating technology at speed and scale position us well to continue to meet the moment for our nation and our partners around the globe. Our record backlog supports our 2026 outlook of mid-single digit sales growth and we are confident in our ability to deliver continued strong performance.</w:t>
      </w:r>
      <w:r>
        <w:rPr>
          <w:rFonts w:ascii="Arial" w:cs="Arial" w:eastAsia="Arial" w:hAnsi="Arial"/>
          <w:sz w:val="22"/>
          <w:szCs w:val="22"/>
          <w:color w:val="000000"/>
        </w:rPr>
        <w:t>”</w:t>
      </w:r>
    </w:p>
    <w:p>
      <w:pPr>
        <w:spacing w:after="0" w:line="200" w:lineRule="exact"/>
        <w:rPr>
          <w:sz w:val="20"/>
          <w:szCs w:val="20"/>
          <w:color w:val="auto"/>
        </w:rPr>
      </w:pPr>
    </w:p>
    <w:p>
      <w:pPr>
        <w:spacing w:after="0" w:line="353" w:lineRule="exact"/>
        <w:rPr>
          <w:sz w:val="20"/>
          <w:szCs w:val="20"/>
          <w:color w:val="auto"/>
        </w:rPr>
      </w:pPr>
    </w:p>
    <w:p>
      <w:pPr>
        <w:ind w:left="120" w:hanging="94"/>
        <w:spacing w:after="0"/>
        <w:tabs>
          <w:tab w:leader="none" w:pos="120"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Non-GAAP measure - see definitions at the end of this earnings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Arial" w:cs="Arial" w:eastAsia="Arial" w:hAnsi="Arial"/>
          <w:sz w:val="14"/>
          <w:szCs w:val="14"/>
          <w:b w:val="1"/>
          <w:bCs w:val="1"/>
          <w:color w:val="auto"/>
        </w:rPr>
        <w:t>Northrop Grumman Corporation</w:t>
      </w:r>
    </w:p>
    <w:p>
      <w:pPr>
        <w:ind w:left="3820"/>
        <w:spacing w:after="0" w:line="201" w:lineRule="auto"/>
        <w:rPr>
          <w:sz w:val="20"/>
          <w:szCs w:val="20"/>
          <w:color w:val="auto"/>
        </w:rPr>
      </w:pPr>
      <w:r>
        <w:rPr>
          <w:rFonts w:ascii="Arial" w:cs="Arial" w:eastAsia="Arial" w:hAnsi="Arial"/>
          <w:sz w:val="14"/>
          <w:szCs w:val="14"/>
          <w:color w:val="auto"/>
        </w:rPr>
        <w:t>2980 Fairview Park Drive • Falls Church, VA 22042-4511</w:t>
      </w:r>
    </w:p>
    <w:p>
      <w:pPr>
        <w:jc w:val="center"/>
        <w:ind w:right="-19"/>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20"/>
          </w:cols>
          <w:pgMar w:left="320" w:top="1440" w:right="359" w:bottom="1440" w:gutter="0" w:footer="0" w:header="0"/>
          <w:type w:val="continuous"/>
        </w:sectPr>
      </w:pPr>
    </w:p>
    <w:bookmarkStart w:id="4" w:name="page5"/>
    <w:bookmarkEnd w:id="4"/>
    <w:tbl>
      <w:tblPr>
        <w:tblLayout w:type="fixed"/>
        <w:tblInd w:w="20" w:type="dxa"/>
        <w:tblCellMar>
          <w:top w:w="0" w:type="dxa"/>
          <w:left w:w="0" w:type="dxa"/>
          <w:bottom w:w="0" w:type="dxa"/>
          <w:right w:w="0" w:type="dxa"/>
        </w:tblCellMar>
      </w:tblPr>
      <w:tr>
        <w:trPr>
          <w:trHeight w:val="250"/>
        </w:trPr>
        <w:tc>
          <w:tcPr>
            <w:tcW w:w="71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8"/>
              </w:rPr>
              <w:t>Northrop Grumman Reports Fourth Quarter and Full-Year 2025 Financial Results</w:t>
            </w:r>
          </w:p>
        </w:tc>
        <w:tc>
          <w:tcPr>
            <w:tcW w:w="4100" w:type="dxa"/>
            <w:vAlign w:val="bottom"/>
            <w:vMerge w:val="restart"/>
          </w:tcPr>
          <w:p>
            <w:pPr>
              <w:jc w:val="right"/>
              <w:spacing w:after="0"/>
              <w:rPr>
                <w:sz w:val="20"/>
                <w:szCs w:val="20"/>
                <w:color w:val="auto"/>
              </w:rPr>
            </w:pPr>
            <w:r>
              <w:rPr>
                <w:rFonts w:ascii="Arial" w:cs="Arial" w:eastAsia="Arial" w:hAnsi="Arial"/>
                <w:sz w:val="22"/>
                <w:szCs w:val="22"/>
                <w:color w:val="auto"/>
              </w:rPr>
              <w:t>2</w:t>
            </w:r>
          </w:p>
        </w:tc>
        <w:tc>
          <w:tcPr>
            <w:tcW w:w="0" w:type="dxa"/>
            <w:vAlign w:val="bottom"/>
          </w:tcPr>
          <w:p>
            <w:pPr>
              <w:spacing w:after="0"/>
              <w:rPr>
                <w:sz w:val="1"/>
                <w:szCs w:val="1"/>
                <w:color w:val="auto"/>
              </w:rPr>
            </w:pPr>
          </w:p>
        </w:tc>
      </w:tr>
      <w:tr>
        <w:trPr>
          <w:trHeight w:val="116"/>
        </w:trPr>
        <w:tc>
          <w:tcPr>
            <w:tcW w:w="7100" w:type="dxa"/>
            <w:vAlign w:val="bottom"/>
          </w:tcPr>
          <w:p>
            <w:pPr>
              <w:spacing w:after="0"/>
              <w:rPr>
                <w:sz w:val="10"/>
                <w:szCs w:val="10"/>
                <w:color w:val="auto"/>
              </w:rPr>
            </w:pPr>
          </w:p>
        </w:tc>
        <w:tc>
          <w:tcPr>
            <w:tcW w:w="4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MTM-adjusted Net Earnings and EPS</w:t>
      </w:r>
      <w:r>
        <w:rPr>
          <w:rFonts w:ascii="Arial" w:cs="Arial" w:eastAsia="Arial" w:hAnsi="Arial"/>
          <w:sz w:val="28"/>
          <w:szCs w:val="28"/>
          <w:b w:val="1"/>
          <w:bCs w:val="1"/>
          <w:color w:val="auto"/>
          <w:vertAlign w:val="superscript"/>
        </w:rPr>
        <w:t>1</w:t>
      </w:r>
    </w:p>
    <w:p>
      <w:pPr>
        <w:spacing w:after="0" w:line="103" w:lineRule="exact"/>
        <w:rPr>
          <w:sz w:val="20"/>
          <w:szCs w:val="20"/>
          <w:color w:val="auto"/>
        </w:rPr>
      </w:pPr>
    </w:p>
    <w:p>
      <w:pPr>
        <w:ind w:firstLine="324"/>
        <w:spacing w:after="0" w:line="238" w:lineRule="auto"/>
        <w:rPr>
          <w:sz w:val="20"/>
          <w:szCs w:val="20"/>
          <w:color w:val="auto"/>
        </w:rPr>
      </w:pPr>
      <w:r>
        <w:rPr>
          <w:rFonts w:ascii="Arial" w:cs="Arial" w:eastAsia="Arial" w:hAnsi="Arial"/>
          <w:sz w:val="22"/>
          <w:szCs w:val="22"/>
          <w:color w:val="auto"/>
        </w:rPr>
        <w:t>Net earnings for the fourth quarter and full year 2025 were increased by a $394 million after-tax MTM benefit. The MTM benefit relates to pension and other post-retirement benefits (OPB) actuarial gains and losses, which the company recognizes immediately through earnings upon annual remeasurement of the assets and projected benefit obligations of our pension and OPB plans. MTM-adjusted earnings</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and EPS</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are the measures the company uses to compare performance to prior periods and for EPS guidance.</w:t>
      </w:r>
    </w:p>
    <w:p>
      <w:pPr>
        <w:spacing w:after="0" w:line="54" w:lineRule="exact"/>
        <w:rPr>
          <w:sz w:val="20"/>
          <w:szCs w:val="20"/>
          <w:color w:val="auto"/>
        </w:rPr>
      </w:pPr>
    </w:p>
    <w:p>
      <w:pPr>
        <w:ind w:right="620" w:firstLine="324"/>
        <w:spacing w:after="0" w:line="238" w:lineRule="auto"/>
        <w:rPr>
          <w:sz w:val="20"/>
          <w:szCs w:val="20"/>
          <w:color w:val="auto"/>
        </w:rPr>
      </w:pPr>
      <w:r>
        <w:rPr>
          <w:rFonts w:ascii="Arial" w:cs="Arial" w:eastAsia="Arial" w:hAnsi="Arial"/>
          <w:sz w:val="22"/>
          <w:szCs w:val="22"/>
          <w:color w:val="auto"/>
        </w:rPr>
        <w:t>The table below reconciles net earnings and diluted EPS to MTM-adjusted net earnings</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and MTM-adjusted diluted EPS</w:t>
      </w:r>
      <w:r>
        <w:rPr>
          <w:rFonts w:ascii="Arial" w:cs="Arial" w:eastAsia="Arial" w:hAnsi="Arial"/>
          <w:sz w:val="28"/>
          <w:szCs w:val="28"/>
          <w:color w:val="auto"/>
          <w:vertAlign w:val="superscript"/>
        </w:rPr>
        <w:t>1</w:t>
      </w:r>
      <w:r>
        <w:rPr>
          <w:rFonts w:ascii="Arial" w:cs="Arial" w:eastAsia="Arial" w:hAnsi="Arial"/>
          <w:sz w:val="22"/>
          <w:szCs w:val="22"/>
          <w:color w:val="auto"/>
        </w:rPr>
        <w:t>:</w:t>
      </w:r>
    </w:p>
    <w:tbl>
      <w:tblPr>
        <w:tblLayout w:type="fixed"/>
        <w:tblInd w:w="0" w:type="dxa"/>
        <w:tblCellMar>
          <w:top w:w="0" w:type="dxa"/>
          <w:left w:w="0" w:type="dxa"/>
          <w:bottom w:w="0" w:type="dxa"/>
          <w:right w:w="0" w:type="dxa"/>
        </w:tblCellMar>
      </w:tblPr>
      <w:tr>
        <w:trPr>
          <w:trHeight w:val="193"/>
        </w:trPr>
        <w:tc>
          <w:tcPr>
            <w:tcW w:w="6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4"/>
          </w:tcPr>
          <w:p>
            <w:pPr>
              <w:jc w:val="center"/>
              <w:ind w:right="280"/>
              <w:spacing w:after="0" w:line="193" w:lineRule="exact"/>
              <w:rPr>
                <w:sz w:val="20"/>
                <w:szCs w:val="20"/>
                <w:color w:val="auto"/>
              </w:rPr>
            </w:pPr>
            <w:r>
              <w:rPr>
                <w:rFonts w:ascii="Arial" w:cs="Arial" w:eastAsia="Arial" w:hAnsi="Arial"/>
                <w:sz w:val="18"/>
                <w:szCs w:val="18"/>
                <w:color w:val="auto"/>
                <w:w w:val="99"/>
              </w:rPr>
              <w:t>Three Months Ended</w:t>
            </w:r>
          </w:p>
        </w:tc>
        <w:tc>
          <w:tcPr>
            <w:tcW w:w="2240" w:type="dxa"/>
            <w:vAlign w:val="bottom"/>
            <w:gridSpan w:val="4"/>
            <w:vMerge w:val="restart"/>
          </w:tcPr>
          <w:p>
            <w:pPr>
              <w:jc w:val="right"/>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35"/>
        </w:trPr>
        <w:tc>
          <w:tcPr>
            <w:tcW w:w="66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millions, except per share amounts</w:t>
            </w:r>
          </w:p>
        </w:tc>
        <w:tc>
          <w:tcPr>
            <w:tcW w:w="200" w:type="dxa"/>
            <w:vAlign w:val="bottom"/>
          </w:tcPr>
          <w:p>
            <w:pPr>
              <w:spacing w:after="0"/>
              <w:rPr>
                <w:sz w:val="20"/>
                <w:szCs w:val="20"/>
                <w:color w:val="auto"/>
              </w:rPr>
            </w:pPr>
          </w:p>
        </w:tc>
        <w:tc>
          <w:tcPr>
            <w:tcW w:w="2160" w:type="dxa"/>
            <w:vAlign w:val="bottom"/>
            <w:gridSpan w:val="4"/>
          </w:tcPr>
          <w:p>
            <w:pPr>
              <w:jc w:val="center"/>
              <w:ind w:right="280"/>
              <w:spacing w:after="0"/>
              <w:rPr>
                <w:sz w:val="20"/>
                <w:szCs w:val="20"/>
                <w:color w:val="auto"/>
              </w:rPr>
            </w:pPr>
            <w:r>
              <w:rPr>
                <w:rFonts w:ascii="Arial" w:cs="Arial" w:eastAsia="Arial" w:hAnsi="Arial"/>
                <w:sz w:val="18"/>
                <w:szCs w:val="18"/>
                <w:color w:val="auto"/>
                <w:w w:val="99"/>
              </w:rPr>
              <w:t>December 31</w:t>
            </w:r>
          </w:p>
        </w:tc>
        <w:tc>
          <w:tcPr>
            <w:tcW w:w="224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40" w:type="dxa"/>
            <w:vAlign w:val="bottom"/>
            <w:tcBorders>
              <w:bottom w:val="single" w:sz="8" w:color="auto"/>
            </w:tcBorders>
            <w:vMerge w:val="continue"/>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2025</w:t>
            </w: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2025</w:t>
            </w:r>
          </w:p>
        </w:tc>
        <w:tc>
          <w:tcPr>
            <w:tcW w:w="2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MTM-adjusted net earnings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1,427</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4,182</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4,174</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MTM benefit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(527)</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(527)</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29"/>
        </w:trPr>
        <w:tc>
          <w:tcPr>
            <w:tcW w:w="6640" w:type="dxa"/>
            <w:vAlign w:val="bottom"/>
          </w:tcPr>
          <w:p>
            <w:pPr>
              <w:ind w:left="140"/>
              <w:spacing w:after="0" w:line="230" w:lineRule="exact"/>
              <w:rPr>
                <w:sz w:val="20"/>
                <w:szCs w:val="20"/>
                <w:color w:val="auto"/>
              </w:rPr>
            </w:pPr>
            <w:r>
              <w:rPr>
                <w:rFonts w:ascii="Arial" w:cs="Arial" w:eastAsia="Arial" w:hAnsi="Arial"/>
                <w:sz w:val="18"/>
                <w:szCs w:val="18"/>
                <w:color w:val="auto"/>
              </w:rPr>
              <w:t>MTM-related deferred state tax expense</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28</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28</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auto"/>
            </w:tcBorders>
            <w:shd w:val="clear" w:color="auto" w:fill="CCEEFF"/>
          </w:tcPr>
          <w:p>
            <w:pPr>
              <w:ind w:left="140"/>
              <w:spacing w:after="0" w:line="230" w:lineRule="exact"/>
              <w:rPr>
                <w:sz w:val="20"/>
                <w:szCs w:val="20"/>
                <w:color w:val="auto"/>
              </w:rPr>
            </w:pPr>
            <w:r>
              <w:rPr>
                <w:rFonts w:ascii="Arial" w:cs="Arial" w:eastAsia="Arial" w:hAnsi="Arial"/>
                <w:sz w:val="18"/>
                <w:szCs w:val="18"/>
                <w:color w:val="auto"/>
              </w:rPr>
              <w:t>Federal tax expense of items above</w:t>
            </w:r>
            <w:r>
              <w:rPr>
                <w:rFonts w:ascii="Arial" w:cs="Arial" w:eastAsia="Arial" w:hAnsi="Arial"/>
                <w:sz w:val="23"/>
                <w:szCs w:val="23"/>
                <w:color w:val="auto"/>
                <w:vertAlign w:val="superscript"/>
              </w:rPr>
              <w:t>3</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105</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105</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MTM benefit, net of tax</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(394)</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(394)</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auto"/>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MTM-adjusted net earnings</w:t>
            </w:r>
            <w:r>
              <w:rPr>
                <w:rFonts w:ascii="Arial" w:cs="Arial" w:eastAsia="Arial" w:hAnsi="Arial"/>
                <w:sz w:val="23"/>
                <w:szCs w:val="23"/>
                <w:color w:val="auto"/>
                <w:vertAlign w:val="superscript"/>
              </w:rPr>
              <w:t>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1,033</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3,788</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3,842</w:t>
            </w:r>
          </w:p>
        </w:tc>
        <w:tc>
          <w:tcPr>
            <w:tcW w:w="0" w:type="dxa"/>
            <w:vAlign w:val="bottom"/>
          </w:tcPr>
          <w:p>
            <w:pPr>
              <w:spacing w:after="0"/>
              <w:rPr>
                <w:sz w:val="1"/>
                <w:szCs w:val="1"/>
                <w:color w:val="auto"/>
              </w:rPr>
            </w:pPr>
          </w:p>
        </w:tc>
      </w:tr>
      <w:tr>
        <w:trPr>
          <w:trHeight w:val="243"/>
        </w:trPr>
        <w:tc>
          <w:tcPr>
            <w:tcW w:w="6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MTM-adjusted per share data</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Diluted EPS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9.99</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29.08</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28.34</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MTM benefit per share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(3.69)</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(3.66)</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30"/>
        </w:trPr>
        <w:tc>
          <w:tcPr>
            <w:tcW w:w="6640" w:type="dxa"/>
            <w:vAlign w:val="bottom"/>
          </w:tcPr>
          <w:p>
            <w:pPr>
              <w:ind w:left="140"/>
              <w:spacing w:after="0" w:line="230" w:lineRule="exact"/>
              <w:rPr>
                <w:sz w:val="20"/>
                <w:szCs w:val="20"/>
                <w:color w:val="auto"/>
              </w:rPr>
            </w:pPr>
            <w:r>
              <w:rPr>
                <w:rFonts w:ascii="Arial" w:cs="Arial" w:eastAsia="Arial" w:hAnsi="Arial"/>
                <w:sz w:val="18"/>
                <w:szCs w:val="18"/>
                <w:color w:val="auto"/>
              </w:rPr>
              <w:t>MTM-related deferred state tax expense per share</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0.20</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0.19</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auto"/>
            </w:tcBorders>
            <w:shd w:val="clear" w:color="auto" w:fill="CCEEFF"/>
          </w:tcPr>
          <w:p>
            <w:pPr>
              <w:ind w:left="140"/>
              <w:spacing w:after="0" w:line="230" w:lineRule="exact"/>
              <w:rPr>
                <w:sz w:val="20"/>
                <w:szCs w:val="20"/>
                <w:color w:val="auto"/>
              </w:rPr>
            </w:pPr>
            <w:r>
              <w:rPr>
                <w:rFonts w:ascii="Arial" w:cs="Arial" w:eastAsia="Arial" w:hAnsi="Arial"/>
                <w:sz w:val="18"/>
                <w:szCs w:val="18"/>
                <w:color w:val="auto"/>
              </w:rPr>
              <w:t>Federal tax expense of items above per share</w:t>
            </w:r>
            <w:r>
              <w:rPr>
                <w:rFonts w:ascii="Arial" w:cs="Arial" w:eastAsia="Arial" w:hAnsi="Arial"/>
                <w:sz w:val="23"/>
                <w:szCs w:val="23"/>
                <w:color w:val="auto"/>
                <w:vertAlign w:val="superscript"/>
              </w:rPr>
              <w:t>3</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0.73</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0.73</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MTM benefit, net of tax, per share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(2.76)</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(2.74)</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auto"/>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MTM-adjusted diluted EPS</w:t>
            </w:r>
            <w:r>
              <w:rPr>
                <w:rFonts w:ascii="Arial" w:cs="Arial" w:eastAsia="Arial" w:hAnsi="Arial"/>
                <w:sz w:val="23"/>
                <w:szCs w:val="23"/>
                <w:color w:val="auto"/>
                <w:vertAlign w:val="superscript"/>
              </w:rPr>
              <w:t>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7.23</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26.34</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26.08</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220" w:hanging="141"/>
        <w:spacing w:after="0"/>
        <w:tabs>
          <w:tab w:leader="none" w:pos="220" w:val="left"/>
        </w:tabs>
        <w:numPr>
          <w:ilvl w:val="0"/>
          <w:numId w:val="4"/>
        </w:numPr>
        <w:rPr>
          <w:rFonts w:ascii="Arial" w:cs="Arial" w:eastAsia="Arial" w:hAnsi="Arial"/>
          <w:sz w:val="25"/>
          <w:szCs w:val="25"/>
          <w:color w:val="auto"/>
          <w:vertAlign w:val="superscript"/>
        </w:rPr>
      </w:pPr>
      <w:r>
        <w:rPr>
          <w:rFonts w:ascii="Arial" w:cs="Arial" w:eastAsia="Arial" w:hAnsi="Arial"/>
          <w:sz w:val="16"/>
          <w:szCs w:val="16"/>
          <w:color w:val="auto"/>
        </w:rPr>
        <w:t>Non-GAAP measure — see definitions at the end of this earnings release.</w:t>
      </w:r>
    </w:p>
    <w:p>
      <w:pPr>
        <w:ind w:left="220" w:hanging="141"/>
        <w:spacing w:after="0" w:line="202" w:lineRule="auto"/>
        <w:tabs>
          <w:tab w:leader="none" w:pos="220" w:val="left"/>
        </w:tabs>
        <w:numPr>
          <w:ilvl w:val="0"/>
          <w:numId w:val="5"/>
        </w:numPr>
        <w:rPr>
          <w:rFonts w:ascii="Arial" w:cs="Arial" w:eastAsia="Arial" w:hAnsi="Arial"/>
          <w:sz w:val="25"/>
          <w:szCs w:val="25"/>
          <w:color w:val="auto"/>
          <w:vertAlign w:val="superscript"/>
        </w:rPr>
      </w:pPr>
      <w:r>
        <w:rPr>
          <w:rFonts w:ascii="Arial" w:cs="Arial" w:eastAsia="Arial" w:hAnsi="Arial"/>
          <w:sz w:val="16"/>
          <w:szCs w:val="16"/>
          <w:color w:val="auto"/>
        </w:rPr>
        <w:t>The deferred state tax impact in each period was calculated using the company’s blended state tax rate of 5.25 percent.</w:t>
      </w:r>
    </w:p>
    <w:p>
      <w:pPr>
        <w:spacing w:after="0" w:line="151" w:lineRule="exact"/>
        <w:rPr>
          <w:sz w:val="20"/>
          <w:szCs w:val="20"/>
          <w:color w:val="auto"/>
        </w:rPr>
      </w:pPr>
    </w:p>
    <w:p>
      <w:pPr>
        <w:ind w:left="220" w:right="180" w:hanging="141"/>
        <w:spacing w:after="0" w:line="205" w:lineRule="auto"/>
        <w:tabs>
          <w:tab w:leader="none" w:pos="220" w:val="left"/>
        </w:tabs>
        <w:numPr>
          <w:ilvl w:val="0"/>
          <w:numId w:val="6"/>
        </w:numPr>
        <w:rPr>
          <w:rFonts w:ascii="Arial" w:cs="Arial" w:eastAsia="Arial" w:hAnsi="Arial"/>
          <w:sz w:val="25"/>
          <w:szCs w:val="25"/>
          <w:color w:val="auto"/>
          <w:vertAlign w:val="superscript"/>
        </w:rPr>
      </w:pPr>
      <w:r>
        <w:rPr>
          <w:rFonts w:ascii="Arial" w:cs="Arial" w:eastAsia="Arial" w:hAnsi="Arial"/>
          <w:sz w:val="16"/>
          <w:szCs w:val="16"/>
          <w:color w:val="auto"/>
        </w:rPr>
        <w:t>The federal tax impact in each period was calculated by subtracting the deferred state tax impact from MTM benefit and applying the 21 percent federal statutory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Northrop Grumman Corporation</w:t>
      </w:r>
    </w:p>
    <w:p>
      <w:pPr>
        <w:jc w:val="center"/>
        <w:spacing w:after="0" w:line="223" w:lineRule="auto"/>
        <w:rPr>
          <w:sz w:val="20"/>
          <w:szCs w:val="20"/>
          <w:color w:val="auto"/>
        </w:rPr>
      </w:pPr>
      <w:r>
        <w:rPr>
          <w:rFonts w:ascii="Arial" w:cs="Arial" w:eastAsia="Arial" w:hAnsi="Arial"/>
          <w:sz w:val="14"/>
          <w:szCs w:val="14"/>
          <w:color w:val="auto"/>
        </w:rPr>
        <w:t>2980 Fairview Park Drive • Falls Church, VA 22042-4511</w:t>
      </w:r>
    </w:p>
    <w:p>
      <w:pPr>
        <w:jc w:val="center"/>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40"/>
          </w:cols>
          <w:pgMar w:left="320" w:top="376"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7100" w:type="dxa"/>
            <w:vAlign w:val="bottom"/>
            <w:tcBorders>
              <w:bottom w:val="single" w:sz="8" w:color="auto"/>
            </w:tcBorders>
            <w:gridSpan w:val="6"/>
          </w:tcPr>
          <w:p>
            <w:pPr>
              <w:spacing w:after="0"/>
              <w:rPr>
                <w:sz w:val="20"/>
                <w:szCs w:val="20"/>
                <w:color w:val="auto"/>
              </w:rPr>
            </w:pPr>
            <w:r>
              <w:rPr>
                <w:rFonts w:ascii="Arial" w:cs="Arial" w:eastAsia="Arial" w:hAnsi="Arial"/>
                <w:sz w:val="20"/>
                <w:szCs w:val="20"/>
                <w:color w:val="auto"/>
                <w:w w:val="98"/>
              </w:rPr>
              <w:t>Northrop Grumman Reports Fourth Quarter and Full-Year 2025 Financial Results</w:t>
            </w:r>
          </w:p>
        </w:tc>
        <w:tc>
          <w:tcPr>
            <w:tcW w:w="440" w:type="dxa"/>
            <w:vAlign w:val="bottom"/>
            <w:vMerge w:val="restart"/>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60" w:type="dxa"/>
            <w:vAlign w:val="bottom"/>
            <w:vMerge w:val="restart"/>
          </w:tcPr>
          <w:p>
            <w:pPr>
              <w:jc w:val="right"/>
              <w:spacing w:after="0"/>
              <w:rPr>
                <w:sz w:val="20"/>
                <w:szCs w:val="20"/>
                <w:color w:val="auto"/>
              </w:rPr>
            </w:pPr>
            <w:r>
              <w:rPr>
                <w:rFonts w:ascii="Arial" w:cs="Arial" w:eastAsia="Arial" w:hAnsi="Arial"/>
                <w:sz w:val="22"/>
                <w:szCs w:val="22"/>
                <w:color w:val="auto"/>
              </w:rPr>
              <w:t>3</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100" w:type="dxa"/>
            <w:vAlign w:val="bottom"/>
            <w:gridSpan w:val="6"/>
          </w:tcPr>
          <w:p>
            <w:pPr>
              <w:spacing w:after="0"/>
              <w:rPr>
                <w:sz w:val="10"/>
                <w:szCs w:val="10"/>
                <w:color w:val="auto"/>
              </w:rPr>
            </w:pPr>
          </w:p>
        </w:tc>
        <w:tc>
          <w:tcPr>
            <w:tcW w:w="4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39"/>
        </w:trPr>
        <w:tc>
          <w:tcPr>
            <w:tcW w:w="5000" w:type="dxa"/>
            <w:vAlign w:val="bottom"/>
            <w:tcBorders>
              <w:bottom w:val="single" w:sz="8" w:color="auto"/>
            </w:tcBorders>
            <w:gridSpan w:val="4"/>
          </w:tcPr>
          <w:p>
            <w:pPr>
              <w:spacing w:after="0"/>
              <w:rPr>
                <w:sz w:val="20"/>
                <w:szCs w:val="20"/>
                <w:color w:val="auto"/>
              </w:rPr>
            </w:pPr>
            <w:r>
              <w:rPr>
                <w:rFonts w:ascii="Arial" w:cs="Arial" w:eastAsia="Arial" w:hAnsi="Arial"/>
                <w:sz w:val="22"/>
                <w:szCs w:val="22"/>
                <w:b w:val="1"/>
                <w:bCs w:val="1"/>
                <w:color w:val="auto"/>
                <w:w w:val="97"/>
              </w:rPr>
              <w:t>Consolidated Operating Results and Cash Flows</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20" w:type="dxa"/>
            <w:vAlign w:val="bottom"/>
            <w:gridSpan w:val="3"/>
          </w:tcPr>
          <w:p>
            <w:pPr>
              <w:jc w:val="right"/>
              <w:ind w:right="311"/>
              <w:spacing w:after="0"/>
              <w:rPr>
                <w:sz w:val="20"/>
                <w:szCs w:val="20"/>
                <w:color w:val="auto"/>
              </w:rPr>
            </w:pPr>
            <w:r>
              <w:rPr>
                <w:rFonts w:ascii="Arial" w:cs="Arial" w:eastAsia="Arial" w:hAnsi="Arial"/>
                <w:sz w:val="18"/>
                <w:szCs w:val="18"/>
                <w:color w:val="auto"/>
              </w:rPr>
              <w:t>Three Months Ended</w:t>
            </w: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60" w:type="dxa"/>
            <w:vAlign w:val="bottom"/>
            <w:gridSpan w:val="3"/>
            <w:vMerge w:val="restart"/>
          </w:tcPr>
          <w:p>
            <w:pPr>
              <w:jc w:val="right"/>
              <w:ind w:right="151"/>
              <w:spacing w:after="0"/>
              <w:rPr>
                <w:sz w:val="20"/>
                <w:szCs w:val="20"/>
                <w:color w:val="auto"/>
              </w:rPr>
            </w:pPr>
            <w:r>
              <w:rPr>
                <w:rFonts w:ascii="Arial" w:cs="Arial" w:eastAsia="Arial" w:hAnsi="Arial"/>
                <w:sz w:val="18"/>
                <w:szCs w:val="18"/>
                <w:color w:val="auto"/>
              </w:rPr>
              <w:t>Year Ended December 31</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20" w:type="dxa"/>
            <w:vAlign w:val="bottom"/>
            <w:gridSpan w:val="3"/>
            <w:vMerge w:val="restart"/>
          </w:tcPr>
          <w:p>
            <w:pPr>
              <w:jc w:val="right"/>
              <w:ind w:right="611"/>
              <w:spacing w:after="0"/>
              <w:rPr>
                <w:sz w:val="20"/>
                <w:szCs w:val="20"/>
                <w:color w:val="auto"/>
              </w:rPr>
            </w:pPr>
            <w:r>
              <w:rPr>
                <w:rFonts w:ascii="Arial" w:cs="Arial" w:eastAsia="Arial" w:hAnsi="Arial"/>
                <w:sz w:val="18"/>
                <w:szCs w:val="18"/>
                <w:color w:val="auto"/>
              </w:rPr>
              <w:t>December 31</w:t>
            </w: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60" w:type="dxa"/>
            <w:vAlign w:val="bottom"/>
            <w:gridSpan w:val="3"/>
            <w:vMerge w:val="continue"/>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380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gridSpan w:val="3"/>
            <w:vMerge w:val="continue"/>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 except per share amounts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2025</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2024</w:t>
            </w: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Change</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2025</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2024</w:t>
            </w:r>
          </w:p>
        </w:tc>
        <w:tc>
          <w:tcPr>
            <w:tcW w:w="11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Aeronautics Systems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111"/>
              <w:spacing w:after="0"/>
              <w:rPr>
                <w:sz w:val="20"/>
                <w:szCs w:val="20"/>
                <w:color w:val="auto"/>
              </w:rPr>
            </w:pPr>
            <w:r>
              <w:rPr>
                <w:rFonts w:ascii="Arial" w:cs="Arial" w:eastAsia="Arial" w:hAnsi="Arial"/>
                <w:sz w:val="18"/>
                <w:szCs w:val="18"/>
                <w:b w:val="1"/>
                <w:bCs w:val="1"/>
                <w:color w:val="auto"/>
              </w:rPr>
              <w:t>3,922</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1"/>
              <w:spacing w:after="0"/>
              <w:rPr>
                <w:sz w:val="20"/>
                <w:szCs w:val="20"/>
                <w:color w:val="auto"/>
              </w:rPr>
            </w:pPr>
            <w:r>
              <w:rPr>
                <w:rFonts w:ascii="Arial" w:cs="Arial" w:eastAsia="Arial" w:hAnsi="Arial"/>
                <w:sz w:val="18"/>
                <w:szCs w:val="18"/>
                <w:color w:val="auto"/>
              </w:rPr>
              <w:t>3,331</w:t>
            </w:r>
          </w:p>
        </w:tc>
        <w:tc>
          <w:tcPr>
            <w:tcW w:w="12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18 %</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171"/>
              <w:spacing w:after="0"/>
              <w:rPr>
                <w:sz w:val="20"/>
                <w:szCs w:val="20"/>
                <w:color w:val="auto"/>
              </w:rPr>
            </w:pPr>
            <w:r>
              <w:rPr>
                <w:rFonts w:ascii="Arial" w:cs="Arial" w:eastAsia="Arial" w:hAnsi="Arial"/>
                <w:sz w:val="18"/>
                <w:szCs w:val="18"/>
                <w:b w:val="1"/>
                <w:bCs w:val="1"/>
                <w:color w:val="auto"/>
              </w:rPr>
              <w:t>12,992</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12,396</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Defense Systems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2,147</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2,003</w:t>
            </w:r>
          </w:p>
        </w:tc>
        <w:tc>
          <w:tcPr>
            <w:tcW w:w="1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7 %</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8,002</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7,399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Mission Systems</w:t>
            </w:r>
          </w:p>
        </w:tc>
        <w:tc>
          <w:tcPr>
            <w:tcW w:w="260" w:type="dxa"/>
            <w:vAlign w:val="bottom"/>
          </w:tcPr>
          <w:p>
            <w:pPr>
              <w:spacing w:after="0"/>
              <w:rPr>
                <w:sz w:val="19"/>
                <w:szCs w:val="19"/>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b w:val="1"/>
                <w:bCs w:val="1"/>
                <w:color w:val="auto"/>
              </w:rPr>
              <w:t>3,449</w:t>
            </w:r>
          </w:p>
        </w:tc>
        <w:tc>
          <w:tcPr>
            <w:tcW w:w="36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Arial" w:cs="Arial" w:eastAsia="Arial" w:hAnsi="Arial"/>
                <w:sz w:val="18"/>
                <w:szCs w:val="18"/>
                <w:color w:val="auto"/>
              </w:rPr>
              <w:t>3,144</w:t>
            </w:r>
          </w:p>
        </w:tc>
        <w:tc>
          <w:tcPr>
            <w:tcW w:w="12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10 %</w:t>
            </w:r>
          </w:p>
        </w:tc>
        <w:tc>
          <w:tcPr>
            <w:tcW w:w="160" w:type="dxa"/>
            <w:vAlign w:val="bottom"/>
          </w:tcPr>
          <w:p>
            <w:pPr>
              <w:spacing w:after="0"/>
              <w:rPr>
                <w:sz w:val="19"/>
                <w:szCs w:val="19"/>
                <w:color w:val="auto"/>
              </w:rPr>
            </w:pPr>
          </w:p>
        </w:tc>
        <w:tc>
          <w:tcPr>
            <w:tcW w:w="1100" w:type="dxa"/>
            <w:vAlign w:val="bottom"/>
          </w:tcPr>
          <w:p>
            <w:pPr>
              <w:jc w:val="right"/>
              <w:ind w:right="171"/>
              <w:spacing w:after="0"/>
              <w:rPr>
                <w:sz w:val="20"/>
                <w:szCs w:val="20"/>
                <w:color w:val="auto"/>
              </w:rPr>
            </w:pPr>
            <w:r>
              <w:rPr>
                <w:rFonts w:ascii="Arial" w:cs="Arial" w:eastAsia="Arial" w:hAnsi="Arial"/>
                <w:sz w:val="18"/>
                <w:szCs w:val="18"/>
                <w:b w:val="1"/>
                <w:bCs w:val="1"/>
                <w:color w:val="auto"/>
              </w:rPr>
              <w:t>12,506</w:t>
            </w:r>
          </w:p>
        </w:tc>
        <w:tc>
          <w:tcPr>
            <w:tcW w:w="30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11,399</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10 %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Space Systems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2,859</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2,710</w:t>
            </w:r>
          </w:p>
        </w:tc>
        <w:tc>
          <w:tcPr>
            <w:tcW w:w="1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5 %</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10,771</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11,731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29"/>
        </w:trPr>
        <w:tc>
          <w:tcPr>
            <w:tcW w:w="2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Intersegment eliminations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(665)</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(502)</w:t>
            </w: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(2,317)</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(1,892)</w:t>
            </w: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shd w:val="clear" w:color="auto" w:fill="CCEEFF"/>
          </w:tcPr>
          <w:p>
            <w:pPr>
              <w:spacing w:after="0"/>
              <w:rPr>
                <w:sz w:val="19"/>
                <w:szCs w:val="19"/>
                <w:color w:val="auto"/>
              </w:rPr>
            </w:pPr>
          </w:p>
        </w:tc>
        <w:tc>
          <w:tcPr>
            <w:tcW w:w="3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sales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11,712</w:t>
            </w: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10,686</w:t>
            </w:r>
          </w:p>
        </w:tc>
        <w:tc>
          <w:tcPr>
            <w:tcW w:w="126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10 %</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41,954</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41,033</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Aeronautics Systems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370</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309</w:t>
            </w:r>
          </w:p>
        </w:tc>
        <w:tc>
          <w:tcPr>
            <w:tcW w:w="1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20 %</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813</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1,236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Defense Systems</w:t>
            </w:r>
          </w:p>
        </w:tc>
        <w:tc>
          <w:tcPr>
            <w:tcW w:w="260" w:type="dxa"/>
            <w:vAlign w:val="bottom"/>
          </w:tcPr>
          <w:p>
            <w:pPr>
              <w:spacing w:after="0"/>
              <w:rPr>
                <w:sz w:val="19"/>
                <w:szCs w:val="19"/>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b w:val="1"/>
                <w:bCs w:val="1"/>
                <w:color w:val="auto"/>
              </w:rPr>
              <w:t>205</w:t>
            </w:r>
          </w:p>
        </w:tc>
        <w:tc>
          <w:tcPr>
            <w:tcW w:w="36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Arial" w:cs="Arial" w:eastAsia="Arial" w:hAnsi="Arial"/>
                <w:sz w:val="18"/>
                <w:szCs w:val="18"/>
                <w:color w:val="auto"/>
              </w:rPr>
              <w:t>209</w:t>
            </w:r>
          </w:p>
        </w:tc>
        <w:tc>
          <w:tcPr>
            <w:tcW w:w="12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w:t>
            </w:r>
          </w:p>
        </w:tc>
        <w:tc>
          <w:tcPr>
            <w:tcW w:w="160" w:type="dxa"/>
            <w:vAlign w:val="bottom"/>
          </w:tcPr>
          <w:p>
            <w:pPr>
              <w:spacing w:after="0"/>
              <w:rPr>
                <w:sz w:val="19"/>
                <w:szCs w:val="19"/>
                <w:color w:val="auto"/>
              </w:rPr>
            </w:pPr>
          </w:p>
        </w:tc>
        <w:tc>
          <w:tcPr>
            <w:tcW w:w="1100" w:type="dxa"/>
            <w:vAlign w:val="bottom"/>
          </w:tcPr>
          <w:p>
            <w:pPr>
              <w:jc w:val="right"/>
              <w:ind w:right="171"/>
              <w:spacing w:after="0"/>
              <w:rPr>
                <w:sz w:val="20"/>
                <w:szCs w:val="20"/>
                <w:color w:val="auto"/>
              </w:rPr>
            </w:pPr>
            <w:r>
              <w:rPr>
                <w:rFonts w:ascii="Arial" w:cs="Arial" w:eastAsia="Arial" w:hAnsi="Arial"/>
                <w:sz w:val="18"/>
                <w:szCs w:val="18"/>
                <w:b w:val="1"/>
                <w:bCs w:val="1"/>
                <w:color w:val="auto"/>
              </w:rPr>
              <w:t>871</w:t>
            </w:r>
          </w:p>
        </w:tc>
        <w:tc>
          <w:tcPr>
            <w:tcW w:w="30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716</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22 %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Mission Systems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510</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469</w:t>
            </w:r>
          </w:p>
        </w:tc>
        <w:tc>
          <w:tcPr>
            <w:tcW w:w="1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9 %</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1,827</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1,598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Space Systems</w:t>
            </w:r>
          </w:p>
        </w:tc>
        <w:tc>
          <w:tcPr>
            <w:tcW w:w="260" w:type="dxa"/>
            <w:vAlign w:val="bottom"/>
          </w:tcPr>
          <w:p>
            <w:pPr>
              <w:spacing w:after="0"/>
              <w:rPr>
                <w:sz w:val="19"/>
                <w:szCs w:val="19"/>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b w:val="1"/>
                <w:bCs w:val="1"/>
                <w:color w:val="auto"/>
              </w:rPr>
              <w:t>322</w:t>
            </w:r>
          </w:p>
        </w:tc>
        <w:tc>
          <w:tcPr>
            <w:tcW w:w="36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Arial" w:cs="Arial" w:eastAsia="Arial" w:hAnsi="Arial"/>
                <w:sz w:val="18"/>
                <w:szCs w:val="18"/>
                <w:color w:val="auto"/>
              </w:rPr>
              <w:t>275</w:t>
            </w:r>
          </w:p>
        </w:tc>
        <w:tc>
          <w:tcPr>
            <w:tcW w:w="12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17 %</w:t>
            </w:r>
          </w:p>
        </w:tc>
        <w:tc>
          <w:tcPr>
            <w:tcW w:w="160" w:type="dxa"/>
            <w:vAlign w:val="bottom"/>
          </w:tcPr>
          <w:p>
            <w:pPr>
              <w:spacing w:after="0"/>
              <w:rPr>
                <w:sz w:val="19"/>
                <w:szCs w:val="19"/>
                <w:color w:val="auto"/>
              </w:rPr>
            </w:pPr>
          </w:p>
        </w:tc>
        <w:tc>
          <w:tcPr>
            <w:tcW w:w="1100" w:type="dxa"/>
            <w:vAlign w:val="bottom"/>
          </w:tcPr>
          <w:p>
            <w:pPr>
              <w:jc w:val="right"/>
              <w:ind w:right="171"/>
              <w:spacing w:after="0"/>
              <w:rPr>
                <w:sz w:val="20"/>
                <w:szCs w:val="20"/>
                <w:color w:val="auto"/>
              </w:rPr>
            </w:pPr>
            <w:r>
              <w:rPr>
                <w:rFonts w:ascii="Arial" w:cs="Arial" w:eastAsia="Arial" w:hAnsi="Arial"/>
                <w:sz w:val="18"/>
                <w:szCs w:val="18"/>
                <w:b w:val="1"/>
                <w:bCs w:val="1"/>
                <w:color w:val="auto"/>
              </w:rPr>
              <w:t>1,183</w:t>
            </w:r>
          </w:p>
        </w:tc>
        <w:tc>
          <w:tcPr>
            <w:tcW w:w="30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1,254</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29"/>
        </w:trPr>
        <w:tc>
          <w:tcPr>
            <w:tcW w:w="20" w:type="dxa"/>
            <w:vAlign w:val="bottom"/>
            <w:tcBorders>
              <w:bottom w:val="single" w:sz="8" w:color="auto"/>
            </w:tcBorders>
            <w:shd w:val="clear" w:color="auto" w:fill="CCEEFF"/>
          </w:tcPr>
          <w:p>
            <w:pPr>
              <w:spacing w:after="0"/>
              <w:rPr>
                <w:sz w:val="19"/>
                <w:szCs w:val="19"/>
                <w:color w:val="auto"/>
              </w:rPr>
            </w:pPr>
          </w:p>
        </w:tc>
        <w:tc>
          <w:tcPr>
            <w:tcW w:w="38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Intersegment eliminations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(94)</w:t>
            </w: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(69)</w:t>
            </w: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(317)</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(260)</w:t>
            </w:r>
          </w:p>
        </w:tc>
        <w:tc>
          <w:tcPr>
            <w:tcW w:w="11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spacing w:after="0" w:line="223" w:lineRule="exact"/>
              <w:rPr>
                <w:sz w:val="20"/>
                <w:szCs w:val="20"/>
                <w:color w:val="auto"/>
              </w:rPr>
            </w:pPr>
            <w:r>
              <w:rPr>
                <w:rFonts w:ascii="Arial" w:cs="Arial" w:eastAsia="Arial" w:hAnsi="Arial"/>
                <w:sz w:val="18"/>
                <w:szCs w:val="18"/>
                <w:color w:val="auto"/>
              </w:rPr>
              <w:t>Segment operating income</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b w:val="1"/>
                <w:bCs w:val="1"/>
                <w:color w:val="auto"/>
              </w:rPr>
              <w:t>1,313</w:t>
            </w:r>
          </w:p>
        </w:tc>
        <w:tc>
          <w:tcPr>
            <w:tcW w:w="36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Arial" w:cs="Arial" w:eastAsia="Arial" w:hAnsi="Arial"/>
                <w:sz w:val="18"/>
                <w:szCs w:val="18"/>
                <w:color w:val="auto"/>
              </w:rPr>
              <w:t>1,193</w:t>
            </w:r>
          </w:p>
        </w:tc>
        <w:tc>
          <w:tcPr>
            <w:tcW w:w="12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10 %</w:t>
            </w:r>
          </w:p>
        </w:tc>
        <w:tc>
          <w:tcPr>
            <w:tcW w:w="160" w:type="dxa"/>
            <w:vAlign w:val="bottom"/>
          </w:tcPr>
          <w:p>
            <w:pPr>
              <w:spacing w:after="0"/>
              <w:rPr>
                <w:sz w:val="19"/>
                <w:szCs w:val="19"/>
                <w:color w:val="auto"/>
              </w:rPr>
            </w:pPr>
          </w:p>
        </w:tc>
        <w:tc>
          <w:tcPr>
            <w:tcW w:w="1100" w:type="dxa"/>
            <w:vAlign w:val="bottom"/>
          </w:tcPr>
          <w:p>
            <w:pPr>
              <w:jc w:val="right"/>
              <w:ind w:right="171"/>
              <w:spacing w:after="0"/>
              <w:rPr>
                <w:sz w:val="20"/>
                <w:szCs w:val="20"/>
                <w:color w:val="auto"/>
              </w:rPr>
            </w:pPr>
            <w:r>
              <w:rPr>
                <w:rFonts w:ascii="Arial" w:cs="Arial" w:eastAsia="Arial" w:hAnsi="Arial"/>
                <w:sz w:val="18"/>
                <w:szCs w:val="18"/>
                <w:b w:val="1"/>
                <w:bCs w:val="1"/>
                <w:color w:val="auto"/>
              </w:rPr>
              <w:t>4,377</w:t>
            </w:r>
          </w:p>
        </w:tc>
        <w:tc>
          <w:tcPr>
            <w:tcW w:w="30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4,544</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line="216" w:lineRule="exact"/>
              <w:rPr>
                <w:sz w:val="20"/>
                <w:szCs w:val="20"/>
                <w:color w:val="auto"/>
              </w:rPr>
            </w:pPr>
            <w:r>
              <w:rPr>
                <w:rFonts w:ascii="Arial" w:cs="Arial" w:eastAsia="Arial" w:hAnsi="Arial"/>
                <w:sz w:val="16"/>
                <w:szCs w:val="16"/>
                <w:i w:val="1"/>
                <w:iCs w:val="1"/>
                <w:color w:val="auto"/>
              </w:rPr>
              <w:t>Segment operating margin rate</w:t>
            </w:r>
            <w:r>
              <w:rPr>
                <w:rFonts w:ascii="Arial" w:cs="Arial" w:eastAsia="Arial" w:hAnsi="Arial"/>
                <w:sz w:val="21"/>
                <w:szCs w:val="21"/>
                <w:i w:val="1"/>
                <w:iCs w:val="1"/>
                <w:color w:val="auto"/>
                <w:vertAlign w:val="superscript"/>
              </w:rPr>
              <w:t>1</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11.2%</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11.2%</w:t>
            </w:r>
          </w:p>
        </w:tc>
        <w:tc>
          <w:tcPr>
            <w:tcW w:w="1260" w:type="dxa"/>
            <w:vAlign w:val="bottom"/>
            <w:gridSpan w:val="2"/>
            <w:shd w:val="clear" w:color="auto" w:fill="CCEEFF"/>
          </w:tcPr>
          <w:p>
            <w:pPr>
              <w:jc w:val="right"/>
              <w:ind w:right="30"/>
              <w:spacing w:after="0"/>
              <w:rPr>
                <w:sz w:val="20"/>
                <w:szCs w:val="20"/>
                <w:color w:val="auto"/>
              </w:rPr>
            </w:pPr>
            <w:r>
              <w:rPr>
                <w:rFonts w:ascii="Arial" w:cs="Arial" w:eastAsia="Arial" w:hAnsi="Arial"/>
                <w:sz w:val="16"/>
                <w:szCs w:val="16"/>
                <w:b w:val="1"/>
                <w:bCs w:val="1"/>
                <w:i w:val="1"/>
                <w:iCs w:val="1"/>
                <w:color w:val="auto"/>
              </w:rPr>
              <w:t>— bps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10.4%</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11.1%</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(70) bps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FAS/CAS operating adjustment</w:t>
            </w:r>
          </w:p>
        </w:tc>
        <w:tc>
          <w:tcPr>
            <w:tcW w:w="260" w:type="dxa"/>
            <w:vAlign w:val="bottom"/>
          </w:tcPr>
          <w:p>
            <w:pPr>
              <w:spacing w:after="0"/>
              <w:rPr>
                <w:sz w:val="19"/>
                <w:szCs w:val="19"/>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b w:val="1"/>
                <w:bCs w:val="1"/>
                <w:color w:val="auto"/>
              </w:rPr>
              <w:t>65</w:t>
            </w:r>
          </w:p>
        </w:tc>
        <w:tc>
          <w:tcPr>
            <w:tcW w:w="36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Arial" w:cs="Arial" w:eastAsia="Arial" w:hAnsi="Arial"/>
                <w:sz w:val="18"/>
                <w:szCs w:val="18"/>
                <w:color w:val="auto"/>
              </w:rPr>
              <w:t>8</w:t>
            </w:r>
          </w:p>
        </w:tc>
        <w:tc>
          <w:tcPr>
            <w:tcW w:w="12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713 %</w:t>
            </w:r>
          </w:p>
        </w:tc>
        <w:tc>
          <w:tcPr>
            <w:tcW w:w="160" w:type="dxa"/>
            <w:vAlign w:val="bottom"/>
          </w:tcPr>
          <w:p>
            <w:pPr>
              <w:spacing w:after="0"/>
              <w:rPr>
                <w:sz w:val="19"/>
                <w:szCs w:val="19"/>
                <w:color w:val="auto"/>
              </w:rPr>
            </w:pPr>
          </w:p>
        </w:tc>
        <w:tc>
          <w:tcPr>
            <w:tcW w:w="1100" w:type="dxa"/>
            <w:vAlign w:val="bottom"/>
          </w:tcPr>
          <w:p>
            <w:pPr>
              <w:jc w:val="right"/>
              <w:ind w:right="171"/>
              <w:spacing w:after="0"/>
              <w:rPr>
                <w:sz w:val="20"/>
                <w:szCs w:val="20"/>
                <w:color w:val="auto"/>
              </w:rPr>
            </w:pPr>
            <w:r>
              <w:rPr>
                <w:rFonts w:ascii="Arial" w:cs="Arial" w:eastAsia="Arial" w:hAnsi="Arial"/>
                <w:sz w:val="18"/>
                <w:szCs w:val="18"/>
                <w:b w:val="1"/>
                <w:bCs w:val="1"/>
                <w:color w:val="auto"/>
              </w:rPr>
              <w:t>258</w:t>
            </w:r>
          </w:p>
        </w:tc>
        <w:tc>
          <w:tcPr>
            <w:tcW w:w="30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40</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545 %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Unallocated corporate expense: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00" w:type="dxa"/>
            <w:vAlign w:val="bottom"/>
          </w:tcPr>
          <w:p>
            <w:pPr>
              <w:ind w:left="340"/>
              <w:spacing w:after="0"/>
              <w:rPr>
                <w:sz w:val="20"/>
                <w:szCs w:val="20"/>
                <w:color w:val="auto"/>
              </w:rPr>
            </w:pPr>
            <w:r>
              <w:rPr>
                <w:rFonts w:ascii="Arial" w:cs="Arial" w:eastAsia="Arial" w:hAnsi="Arial"/>
                <w:sz w:val="18"/>
                <w:szCs w:val="18"/>
                <w:color w:val="auto"/>
              </w:rPr>
              <w:t>Gain on sale of business</w:t>
            </w:r>
          </w:p>
        </w:tc>
        <w:tc>
          <w:tcPr>
            <w:tcW w:w="260" w:type="dxa"/>
            <w:vAlign w:val="bottom"/>
          </w:tcPr>
          <w:p>
            <w:pPr>
              <w:spacing w:after="0"/>
              <w:rPr>
                <w:sz w:val="19"/>
                <w:szCs w:val="19"/>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 %</w:t>
            </w:r>
          </w:p>
        </w:tc>
        <w:tc>
          <w:tcPr>
            <w:tcW w:w="160" w:type="dxa"/>
            <w:vAlign w:val="bottom"/>
          </w:tcPr>
          <w:p>
            <w:pPr>
              <w:spacing w:after="0"/>
              <w:rPr>
                <w:sz w:val="19"/>
                <w:szCs w:val="19"/>
                <w:color w:val="auto"/>
              </w:rPr>
            </w:pPr>
          </w:p>
        </w:tc>
        <w:tc>
          <w:tcPr>
            <w:tcW w:w="1100" w:type="dxa"/>
            <w:vAlign w:val="bottom"/>
          </w:tcPr>
          <w:p>
            <w:pPr>
              <w:jc w:val="right"/>
              <w:ind w:right="171"/>
              <w:spacing w:after="0"/>
              <w:rPr>
                <w:sz w:val="20"/>
                <w:szCs w:val="20"/>
                <w:color w:val="auto"/>
              </w:rPr>
            </w:pPr>
            <w:r>
              <w:rPr>
                <w:rFonts w:ascii="Arial" w:cs="Arial" w:eastAsia="Arial" w:hAnsi="Arial"/>
                <w:sz w:val="18"/>
                <w:szCs w:val="18"/>
                <w:b w:val="1"/>
                <w:bCs w:val="1"/>
                <w:color w:val="auto"/>
              </w:rPr>
              <w:t>231</w:t>
            </w:r>
          </w:p>
        </w:tc>
        <w:tc>
          <w:tcPr>
            <w:tcW w:w="30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80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Training services divestiture - unallowable</w:t>
            </w:r>
          </w:p>
        </w:tc>
        <w:tc>
          <w:tcPr>
            <w:tcW w:w="2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(3)</w:t>
            </w:r>
          </w:p>
        </w:tc>
        <w:tc>
          <w:tcPr>
            <w:tcW w:w="82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NM</w:t>
            </w:r>
          </w:p>
        </w:tc>
        <w:tc>
          <w:tcPr>
            <w:tcW w:w="1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(20)</w:t>
            </w:r>
          </w:p>
        </w:tc>
        <w:tc>
          <w:tcPr>
            <w:tcW w:w="3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(5)</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300 %</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 taxes and transaction costs</w:t>
            </w:r>
          </w:p>
        </w:tc>
        <w:tc>
          <w:tcPr>
            <w:tcW w:w="26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4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00" w:type="dxa"/>
            <w:vAlign w:val="bottom"/>
          </w:tcPr>
          <w:p>
            <w:pPr>
              <w:ind w:left="340"/>
              <w:spacing w:after="0" w:line="176" w:lineRule="exact"/>
              <w:rPr>
                <w:sz w:val="20"/>
                <w:szCs w:val="20"/>
                <w:color w:val="auto"/>
              </w:rPr>
            </w:pPr>
            <w:r>
              <w:rPr>
                <w:rFonts w:ascii="Arial" w:cs="Arial" w:eastAsia="Arial" w:hAnsi="Arial"/>
                <w:sz w:val="18"/>
                <w:szCs w:val="18"/>
                <w:color w:val="auto"/>
              </w:rPr>
              <w:t>Intangible asset amortization and PP&amp;E</w:t>
            </w:r>
          </w:p>
        </w:tc>
        <w:tc>
          <w:tcPr>
            <w:tcW w:w="260" w:type="dxa"/>
            <w:vAlign w:val="bottom"/>
          </w:tcPr>
          <w:p>
            <w:pPr>
              <w:spacing w:after="0"/>
              <w:rPr>
                <w:sz w:val="15"/>
                <w:szCs w:val="15"/>
                <w:color w:val="auto"/>
              </w:rPr>
            </w:pPr>
          </w:p>
        </w:tc>
        <w:tc>
          <w:tcPr>
            <w:tcW w:w="920" w:type="dxa"/>
            <w:vAlign w:val="bottom"/>
            <w:vMerge w:val="restart"/>
          </w:tcPr>
          <w:p>
            <w:pPr>
              <w:jc w:val="right"/>
              <w:ind w:right="51"/>
              <w:spacing w:after="0"/>
              <w:rPr>
                <w:sz w:val="20"/>
                <w:szCs w:val="20"/>
                <w:color w:val="auto"/>
              </w:rPr>
            </w:pPr>
            <w:r>
              <w:rPr>
                <w:rFonts w:ascii="Arial" w:cs="Arial" w:eastAsia="Arial" w:hAnsi="Arial"/>
                <w:sz w:val="18"/>
                <w:szCs w:val="18"/>
                <w:b w:val="1"/>
                <w:bCs w:val="1"/>
                <w:color w:val="auto"/>
              </w:rPr>
              <w:t>(21)</w:t>
            </w:r>
          </w:p>
        </w:tc>
        <w:tc>
          <w:tcPr>
            <w:tcW w:w="360" w:type="dxa"/>
            <w:vAlign w:val="bottom"/>
          </w:tcPr>
          <w:p>
            <w:pPr>
              <w:spacing w:after="0"/>
              <w:rPr>
                <w:sz w:val="15"/>
                <w:szCs w:val="15"/>
                <w:color w:val="auto"/>
              </w:rPr>
            </w:pPr>
          </w:p>
        </w:tc>
        <w:tc>
          <w:tcPr>
            <w:tcW w:w="940" w:type="dxa"/>
            <w:vAlign w:val="bottom"/>
            <w:vMerge w:val="restart"/>
          </w:tcPr>
          <w:p>
            <w:pPr>
              <w:jc w:val="right"/>
              <w:ind w:right="71"/>
              <w:spacing w:after="0"/>
              <w:rPr>
                <w:sz w:val="20"/>
                <w:szCs w:val="20"/>
                <w:color w:val="auto"/>
              </w:rPr>
            </w:pPr>
            <w:r>
              <w:rPr>
                <w:rFonts w:ascii="Arial" w:cs="Arial" w:eastAsia="Arial" w:hAnsi="Arial"/>
                <w:sz w:val="18"/>
                <w:szCs w:val="18"/>
                <w:color w:val="auto"/>
              </w:rPr>
              <w:t>(25)</w:t>
            </w:r>
          </w:p>
        </w:tc>
        <w:tc>
          <w:tcPr>
            <w:tcW w:w="1260" w:type="dxa"/>
            <w:vAlign w:val="bottom"/>
            <w:gridSpan w:val="2"/>
            <w:vMerge w:val="restart"/>
          </w:tcPr>
          <w:p>
            <w:pPr>
              <w:jc w:val="right"/>
              <w:ind w:right="30"/>
              <w:spacing w:after="0"/>
              <w:rPr>
                <w:sz w:val="20"/>
                <w:szCs w:val="20"/>
                <w:color w:val="auto"/>
              </w:rPr>
            </w:pPr>
            <w:r>
              <w:rPr>
                <w:rFonts w:ascii="Arial" w:cs="Arial" w:eastAsia="Arial" w:hAnsi="Arial"/>
                <w:sz w:val="18"/>
                <w:szCs w:val="18"/>
                <w:b w:val="1"/>
                <w:bCs w:val="1"/>
                <w:color w:val="auto"/>
              </w:rPr>
              <w:t>(16)%</w:t>
            </w:r>
          </w:p>
        </w:tc>
        <w:tc>
          <w:tcPr>
            <w:tcW w:w="160" w:type="dxa"/>
            <w:vAlign w:val="bottom"/>
          </w:tcPr>
          <w:p>
            <w:pPr>
              <w:spacing w:after="0"/>
              <w:rPr>
                <w:sz w:val="15"/>
                <w:szCs w:val="15"/>
                <w:color w:val="auto"/>
              </w:rPr>
            </w:pPr>
          </w:p>
        </w:tc>
        <w:tc>
          <w:tcPr>
            <w:tcW w:w="1100" w:type="dxa"/>
            <w:vAlign w:val="bottom"/>
            <w:vMerge w:val="restart"/>
          </w:tcPr>
          <w:p>
            <w:pPr>
              <w:jc w:val="right"/>
              <w:ind w:right="131"/>
              <w:spacing w:after="0"/>
              <w:rPr>
                <w:sz w:val="20"/>
                <w:szCs w:val="20"/>
                <w:color w:val="auto"/>
              </w:rPr>
            </w:pPr>
            <w:r>
              <w:rPr>
                <w:rFonts w:ascii="Arial" w:cs="Arial" w:eastAsia="Arial" w:hAnsi="Arial"/>
                <w:sz w:val="18"/>
                <w:szCs w:val="18"/>
                <w:b w:val="1"/>
                <w:bCs w:val="1"/>
                <w:color w:val="auto"/>
              </w:rPr>
              <w:t>(84)</w:t>
            </w:r>
          </w:p>
        </w:tc>
        <w:tc>
          <w:tcPr>
            <w:tcW w:w="300" w:type="dxa"/>
            <w:vAlign w:val="bottom"/>
          </w:tcPr>
          <w:p>
            <w:pPr>
              <w:spacing w:after="0"/>
              <w:rPr>
                <w:sz w:val="15"/>
                <w:szCs w:val="15"/>
                <w:color w:val="auto"/>
              </w:rPr>
            </w:pPr>
          </w:p>
        </w:tc>
        <w:tc>
          <w:tcPr>
            <w:tcW w:w="960" w:type="dxa"/>
            <w:vAlign w:val="bottom"/>
            <w:vMerge w:val="restart"/>
          </w:tcPr>
          <w:p>
            <w:pPr>
              <w:jc w:val="right"/>
              <w:ind w:right="71"/>
              <w:spacing w:after="0"/>
              <w:rPr>
                <w:sz w:val="20"/>
                <w:szCs w:val="20"/>
                <w:color w:val="auto"/>
              </w:rPr>
            </w:pPr>
            <w:r>
              <w:rPr>
                <w:rFonts w:ascii="Arial" w:cs="Arial" w:eastAsia="Arial" w:hAnsi="Arial"/>
                <w:sz w:val="18"/>
                <w:szCs w:val="18"/>
                <w:color w:val="auto"/>
              </w:rPr>
              <w:t>(97)</w:t>
            </w: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00" w:type="dxa"/>
            <w:vAlign w:val="bottom"/>
          </w:tcPr>
          <w:p>
            <w:pPr>
              <w:ind w:left="340"/>
              <w:spacing w:after="0"/>
              <w:rPr>
                <w:sz w:val="20"/>
                <w:szCs w:val="20"/>
                <w:color w:val="auto"/>
              </w:rPr>
            </w:pPr>
            <w:r>
              <w:rPr>
                <w:rFonts w:ascii="Arial" w:cs="Arial" w:eastAsia="Arial" w:hAnsi="Arial"/>
                <w:sz w:val="18"/>
                <w:szCs w:val="18"/>
                <w:color w:val="auto"/>
              </w:rPr>
              <w:t>step-up depreciation</w:t>
            </w:r>
          </w:p>
        </w:tc>
        <w:tc>
          <w:tcPr>
            <w:tcW w:w="26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126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MTM-related deferred state tax expense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(28)</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(23)</w:t>
            </w:r>
          </w:p>
        </w:tc>
        <w:tc>
          <w:tcPr>
            <w:tcW w:w="1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22 %</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(28)</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22 %</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Other unallocated corporate expense</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(58)</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(61)</w:t>
            </w:r>
          </w:p>
        </w:tc>
        <w:tc>
          <w:tcPr>
            <w:tcW w:w="12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(5)%</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(223)</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(89)</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151 %</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shd w:val="clear" w:color="auto" w:fill="CCEEFF"/>
          </w:tcPr>
          <w:p>
            <w:pPr>
              <w:spacing w:after="0"/>
              <w:rPr>
                <w:sz w:val="19"/>
                <w:szCs w:val="19"/>
                <w:color w:val="auto"/>
              </w:rPr>
            </w:pPr>
          </w:p>
        </w:tc>
        <w:tc>
          <w:tcPr>
            <w:tcW w:w="38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Unallocated corporate expense</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(107)</w:t>
            </w: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(112)</w:t>
            </w:r>
          </w:p>
        </w:tc>
        <w:tc>
          <w:tcPr>
            <w:tcW w:w="126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(124)</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(214)</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b w:val="1"/>
                <w:bCs w:val="1"/>
                <w:color w:val="auto"/>
              </w:rPr>
              <w:t>Total operating income</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111"/>
              <w:spacing w:after="0"/>
              <w:rPr>
                <w:sz w:val="20"/>
                <w:szCs w:val="20"/>
                <w:color w:val="auto"/>
              </w:rPr>
            </w:pPr>
            <w:r>
              <w:rPr>
                <w:rFonts w:ascii="Arial" w:cs="Arial" w:eastAsia="Arial" w:hAnsi="Arial"/>
                <w:sz w:val="18"/>
                <w:szCs w:val="18"/>
                <w:b w:val="1"/>
                <w:bCs w:val="1"/>
                <w:color w:val="auto"/>
              </w:rPr>
              <w:t>1,271</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1"/>
              <w:spacing w:after="0"/>
              <w:rPr>
                <w:sz w:val="20"/>
                <w:szCs w:val="20"/>
                <w:color w:val="auto"/>
              </w:rPr>
            </w:pPr>
            <w:r>
              <w:rPr>
                <w:rFonts w:ascii="Arial" w:cs="Arial" w:eastAsia="Arial" w:hAnsi="Arial"/>
                <w:sz w:val="18"/>
                <w:szCs w:val="18"/>
                <w:color w:val="auto"/>
              </w:rPr>
              <w:t>1,089</w:t>
            </w:r>
          </w:p>
        </w:tc>
        <w:tc>
          <w:tcPr>
            <w:tcW w:w="12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17 %</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171"/>
              <w:spacing w:after="0"/>
              <w:rPr>
                <w:sz w:val="20"/>
                <w:szCs w:val="20"/>
                <w:color w:val="auto"/>
              </w:rPr>
            </w:pPr>
            <w:r>
              <w:rPr>
                <w:rFonts w:ascii="Arial" w:cs="Arial" w:eastAsia="Arial" w:hAnsi="Arial"/>
                <w:sz w:val="18"/>
                <w:szCs w:val="18"/>
                <w:b w:val="1"/>
                <w:bCs w:val="1"/>
                <w:color w:val="auto"/>
              </w:rPr>
              <w:t>4,511</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4,370</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3 %</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Operating margin rate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10.9%</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10.2%</w:t>
            </w:r>
          </w:p>
        </w:tc>
        <w:tc>
          <w:tcPr>
            <w:tcW w:w="1260" w:type="dxa"/>
            <w:vAlign w:val="bottom"/>
            <w:gridSpan w:val="2"/>
            <w:shd w:val="clear" w:color="auto" w:fill="CCEEFF"/>
          </w:tcPr>
          <w:p>
            <w:pPr>
              <w:jc w:val="center"/>
              <w:spacing w:after="0"/>
              <w:rPr>
                <w:sz w:val="20"/>
                <w:szCs w:val="20"/>
                <w:color w:val="auto"/>
              </w:rPr>
            </w:pPr>
            <w:r>
              <w:rPr>
                <w:rFonts w:ascii="Arial" w:cs="Arial" w:eastAsia="Arial" w:hAnsi="Arial"/>
                <w:sz w:val="16"/>
                <w:szCs w:val="16"/>
                <w:b w:val="1"/>
                <w:bCs w:val="1"/>
                <w:i w:val="1"/>
                <w:iCs w:val="1"/>
                <w:color w:val="auto"/>
                <w:w w:val="98"/>
              </w:rPr>
              <w:t>70 bps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10.8%</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10.6%</w:t>
            </w:r>
          </w:p>
        </w:tc>
        <w:tc>
          <w:tcPr>
            <w:tcW w:w="1160" w:type="dxa"/>
            <w:vAlign w:val="bottom"/>
            <w:shd w:val="clear" w:color="auto" w:fill="CCEEFF"/>
          </w:tcPr>
          <w:p>
            <w:pPr>
              <w:jc w:val="right"/>
              <w:ind w:right="190"/>
              <w:spacing w:after="0"/>
              <w:rPr>
                <w:sz w:val="20"/>
                <w:szCs w:val="20"/>
                <w:color w:val="auto"/>
              </w:rPr>
            </w:pPr>
            <w:r>
              <w:rPr>
                <w:rFonts w:ascii="Arial" w:cs="Arial" w:eastAsia="Arial" w:hAnsi="Arial"/>
                <w:sz w:val="16"/>
                <w:szCs w:val="16"/>
                <w:b w:val="1"/>
                <w:bCs w:val="1"/>
                <w:i w:val="1"/>
                <w:iCs w:val="1"/>
                <w:color w:val="auto"/>
              </w:rPr>
              <w:t>20 bps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b w:val="1"/>
                <w:bCs w:val="1"/>
                <w:color w:val="auto"/>
              </w:rPr>
              <w:t>(175)</w:t>
            </w:r>
          </w:p>
        </w:tc>
        <w:tc>
          <w:tcPr>
            <w:tcW w:w="360" w:type="dxa"/>
            <w:vAlign w:val="bottom"/>
          </w:tcPr>
          <w:p>
            <w:pPr>
              <w:spacing w:after="0"/>
              <w:rPr>
                <w:sz w:val="19"/>
                <w:szCs w:val="19"/>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(160)</w:t>
            </w:r>
          </w:p>
        </w:tc>
        <w:tc>
          <w:tcPr>
            <w:tcW w:w="12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9 %</w:t>
            </w:r>
          </w:p>
        </w:tc>
        <w:tc>
          <w:tcPr>
            <w:tcW w:w="16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b w:val="1"/>
                <w:bCs w:val="1"/>
                <w:color w:val="auto"/>
              </w:rPr>
              <w:t>(665)</w:t>
            </w:r>
          </w:p>
        </w:tc>
        <w:tc>
          <w:tcPr>
            <w:tcW w:w="300" w:type="dxa"/>
            <w:vAlign w:val="bottom"/>
          </w:tcPr>
          <w:p>
            <w:pPr>
              <w:spacing w:after="0"/>
              <w:rPr>
                <w:sz w:val="19"/>
                <w:szCs w:val="19"/>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(621)</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Non-operating FAS pension benefit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138</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153</w:t>
            </w:r>
          </w:p>
        </w:tc>
        <w:tc>
          <w:tcPr>
            <w:tcW w:w="1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541</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656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Mark-to-market pension and OPB benefit</w:t>
            </w:r>
          </w:p>
        </w:tc>
        <w:tc>
          <w:tcPr>
            <w:tcW w:w="260" w:type="dxa"/>
            <w:vAlign w:val="bottom"/>
          </w:tcPr>
          <w:p>
            <w:pPr>
              <w:spacing w:after="0"/>
              <w:rPr>
                <w:sz w:val="19"/>
                <w:szCs w:val="19"/>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b w:val="1"/>
                <w:bCs w:val="1"/>
                <w:color w:val="auto"/>
              </w:rPr>
              <w:t>527</w:t>
            </w:r>
          </w:p>
        </w:tc>
        <w:tc>
          <w:tcPr>
            <w:tcW w:w="36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Arial" w:cs="Arial" w:eastAsia="Arial" w:hAnsi="Arial"/>
                <w:sz w:val="18"/>
                <w:szCs w:val="18"/>
                <w:color w:val="auto"/>
              </w:rPr>
              <w:t>443</w:t>
            </w:r>
          </w:p>
        </w:tc>
        <w:tc>
          <w:tcPr>
            <w:tcW w:w="12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19 %</w:t>
            </w:r>
          </w:p>
        </w:tc>
        <w:tc>
          <w:tcPr>
            <w:tcW w:w="160" w:type="dxa"/>
            <w:vAlign w:val="bottom"/>
          </w:tcPr>
          <w:p>
            <w:pPr>
              <w:spacing w:after="0"/>
              <w:rPr>
                <w:sz w:val="19"/>
                <w:szCs w:val="19"/>
                <w:color w:val="auto"/>
              </w:rPr>
            </w:pPr>
          </w:p>
        </w:tc>
        <w:tc>
          <w:tcPr>
            <w:tcW w:w="1100" w:type="dxa"/>
            <w:vAlign w:val="bottom"/>
          </w:tcPr>
          <w:p>
            <w:pPr>
              <w:jc w:val="right"/>
              <w:ind w:right="171"/>
              <w:spacing w:after="0"/>
              <w:rPr>
                <w:sz w:val="20"/>
                <w:szCs w:val="20"/>
                <w:color w:val="auto"/>
              </w:rPr>
            </w:pPr>
            <w:r>
              <w:rPr>
                <w:rFonts w:ascii="Arial" w:cs="Arial" w:eastAsia="Arial" w:hAnsi="Arial"/>
                <w:sz w:val="18"/>
                <w:szCs w:val="18"/>
                <w:b w:val="1"/>
                <w:bCs w:val="1"/>
                <w:color w:val="auto"/>
              </w:rPr>
              <w:t>527</w:t>
            </w:r>
          </w:p>
        </w:tc>
        <w:tc>
          <w:tcPr>
            <w:tcW w:w="30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443</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19 %</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shd w:val="clear" w:color="auto" w:fill="CCEEFF"/>
          </w:tcPr>
          <w:p>
            <w:pPr>
              <w:spacing w:after="0"/>
              <w:rPr>
                <w:sz w:val="19"/>
                <w:szCs w:val="19"/>
                <w:color w:val="auto"/>
              </w:rPr>
            </w:pPr>
          </w:p>
        </w:tc>
        <w:tc>
          <w:tcPr>
            <w:tcW w:w="38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(21)</w:t>
            </w: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26</w:t>
            </w: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NM</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154</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168</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Earnings before income taxes</w:t>
            </w:r>
          </w:p>
        </w:tc>
        <w:tc>
          <w:tcPr>
            <w:tcW w:w="260" w:type="dxa"/>
            <w:vAlign w:val="bottom"/>
          </w:tcPr>
          <w:p>
            <w:pPr>
              <w:spacing w:after="0"/>
              <w:rPr>
                <w:sz w:val="19"/>
                <w:szCs w:val="19"/>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b w:val="1"/>
                <w:bCs w:val="1"/>
                <w:color w:val="auto"/>
              </w:rPr>
              <w:t>1,740</w:t>
            </w:r>
          </w:p>
        </w:tc>
        <w:tc>
          <w:tcPr>
            <w:tcW w:w="36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Arial" w:cs="Arial" w:eastAsia="Arial" w:hAnsi="Arial"/>
                <w:sz w:val="18"/>
                <w:szCs w:val="18"/>
                <w:color w:val="auto"/>
              </w:rPr>
              <w:t>1,551</w:t>
            </w:r>
          </w:p>
        </w:tc>
        <w:tc>
          <w:tcPr>
            <w:tcW w:w="12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12 %</w:t>
            </w:r>
          </w:p>
        </w:tc>
        <w:tc>
          <w:tcPr>
            <w:tcW w:w="160" w:type="dxa"/>
            <w:vAlign w:val="bottom"/>
          </w:tcPr>
          <w:p>
            <w:pPr>
              <w:spacing w:after="0"/>
              <w:rPr>
                <w:sz w:val="19"/>
                <w:szCs w:val="19"/>
                <w:color w:val="auto"/>
              </w:rPr>
            </w:pPr>
          </w:p>
        </w:tc>
        <w:tc>
          <w:tcPr>
            <w:tcW w:w="1100" w:type="dxa"/>
            <w:vAlign w:val="bottom"/>
          </w:tcPr>
          <w:p>
            <w:pPr>
              <w:jc w:val="right"/>
              <w:ind w:right="171"/>
              <w:spacing w:after="0"/>
              <w:rPr>
                <w:sz w:val="20"/>
                <w:szCs w:val="20"/>
                <w:color w:val="auto"/>
              </w:rPr>
            </w:pPr>
            <w:r>
              <w:rPr>
                <w:rFonts w:ascii="Arial" w:cs="Arial" w:eastAsia="Arial" w:hAnsi="Arial"/>
                <w:sz w:val="18"/>
                <w:szCs w:val="18"/>
                <w:b w:val="1"/>
                <w:bCs w:val="1"/>
                <w:color w:val="auto"/>
              </w:rPr>
              <w:t>5,068</w:t>
            </w:r>
          </w:p>
        </w:tc>
        <w:tc>
          <w:tcPr>
            <w:tcW w:w="30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5,016</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Federal and foreign income tax expense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313</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287</w:t>
            </w:r>
          </w:p>
        </w:tc>
        <w:tc>
          <w:tcPr>
            <w:tcW w:w="1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9 %</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886</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842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5 %</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Effective income tax rate</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i w:val="1"/>
                <w:iCs w:val="1"/>
                <w:color w:val="auto"/>
              </w:rPr>
              <w:t>18.0%</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i w:val="1"/>
                <w:iCs w:val="1"/>
                <w:color w:val="auto"/>
              </w:rPr>
              <w:t>18.5%</w:t>
            </w: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i w:val="1"/>
                <w:iCs w:val="1"/>
                <w:color w:val="auto"/>
              </w:rPr>
              <w:t>(50) bps</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i w:val="1"/>
                <w:iCs w:val="1"/>
                <w:color w:val="auto"/>
              </w:rPr>
              <w:t>17.5%</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i w:val="1"/>
                <w:iCs w:val="1"/>
                <w:color w:val="auto"/>
              </w:rPr>
              <w:t>16.8%</w:t>
            </w:r>
          </w:p>
        </w:tc>
        <w:tc>
          <w:tcPr>
            <w:tcW w:w="1160" w:type="dxa"/>
            <w:vAlign w:val="bottom"/>
            <w:tcBorders>
              <w:bottom w:val="single" w:sz="8" w:color="auto"/>
            </w:tcBorders>
          </w:tcPr>
          <w:p>
            <w:pPr>
              <w:jc w:val="right"/>
              <w:ind w:right="190"/>
              <w:spacing w:after="0"/>
              <w:rPr>
                <w:sz w:val="20"/>
                <w:szCs w:val="20"/>
                <w:color w:val="auto"/>
              </w:rPr>
            </w:pPr>
            <w:r>
              <w:rPr>
                <w:rFonts w:ascii="Arial" w:cs="Arial" w:eastAsia="Arial" w:hAnsi="Arial"/>
                <w:sz w:val="16"/>
                <w:szCs w:val="16"/>
                <w:b w:val="1"/>
                <w:bCs w:val="1"/>
                <w:i w:val="1"/>
                <w:iCs w:val="1"/>
                <w:color w:val="auto"/>
              </w:rPr>
              <w:t>70 bps</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earnings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1,427</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1,264</w:t>
            </w:r>
          </w:p>
        </w:tc>
        <w:tc>
          <w:tcPr>
            <w:tcW w:w="1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13 %</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4,182</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4,174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b w:val="1"/>
                <w:bCs w:val="1"/>
                <w:color w:val="auto"/>
              </w:rPr>
              <w:t>Diluted earnings per share</w:t>
            </w:r>
          </w:p>
        </w:tc>
        <w:tc>
          <w:tcPr>
            <w:tcW w:w="260" w:type="dxa"/>
            <w:vAlign w:val="bottom"/>
          </w:tcPr>
          <w:p>
            <w:pPr>
              <w:spacing w:after="0"/>
              <w:rPr>
                <w:sz w:val="19"/>
                <w:szCs w:val="19"/>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b w:val="1"/>
                <w:bCs w:val="1"/>
                <w:color w:val="auto"/>
              </w:rPr>
              <w:t>9.99</w:t>
            </w:r>
          </w:p>
        </w:tc>
        <w:tc>
          <w:tcPr>
            <w:tcW w:w="36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Arial" w:cs="Arial" w:eastAsia="Arial" w:hAnsi="Arial"/>
                <w:sz w:val="18"/>
                <w:szCs w:val="18"/>
                <w:color w:val="auto"/>
              </w:rPr>
              <w:t>8.66</w:t>
            </w:r>
          </w:p>
        </w:tc>
        <w:tc>
          <w:tcPr>
            <w:tcW w:w="12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15 %</w:t>
            </w:r>
          </w:p>
        </w:tc>
        <w:tc>
          <w:tcPr>
            <w:tcW w:w="160" w:type="dxa"/>
            <w:vAlign w:val="bottom"/>
          </w:tcPr>
          <w:p>
            <w:pPr>
              <w:spacing w:after="0"/>
              <w:rPr>
                <w:sz w:val="19"/>
                <w:szCs w:val="19"/>
                <w:color w:val="auto"/>
              </w:rPr>
            </w:pPr>
          </w:p>
        </w:tc>
        <w:tc>
          <w:tcPr>
            <w:tcW w:w="1100" w:type="dxa"/>
            <w:vAlign w:val="bottom"/>
          </w:tcPr>
          <w:p>
            <w:pPr>
              <w:jc w:val="right"/>
              <w:ind w:right="171"/>
              <w:spacing w:after="0"/>
              <w:rPr>
                <w:sz w:val="20"/>
                <w:szCs w:val="20"/>
                <w:color w:val="auto"/>
              </w:rPr>
            </w:pPr>
            <w:r>
              <w:rPr>
                <w:rFonts w:ascii="Arial" w:cs="Arial" w:eastAsia="Arial" w:hAnsi="Arial"/>
                <w:sz w:val="18"/>
                <w:szCs w:val="18"/>
                <w:b w:val="1"/>
                <w:bCs w:val="1"/>
                <w:color w:val="auto"/>
              </w:rPr>
              <w:t>29.08</w:t>
            </w:r>
          </w:p>
        </w:tc>
        <w:tc>
          <w:tcPr>
            <w:tcW w:w="30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28.34</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3 %</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Weighted-average diluted shares outstanding,</w:t>
            </w:r>
          </w:p>
        </w:tc>
        <w:tc>
          <w:tcPr>
            <w:tcW w:w="2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142.9</w:t>
            </w:r>
          </w:p>
        </w:tc>
        <w:tc>
          <w:tcPr>
            <w:tcW w:w="3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145.9</w:t>
            </w:r>
          </w:p>
        </w:tc>
        <w:tc>
          <w:tcPr>
            <w:tcW w:w="126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w:t>
            </w:r>
          </w:p>
        </w:tc>
        <w:tc>
          <w:tcPr>
            <w:tcW w:w="1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143.8</w:t>
            </w:r>
          </w:p>
        </w:tc>
        <w:tc>
          <w:tcPr>
            <w:tcW w:w="3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147.3</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shd w:val="clear" w:color="auto" w:fill="CCEEFF"/>
          </w:tcPr>
          <w:p>
            <w:pPr>
              <w:spacing w:after="0"/>
              <w:rPr>
                <w:sz w:val="21"/>
                <w:szCs w:val="21"/>
                <w:color w:val="auto"/>
              </w:rPr>
            </w:pPr>
          </w:p>
        </w:tc>
        <w:tc>
          <w:tcPr>
            <w:tcW w:w="3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 millions</w:t>
            </w: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vMerge w:val="continue"/>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vMerge w:val="continue"/>
            <w:shd w:val="clear" w:color="auto" w:fill="CCEEFF"/>
          </w:tcPr>
          <w:p>
            <w:pPr>
              <w:spacing w:after="0"/>
              <w:rPr>
                <w:sz w:val="21"/>
                <w:szCs w:val="21"/>
                <w:color w:val="auto"/>
              </w:rPr>
            </w:pPr>
          </w:p>
        </w:tc>
        <w:tc>
          <w:tcPr>
            <w:tcW w:w="1260" w:type="dxa"/>
            <w:vAlign w:val="bottom"/>
            <w:tcBorders>
              <w:bottom w:val="single" w:sz="8" w:color="auto"/>
            </w:tcBorders>
            <w:gridSpan w:val="2"/>
            <w:vMerge w:val="continue"/>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vMerge w:val="continue"/>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111"/>
              <w:spacing w:after="0"/>
              <w:rPr>
                <w:sz w:val="20"/>
                <w:szCs w:val="20"/>
                <w:color w:val="auto"/>
              </w:rPr>
            </w:pPr>
            <w:r>
              <w:rPr>
                <w:rFonts w:ascii="Arial" w:cs="Arial" w:eastAsia="Arial" w:hAnsi="Arial"/>
                <w:sz w:val="18"/>
                <w:szCs w:val="18"/>
                <w:b w:val="1"/>
                <w:bCs w:val="1"/>
                <w:color w:val="auto"/>
              </w:rPr>
              <w:t>3,897</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1"/>
              <w:spacing w:after="0"/>
              <w:rPr>
                <w:sz w:val="20"/>
                <w:szCs w:val="20"/>
                <w:color w:val="auto"/>
              </w:rPr>
            </w:pPr>
            <w:r>
              <w:rPr>
                <w:rFonts w:ascii="Arial" w:cs="Arial" w:eastAsia="Arial" w:hAnsi="Arial"/>
                <w:sz w:val="18"/>
                <w:szCs w:val="18"/>
                <w:color w:val="auto"/>
              </w:rPr>
              <w:t>2,578</w:t>
            </w:r>
          </w:p>
        </w:tc>
        <w:tc>
          <w:tcPr>
            <w:tcW w:w="12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51 %</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171"/>
              <w:spacing w:after="0"/>
              <w:rPr>
                <w:sz w:val="20"/>
                <w:szCs w:val="20"/>
                <w:color w:val="auto"/>
              </w:rPr>
            </w:pPr>
            <w:r>
              <w:rPr>
                <w:rFonts w:ascii="Arial" w:cs="Arial" w:eastAsia="Arial" w:hAnsi="Arial"/>
                <w:sz w:val="18"/>
                <w:szCs w:val="18"/>
                <w:b w:val="1"/>
                <w:bCs w:val="1"/>
                <w:color w:val="auto"/>
              </w:rPr>
              <w:t>4,757</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4,388</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8 %</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shd w:val="clear" w:color="auto" w:fill="CCEEFF"/>
          </w:tcPr>
          <w:p>
            <w:pPr>
              <w:spacing w:after="0"/>
              <w:rPr>
                <w:sz w:val="19"/>
                <w:szCs w:val="19"/>
                <w:color w:val="auto"/>
              </w:rPr>
            </w:pPr>
          </w:p>
        </w:tc>
        <w:tc>
          <w:tcPr>
            <w:tcW w:w="3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(662)</w:t>
            </w: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(816)</w:t>
            </w:r>
          </w:p>
        </w:tc>
        <w:tc>
          <w:tcPr>
            <w:tcW w:w="126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(1,450)</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(1,767)</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tcPr>
          <w:p>
            <w:pPr>
              <w:spacing w:after="0" w:line="223" w:lineRule="exact"/>
              <w:rPr>
                <w:sz w:val="20"/>
                <w:szCs w:val="20"/>
                <w:color w:val="auto"/>
              </w:rPr>
            </w:pPr>
            <w:r>
              <w:rPr>
                <w:rFonts w:ascii="Arial" w:cs="Arial" w:eastAsia="Arial" w:hAnsi="Arial"/>
                <w:sz w:val="18"/>
                <w:szCs w:val="18"/>
                <w:b w:val="1"/>
                <w:bCs w:val="1"/>
                <w:color w:val="auto"/>
              </w:rPr>
              <w:t>Free cash flow</w:t>
            </w:r>
            <w:r>
              <w:rPr>
                <w:rFonts w:ascii="Arial" w:cs="Arial" w:eastAsia="Arial" w:hAnsi="Arial"/>
                <w:sz w:val="23"/>
                <w:szCs w:val="23"/>
                <w:b w:val="1"/>
                <w:bCs w:val="1"/>
                <w:color w:val="auto"/>
                <w:vertAlign w:val="superscript"/>
              </w:rPr>
              <w:t>1</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rPr>
              <w:t>3,235</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1,762</w:t>
            </w:r>
          </w:p>
        </w:tc>
        <w:tc>
          <w:tcPr>
            <w:tcW w:w="12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84 %</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3,307</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2,621</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0" w:lineRule="exact"/>
        <w:rPr>
          <w:sz w:val="20"/>
          <w:szCs w:val="20"/>
          <w:color w:val="auto"/>
        </w:rPr>
      </w:pPr>
    </w:p>
    <w:p>
      <w:pPr>
        <w:ind w:left="120" w:hanging="94"/>
        <w:spacing w:after="0"/>
        <w:tabs>
          <w:tab w:leader="none" w:pos="120"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Non-GAAP measure - see definitions at the end of this earnings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b w:val="1"/>
          <w:bCs w:val="1"/>
          <w:color w:val="auto"/>
        </w:rPr>
        <w:t>Northrop Grumman Corporation</w:t>
      </w:r>
    </w:p>
    <w:p>
      <w:pPr>
        <w:jc w:val="center"/>
        <w:spacing w:after="0" w:line="221" w:lineRule="auto"/>
        <w:rPr>
          <w:sz w:val="20"/>
          <w:szCs w:val="20"/>
          <w:color w:val="auto"/>
        </w:rPr>
      </w:pPr>
      <w:r>
        <w:rPr>
          <w:rFonts w:ascii="Arial" w:cs="Arial" w:eastAsia="Arial" w:hAnsi="Arial"/>
          <w:sz w:val="14"/>
          <w:szCs w:val="14"/>
          <w:color w:val="auto"/>
        </w:rPr>
        <w:t>2980 Fairview Park Drive • Falls Church, VA 22042-4511</w:t>
      </w:r>
    </w:p>
    <w:p>
      <w:pPr>
        <w:jc w:val="center"/>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40"/>
          </w:cols>
          <w:pgMar w:left="320" w:top="376"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7100" w:type="dxa"/>
            <w:vAlign w:val="bottom"/>
            <w:tcBorders>
              <w:bottom w:val="single" w:sz="8" w:color="auto"/>
            </w:tcBorders>
            <w:gridSpan w:val="6"/>
          </w:tcPr>
          <w:p>
            <w:pPr>
              <w:spacing w:after="0"/>
              <w:rPr>
                <w:sz w:val="20"/>
                <w:szCs w:val="20"/>
                <w:color w:val="auto"/>
              </w:rPr>
            </w:pPr>
            <w:r>
              <w:rPr>
                <w:rFonts w:ascii="Arial" w:cs="Arial" w:eastAsia="Arial" w:hAnsi="Arial"/>
                <w:sz w:val="20"/>
                <w:szCs w:val="20"/>
                <w:color w:val="auto"/>
                <w:w w:val="98"/>
              </w:rPr>
              <w:t>Northrop Grumman Reports Fourth Quarter and Full-Year 2025 Financial Results</w:t>
            </w:r>
          </w:p>
        </w:tc>
        <w:tc>
          <w:tcPr>
            <w:tcW w:w="660" w:type="dxa"/>
            <w:vAlign w:val="bottom"/>
            <w:vMerge w:val="restart"/>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80" w:type="dxa"/>
            <w:vAlign w:val="bottom"/>
            <w:vMerge w:val="restart"/>
          </w:tcPr>
          <w:p>
            <w:pPr>
              <w:jc w:val="right"/>
              <w:spacing w:after="0"/>
              <w:rPr>
                <w:sz w:val="20"/>
                <w:szCs w:val="20"/>
                <w:color w:val="auto"/>
              </w:rPr>
            </w:pPr>
            <w:r>
              <w:rPr>
                <w:rFonts w:ascii="Arial" w:cs="Arial" w:eastAsia="Arial" w:hAnsi="Arial"/>
                <w:sz w:val="22"/>
                <w:szCs w:val="22"/>
                <w:color w:val="auto"/>
              </w:rPr>
              <w:t>4</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100" w:type="dxa"/>
            <w:vAlign w:val="bottom"/>
            <w:gridSpan w:val="6"/>
          </w:tcPr>
          <w:p>
            <w:pPr>
              <w:spacing w:after="0"/>
              <w:rPr>
                <w:sz w:val="10"/>
                <w:szCs w:val="10"/>
                <w:color w:val="auto"/>
              </w:rPr>
            </w:pPr>
          </w:p>
        </w:tc>
        <w:tc>
          <w:tcPr>
            <w:tcW w:w="6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06"/>
        </w:trPr>
        <w:tc>
          <w:tcPr>
            <w:tcW w:w="4360" w:type="dxa"/>
            <w:vAlign w:val="bottom"/>
            <w:gridSpan w:val="2"/>
          </w:tcPr>
          <w:p>
            <w:pPr>
              <w:spacing w:after="0"/>
              <w:rPr>
                <w:sz w:val="20"/>
                <w:szCs w:val="20"/>
                <w:color w:val="auto"/>
              </w:rPr>
            </w:pPr>
            <w:r>
              <w:rPr>
                <w:rFonts w:ascii="Arial" w:cs="Arial" w:eastAsia="Arial" w:hAnsi="Arial"/>
                <w:sz w:val="22"/>
                <w:szCs w:val="22"/>
                <w:b w:val="1"/>
                <w:bCs w:val="1"/>
                <w:color w:val="auto"/>
              </w:rPr>
              <w:t>Sales</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80" w:type="dxa"/>
            <w:vAlign w:val="bottom"/>
            <w:gridSpan w:val="3"/>
          </w:tcPr>
          <w:p>
            <w:pPr>
              <w:jc w:val="right"/>
              <w:ind w:right="150"/>
              <w:spacing w:after="0"/>
              <w:rPr>
                <w:sz w:val="20"/>
                <w:szCs w:val="20"/>
                <w:color w:val="auto"/>
              </w:rPr>
            </w:pPr>
            <w:r>
              <w:rPr>
                <w:rFonts w:ascii="Arial" w:cs="Arial" w:eastAsia="Arial" w:hAnsi="Arial"/>
                <w:sz w:val="18"/>
                <w:szCs w:val="18"/>
                <w:color w:val="auto"/>
              </w:rPr>
              <w:t>Three Months Ended</w:t>
            </w:r>
          </w:p>
        </w:tc>
        <w:tc>
          <w:tcPr>
            <w:tcW w:w="1260" w:type="dxa"/>
            <w:vAlign w:val="bottom"/>
            <w:gridSpan w:val="2"/>
            <w:vMerge w:val="restart"/>
          </w:tcPr>
          <w:p>
            <w:pPr>
              <w:jc w:val="right"/>
              <w:ind w:right="540"/>
              <w:spacing w:after="0"/>
              <w:rPr>
                <w:sz w:val="20"/>
                <w:szCs w:val="20"/>
                <w:color w:val="auto"/>
              </w:rPr>
            </w:pPr>
            <w:r>
              <w:rPr>
                <w:rFonts w:ascii="Arial" w:cs="Arial" w:eastAsia="Arial" w:hAnsi="Arial"/>
                <w:sz w:val="18"/>
                <w:szCs w:val="18"/>
                <w:b w:val="1"/>
                <w:bCs w:val="1"/>
                <w:color w:val="auto"/>
              </w:rPr>
              <w:t>%</w:t>
            </w:r>
          </w:p>
        </w:tc>
        <w:tc>
          <w:tcPr>
            <w:tcW w:w="2180" w:type="dxa"/>
            <w:vAlign w:val="bottom"/>
            <w:gridSpan w:val="4"/>
            <w:vMerge w:val="restart"/>
          </w:tcPr>
          <w:p>
            <w:pPr>
              <w:jc w:val="right"/>
              <w:spacing w:after="0"/>
              <w:rPr>
                <w:sz w:val="20"/>
                <w:szCs w:val="20"/>
                <w:color w:val="auto"/>
              </w:rPr>
            </w:pPr>
            <w:r>
              <w:rPr>
                <w:rFonts w:ascii="Arial" w:cs="Arial" w:eastAsia="Arial" w:hAnsi="Arial"/>
                <w:sz w:val="18"/>
                <w:szCs w:val="18"/>
                <w:color w:val="auto"/>
              </w:rPr>
              <w:t>Year Ended December 31</w:t>
            </w:r>
          </w:p>
        </w:tc>
        <w:tc>
          <w:tcPr>
            <w:tcW w:w="1280" w:type="dxa"/>
            <w:vAlign w:val="bottom"/>
            <w:vMerge w:val="restart"/>
          </w:tcPr>
          <w:p>
            <w:pPr>
              <w:jc w:val="right"/>
              <w:ind w:right="426"/>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color w:val="auto"/>
              </w:rPr>
              <w:t>December 31</w:t>
            </w:r>
          </w:p>
        </w:tc>
        <w:tc>
          <w:tcPr>
            <w:tcW w:w="1260" w:type="dxa"/>
            <w:vAlign w:val="bottom"/>
            <w:gridSpan w:val="2"/>
            <w:vMerge w:val="continue"/>
          </w:tcPr>
          <w:p>
            <w:pPr>
              <w:spacing w:after="0"/>
              <w:rPr>
                <w:sz w:val="21"/>
                <w:szCs w:val="21"/>
                <w:color w:val="auto"/>
              </w:rPr>
            </w:pPr>
          </w:p>
        </w:tc>
        <w:tc>
          <w:tcPr>
            <w:tcW w:w="2180" w:type="dxa"/>
            <w:vAlign w:val="bottom"/>
            <w:tcBorders>
              <w:bottom w:val="single" w:sz="8" w:color="auto"/>
            </w:tcBorders>
            <w:gridSpan w:val="4"/>
            <w:vMerge w:val="continue"/>
          </w:tcPr>
          <w:p>
            <w:pPr>
              <w:spacing w:after="0"/>
              <w:rPr>
                <w:sz w:val="21"/>
                <w:szCs w:val="21"/>
                <w:color w:val="auto"/>
              </w:rPr>
            </w:pPr>
          </w:p>
        </w:tc>
        <w:tc>
          <w:tcPr>
            <w:tcW w:w="1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2025</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2024</w:t>
            </w:r>
          </w:p>
        </w:tc>
        <w:tc>
          <w:tcPr>
            <w:tcW w:w="12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Change</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2025</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2024</w:t>
            </w:r>
          </w:p>
        </w:tc>
        <w:tc>
          <w:tcPr>
            <w:tcW w:w="1280" w:type="dxa"/>
            <w:vAlign w:val="bottom"/>
            <w:tcBorders>
              <w:bottom w:val="single" w:sz="8" w:color="auto"/>
            </w:tcBorders>
          </w:tcPr>
          <w:p>
            <w:pPr>
              <w:jc w:val="right"/>
              <w:ind w:right="166"/>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11,712</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10,686</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10 %</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41,954</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41,033</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2 %</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tcPr>
          <w:p>
            <w:pPr>
              <w:spacing w:after="0"/>
              <w:rPr>
                <w:sz w:val="19"/>
                <w:szCs w:val="19"/>
                <w:color w:val="auto"/>
              </w:rPr>
            </w:pPr>
          </w:p>
        </w:tc>
        <w:tc>
          <w:tcPr>
            <w:tcW w:w="43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Less: Training services sales</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6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1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shd w:val="clear" w:color="auto" w:fill="CCEEFF"/>
          </w:tcPr>
          <w:p>
            <w:pPr>
              <w:spacing w:after="0"/>
              <w:rPr>
                <w:sz w:val="20"/>
                <w:szCs w:val="20"/>
                <w:color w:val="auto"/>
              </w:rPr>
            </w:pPr>
          </w:p>
        </w:tc>
        <w:tc>
          <w:tcPr>
            <w:tcW w:w="4340" w:type="dxa"/>
            <w:vAlign w:val="bottom"/>
            <w:tcBorders>
              <w:bottom w:val="single" w:sz="8" w:color="auto"/>
            </w:tcBorders>
            <w:shd w:val="clear" w:color="auto" w:fill="CCEEFF"/>
          </w:tcPr>
          <w:p>
            <w:pPr>
              <w:spacing w:after="0" w:line="223" w:lineRule="exact"/>
              <w:rPr>
                <w:sz w:val="20"/>
                <w:szCs w:val="20"/>
                <w:color w:val="auto"/>
              </w:rPr>
            </w:pPr>
            <w:r>
              <w:rPr>
                <w:rFonts w:ascii="Arial" w:cs="Arial" w:eastAsia="Arial" w:hAnsi="Arial"/>
                <w:sz w:val="18"/>
                <w:szCs w:val="18"/>
                <w:color w:val="auto"/>
              </w:rPr>
              <w:t>Organic sales</w:t>
            </w:r>
            <w:r>
              <w:rPr>
                <w:rFonts w:ascii="Arial" w:cs="Arial" w:eastAsia="Arial" w:hAnsi="Arial"/>
                <w:sz w:val="23"/>
                <w:szCs w:val="23"/>
                <w:color w:val="auto"/>
                <w:vertAlign w:val="superscript"/>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11,712</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10,608</w:t>
            </w:r>
          </w:p>
        </w:tc>
        <w:tc>
          <w:tcPr>
            <w:tcW w:w="12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10 %</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41,842</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40,729</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3 %</w:t>
            </w:r>
          </w:p>
        </w:tc>
        <w:tc>
          <w:tcPr>
            <w:tcW w:w="0" w:type="dxa"/>
            <w:vAlign w:val="bottom"/>
          </w:tcPr>
          <w:p>
            <w:pPr>
              <w:spacing w:after="0"/>
              <w:rPr>
                <w:sz w:val="1"/>
                <w:szCs w:val="1"/>
                <w:color w:val="auto"/>
              </w:rPr>
            </w:pPr>
          </w:p>
        </w:tc>
      </w:tr>
    </w:tbl>
    <w:p>
      <w:pPr>
        <w:spacing w:after="0" w:line="163" w:lineRule="exact"/>
        <w:rPr>
          <w:sz w:val="20"/>
          <w:szCs w:val="20"/>
          <w:color w:val="auto"/>
        </w:rPr>
      </w:pPr>
    </w:p>
    <w:p>
      <w:pPr>
        <w:ind w:right="100" w:firstLine="324"/>
        <w:spacing w:after="0" w:line="257" w:lineRule="auto"/>
        <w:rPr>
          <w:sz w:val="20"/>
          <w:szCs w:val="20"/>
          <w:color w:val="auto"/>
        </w:rPr>
      </w:pPr>
      <w:r>
        <w:rPr>
          <w:rFonts w:ascii="Arial" w:cs="Arial" w:eastAsia="Arial" w:hAnsi="Arial"/>
          <w:sz w:val="22"/>
          <w:szCs w:val="22"/>
          <w:color w:val="auto"/>
        </w:rPr>
        <w:t>Fourth quarter 2025 sales increased $1.0 billion, or 10 percent, due to higher sales of $591 million at Aeronautics Systems, $305 million at Mission Systems, $149 million at Space Systems and $144 million at Defense Systems, net of a $78 million reduction related to the training services divestiture, partially offset by $163 million of higher intercompany eliminations.</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2025 sales increased $921 million, or 2 percent, due to higher sales of $1.1 billion at Mission Systems,</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$603 million at Defense Systems, net of a $192 million reduction related to the training services divestiture, and</w:t>
      </w:r>
    </w:p>
    <w:p>
      <w:pPr>
        <w:spacing w:after="0" w:line="4" w:lineRule="exact"/>
        <w:rPr>
          <w:sz w:val="20"/>
          <w:szCs w:val="20"/>
          <w:color w:val="auto"/>
        </w:rPr>
      </w:pPr>
    </w:p>
    <w:p>
      <w:pPr>
        <w:ind w:right="40"/>
        <w:spacing w:after="0" w:line="254" w:lineRule="auto"/>
        <w:rPr>
          <w:sz w:val="20"/>
          <w:szCs w:val="20"/>
          <w:color w:val="auto"/>
        </w:rPr>
      </w:pPr>
      <w:r>
        <w:rPr>
          <w:rFonts w:ascii="Arial" w:cs="Arial" w:eastAsia="Arial" w:hAnsi="Arial"/>
          <w:sz w:val="22"/>
          <w:szCs w:val="22"/>
          <w:color w:val="auto"/>
        </w:rPr>
        <w:t>$596 million at Aeronautics Systems. These increases were partially offset by $960 million of lower sales at Space Systems, largely due to a $738 million sales reduction associated with wind-down of work on the restricted space and NGI programs, and $425 million of higher intercompany eliminations.</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Income and Margin Rate</w:t>
      </w:r>
    </w:p>
    <w:p>
      <w:pPr>
        <w:spacing w:after="0" w:line="39" w:lineRule="exact"/>
        <w:rPr>
          <w:sz w:val="20"/>
          <w:szCs w:val="20"/>
          <w:color w:val="auto"/>
        </w:rPr>
      </w:pPr>
    </w:p>
    <w:p>
      <w:pPr>
        <w:ind w:right="300" w:firstLine="324"/>
        <w:spacing w:after="0" w:line="248" w:lineRule="auto"/>
        <w:rPr>
          <w:sz w:val="20"/>
          <w:szCs w:val="20"/>
          <w:color w:val="auto"/>
        </w:rPr>
      </w:pPr>
      <w:r>
        <w:rPr>
          <w:rFonts w:ascii="Arial" w:cs="Arial" w:eastAsia="Arial" w:hAnsi="Arial"/>
          <w:sz w:val="22"/>
          <w:szCs w:val="22"/>
          <w:color w:val="auto"/>
        </w:rPr>
        <w:t>Fourth quarter 2025 operating income increased $182 million, or 17 percent, primarily due to a $120 million increase in segment operating income and a $57 million increase in the FAS/CAS operating adjustment. Operating margin rate increased to 10.9 percent from 10.2 percent reflecting the items above.</w:t>
      </w:r>
    </w:p>
    <w:p>
      <w:pPr>
        <w:spacing w:after="0" w:line="60" w:lineRule="exact"/>
        <w:rPr>
          <w:sz w:val="20"/>
          <w:szCs w:val="20"/>
          <w:color w:val="auto"/>
        </w:rPr>
      </w:pPr>
    </w:p>
    <w:p>
      <w:pPr>
        <w:ind w:right="220" w:firstLine="324"/>
        <w:spacing w:after="0" w:line="265" w:lineRule="auto"/>
        <w:rPr>
          <w:sz w:val="20"/>
          <w:szCs w:val="20"/>
          <w:color w:val="auto"/>
        </w:rPr>
      </w:pPr>
      <w:r>
        <w:rPr>
          <w:rFonts w:ascii="Arial" w:cs="Arial" w:eastAsia="Arial" w:hAnsi="Arial"/>
          <w:sz w:val="21"/>
          <w:szCs w:val="21"/>
          <w:color w:val="auto"/>
        </w:rPr>
        <w:t>2025 operating income increased $141 million, or 3 percent, primarily due to a $231 million pre-tax gain on sale for the training services divestiture and a $218 million increase in the FAS/CAS operating adjustment. These increases were partially offset by a $167 million decrease in segment operating income, primarily driven by $423 million of lower operating income at Aeronautics Systems reflecting the first quarter B-21 loss provision, and a $126 million increase in non-divestiture-related unallocated corporate expense largely driven by higher deferred state tax expense. 2025 operating margin rate increased to 10.8 percent from 10.6 percent reflecting the items above.</w:t>
      </w:r>
    </w:p>
    <w:p>
      <w:pPr>
        <w:spacing w:after="0" w:line="231" w:lineRule="auto"/>
        <w:rPr>
          <w:sz w:val="20"/>
          <w:szCs w:val="20"/>
          <w:color w:val="auto"/>
        </w:rPr>
      </w:pPr>
      <w:r>
        <w:rPr>
          <w:rFonts w:ascii="Arial" w:cs="Arial" w:eastAsia="Arial" w:hAnsi="Arial"/>
          <w:sz w:val="22"/>
          <w:szCs w:val="22"/>
          <w:b w:val="1"/>
          <w:bCs w:val="1"/>
          <w:color w:val="auto"/>
        </w:rPr>
        <w:t>Segment Operating Income and Margin Rate</w:t>
      </w:r>
      <w:r>
        <w:rPr>
          <w:rFonts w:ascii="Arial" w:cs="Arial" w:eastAsia="Arial" w:hAnsi="Arial"/>
          <w:sz w:val="28"/>
          <w:szCs w:val="28"/>
          <w:b w:val="1"/>
          <w:bCs w:val="1"/>
          <w:color w:val="auto"/>
          <w:vertAlign w:val="superscript"/>
        </w:rPr>
        <w:t>1</w:t>
      </w:r>
    </w:p>
    <w:p>
      <w:pPr>
        <w:spacing w:after="0" w:line="1" w:lineRule="exact"/>
        <w:rPr>
          <w:sz w:val="20"/>
          <w:szCs w:val="20"/>
          <w:color w:val="auto"/>
        </w:rPr>
      </w:pPr>
    </w:p>
    <w:p>
      <w:pPr>
        <w:jc w:val="both"/>
        <w:ind w:right="420" w:firstLine="324"/>
        <w:spacing w:after="0" w:line="227" w:lineRule="auto"/>
        <w:rPr>
          <w:sz w:val="20"/>
          <w:szCs w:val="20"/>
          <w:color w:val="auto"/>
        </w:rPr>
      </w:pPr>
      <w:r>
        <w:rPr>
          <w:rFonts w:ascii="Arial" w:cs="Arial" w:eastAsia="Arial" w:hAnsi="Arial"/>
          <w:sz w:val="21"/>
          <w:szCs w:val="21"/>
          <w:color w:val="auto"/>
        </w:rPr>
        <w:t>Fourth quarter 2025 segment operating income</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increased $120 million, or 10 percent, primarily due to higher operating income of $61 million at Aeronautics Systems, $47 million at Space Systems and $41 million at Mission Systems. Segment operating margin rate </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of 11.2 percent was comparable to the prior year and reflects a higher operating margin rate at Space Systems, partially offset by a lower operating margin rate at Defense Systems.</w:t>
      </w:r>
    </w:p>
    <w:p>
      <w:pPr>
        <w:spacing w:after="0" w:line="69" w:lineRule="exact"/>
        <w:rPr>
          <w:sz w:val="20"/>
          <w:szCs w:val="20"/>
          <w:color w:val="auto"/>
        </w:rPr>
      </w:pPr>
    </w:p>
    <w:p>
      <w:pPr>
        <w:ind w:right="180" w:firstLine="324"/>
        <w:spacing w:after="0" w:line="228" w:lineRule="auto"/>
        <w:rPr>
          <w:sz w:val="20"/>
          <w:szCs w:val="20"/>
          <w:color w:val="auto"/>
        </w:rPr>
      </w:pPr>
      <w:r>
        <w:rPr>
          <w:rFonts w:ascii="Arial" w:cs="Arial" w:eastAsia="Arial" w:hAnsi="Arial"/>
          <w:sz w:val="22"/>
          <w:szCs w:val="22"/>
          <w:color w:val="auto"/>
        </w:rPr>
        <w:t>2025 segment operating income</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decreased $167 million, or 4 percent, primarily due to the $423 million of lower operating income at Aeronautics Systems described above and $71 million of lower operating income at Space Systems, partially offset by higher operating income of $229 million at Mission Systems and $155 million at Defense Systems. Segment operating margin rate</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decreased to 10.4 percent primarily due to the B-21 loss provision at Aeronautics Systems, partially offset by higher operating margin rates at Defense Systems, Mission Systems and Space Systems.</w:t>
      </w:r>
    </w:p>
    <w:p>
      <w:pPr>
        <w:spacing w:after="0" w:line="200" w:lineRule="exact"/>
        <w:rPr>
          <w:sz w:val="20"/>
          <w:szCs w:val="20"/>
          <w:color w:val="auto"/>
        </w:rPr>
      </w:pPr>
    </w:p>
    <w:p>
      <w:pPr>
        <w:spacing w:after="0" w:line="391" w:lineRule="exact"/>
        <w:rPr>
          <w:sz w:val="20"/>
          <w:szCs w:val="20"/>
          <w:color w:val="auto"/>
        </w:rPr>
      </w:pPr>
    </w:p>
    <w:p>
      <w:pPr>
        <w:ind w:left="120" w:hanging="94"/>
        <w:spacing w:after="0"/>
        <w:tabs>
          <w:tab w:leader="none" w:pos="120" w:val="left"/>
        </w:tabs>
        <w:numPr>
          <w:ilvl w:val="0"/>
          <w:numId w:val="8"/>
        </w:numPr>
        <w:rPr>
          <w:rFonts w:ascii="Arial" w:cs="Arial" w:eastAsia="Arial" w:hAnsi="Arial"/>
          <w:sz w:val="9"/>
          <w:szCs w:val="9"/>
          <w:color w:val="auto"/>
        </w:rPr>
      </w:pPr>
      <w:r>
        <w:rPr>
          <w:rFonts w:ascii="Arial" w:cs="Arial" w:eastAsia="Arial" w:hAnsi="Arial"/>
          <w:sz w:val="14"/>
          <w:szCs w:val="14"/>
          <w:color w:val="auto"/>
        </w:rPr>
        <w:t>Non-GAAP measure - see definitions at the end of this earnings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Northrop Grumman Corporation</w:t>
      </w:r>
    </w:p>
    <w:p>
      <w:pPr>
        <w:jc w:val="center"/>
        <w:spacing w:after="0" w:line="223" w:lineRule="auto"/>
        <w:rPr>
          <w:sz w:val="20"/>
          <w:szCs w:val="20"/>
          <w:color w:val="auto"/>
        </w:rPr>
      </w:pPr>
      <w:r>
        <w:rPr>
          <w:rFonts w:ascii="Arial" w:cs="Arial" w:eastAsia="Arial" w:hAnsi="Arial"/>
          <w:sz w:val="14"/>
          <w:szCs w:val="14"/>
          <w:color w:val="auto"/>
        </w:rPr>
        <w:t>2980 Fairview Park Drive • Falls Church, VA 22042-4511</w:t>
      </w:r>
    </w:p>
    <w:p>
      <w:pPr>
        <w:jc w:val="center"/>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40"/>
          </w:cols>
          <w:pgMar w:left="320" w:top="376" w:right="339" w:bottom="1440" w:gutter="0" w:footer="0" w:header="0"/>
        </w:sectPr>
      </w:pPr>
    </w:p>
    <w:bookmarkStart w:id="7" w:name="page8"/>
    <w:bookmarkEnd w:id="7"/>
    <w:tbl>
      <w:tblPr>
        <w:tblLayout w:type="fixed"/>
        <w:tblInd w:w="20" w:type="dxa"/>
        <w:tblCellMar>
          <w:top w:w="0" w:type="dxa"/>
          <w:left w:w="0" w:type="dxa"/>
          <w:bottom w:w="0" w:type="dxa"/>
          <w:right w:w="0" w:type="dxa"/>
        </w:tblCellMar>
      </w:tblPr>
      <w:tr>
        <w:trPr>
          <w:trHeight w:val="250"/>
        </w:trPr>
        <w:tc>
          <w:tcPr>
            <w:tcW w:w="71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8"/>
              </w:rPr>
              <w:t>Northrop Grumman Reports Fourth Quarter and Full-Year 2025 Financial Results</w:t>
            </w:r>
          </w:p>
        </w:tc>
        <w:tc>
          <w:tcPr>
            <w:tcW w:w="4100" w:type="dxa"/>
            <w:vAlign w:val="bottom"/>
            <w:vMerge w:val="restart"/>
          </w:tcPr>
          <w:p>
            <w:pPr>
              <w:jc w:val="right"/>
              <w:spacing w:after="0"/>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116"/>
        </w:trPr>
        <w:tc>
          <w:tcPr>
            <w:tcW w:w="7100" w:type="dxa"/>
            <w:vAlign w:val="bottom"/>
          </w:tcPr>
          <w:p>
            <w:pPr>
              <w:spacing w:after="0"/>
              <w:rPr>
                <w:sz w:val="10"/>
                <w:szCs w:val="10"/>
                <w:color w:val="auto"/>
              </w:rPr>
            </w:pPr>
          </w:p>
        </w:tc>
        <w:tc>
          <w:tcPr>
            <w:tcW w:w="4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Federal and Foreign Income Taxes</w:t>
      </w:r>
    </w:p>
    <w:p>
      <w:pPr>
        <w:spacing w:after="0" w:line="39" w:lineRule="exact"/>
        <w:rPr>
          <w:sz w:val="20"/>
          <w:szCs w:val="20"/>
          <w:color w:val="auto"/>
        </w:rPr>
      </w:pPr>
    </w:p>
    <w:p>
      <w:pPr>
        <w:ind w:firstLine="324"/>
        <w:spacing w:after="0" w:line="245" w:lineRule="auto"/>
        <w:rPr>
          <w:sz w:val="20"/>
          <w:szCs w:val="20"/>
          <w:color w:val="auto"/>
        </w:rPr>
      </w:pPr>
      <w:r>
        <w:rPr>
          <w:rFonts w:ascii="Arial" w:cs="Arial" w:eastAsia="Arial" w:hAnsi="Arial"/>
          <w:sz w:val="22"/>
          <w:szCs w:val="22"/>
          <w:color w:val="auto"/>
        </w:rPr>
        <w:t>In July 2025, the One Big Beautiful Bill Act (OBBBA) was enacted. Key income tax-related provisions of the OBBBA include the repeal of mandatory capitalization of research and development expenditures under Internal Revenue Code (IRC) Section 174 (reinstating full expensing beginning in 2025), extension of bonus depreciation, and revisions to international tax regimes. The company recognized the income tax effects of the OBBBA in its 2025 financial statements.</w:t>
      </w:r>
    </w:p>
    <w:p>
      <w:pPr>
        <w:spacing w:after="0" w:line="66" w:lineRule="exact"/>
        <w:rPr>
          <w:sz w:val="20"/>
          <w:szCs w:val="20"/>
          <w:color w:val="auto"/>
        </w:rPr>
      </w:pPr>
    </w:p>
    <w:p>
      <w:pPr>
        <w:jc w:val="both"/>
        <w:ind w:right="40" w:firstLine="324"/>
        <w:spacing w:after="0" w:line="261" w:lineRule="auto"/>
        <w:rPr>
          <w:sz w:val="20"/>
          <w:szCs w:val="20"/>
          <w:color w:val="auto"/>
        </w:rPr>
      </w:pPr>
      <w:r>
        <w:rPr>
          <w:rFonts w:ascii="Arial" w:cs="Arial" w:eastAsia="Arial" w:hAnsi="Arial"/>
          <w:sz w:val="21"/>
          <w:szCs w:val="21"/>
          <w:color w:val="auto"/>
        </w:rPr>
        <w:t>Fourth quarter 2025 income tax expense increased $26 million, or 9 percent, due to higher earnings before taxes, partially offset by a lower effective tax rate (ETR). The fourth quarter 2025 ETR decreased to 18.0 percent from 18.5 percent primarily due to lower interest expense on unrecognized tax benefits and higher benefits from foreign derived intangible income, partially offset by lower research credits, principally due to enactment of the OBBBA, and a larger ETR impact associated with the MTM adjustment. The 2025 MTM benefit increased the fourth quarter 2025 ETR by</w:t>
      </w:r>
    </w:p>
    <w:p>
      <w:pPr>
        <w:spacing w:after="0" w:line="3" w:lineRule="exact"/>
        <w:rPr>
          <w:sz w:val="20"/>
          <w:szCs w:val="20"/>
          <w:color w:val="auto"/>
        </w:rPr>
      </w:pPr>
    </w:p>
    <w:p>
      <w:pPr>
        <w:ind w:right="80"/>
        <w:spacing w:after="0" w:line="253" w:lineRule="auto"/>
        <w:rPr>
          <w:sz w:val="20"/>
          <w:szCs w:val="20"/>
          <w:color w:val="auto"/>
        </w:rPr>
      </w:pPr>
      <w:r>
        <w:rPr>
          <w:rFonts w:ascii="Arial" w:cs="Arial" w:eastAsia="Arial" w:hAnsi="Arial"/>
          <w:sz w:val="22"/>
          <w:szCs w:val="22"/>
          <w:color w:val="auto"/>
        </w:rPr>
        <w:t>1.2 percentage points, whereas the prior year MTM benefit increased the fourth quarter 2024 ETR by 0.9 percentage points.</w:t>
      </w:r>
    </w:p>
    <w:p>
      <w:pPr>
        <w:spacing w:after="0" w:line="54" w:lineRule="exact"/>
        <w:rPr>
          <w:sz w:val="20"/>
          <w:szCs w:val="20"/>
          <w:color w:val="auto"/>
        </w:rPr>
      </w:pPr>
    </w:p>
    <w:p>
      <w:pPr>
        <w:ind w:right="60" w:firstLine="324"/>
        <w:spacing w:after="0" w:line="251" w:lineRule="auto"/>
        <w:rPr>
          <w:sz w:val="20"/>
          <w:szCs w:val="20"/>
          <w:color w:val="auto"/>
        </w:rPr>
      </w:pPr>
      <w:r>
        <w:rPr>
          <w:rFonts w:ascii="Arial" w:cs="Arial" w:eastAsia="Arial" w:hAnsi="Arial"/>
          <w:sz w:val="22"/>
          <w:szCs w:val="22"/>
          <w:color w:val="auto"/>
        </w:rPr>
        <w:t>2025 income tax expense increased $44 million, or 5 percent, due to a higher ETR and higher earnings before income taxes. The 2025 ETR increased to 17.5 percent from 16.8 percent in 2024 primarily due to a net reduction in tax reserves in the prior year, lower research credits principally due to enactment of the OBBBA, and additional income tax expense related to nondeductible goodwill in the divested training services business. These increases were partially offset by lower interest expense on unrecognized tax benefits. The MTM benefit in both 2025 and 2024 increased each respective year’s ETR by 0.4 percentage points.</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Earnings</w:t>
      </w:r>
    </w:p>
    <w:p>
      <w:pPr>
        <w:spacing w:after="0" w:line="26" w:lineRule="exact"/>
        <w:rPr>
          <w:sz w:val="20"/>
          <w:szCs w:val="20"/>
          <w:color w:val="auto"/>
        </w:rPr>
      </w:pPr>
    </w:p>
    <w:p>
      <w:pPr>
        <w:jc w:val="both"/>
        <w:ind w:right="80" w:firstLine="324"/>
        <w:spacing w:after="0" w:line="250" w:lineRule="auto"/>
        <w:rPr>
          <w:sz w:val="20"/>
          <w:szCs w:val="20"/>
          <w:color w:val="auto"/>
        </w:rPr>
      </w:pPr>
      <w:r>
        <w:rPr>
          <w:rFonts w:ascii="Arial" w:cs="Arial" w:eastAsia="Arial" w:hAnsi="Arial"/>
          <w:sz w:val="22"/>
          <w:szCs w:val="22"/>
          <w:color w:val="auto"/>
        </w:rPr>
        <w:t>Fourth quarter 2025 net earnings increased $163 million, or 13 percent, primarily due to the $182 million increase in operating income described above and an $84 million increase in our MTM benefit, partially offset by a $47 million decrease in Other, net driven by lower returns on our marketable securities and a $26 million increase in income tax expense.</w:t>
      </w:r>
    </w:p>
    <w:p>
      <w:pPr>
        <w:spacing w:after="0" w:line="46" w:lineRule="exact"/>
        <w:rPr>
          <w:sz w:val="20"/>
          <w:szCs w:val="20"/>
          <w:color w:val="auto"/>
        </w:rPr>
      </w:pPr>
    </w:p>
    <w:p>
      <w:pPr>
        <w:ind w:right="280" w:firstLine="324"/>
        <w:spacing w:after="0" w:line="257" w:lineRule="auto"/>
        <w:rPr>
          <w:sz w:val="20"/>
          <w:szCs w:val="20"/>
          <w:color w:val="auto"/>
        </w:rPr>
      </w:pPr>
      <w:r>
        <w:rPr>
          <w:rFonts w:ascii="Arial" w:cs="Arial" w:eastAsia="Arial" w:hAnsi="Arial"/>
          <w:sz w:val="22"/>
          <w:szCs w:val="22"/>
          <w:color w:val="auto"/>
        </w:rPr>
        <w:t>2025 net earnings were comparable to the prior year and reflect the $141 million increase in operating income described above and an $84 million increase in our MTM benefit, partially offset by a $115 million decrease in the non-operating FAS pension benefit, $44 million of higher interest expense and a $44 million increase in income tax expense.</w:t>
      </w:r>
    </w:p>
    <w:p>
      <w:pPr>
        <w:spacing w:after="0" w:line="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Flows</w:t>
      </w:r>
    </w:p>
    <w:p>
      <w:pPr>
        <w:spacing w:after="0" w:line="26" w:lineRule="exact"/>
        <w:rPr>
          <w:sz w:val="20"/>
          <w:szCs w:val="20"/>
          <w:color w:val="auto"/>
        </w:rPr>
      </w:pPr>
    </w:p>
    <w:p>
      <w:pPr>
        <w:ind w:right="80" w:firstLine="324"/>
        <w:spacing w:after="0" w:line="232" w:lineRule="auto"/>
        <w:rPr>
          <w:sz w:val="20"/>
          <w:szCs w:val="20"/>
          <w:color w:val="auto"/>
        </w:rPr>
      </w:pPr>
      <w:r>
        <w:rPr>
          <w:rFonts w:ascii="Arial" w:cs="Arial" w:eastAsia="Arial" w:hAnsi="Arial"/>
          <w:sz w:val="22"/>
          <w:szCs w:val="22"/>
          <w:color w:val="auto"/>
        </w:rPr>
        <w:t xml:space="preserve">Fourth quarter 2025 net cash provided by operating activities increased $1.3 billion as compared with the same period in 2024 primarily due to a $1.1 billion decrease in net tax payments. Fourth quarter 2025 free cash flow </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increased $1.5 billion, or 84 percent, due to an increase in net cash provided by operating activities and lower capital expenditures. Fourth quarter 2025 capital expenditures totaled 5.7 percent of sales.</w:t>
      </w:r>
    </w:p>
    <w:p>
      <w:pPr>
        <w:spacing w:after="0" w:line="56" w:lineRule="exact"/>
        <w:rPr>
          <w:sz w:val="20"/>
          <w:szCs w:val="20"/>
          <w:color w:val="auto"/>
        </w:rPr>
      </w:pPr>
    </w:p>
    <w:p>
      <w:pPr>
        <w:ind w:right="20" w:firstLine="324"/>
        <w:spacing w:after="0" w:line="236" w:lineRule="auto"/>
        <w:rPr>
          <w:sz w:val="20"/>
          <w:szCs w:val="20"/>
          <w:color w:val="auto"/>
        </w:rPr>
      </w:pPr>
      <w:r>
        <w:rPr>
          <w:rFonts w:ascii="Arial" w:cs="Arial" w:eastAsia="Arial" w:hAnsi="Arial"/>
          <w:sz w:val="22"/>
          <w:szCs w:val="22"/>
          <w:color w:val="auto"/>
        </w:rPr>
        <w:t xml:space="preserve">2025 cash provided by operating activities increased $369 million, or 8 percent, primarily due to $149 million of lower net cash tax payments and improvements in trade working capital. 2025 free cash flow </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increased $686 million, or 26 percent, due to higher net cash provided by operating activities as well as lower capital expenditures. 2025 capital expenditures totaled 3.5 percent of sales.</w:t>
      </w:r>
    </w:p>
    <w:p>
      <w:pPr>
        <w:spacing w:after="0" w:line="200" w:lineRule="exact"/>
        <w:rPr>
          <w:sz w:val="20"/>
          <w:szCs w:val="20"/>
          <w:color w:val="auto"/>
        </w:rPr>
      </w:pPr>
    </w:p>
    <w:p>
      <w:pPr>
        <w:spacing w:after="0" w:line="360" w:lineRule="exact"/>
        <w:rPr>
          <w:sz w:val="20"/>
          <w:szCs w:val="20"/>
          <w:color w:val="auto"/>
        </w:rPr>
      </w:pPr>
    </w:p>
    <w:p>
      <w:pPr>
        <w:ind w:left="120" w:hanging="94"/>
        <w:spacing w:after="0"/>
        <w:tabs>
          <w:tab w:leader="none" w:pos="120"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Non-GAAP measure - see definitions at the end of this earnings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Northrop Grumman Corporation</w:t>
      </w:r>
    </w:p>
    <w:p>
      <w:pPr>
        <w:jc w:val="center"/>
        <w:ind w:right="-19"/>
        <w:spacing w:after="0" w:line="221" w:lineRule="auto"/>
        <w:rPr>
          <w:sz w:val="20"/>
          <w:szCs w:val="20"/>
          <w:color w:val="auto"/>
        </w:rPr>
      </w:pPr>
      <w:r>
        <w:rPr>
          <w:rFonts w:ascii="Arial" w:cs="Arial" w:eastAsia="Arial" w:hAnsi="Arial"/>
          <w:sz w:val="14"/>
          <w:szCs w:val="14"/>
          <w:color w:val="auto"/>
        </w:rPr>
        <w:t>2980 Fairview Park Drive • Falls Church, VA 22042-4511</w:t>
      </w:r>
    </w:p>
    <w:p>
      <w:pPr>
        <w:jc w:val="center"/>
        <w:ind w:right="-19"/>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20"/>
          </w:cols>
          <w:pgMar w:left="320" w:top="376" w:right="359" w:bottom="1440" w:gutter="0" w:footer="0" w:header="0"/>
        </w:sectPr>
      </w:pPr>
    </w:p>
    <w:bookmarkStart w:id="8" w:name="page9"/>
    <w:bookmarkEnd w:id="8"/>
    <w:tbl>
      <w:tblPr>
        <w:tblLayout w:type="fixed"/>
        <w:tblInd w:w="20" w:type="dxa"/>
        <w:tblCellMar>
          <w:top w:w="0" w:type="dxa"/>
          <w:left w:w="0" w:type="dxa"/>
          <w:bottom w:w="0" w:type="dxa"/>
          <w:right w:w="0" w:type="dxa"/>
        </w:tblCellMar>
      </w:tblPr>
      <w:tr>
        <w:trPr>
          <w:trHeight w:val="250"/>
        </w:trPr>
        <w:tc>
          <w:tcPr>
            <w:tcW w:w="71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8"/>
              </w:rPr>
              <w:t>Northrop Grumman Reports Fourth Quarter and Full-Year 2025 Financial Results</w:t>
            </w:r>
          </w:p>
        </w:tc>
        <w:tc>
          <w:tcPr>
            <w:tcW w:w="4100" w:type="dxa"/>
            <w:vAlign w:val="bottom"/>
            <w:vMerge w:val="restart"/>
          </w:tcPr>
          <w:p>
            <w:pPr>
              <w:jc w:val="right"/>
              <w:spacing w:after="0"/>
              <w:rPr>
                <w:sz w:val="20"/>
                <w:szCs w:val="20"/>
                <w:color w:val="auto"/>
              </w:rPr>
            </w:pPr>
            <w:r>
              <w:rPr>
                <w:rFonts w:ascii="Arial" w:cs="Arial" w:eastAsia="Arial" w:hAnsi="Arial"/>
                <w:sz w:val="22"/>
                <w:szCs w:val="22"/>
                <w:color w:val="auto"/>
              </w:rPr>
              <w:t>6</w:t>
            </w:r>
          </w:p>
        </w:tc>
        <w:tc>
          <w:tcPr>
            <w:tcW w:w="0" w:type="dxa"/>
            <w:vAlign w:val="bottom"/>
          </w:tcPr>
          <w:p>
            <w:pPr>
              <w:spacing w:after="0"/>
              <w:rPr>
                <w:sz w:val="1"/>
                <w:szCs w:val="1"/>
                <w:color w:val="auto"/>
              </w:rPr>
            </w:pPr>
          </w:p>
        </w:tc>
      </w:tr>
      <w:tr>
        <w:trPr>
          <w:trHeight w:val="116"/>
        </w:trPr>
        <w:tc>
          <w:tcPr>
            <w:tcW w:w="7100" w:type="dxa"/>
            <w:vAlign w:val="bottom"/>
          </w:tcPr>
          <w:p>
            <w:pPr>
              <w:spacing w:after="0"/>
              <w:rPr>
                <w:sz w:val="10"/>
                <w:szCs w:val="10"/>
                <w:color w:val="auto"/>
              </w:rPr>
            </w:pPr>
          </w:p>
        </w:tc>
        <w:tc>
          <w:tcPr>
            <w:tcW w:w="4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Awards and Backlog</w:t>
      </w:r>
    </w:p>
    <w:p>
      <w:pPr>
        <w:spacing w:after="0" w:line="39" w:lineRule="exact"/>
        <w:rPr>
          <w:sz w:val="20"/>
          <w:szCs w:val="20"/>
          <w:color w:val="auto"/>
        </w:rPr>
      </w:pPr>
    </w:p>
    <w:p>
      <w:pPr>
        <w:ind w:right="440" w:firstLine="324"/>
        <w:spacing w:after="0" w:line="245" w:lineRule="auto"/>
        <w:rPr>
          <w:sz w:val="20"/>
          <w:szCs w:val="20"/>
          <w:color w:val="auto"/>
        </w:rPr>
      </w:pPr>
      <w:r>
        <w:rPr>
          <w:rFonts w:ascii="Arial" w:cs="Arial" w:eastAsia="Arial" w:hAnsi="Arial"/>
          <w:sz w:val="22"/>
          <w:szCs w:val="22"/>
          <w:color w:val="auto"/>
        </w:rPr>
        <w:t>Fourth quarter 2025 and year to date 2025 net awards totaled $15.9 billion and $46.3 billion, respectively, and backlog totaled $95.7 billion. Significant fourth quarter new awards include $4.0 billion for restricted programs (primarily at Aeronautics Systems, Space Systems and Mission Systems), $1.3 billion for F-35 (at Aeronautics Systems and Mission Systems), $2.5 billion for Graphite Epoxy Motor 63 (GEM 63), $0.9 billion for Virginia Class submarines and $0.8 billion for Space Development Agency (SDA) Tranche 3 Tracking Layer.</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Significant 2025 new awards include $14.8 billion for restricted programs (primarily at Aeronautics Systems,</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Space Systems, and Mission Systems), $3.3 billion for F-35 (at Mission Systems and Aeronautics Systems),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$2.5 billion for GEM 63, $1.8 billion for Ground-based Midcourse Defense Weapon System (GWS), and $1.3 billion</w:t>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for Virginia Class submarines.</w:t>
      </w:r>
    </w:p>
    <w:p>
      <w:pPr>
        <w:spacing w:after="0" w:line="8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Segment Operating Results</w:t>
      </w:r>
    </w:p>
    <w:p>
      <w:pPr>
        <w:spacing w:after="0" w:line="87" w:lineRule="exact"/>
        <w:rPr>
          <w:sz w:val="20"/>
          <w:szCs w:val="20"/>
          <w:color w:val="auto"/>
        </w:rPr>
      </w:pPr>
    </w:p>
    <w:p>
      <w:pPr>
        <w:ind w:right="160" w:firstLine="324"/>
        <w:spacing w:after="0" w:line="264" w:lineRule="auto"/>
        <w:rPr>
          <w:sz w:val="20"/>
          <w:szCs w:val="20"/>
          <w:color w:val="auto"/>
        </w:rPr>
      </w:pPr>
      <w:r>
        <w:rPr>
          <w:rFonts w:ascii="Arial" w:cs="Arial" w:eastAsia="Arial" w:hAnsi="Arial"/>
          <w:sz w:val="22"/>
          <w:szCs w:val="22"/>
          <w:color w:val="auto"/>
        </w:rPr>
        <w:t>Effective January 1, 2025, the company realigned the Strike and Surveillance Aircraft Solutions (SSAS) business unit from Defense Systems to Aeronautics Systems. This realignment is reflected in the financial information contained in this report.</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20" w:type="dxa"/>
            <w:vAlign w:val="bottom"/>
            <w:vMerge w:val="restart"/>
          </w:tcPr>
          <w:p>
            <w:pPr>
              <w:ind w:left="20"/>
              <w:spacing w:after="0"/>
              <w:rPr>
                <w:sz w:val="20"/>
                <w:szCs w:val="20"/>
                <w:color w:val="auto"/>
              </w:rPr>
            </w:pPr>
            <w:r>
              <w:rPr>
                <w:rFonts w:ascii="Arial" w:cs="Arial" w:eastAsia="Arial" w:hAnsi="Arial"/>
                <w:sz w:val="22"/>
                <w:szCs w:val="22"/>
                <w:b w:val="1"/>
                <w:bCs w:val="1"/>
                <w:color w:val="auto"/>
              </w:rPr>
              <w:t>AERONAUTICS SYSTEMS</w:t>
            </w:r>
          </w:p>
        </w:tc>
        <w:tc>
          <w:tcPr>
            <w:tcW w:w="2360" w:type="dxa"/>
            <w:vAlign w:val="bottom"/>
            <w:gridSpan w:val="3"/>
          </w:tcPr>
          <w:p>
            <w:pPr>
              <w:jc w:val="right"/>
              <w:ind w:right="252"/>
              <w:spacing w:after="0"/>
              <w:rPr>
                <w:sz w:val="20"/>
                <w:szCs w:val="20"/>
                <w:color w:val="auto"/>
              </w:rPr>
            </w:pPr>
            <w:r>
              <w:rPr>
                <w:rFonts w:ascii="Arial" w:cs="Arial" w:eastAsia="Arial" w:hAnsi="Arial"/>
                <w:sz w:val="18"/>
                <w:szCs w:val="18"/>
                <w:color w:val="auto"/>
              </w:rPr>
              <w:t>Three Months Ended</w:t>
            </w:r>
          </w:p>
        </w:tc>
        <w:tc>
          <w:tcPr>
            <w:tcW w:w="132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2260" w:type="dxa"/>
            <w:vAlign w:val="bottom"/>
            <w:gridSpan w:val="3"/>
            <w:vMerge w:val="restart"/>
          </w:tcPr>
          <w:p>
            <w:pPr>
              <w:jc w:val="right"/>
              <w:ind w:right="92"/>
              <w:spacing w:after="0"/>
              <w:rPr>
                <w:sz w:val="20"/>
                <w:szCs w:val="20"/>
                <w:color w:val="auto"/>
              </w:rPr>
            </w:pPr>
            <w:r>
              <w:rPr>
                <w:rFonts w:ascii="Arial" w:cs="Arial" w:eastAsia="Arial" w:hAnsi="Arial"/>
                <w:sz w:val="18"/>
                <w:szCs w:val="18"/>
                <w:color w:val="auto"/>
                <w:w w:val="98"/>
              </w:rPr>
              <w:t>Year Ended December 31</w:t>
            </w:r>
          </w:p>
        </w:tc>
        <w:tc>
          <w:tcPr>
            <w:tcW w:w="122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3920" w:type="dxa"/>
            <w:vAlign w:val="bottom"/>
            <w:vMerge w:val="continue"/>
          </w:tcPr>
          <w:p>
            <w:pPr>
              <w:spacing w:after="0"/>
              <w:rPr>
                <w:sz w:val="21"/>
                <w:szCs w:val="21"/>
                <w:color w:val="auto"/>
              </w:rPr>
            </w:pPr>
          </w:p>
        </w:tc>
        <w:tc>
          <w:tcPr>
            <w:tcW w:w="2360" w:type="dxa"/>
            <w:vAlign w:val="bottom"/>
            <w:tcBorders>
              <w:bottom w:val="single" w:sz="8" w:color="auto"/>
            </w:tcBorders>
            <w:gridSpan w:val="3"/>
          </w:tcPr>
          <w:p>
            <w:pPr>
              <w:jc w:val="right"/>
              <w:ind w:right="552"/>
              <w:spacing w:after="0"/>
              <w:rPr>
                <w:sz w:val="20"/>
                <w:szCs w:val="20"/>
                <w:color w:val="auto"/>
              </w:rPr>
            </w:pPr>
            <w:r>
              <w:rPr>
                <w:rFonts w:ascii="Arial" w:cs="Arial" w:eastAsia="Arial" w:hAnsi="Arial"/>
                <w:sz w:val="18"/>
                <w:szCs w:val="18"/>
                <w:color w:val="auto"/>
              </w:rPr>
              <w:t>December 31</w:t>
            </w:r>
          </w:p>
        </w:tc>
        <w:tc>
          <w:tcPr>
            <w:tcW w:w="1320" w:type="dxa"/>
            <w:vAlign w:val="bottom"/>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gridSpan w:val="3"/>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180" w:type="dxa"/>
            <w:vAlign w:val="bottom"/>
            <w:tcBorders>
              <w:bottom w:val="single" w:sz="8" w:color="auto"/>
            </w:tcBorders>
          </w:tcPr>
          <w:p>
            <w:pPr>
              <w:jc w:val="right"/>
              <w:ind w:right="342"/>
              <w:spacing w:after="0"/>
              <w:rPr>
                <w:sz w:val="20"/>
                <w:szCs w:val="20"/>
                <w:color w:val="auto"/>
              </w:rPr>
            </w:pPr>
            <w:r>
              <w:rPr>
                <w:rFonts w:ascii="Arial" w:cs="Arial" w:eastAsia="Arial" w:hAnsi="Arial"/>
                <w:sz w:val="18"/>
                <w:szCs w:val="18"/>
                <w:b w:val="1"/>
                <w:bCs w:val="1"/>
                <w:color w:val="auto"/>
              </w:rPr>
              <w:t>2025</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2024</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Change</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2025</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2024</w:t>
            </w: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180" w:type="dxa"/>
            <w:vAlign w:val="bottom"/>
            <w:shd w:val="clear" w:color="auto" w:fill="CCEEFF"/>
          </w:tcPr>
          <w:p>
            <w:pPr>
              <w:jc w:val="right"/>
              <w:ind w:right="102"/>
              <w:spacing w:after="0"/>
              <w:rPr>
                <w:sz w:val="20"/>
                <w:szCs w:val="20"/>
                <w:color w:val="auto"/>
              </w:rPr>
            </w:pPr>
            <w:r>
              <w:rPr>
                <w:rFonts w:ascii="Arial" w:cs="Arial" w:eastAsia="Arial" w:hAnsi="Arial"/>
                <w:sz w:val="18"/>
                <w:szCs w:val="18"/>
                <w:b w:val="1"/>
                <w:bCs w:val="1"/>
                <w:color w:val="auto"/>
              </w:rPr>
              <w:t>$3,922</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3,331</w:t>
            </w:r>
          </w:p>
        </w:tc>
        <w:tc>
          <w:tcPr>
            <w:tcW w:w="1480" w:type="dxa"/>
            <w:vAlign w:val="bottom"/>
            <w:gridSpan w:val="2"/>
            <w:shd w:val="clear" w:color="auto" w:fill="CCEEFF"/>
          </w:tcPr>
          <w:p>
            <w:pPr>
              <w:ind w:left="780"/>
              <w:spacing w:after="0"/>
              <w:rPr>
                <w:sz w:val="20"/>
                <w:szCs w:val="20"/>
                <w:color w:val="auto"/>
              </w:rPr>
            </w:pPr>
            <w:r>
              <w:rPr>
                <w:rFonts w:ascii="Arial" w:cs="Arial" w:eastAsia="Arial" w:hAnsi="Arial"/>
                <w:sz w:val="18"/>
                <w:szCs w:val="18"/>
                <w:b w:val="1"/>
                <w:bCs w:val="1"/>
                <w:color w:val="auto"/>
              </w:rPr>
              <w:t>18 %  $</w:t>
            </w: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12,992</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12,396</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5 %</w:t>
            </w:r>
          </w:p>
        </w:tc>
        <w:tc>
          <w:tcPr>
            <w:tcW w:w="0" w:type="dxa"/>
            <w:vAlign w:val="bottom"/>
          </w:tcPr>
          <w:p>
            <w:pPr>
              <w:spacing w:after="0"/>
              <w:rPr>
                <w:sz w:val="1"/>
                <w:szCs w:val="1"/>
                <w:color w:val="auto"/>
              </w:rPr>
            </w:pP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180" w:type="dxa"/>
            <w:vAlign w:val="bottom"/>
          </w:tcPr>
          <w:p>
            <w:pPr>
              <w:jc w:val="right"/>
              <w:ind w:right="102"/>
              <w:spacing w:after="0"/>
              <w:rPr>
                <w:sz w:val="20"/>
                <w:szCs w:val="20"/>
                <w:color w:val="auto"/>
              </w:rPr>
            </w:pPr>
            <w:r>
              <w:rPr>
                <w:rFonts w:ascii="Arial" w:cs="Arial" w:eastAsia="Arial" w:hAnsi="Arial"/>
                <w:sz w:val="18"/>
                <w:szCs w:val="18"/>
                <w:b w:val="1"/>
                <w:bCs w:val="1"/>
                <w:color w:val="auto"/>
              </w:rPr>
              <w:t>370</w:t>
            </w:r>
          </w:p>
        </w:tc>
        <w:tc>
          <w:tcPr>
            <w:tcW w:w="300" w:type="dxa"/>
            <w:vAlign w:val="bottom"/>
          </w:tcPr>
          <w:p>
            <w:pPr>
              <w:spacing w:after="0"/>
              <w:rPr>
                <w:sz w:val="19"/>
                <w:szCs w:val="19"/>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309</w:t>
            </w:r>
          </w:p>
        </w:tc>
        <w:tc>
          <w:tcPr>
            <w:tcW w:w="1320" w:type="dxa"/>
            <w:vAlign w:val="bottom"/>
          </w:tcPr>
          <w:p>
            <w:pPr>
              <w:ind w:left="780"/>
              <w:spacing w:after="0"/>
              <w:rPr>
                <w:sz w:val="20"/>
                <w:szCs w:val="20"/>
                <w:color w:val="auto"/>
              </w:rPr>
            </w:pPr>
            <w:r>
              <w:rPr>
                <w:rFonts w:ascii="Arial" w:cs="Arial" w:eastAsia="Arial" w:hAnsi="Arial"/>
                <w:sz w:val="18"/>
                <w:szCs w:val="18"/>
                <w:b w:val="1"/>
                <w:bCs w:val="1"/>
                <w:color w:val="auto"/>
              </w:rPr>
              <w:t>20 %</w:t>
            </w:r>
          </w:p>
        </w:tc>
        <w:tc>
          <w:tcPr>
            <w:tcW w:w="160" w:type="dxa"/>
            <w:vAlign w:val="bottom"/>
          </w:tcPr>
          <w:p>
            <w:pPr>
              <w:spacing w:after="0"/>
              <w:rPr>
                <w:sz w:val="19"/>
                <w:szCs w:val="19"/>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b w:val="1"/>
                <w:bCs w:val="1"/>
                <w:color w:val="auto"/>
              </w:rPr>
              <w:t>813</w:t>
            </w:r>
          </w:p>
        </w:tc>
        <w:tc>
          <w:tcPr>
            <w:tcW w:w="280" w:type="dxa"/>
            <w:vAlign w:val="bottom"/>
          </w:tcPr>
          <w:p>
            <w:pPr>
              <w:spacing w:after="0"/>
              <w:rPr>
                <w:sz w:val="19"/>
                <w:szCs w:val="19"/>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1,236</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Operating margin rate</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i w:val="1"/>
                <w:iCs w:val="1"/>
                <w:color w:val="auto"/>
              </w:rPr>
              <w:t>9.4 %</w:t>
            </w: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9.3 %</w:t>
            </w:r>
          </w:p>
        </w:tc>
        <w:tc>
          <w:tcPr>
            <w:tcW w:w="13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6.3 %</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10.0 %</w:t>
            </w:r>
          </w:p>
        </w:tc>
        <w:tc>
          <w:tcPr>
            <w:tcW w:w="12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Sales</w:t>
      </w:r>
    </w:p>
    <w:p>
      <w:pPr>
        <w:spacing w:after="0" w:line="26" w:lineRule="exact"/>
        <w:rPr>
          <w:sz w:val="20"/>
          <w:szCs w:val="20"/>
          <w:color w:val="auto"/>
        </w:rPr>
      </w:pPr>
    </w:p>
    <w:p>
      <w:pPr>
        <w:ind w:left="340"/>
        <w:spacing w:after="0"/>
        <w:rPr>
          <w:sz w:val="20"/>
          <w:szCs w:val="20"/>
          <w:color w:val="auto"/>
        </w:rPr>
      </w:pPr>
      <w:r>
        <w:rPr>
          <w:rFonts w:ascii="Arial" w:cs="Arial" w:eastAsia="Arial" w:hAnsi="Arial"/>
          <w:sz w:val="21"/>
          <w:szCs w:val="21"/>
          <w:color w:val="auto"/>
        </w:rPr>
        <w:t>Fourth quarter 2025 sales increased $591 million, or 18 percent, primarily due to a $274 million increase on the F-</w:t>
      </w:r>
    </w:p>
    <w:p>
      <w:pPr>
        <w:spacing w:after="0" w:line="15" w:lineRule="exact"/>
        <w:rPr>
          <w:sz w:val="20"/>
          <w:szCs w:val="20"/>
          <w:color w:val="auto"/>
        </w:rPr>
      </w:pPr>
    </w:p>
    <w:p>
      <w:pPr>
        <w:ind w:right="840"/>
        <w:spacing w:after="0" w:line="253" w:lineRule="auto"/>
        <w:rPr>
          <w:sz w:val="20"/>
          <w:szCs w:val="20"/>
          <w:color w:val="auto"/>
        </w:rPr>
      </w:pPr>
      <w:r>
        <w:rPr>
          <w:rFonts w:ascii="Arial" w:cs="Arial" w:eastAsia="Arial" w:hAnsi="Arial"/>
          <w:sz w:val="22"/>
          <w:szCs w:val="22"/>
          <w:color w:val="auto"/>
        </w:rPr>
        <w:t>35 program largely driven by materials volume, a $153 million increase on the E-130J TACAMO (“TACAMO”) program as it ramps up, and higher volume on the B-21 and E-2 programs.</w:t>
      </w:r>
    </w:p>
    <w:p>
      <w:pPr>
        <w:spacing w:after="0" w:line="54" w:lineRule="exact"/>
        <w:rPr>
          <w:sz w:val="20"/>
          <w:szCs w:val="20"/>
          <w:color w:val="auto"/>
        </w:rPr>
      </w:pPr>
    </w:p>
    <w:p>
      <w:pPr>
        <w:ind w:right="80" w:firstLine="324"/>
        <w:spacing w:after="0" w:line="257" w:lineRule="auto"/>
        <w:rPr>
          <w:sz w:val="20"/>
          <w:szCs w:val="20"/>
          <w:color w:val="auto"/>
        </w:rPr>
      </w:pPr>
      <w:r>
        <w:rPr>
          <w:rFonts w:ascii="Arial" w:cs="Arial" w:eastAsia="Arial" w:hAnsi="Arial"/>
          <w:sz w:val="22"/>
          <w:szCs w:val="22"/>
          <w:color w:val="auto"/>
        </w:rPr>
        <w:t>2025 sales increased $596 million, or 5 percent, primarily due to a $385 million increase on F-35 largely driven by material volume, a $379 million increase on TACAMO as that program ramps, and higher volume on the E-2 and B-21 programs. These increases were partially offset by lower sales on other restricted programs and a $106 million decrease on F/A-18 as final production deliveries were completed.</w:t>
      </w:r>
    </w:p>
    <w:p>
      <w:pPr>
        <w:spacing w:after="0" w:line="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Income</w:t>
      </w:r>
    </w:p>
    <w:p>
      <w:pPr>
        <w:spacing w:after="0" w:line="26" w:lineRule="exact"/>
        <w:rPr>
          <w:sz w:val="20"/>
          <w:szCs w:val="20"/>
          <w:color w:val="auto"/>
        </w:rPr>
      </w:pPr>
    </w:p>
    <w:p>
      <w:pPr>
        <w:ind w:right="140" w:firstLine="324"/>
        <w:spacing w:after="0" w:line="265" w:lineRule="auto"/>
        <w:rPr>
          <w:sz w:val="20"/>
          <w:szCs w:val="20"/>
          <w:color w:val="auto"/>
        </w:rPr>
      </w:pPr>
      <w:r>
        <w:rPr>
          <w:rFonts w:ascii="Arial" w:cs="Arial" w:eastAsia="Arial" w:hAnsi="Arial"/>
          <w:sz w:val="21"/>
          <w:szCs w:val="21"/>
          <w:color w:val="auto"/>
        </w:rPr>
        <w:t>Fourth quarter 2025 operating income increased $61 million, or 20 percent, primarily due to higher sales. Operating margin rate of 9.4 percent was comparable to the prior year. Each of the fourth quarters in 2025 and 2024 include operating margin rate impacts from higher B-21 sales related to the exercise of LRIP contract options.</w:t>
      </w:r>
    </w:p>
    <w:p>
      <w:pPr>
        <w:spacing w:after="0" w:line="44" w:lineRule="exact"/>
        <w:rPr>
          <w:sz w:val="20"/>
          <w:szCs w:val="20"/>
          <w:color w:val="auto"/>
        </w:rPr>
      </w:pPr>
    </w:p>
    <w:p>
      <w:pPr>
        <w:jc w:val="both"/>
        <w:ind w:right="60" w:firstLine="324"/>
        <w:spacing w:after="0" w:line="257" w:lineRule="auto"/>
        <w:rPr>
          <w:sz w:val="20"/>
          <w:szCs w:val="20"/>
          <w:color w:val="auto"/>
        </w:rPr>
      </w:pPr>
      <w:r>
        <w:rPr>
          <w:rFonts w:ascii="Arial" w:cs="Arial" w:eastAsia="Arial" w:hAnsi="Arial"/>
          <w:sz w:val="22"/>
          <w:szCs w:val="22"/>
          <w:color w:val="auto"/>
        </w:rPr>
        <w:t>2025 operating income decreased $423 million and operating margin rate decreased to 6.3 percent primarily due to a $477 million loss provision recorded on the LRIP phase of the B-21 program in the first quarter of 2025. This was partially offset by higher net EAC adjustments across the portfolio.</w:t>
      </w:r>
    </w:p>
    <w:p>
      <w:pPr>
        <w:spacing w:after="0" w:line="200" w:lineRule="exact"/>
        <w:rPr>
          <w:sz w:val="20"/>
          <w:szCs w:val="20"/>
          <w:color w:val="auto"/>
        </w:rPr>
      </w:pPr>
    </w:p>
    <w:p>
      <w:pPr>
        <w:spacing w:after="0" w:line="353" w:lineRule="exact"/>
        <w:rPr>
          <w:sz w:val="20"/>
          <w:szCs w:val="20"/>
          <w:color w:val="auto"/>
        </w:rPr>
      </w:pPr>
    </w:p>
    <w:p>
      <w:pPr>
        <w:ind w:left="120" w:hanging="94"/>
        <w:spacing w:after="0"/>
        <w:tabs>
          <w:tab w:leader="none" w:pos="120"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Non-GAAP measure - see definitions at the end of this earnings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b w:val="1"/>
          <w:bCs w:val="1"/>
          <w:color w:val="auto"/>
        </w:rPr>
        <w:t>Northrop Grumman Corporation</w:t>
      </w:r>
    </w:p>
    <w:p>
      <w:pPr>
        <w:jc w:val="center"/>
        <w:spacing w:after="0" w:line="221" w:lineRule="auto"/>
        <w:rPr>
          <w:sz w:val="20"/>
          <w:szCs w:val="20"/>
          <w:color w:val="auto"/>
        </w:rPr>
      </w:pPr>
      <w:r>
        <w:rPr>
          <w:rFonts w:ascii="Arial" w:cs="Arial" w:eastAsia="Arial" w:hAnsi="Arial"/>
          <w:sz w:val="14"/>
          <w:szCs w:val="14"/>
          <w:color w:val="auto"/>
        </w:rPr>
        <w:t>2980 Fairview Park Drive • Falls Church, VA 22042-4511</w:t>
      </w:r>
    </w:p>
    <w:p>
      <w:pPr>
        <w:jc w:val="center"/>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40"/>
          </w:cols>
          <w:pgMar w:left="320" w:top="376"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7100" w:type="dxa"/>
            <w:vAlign w:val="bottom"/>
            <w:tcBorders>
              <w:bottom w:val="single" w:sz="8" w:color="auto"/>
            </w:tcBorders>
            <w:gridSpan w:val="6"/>
          </w:tcPr>
          <w:p>
            <w:pPr>
              <w:spacing w:after="0"/>
              <w:rPr>
                <w:sz w:val="20"/>
                <w:szCs w:val="20"/>
                <w:color w:val="auto"/>
              </w:rPr>
            </w:pPr>
            <w:r>
              <w:rPr>
                <w:rFonts w:ascii="Arial" w:cs="Arial" w:eastAsia="Arial" w:hAnsi="Arial"/>
                <w:sz w:val="20"/>
                <w:szCs w:val="20"/>
                <w:color w:val="auto"/>
                <w:w w:val="98"/>
              </w:rPr>
              <w:t>Northrop Grumman Reports Fourth Quarter and Full-Year 2025 Financial Results</w:t>
            </w:r>
          </w:p>
        </w:tc>
        <w:tc>
          <w:tcPr>
            <w:tcW w:w="500" w:type="dxa"/>
            <w:vAlign w:val="bottom"/>
            <w:vMerge w:val="restart"/>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vMerge w:val="restart"/>
          </w:tcPr>
          <w:p>
            <w:pPr>
              <w:jc w:val="right"/>
              <w:spacing w:after="0"/>
              <w:rPr>
                <w:sz w:val="20"/>
                <w:szCs w:val="20"/>
                <w:color w:val="auto"/>
              </w:rPr>
            </w:pPr>
            <w:r>
              <w:rPr>
                <w:rFonts w:ascii="Arial" w:cs="Arial" w:eastAsia="Arial" w:hAnsi="Arial"/>
                <w:sz w:val="22"/>
                <w:szCs w:val="22"/>
                <w:color w:val="auto"/>
              </w:rPr>
              <w:t>7</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100" w:type="dxa"/>
            <w:vAlign w:val="bottom"/>
            <w:gridSpan w:val="6"/>
          </w:tcPr>
          <w:p>
            <w:pPr>
              <w:spacing w:after="0"/>
              <w:rPr>
                <w:sz w:val="10"/>
                <w:szCs w:val="10"/>
                <w:color w:val="auto"/>
              </w:rPr>
            </w:pPr>
          </w:p>
        </w:tc>
        <w:tc>
          <w:tcPr>
            <w:tcW w:w="5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0"/>
        </w:trPr>
        <w:tc>
          <w:tcPr>
            <w:tcW w:w="20" w:type="dxa"/>
            <w:vAlign w:val="bottom"/>
          </w:tcPr>
          <w:p>
            <w:pPr>
              <w:spacing w:after="0"/>
              <w:rPr>
                <w:sz w:val="24"/>
                <w:szCs w:val="24"/>
                <w:color w:val="auto"/>
              </w:rPr>
            </w:pPr>
          </w:p>
        </w:tc>
        <w:tc>
          <w:tcPr>
            <w:tcW w:w="3880" w:type="dxa"/>
            <w:vAlign w:val="bottom"/>
            <w:vMerge w:val="restart"/>
          </w:tcPr>
          <w:p>
            <w:pPr>
              <w:spacing w:after="0"/>
              <w:rPr>
                <w:sz w:val="20"/>
                <w:szCs w:val="20"/>
                <w:color w:val="auto"/>
              </w:rPr>
            </w:pPr>
            <w:r>
              <w:rPr>
                <w:rFonts w:ascii="Arial" w:cs="Arial" w:eastAsia="Arial" w:hAnsi="Arial"/>
                <w:sz w:val="22"/>
                <w:szCs w:val="22"/>
                <w:b w:val="1"/>
                <w:bCs w:val="1"/>
                <w:color w:val="auto"/>
              </w:rPr>
              <w:t>DEFENSE SYSTEMS</w:t>
            </w:r>
          </w:p>
        </w:tc>
        <w:tc>
          <w:tcPr>
            <w:tcW w:w="220" w:type="dxa"/>
            <w:vAlign w:val="bottom"/>
          </w:tcPr>
          <w:p>
            <w:pPr>
              <w:spacing w:after="0"/>
              <w:rPr>
                <w:sz w:val="24"/>
                <w:szCs w:val="24"/>
                <w:color w:val="auto"/>
              </w:rPr>
            </w:pPr>
          </w:p>
        </w:tc>
        <w:tc>
          <w:tcPr>
            <w:tcW w:w="2160" w:type="dxa"/>
            <w:vAlign w:val="bottom"/>
            <w:gridSpan w:val="3"/>
          </w:tcPr>
          <w:p>
            <w:pPr>
              <w:jc w:val="right"/>
              <w:ind w:right="272"/>
              <w:spacing w:after="0"/>
              <w:rPr>
                <w:sz w:val="20"/>
                <w:szCs w:val="20"/>
                <w:color w:val="auto"/>
              </w:rPr>
            </w:pPr>
            <w:r>
              <w:rPr>
                <w:rFonts w:ascii="Arial" w:cs="Arial" w:eastAsia="Arial" w:hAnsi="Arial"/>
                <w:sz w:val="18"/>
                <w:szCs w:val="18"/>
                <w:color w:val="auto"/>
              </w:rPr>
              <w:t>Three Months Ended</w:t>
            </w:r>
          </w:p>
        </w:tc>
        <w:tc>
          <w:tcPr>
            <w:tcW w:w="8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gridSpan w:val="3"/>
            <w:vMerge w:val="restart"/>
          </w:tcPr>
          <w:p>
            <w:pPr>
              <w:jc w:val="right"/>
              <w:ind w:right="72"/>
              <w:spacing w:after="0"/>
              <w:rPr>
                <w:sz w:val="20"/>
                <w:szCs w:val="20"/>
                <w:color w:val="auto"/>
              </w:rPr>
            </w:pPr>
            <w:r>
              <w:rPr>
                <w:rFonts w:ascii="Arial" w:cs="Arial" w:eastAsia="Arial" w:hAnsi="Arial"/>
                <w:sz w:val="18"/>
                <w:szCs w:val="18"/>
                <w:color w:val="auto"/>
                <w:w w:val="98"/>
              </w:rPr>
              <w:t>Year Ended December 31</w:t>
            </w:r>
          </w:p>
        </w:tc>
        <w:tc>
          <w:tcPr>
            <w:tcW w:w="1240" w:type="dxa"/>
            <w:vAlign w:val="bottom"/>
            <w:vMerge w:val="restart"/>
          </w:tcPr>
          <w:p>
            <w:pPr>
              <w:jc w:val="right"/>
              <w:ind w:right="387"/>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80" w:type="dxa"/>
            <w:vAlign w:val="bottom"/>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December 31</w:t>
            </w:r>
          </w:p>
        </w:tc>
        <w:tc>
          <w:tcPr>
            <w:tcW w:w="620" w:type="dxa"/>
            <w:vAlign w:val="bottom"/>
            <w:tcBorders>
              <w:bottom w:val="single" w:sz="8" w:color="auto"/>
            </w:tcBorders>
          </w:tcPr>
          <w:p>
            <w:pPr>
              <w:spacing w:after="0"/>
              <w:rPr>
                <w:sz w:val="21"/>
                <w:szCs w:val="21"/>
                <w:color w:val="auto"/>
              </w:rPr>
            </w:pPr>
          </w:p>
        </w:tc>
        <w:tc>
          <w:tcPr>
            <w:tcW w:w="840" w:type="dxa"/>
            <w:vAlign w:val="bottom"/>
            <w:vMerge w:val="continue"/>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3"/>
            <w:vMerge w:val="continue"/>
          </w:tcPr>
          <w:p>
            <w:pPr>
              <w:spacing w:after="0"/>
              <w:rPr>
                <w:sz w:val="21"/>
                <w:szCs w:val="21"/>
                <w:color w:val="auto"/>
              </w:rPr>
            </w:pPr>
          </w:p>
        </w:tc>
        <w:tc>
          <w:tcPr>
            <w:tcW w:w="1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2025</w:t>
            </w:r>
          </w:p>
        </w:tc>
        <w:tc>
          <w:tcPr>
            <w:tcW w:w="1200" w:type="dxa"/>
            <w:vAlign w:val="bottom"/>
            <w:tcBorders>
              <w:bottom w:val="single" w:sz="8" w:color="auto"/>
            </w:tcBorders>
            <w:gridSpan w:val="2"/>
          </w:tcPr>
          <w:p>
            <w:pPr>
              <w:jc w:val="right"/>
              <w:ind w:right="292"/>
              <w:spacing w:after="0"/>
              <w:rPr>
                <w:sz w:val="20"/>
                <w:szCs w:val="20"/>
                <w:color w:val="auto"/>
              </w:rPr>
            </w:pPr>
            <w:r>
              <w:rPr>
                <w:rFonts w:ascii="Arial" w:cs="Arial" w:eastAsia="Arial" w:hAnsi="Arial"/>
                <w:sz w:val="18"/>
                <w:szCs w:val="18"/>
                <w:color w:val="auto"/>
              </w:rPr>
              <w:t>2024</w:t>
            </w: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Change</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2025</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2024</w:t>
            </w:r>
          </w:p>
        </w:tc>
        <w:tc>
          <w:tcPr>
            <w:tcW w:w="1240" w:type="dxa"/>
            <w:vAlign w:val="bottom"/>
            <w:tcBorders>
              <w:bottom w:val="single" w:sz="8" w:color="auto"/>
            </w:tcBorders>
          </w:tcPr>
          <w:p>
            <w:pPr>
              <w:jc w:val="right"/>
              <w:ind w:right="147"/>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2,147</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2,003</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7 %</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8,002</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7,399</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8 %</w:t>
            </w:r>
          </w:p>
        </w:tc>
        <w:tc>
          <w:tcPr>
            <w:tcW w:w="0" w:type="dxa"/>
            <w:vAlign w:val="bottom"/>
          </w:tcPr>
          <w:p>
            <w:pPr>
              <w:spacing w:after="0"/>
              <w:rPr>
                <w:sz w:val="1"/>
                <w:szCs w:val="1"/>
                <w:color w:val="auto"/>
              </w:rPr>
            </w:pPr>
          </w:p>
        </w:tc>
      </w:tr>
      <w:tr>
        <w:trPr>
          <w:trHeight w:val="229"/>
        </w:trPr>
        <w:tc>
          <w:tcPr>
            <w:tcW w:w="20" w:type="dxa"/>
            <w:vAlign w:val="bottom"/>
            <w:tcBorders>
              <w:bottom w:val="single" w:sz="8" w:color="auto"/>
            </w:tcBorders>
          </w:tcPr>
          <w:p>
            <w:pPr>
              <w:spacing w:after="0"/>
              <w:rPr>
                <w:sz w:val="19"/>
                <w:szCs w:val="19"/>
                <w:color w:val="auto"/>
              </w:rPr>
            </w:pPr>
          </w:p>
        </w:tc>
        <w:tc>
          <w:tcPr>
            <w:tcW w:w="38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Less: Training services sales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(78)</w:t>
            </w:r>
          </w:p>
        </w:tc>
        <w:tc>
          <w:tcPr>
            <w:tcW w:w="8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(112)</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(304)</w:t>
            </w: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shd w:val="clear" w:color="auto" w:fill="CCEEFF"/>
          </w:tcPr>
          <w:p>
            <w:pPr>
              <w:spacing w:after="0"/>
              <w:rPr>
                <w:sz w:val="19"/>
                <w:szCs w:val="19"/>
                <w:color w:val="auto"/>
              </w:rPr>
            </w:pPr>
          </w:p>
        </w:tc>
        <w:tc>
          <w:tcPr>
            <w:tcW w:w="3880" w:type="dxa"/>
            <w:vAlign w:val="bottom"/>
            <w:tcBorders>
              <w:bottom w:val="single" w:sz="8" w:color="auto"/>
            </w:tcBorders>
            <w:shd w:val="clear" w:color="auto" w:fill="CCEEFF"/>
          </w:tcPr>
          <w:p>
            <w:pPr>
              <w:spacing w:after="0" w:line="223" w:lineRule="exact"/>
              <w:rPr>
                <w:sz w:val="20"/>
                <w:szCs w:val="20"/>
                <w:color w:val="auto"/>
              </w:rPr>
            </w:pPr>
            <w:r>
              <w:rPr>
                <w:rFonts w:ascii="Arial" w:cs="Arial" w:eastAsia="Arial" w:hAnsi="Arial"/>
                <w:sz w:val="18"/>
                <w:szCs w:val="18"/>
                <w:color w:val="auto"/>
              </w:rPr>
              <w:t>Organic sales</w:t>
            </w:r>
            <w:r>
              <w:rPr>
                <w:rFonts w:ascii="Arial" w:cs="Arial" w:eastAsia="Arial" w:hAnsi="Arial"/>
                <w:sz w:val="23"/>
                <w:szCs w:val="23"/>
                <w:color w:val="auto"/>
                <w:vertAlign w:val="superscript"/>
              </w:rPr>
              <w:t>1</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2,147</w:t>
            </w:r>
          </w:p>
        </w:tc>
        <w:tc>
          <w:tcPr>
            <w:tcW w:w="5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1,925</w:t>
            </w:r>
          </w:p>
        </w:tc>
        <w:tc>
          <w:tcPr>
            <w:tcW w:w="13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12 %</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7,890</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7,095</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11 %</w:t>
            </w:r>
          </w:p>
        </w:tc>
        <w:tc>
          <w:tcPr>
            <w:tcW w:w="0" w:type="dxa"/>
            <w:vAlign w:val="bottom"/>
          </w:tcPr>
          <w:p>
            <w:pPr>
              <w:spacing w:after="0"/>
              <w:rPr>
                <w:sz w:val="1"/>
                <w:szCs w:val="1"/>
                <w:color w:val="auto"/>
              </w:rPr>
            </w:pPr>
          </w:p>
        </w:tc>
      </w:tr>
      <w:tr>
        <w:trPr>
          <w:trHeight w:val="128"/>
        </w:trPr>
        <w:tc>
          <w:tcPr>
            <w:tcW w:w="20" w:type="dxa"/>
            <w:vAlign w:val="bottom"/>
            <w:tcBorders>
              <w:bottom w:val="single" w:sz="8" w:color="auto"/>
            </w:tcBorders>
          </w:tcPr>
          <w:p>
            <w:pPr>
              <w:spacing w:after="0"/>
              <w:rPr>
                <w:sz w:val="11"/>
                <w:szCs w:val="11"/>
                <w:color w:val="auto"/>
              </w:rPr>
            </w:pPr>
          </w:p>
        </w:tc>
        <w:tc>
          <w:tcPr>
            <w:tcW w:w="38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Operating income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205</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209</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871</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716</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22 %</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Operating margin rate</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i w:val="1"/>
                <w:iCs w:val="1"/>
                <w:color w:val="auto"/>
              </w:rPr>
              <w:t>9.5 %</w:t>
            </w:r>
          </w:p>
        </w:tc>
        <w:tc>
          <w:tcPr>
            <w:tcW w:w="5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i w:val="1"/>
                <w:iCs w:val="1"/>
                <w:color w:val="auto"/>
              </w:rPr>
              <w:t>10.4 %</w:t>
            </w:r>
          </w:p>
        </w:tc>
        <w:tc>
          <w:tcPr>
            <w:tcW w:w="8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i w:val="1"/>
                <w:iCs w:val="1"/>
                <w:color w:val="auto"/>
              </w:rPr>
              <w:t>10.9 %</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i w:val="1"/>
                <w:iCs w:val="1"/>
                <w:color w:val="auto"/>
              </w:rPr>
              <w:t>9.7 %</w:t>
            </w: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Sales</w:t>
      </w:r>
    </w:p>
    <w:p>
      <w:pPr>
        <w:spacing w:after="0" w:line="26" w:lineRule="exact"/>
        <w:rPr>
          <w:sz w:val="20"/>
          <w:szCs w:val="20"/>
          <w:color w:val="auto"/>
        </w:rPr>
      </w:pPr>
    </w:p>
    <w:p>
      <w:pPr>
        <w:ind w:right="40" w:firstLine="324"/>
        <w:spacing w:after="0" w:line="249" w:lineRule="auto"/>
        <w:rPr>
          <w:sz w:val="20"/>
          <w:szCs w:val="20"/>
          <w:color w:val="auto"/>
        </w:rPr>
      </w:pPr>
      <w:r>
        <w:rPr>
          <w:rFonts w:ascii="Arial" w:cs="Arial" w:eastAsia="Arial" w:hAnsi="Arial"/>
          <w:sz w:val="22"/>
          <w:szCs w:val="22"/>
          <w:color w:val="auto"/>
        </w:rPr>
        <w:t>Fourth quarter 2025 sales increased $144 million, or 7 percent, primarily due to higher volume due to the timing of materials on the Guided Multiple Launch Rocket System (GMLRS), increased volume from new awards across the Integrated Battle Command System (IBCS) program portfolio, higher volume on Sentinel as that program continues to ramp, and higher volume on armament programs, including military ammunition programs. These increases were partially offset by a reduction in sales related to the divested training services business.</w:t>
      </w:r>
    </w:p>
    <w:p>
      <w:pPr>
        <w:spacing w:after="0" w:line="58" w:lineRule="exact"/>
        <w:rPr>
          <w:sz w:val="20"/>
          <w:szCs w:val="20"/>
          <w:color w:val="auto"/>
        </w:rPr>
      </w:pPr>
    </w:p>
    <w:p>
      <w:pPr>
        <w:ind w:right="100" w:firstLine="324"/>
        <w:spacing w:after="0" w:line="253" w:lineRule="auto"/>
        <w:rPr>
          <w:sz w:val="20"/>
          <w:szCs w:val="20"/>
          <w:color w:val="auto"/>
        </w:rPr>
      </w:pPr>
      <w:r>
        <w:rPr>
          <w:rFonts w:ascii="Arial" w:cs="Arial" w:eastAsia="Arial" w:hAnsi="Arial"/>
          <w:sz w:val="22"/>
          <w:szCs w:val="22"/>
          <w:color w:val="auto"/>
        </w:rPr>
        <w:t>2025 sales increased $603 million, or 8 percent, primarily due to a $224 million increase on Sentinel as that program continues to ramp, a $185 million increase on armament programs, including military ammunition programs, a $153 million increase in sales from new awards across the IBCS program portfolio, and higher volume due to material timing on the GMLRS program. These increases were partially offset by a $192 million reduction in sales related to the divested training services business.</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Income</w:t>
      </w:r>
    </w:p>
    <w:p>
      <w:pPr>
        <w:spacing w:after="0" w:line="26" w:lineRule="exact"/>
        <w:rPr>
          <w:sz w:val="20"/>
          <w:szCs w:val="20"/>
          <w:color w:val="auto"/>
        </w:rPr>
      </w:pPr>
    </w:p>
    <w:p>
      <w:pPr>
        <w:jc w:val="both"/>
        <w:ind w:right="280" w:firstLine="324"/>
        <w:spacing w:after="0" w:line="248" w:lineRule="auto"/>
        <w:rPr>
          <w:sz w:val="20"/>
          <w:szCs w:val="20"/>
          <w:color w:val="auto"/>
        </w:rPr>
      </w:pPr>
      <w:r>
        <w:rPr>
          <w:rFonts w:ascii="Arial" w:cs="Arial" w:eastAsia="Arial" w:hAnsi="Arial"/>
          <w:sz w:val="22"/>
          <w:szCs w:val="22"/>
          <w:color w:val="auto"/>
        </w:rPr>
        <w:t>Fourth quarter 2025 operating income decreased $4 million, or 2 percent, due to a lower operating margin rate, partially offset by higher sales. Operating margin rate decreased to 9.5 percent from 10.4 percent principally due to lower net EAC adjustments.</w:t>
      </w:r>
    </w:p>
    <w:p>
      <w:pPr>
        <w:spacing w:after="0" w:line="60" w:lineRule="exact"/>
        <w:rPr>
          <w:sz w:val="20"/>
          <w:szCs w:val="20"/>
          <w:color w:val="auto"/>
        </w:rPr>
      </w:pPr>
    </w:p>
    <w:p>
      <w:pPr>
        <w:ind w:right="40" w:firstLine="324"/>
        <w:spacing w:after="0" w:line="275" w:lineRule="auto"/>
        <w:rPr>
          <w:sz w:val="20"/>
          <w:szCs w:val="20"/>
          <w:color w:val="auto"/>
        </w:rPr>
      </w:pPr>
      <w:r>
        <w:rPr>
          <w:rFonts w:ascii="Arial" w:cs="Arial" w:eastAsia="Arial" w:hAnsi="Arial"/>
          <w:sz w:val="21"/>
          <w:szCs w:val="21"/>
          <w:color w:val="auto"/>
        </w:rPr>
        <w:t>2025 operating income increased $155 million, or 22 percent, due to a higher operating margin rate and higher sales. Operating margin rate increased to 10.9 percent from 9.7 percent primarily due to higher net EAC adjustments, including a $76 million favorable EAC adjustment on the Sentinel program during the second quarter of 2025.</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vMerge w:val="restart"/>
          </w:tcPr>
          <w:p>
            <w:pPr>
              <w:ind w:left="20"/>
              <w:spacing w:after="0"/>
              <w:rPr>
                <w:sz w:val="20"/>
                <w:szCs w:val="20"/>
                <w:color w:val="auto"/>
              </w:rPr>
            </w:pPr>
            <w:r>
              <w:rPr>
                <w:rFonts w:ascii="Arial" w:cs="Arial" w:eastAsia="Arial" w:hAnsi="Arial"/>
                <w:sz w:val="22"/>
                <w:szCs w:val="22"/>
                <w:b w:val="1"/>
                <w:bCs w:val="1"/>
                <w:color w:val="auto"/>
              </w:rPr>
              <w:t>MISSION SYSTEMS</w:t>
            </w:r>
          </w:p>
        </w:tc>
        <w:tc>
          <w:tcPr>
            <w:tcW w:w="220" w:type="dxa"/>
            <w:vAlign w:val="bottom"/>
          </w:tcPr>
          <w:p>
            <w:pPr>
              <w:spacing w:after="0"/>
              <w:rPr>
                <w:sz w:val="18"/>
                <w:szCs w:val="18"/>
                <w:color w:val="auto"/>
              </w:rPr>
            </w:pPr>
          </w:p>
        </w:tc>
        <w:tc>
          <w:tcPr>
            <w:tcW w:w="2160" w:type="dxa"/>
            <w:vAlign w:val="bottom"/>
            <w:gridSpan w:val="3"/>
          </w:tcPr>
          <w:p>
            <w:pPr>
              <w:jc w:val="right"/>
              <w:ind w:right="272"/>
              <w:spacing w:after="0"/>
              <w:rPr>
                <w:sz w:val="20"/>
                <w:szCs w:val="20"/>
                <w:color w:val="auto"/>
              </w:rPr>
            </w:pPr>
            <w:r>
              <w:rPr>
                <w:rFonts w:ascii="Arial" w:cs="Arial" w:eastAsia="Arial" w:hAnsi="Arial"/>
                <w:sz w:val="18"/>
                <w:szCs w:val="18"/>
                <w:color w:val="auto"/>
              </w:rPr>
              <w:t>Three Months Ended</w:t>
            </w:r>
          </w:p>
        </w:tc>
        <w:tc>
          <w:tcPr>
            <w:tcW w:w="132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2280" w:type="dxa"/>
            <w:vAlign w:val="bottom"/>
            <w:gridSpan w:val="3"/>
            <w:vMerge w:val="restart"/>
          </w:tcPr>
          <w:p>
            <w:pPr>
              <w:jc w:val="right"/>
              <w:ind w:right="92"/>
              <w:spacing w:after="0"/>
              <w:rPr>
                <w:sz w:val="20"/>
                <w:szCs w:val="20"/>
                <w:color w:val="auto"/>
              </w:rPr>
            </w:pPr>
            <w:r>
              <w:rPr>
                <w:rFonts w:ascii="Arial" w:cs="Arial" w:eastAsia="Arial" w:hAnsi="Arial"/>
                <w:sz w:val="18"/>
                <w:szCs w:val="18"/>
                <w:color w:val="auto"/>
                <w:w w:val="99"/>
              </w:rPr>
              <w:t>Year Ended December 31</w:t>
            </w:r>
          </w:p>
        </w:tc>
        <w:tc>
          <w:tcPr>
            <w:tcW w:w="124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5"/>
        </w:trPr>
        <w:tc>
          <w:tcPr>
            <w:tcW w:w="3860" w:type="dxa"/>
            <w:vAlign w:val="bottom"/>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572"/>
              <w:spacing w:after="0"/>
              <w:rPr>
                <w:sz w:val="20"/>
                <w:szCs w:val="20"/>
                <w:color w:val="auto"/>
              </w:rPr>
            </w:pPr>
            <w:r>
              <w:rPr>
                <w:rFonts w:ascii="Arial" w:cs="Arial" w:eastAsia="Arial" w:hAnsi="Arial"/>
                <w:sz w:val="18"/>
                <w:szCs w:val="18"/>
                <w:color w:val="auto"/>
              </w:rPr>
              <w:t>December 31</w:t>
            </w:r>
          </w:p>
        </w:tc>
        <w:tc>
          <w:tcPr>
            <w:tcW w:w="132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vMerge w:val="continue"/>
          </w:tcPr>
          <w:p>
            <w:pPr>
              <w:spacing w:after="0"/>
              <w:rPr>
                <w:sz w:val="20"/>
                <w:szCs w:val="20"/>
                <w:color w:val="auto"/>
              </w:rPr>
            </w:pPr>
          </w:p>
        </w:tc>
        <w:tc>
          <w:tcPr>
            <w:tcW w:w="1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2025</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2024</w:t>
            </w:r>
          </w:p>
        </w:tc>
        <w:tc>
          <w:tcPr>
            <w:tcW w:w="13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Change</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2025</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2024</w:t>
            </w: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3,449</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3,144</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10 %  $</w:t>
            </w: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12,506</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11,399</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10 %</w:t>
            </w: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9"/>
                <w:szCs w:val="19"/>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b w:val="1"/>
                <w:bCs w:val="1"/>
                <w:color w:val="auto"/>
              </w:rPr>
              <w:t>510</w:t>
            </w:r>
          </w:p>
        </w:tc>
        <w:tc>
          <w:tcPr>
            <w:tcW w:w="30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469</w:t>
            </w:r>
          </w:p>
        </w:tc>
        <w:tc>
          <w:tcPr>
            <w:tcW w:w="1320" w:type="dxa"/>
            <w:vAlign w:val="bottom"/>
          </w:tcPr>
          <w:p>
            <w:pPr>
              <w:jc w:val="right"/>
              <w:ind w:right="30"/>
              <w:spacing w:after="0"/>
              <w:rPr>
                <w:sz w:val="20"/>
                <w:szCs w:val="20"/>
                <w:color w:val="auto"/>
              </w:rPr>
            </w:pPr>
            <w:r>
              <w:rPr>
                <w:rFonts w:ascii="Arial" w:cs="Arial" w:eastAsia="Arial" w:hAnsi="Arial"/>
                <w:sz w:val="18"/>
                <w:szCs w:val="18"/>
                <w:b w:val="1"/>
                <w:bCs w:val="1"/>
                <w:color w:val="auto"/>
              </w:rPr>
              <w:t>9 %</w:t>
            </w:r>
          </w:p>
        </w:tc>
        <w:tc>
          <w:tcPr>
            <w:tcW w:w="160" w:type="dxa"/>
            <w:vAlign w:val="bottom"/>
          </w:tcPr>
          <w:p>
            <w:pPr>
              <w:spacing w:after="0"/>
              <w:rPr>
                <w:sz w:val="19"/>
                <w:szCs w:val="19"/>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b w:val="1"/>
                <w:bCs w:val="1"/>
                <w:color w:val="auto"/>
              </w:rPr>
              <w:t>1,827</w:t>
            </w:r>
          </w:p>
        </w:tc>
        <w:tc>
          <w:tcPr>
            <w:tcW w:w="30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1,598</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14 %</w:t>
            </w:r>
          </w:p>
        </w:tc>
        <w:tc>
          <w:tcPr>
            <w:tcW w:w="0" w:type="dxa"/>
            <w:vAlign w:val="bottom"/>
          </w:tcPr>
          <w:p>
            <w:pPr>
              <w:spacing w:after="0"/>
              <w:rPr>
                <w:sz w:val="1"/>
                <w:szCs w:val="1"/>
                <w:color w:val="auto"/>
              </w:rPr>
            </w:pPr>
          </w:p>
        </w:tc>
      </w:tr>
      <w:tr>
        <w:trPr>
          <w:trHeight w:val="216"/>
        </w:trPr>
        <w:tc>
          <w:tcPr>
            <w:tcW w:w="3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Operating margin rate</w:t>
            </w: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14.8 %</w:t>
            </w: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14.9 %</w:t>
            </w:r>
          </w:p>
        </w:tc>
        <w:tc>
          <w:tcPr>
            <w:tcW w:w="13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14.6 %</w:t>
            </w: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14.0 %</w:t>
            </w:r>
          </w:p>
        </w:tc>
        <w:tc>
          <w:tcPr>
            <w:tcW w:w="12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Sales</w:t>
      </w:r>
    </w:p>
    <w:p>
      <w:pPr>
        <w:spacing w:after="0" w:line="26" w:lineRule="exact"/>
        <w:rPr>
          <w:sz w:val="20"/>
          <w:szCs w:val="20"/>
          <w:color w:val="auto"/>
        </w:rPr>
      </w:pPr>
    </w:p>
    <w:p>
      <w:pPr>
        <w:ind w:right="280" w:firstLine="324"/>
        <w:spacing w:after="0" w:line="246" w:lineRule="auto"/>
        <w:rPr>
          <w:sz w:val="20"/>
          <w:szCs w:val="20"/>
          <w:color w:val="auto"/>
        </w:rPr>
      </w:pPr>
      <w:r>
        <w:rPr>
          <w:rFonts w:ascii="Arial" w:cs="Arial" w:eastAsia="Arial" w:hAnsi="Arial"/>
          <w:sz w:val="22"/>
          <w:szCs w:val="22"/>
          <w:color w:val="auto"/>
        </w:rPr>
        <w:t>Fourth quarter 2025 sales increased $305 million, or 10 percent, primarily due to ramp-up on restricted airborne radar programs, as well as higher volume on F-35, the Surface Electronic Warfare Improvement Program (SEWIP) and international ground-based radar programs. These increases were partially offset by lower sales on restricted advanced microelectronics programs.</w:t>
      </w:r>
    </w:p>
    <w:p>
      <w:pPr>
        <w:spacing w:after="0" w:line="63" w:lineRule="exact"/>
        <w:rPr>
          <w:sz w:val="20"/>
          <w:szCs w:val="20"/>
          <w:color w:val="auto"/>
        </w:rPr>
      </w:pPr>
    </w:p>
    <w:p>
      <w:pPr>
        <w:ind w:right="120" w:firstLine="324"/>
        <w:spacing w:after="0" w:line="257" w:lineRule="auto"/>
        <w:rPr>
          <w:sz w:val="20"/>
          <w:szCs w:val="20"/>
          <w:color w:val="auto"/>
        </w:rPr>
      </w:pPr>
      <w:r>
        <w:rPr>
          <w:rFonts w:ascii="Arial" w:cs="Arial" w:eastAsia="Arial" w:hAnsi="Arial"/>
          <w:sz w:val="22"/>
          <w:szCs w:val="22"/>
          <w:color w:val="auto"/>
        </w:rPr>
        <w:t>2025 sales increased $1.1 billion, or 10 percent, primarily due to continued ramp-up on restricted airborne radar programs, as well as higher sales of $161 million on marine systems programs, $141 million on international ground-based radar programs and $105 million on communications programs, as several programs ramp up following new awards.</w:t>
      </w:r>
    </w:p>
    <w:p>
      <w:pPr>
        <w:spacing w:after="0" w:line="200" w:lineRule="exact"/>
        <w:rPr>
          <w:sz w:val="20"/>
          <w:szCs w:val="20"/>
          <w:color w:val="auto"/>
        </w:rPr>
      </w:pPr>
    </w:p>
    <w:p>
      <w:pPr>
        <w:spacing w:after="0" w:line="339" w:lineRule="exact"/>
        <w:rPr>
          <w:sz w:val="20"/>
          <w:szCs w:val="20"/>
          <w:color w:val="auto"/>
        </w:rPr>
      </w:pPr>
    </w:p>
    <w:p>
      <w:pPr>
        <w:ind w:left="120" w:hanging="94"/>
        <w:spacing w:after="0"/>
        <w:tabs>
          <w:tab w:leader="none" w:pos="120"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Non-GAAP measure - see definitions at the end of this earnings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Arial" w:cs="Arial" w:eastAsia="Arial" w:hAnsi="Arial"/>
          <w:sz w:val="14"/>
          <w:szCs w:val="14"/>
          <w:b w:val="1"/>
          <w:bCs w:val="1"/>
          <w:color w:val="auto"/>
        </w:rPr>
        <w:t>Northrop Grumman Corporation</w:t>
      </w:r>
    </w:p>
    <w:p>
      <w:pPr>
        <w:ind w:left="3820"/>
        <w:spacing w:after="0" w:line="201" w:lineRule="auto"/>
        <w:rPr>
          <w:sz w:val="20"/>
          <w:szCs w:val="20"/>
          <w:color w:val="auto"/>
        </w:rPr>
      </w:pPr>
      <w:r>
        <w:rPr>
          <w:rFonts w:ascii="Arial" w:cs="Arial" w:eastAsia="Arial" w:hAnsi="Arial"/>
          <w:sz w:val="14"/>
          <w:szCs w:val="14"/>
          <w:color w:val="auto"/>
        </w:rPr>
        <w:t>2980 Fairview Park Drive • Falls Church, VA 22042-4511</w:t>
      </w:r>
    </w:p>
    <w:p>
      <w:pPr>
        <w:jc w:val="center"/>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40"/>
          </w:cols>
          <w:pgMar w:left="320" w:top="376" w:right="339" w:bottom="1440" w:gutter="0" w:footer="0" w:header="0"/>
        </w:sectPr>
      </w:pPr>
    </w:p>
    <w:bookmarkStart w:id="10" w:name="page11"/>
    <w:bookmarkEnd w:id="10"/>
    <w:tbl>
      <w:tblPr>
        <w:tblLayout w:type="fixed"/>
        <w:tblInd w:w="20" w:type="dxa"/>
        <w:tblCellMar>
          <w:top w:w="0" w:type="dxa"/>
          <w:left w:w="0" w:type="dxa"/>
          <w:bottom w:w="0" w:type="dxa"/>
          <w:right w:w="0" w:type="dxa"/>
        </w:tblCellMar>
      </w:tblPr>
      <w:tr>
        <w:trPr>
          <w:trHeight w:val="250"/>
        </w:trPr>
        <w:tc>
          <w:tcPr>
            <w:tcW w:w="71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8"/>
              </w:rPr>
              <w:t>Northrop Grumman Reports Fourth Quarter and Full-Year 2025 Financial Results</w:t>
            </w:r>
          </w:p>
        </w:tc>
        <w:tc>
          <w:tcPr>
            <w:tcW w:w="4100" w:type="dxa"/>
            <w:vAlign w:val="bottom"/>
            <w:vMerge w:val="restart"/>
          </w:tcPr>
          <w:p>
            <w:pPr>
              <w:jc w:val="right"/>
              <w:spacing w:after="0"/>
              <w:rPr>
                <w:sz w:val="20"/>
                <w:szCs w:val="20"/>
                <w:color w:val="auto"/>
              </w:rPr>
            </w:pPr>
            <w:r>
              <w:rPr>
                <w:rFonts w:ascii="Arial" w:cs="Arial" w:eastAsia="Arial" w:hAnsi="Arial"/>
                <w:sz w:val="22"/>
                <w:szCs w:val="22"/>
                <w:color w:val="auto"/>
              </w:rPr>
              <w:t>8</w:t>
            </w:r>
          </w:p>
        </w:tc>
        <w:tc>
          <w:tcPr>
            <w:tcW w:w="0" w:type="dxa"/>
            <w:vAlign w:val="bottom"/>
          </w:tcPr>
          <w:p>
            <w:pPr>
              <w:spacing w:after="0"/>
              <w:rPr>
                <w:sz w:val="1"/>
                <w:szCs w:val="1"/>
                <w:color w:val="auto"/>
              </w:rPr>
            </w:pPr>
          </w:p>
        </w:tc>
      </w:tr>
      <w:tr>
        <w:trPr>
          <w:trHeight w:val="116"/>
        </w:trPr>
        <w:tc>
          <w:tcPr>
            <w:tcW w:w="7100" w:type="dxa"/>
            <w:vAlign w:val="bottom"/>
          </w:tcPr>
          <w:p>
            <w:pPr>
              <w:spacing w:after="0"/>
              <w:rPr>
                <w:sz w:val="10"/>
                <w:szCs w:val="10"/>
                <w:color w:val="auto"/>
              </w:rPr>
            </w:pPr>
          </w:p>
        </w:tc>
        <w:tc>
          <w:tcPr>
            <w:tcW w:w="4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Income</w:t>
      </w:r>
    </w:p>
    <w:p>
      <w:pPr>
        <w:spacing w:after="0" w:line="26" w:lineRule="exact"/>
        <w:rPr>
          <w:sz w:val="20"/>
          <w:szCs w:val="20"/>
          <w:color w:val="auto"/>
        </w:rPr>
      </w:pPr>
    </w:p>
    <w:p>
      <w:pPr>
        <w:ind w:right="40" w:firstLine="324"/>
        <w:spacing w:after="0" w:line="254" w:lineRule="auto"/>
        <w:rPr>
          <w:sz w:val="20"/>
          <w:szCs w:val="20"/>
          <w:color w:val="auto"/>
        </w:rPr>
      </w:pPr>
      <w:r>
        <w:rPr>
          <w:rFonts w:ascii="Arial" w:cs="Arial" w:eastAsia="Arial" w:hAnsi="Arial"/>
          <w:sz w:val="22"/>
          <w:szCs w:val="22"/>
          <w:color w:val="auto"/>
        </w:rPr>
        <w:t>Fourth quarter 2025 operating income increased $41 million, or 9 percent, primarily due to higher sales. Operating margin rate of 14.8 percent was comparable to the prior year. Lower net EAC adjustments were largely offset by favorable changes in contract mix driven by sales growth on programs with accretive margin rates.</w:t>
      </w:r>
    </w:p>
    <w:p>
      <w:pPr>
        <w:spacing w:after="0" w:line="41" w:lineRule="exact"/>
        <w:rPr>
          <w:sz w:val="20"/>
          <w:szCs w:val="20"/>
          <w:color w:val="auto"/>
        </w:rPr>
      </w:pPr>
    </w:p>
    <w:p>
      <w:pPr>
        <w:ind w:right="40" w:firstLine="324"/>
        <w:spacing w:after="0" w:line="253" w:lineRule="auto"/>
        <w:rPr>
          <w:sz w:val="20"/>
          <w:szCs w:val="20"/>
          <w:color w:val="auto"/>
        </w:rPr>
      </w:pPr>
      <w:r>
        <w:rPr>
          <w:rFonts w:ascii="Arial" w:cs="Arial" w:eastAsia="Arial" w:hAnsi="Arial"/>
          <w:sz w:val="22"/>
          <w:szCs w:val="22"/>
          <w:color w:val="auto"/>
        </w:rPr>
        <w:t>2025 operating income increased $229 million, or 14 percent, due to higher sales and a higher operating margin rate. Operating margin rate increased to 14.6 percent from 14.0 percent primarily due to higher net EAC adjustments, including a $68 million favorable EAC adjustment recorded in the third quarter of 2025 in the restricted advanced microelectronics portfolio, partially offset by investments made by the sector in connection with restricted business opportunities during the first quarter of 2025.</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vMerge w:val="restart"/>
          </w:tcPr>
          <w:p>
            <w:pPr>
              <w:ind w:left="20"/>
              <w:spacing w:after="0"/>
              <w:rPr>
                <w:sz w:val="20"/>
                <w:szCs w:val="20"/>
                <w:color w:val="auto"/>
              </w:rPr>
            </w:pPr>
            <w:r>
              <w:rPr>
                <w:rFonts w:ascii="Arial" w:cs="Arial" w:eastAsia="Arial" w:hAnsi="Arial"/>
                <w:sz w:val="22"/>
                <w:szCs w:val="22"/>
                <w:b w:val="1"/>
                <w:bCs w:val="1"/>
                <w:color w:val="auto"/>
              </w:rPr>
              <w:t>SPACE SYSTEMS</w:t>
            </w:r>
          </w:p>
        </w:tc>
        <w:tc>
          <w:tcPr>
            <w:tcW w:w="220" w:type="dxa"/>
            <w:vAlign w:val="bottom"/>
          </w:tcPr>
          <w:p>
            <w:pPr>
              <w:spacing w:after="0"/>
              <w:rPr>
                <w:sz w:val="17"/>
                <w:szCs w:val="17"/>
                <w:color w:val="auto"/>
              </w:rPr>
            </w:pPr>
          </w:p>
        </w:tc>
        <w:tc>
          <w:tcPr>
            <w:tcW w:w="2160" w:type="dxa"/>
            <w:vAlign w:val="bottom"/>
            <w:gridSpan w:val="3"/>
          </w:tcPr>
          <w:p>
            <w:pPr>
              <w:jc w:val="right"/>
              <w:ind w:right="272"/>
              <w:spacing w:after="0"/>
              <w:rPr>
                <w:sz w:val="20"/>
                <w:szCs w:val="20"/>
                <w:color w:val="auto"/>
              </w:rPr>
            </w:pPr>
            <w:r>
              <w:rPr>
                <w:rFonts w:ascii="Arial" w:cs="Arial" w:eastAsia="Arial" w:hAnsi="Arial"/>
                <w:sz w:val="18"/>
                <w:szCs w:val="18"/>
                <w:color w:val="auto"/>
              </w:rPr>
              <w:t>Three Months Ended</w:t>
            </w:r>
          </w:p>
        </w:tc>
        <w:tc>
          <w:tcPr>
            <w:tcW w:w="132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2280" w:type="dxa"/>
            <w:vAlign w:val="bottom"/>
            <w:gridSpan w:val="3"/>
            <w:vMerge w:val="restart"/>
          </w:tcPr>
          <w:p>
            <w:pPr>
              <w:jc w:val="right"/>
              <w:ind w:right="92"/>
              <w:spacing w:after="0"/>
              <w:rPr>
                <w:sz w:val="20"/>
                <w:szCs w:val="20"/>
                <w:color w:val="auto"/>
              </w:rPr>
            </w:pPr>
            <w:r>
              <w:rPr>
                <w:rFonts w:ascii="Arial" w:cs="Arial" w:eastAsia="Arial" w:hAnsi="Arial"/>
                <w:sz w:val="18"/>
                <w:szCs w:val="18"/>
                <w:color w:val="auto"/>
                <w:w w:val="99"/>
              </w:rPr>
              <w:t>Year Ended December 31</w:t>
            </w:r>
          </w:p>
        </w:tc>
        <w:tc>
          <w:tcPr>
            <w:tcW w:w="124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3860" w:type="dxa"/>
            <w:vAlign w:val="bottom"/>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3"/>
          </w:tcPr>
          <w:p>
            <w:pPr>
              <w:jc w:val="right"/>
              <w:ind w:right="572"/>
              <w:spacing w:after="0"/>
              <w:rPr>
                <w:sz w:val="20"/>
                <w:szCs w:val="20"/>
                <w:color w:val="auto"/>
              </w:rPr>
            </w:pPr>
            <w:r>
              <w:rPr>
                <w:rFonts w:ascii="Arial" w:cs="Arial" w:eastAsia="Arial" w:hAnsi="Arial"/>
                <w:sz w:val="18"/>
                <w:szCs w:val="18"/>
                <w:color w:val="auto"/>
              </w:rPr>
              <w:t>December 31</w:t>
            </w:r>
          </w:p>
        </w:tc>
        <w:tc>
          <w:tcPr>
            <w:tcW w:w="1320" w:type="dxa"/>
            <w:vAlign w:val="bottom"/>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gridSpan w:val="3"/>
            <w:vMerge w:val="continue"/>
          </w:tcPr>
          <w:p>
            <w:pPr>
              <w:spacing w:after="0"/>
              <w:rPr>
                <w:sz w:val="21"/>
                <w:szCs w:val="21"/>
                <w:color w:val="auto"/>
              </w:rPr>
            </w:pPr>
          </w:p>
        </w:tc>
        <w:tc>
          <w:tcPr>
            <w:tcW w:w="1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2025</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2024</w:t>
            </w:r>
          </w:p>
        </w:tc>
        <w:tc>
          <w:tcPr>
            <w:tcW w:w="13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Change</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2025</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2024</w:t>
            </w: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2,859</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2,710</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5 %  $</w:t>
            </w: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10,771</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11,731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9"/>
                <w:szCs w:val="19"/>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b w:val="1"/>
                <w:bCs w:val="1"/>
                <w:color w:val="auto"/>
              </w:rPr>
              <w:t>322</w:t>
            </w:r>
          </w:p>
        </w:tc>
        <w:tc>
          <w:tcPr>
            <w:tcW w:w="30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275</w:t>
            </w:r>
          </w:p>
        </w:tc>
        <w:tc>
          <w:tcPr>
            <w:tcW w:w="1320" w:type="dxa"/>
            <w:vAlign w:val="bottom"/>
          </w:tcPr>
          <w:p>
            <w:pPr>
              <w:jc w:val="right"/>
              <w:ind w:right="30"/>
              <w:spacing w:after="0"/>
              <w:rPr>
                <w:sz w:val="20"/>
                <w:szCs w:val="20"/>
                <w:color w:val="auto"/>
              </w:rPr>
            </w:pPr>
            <w:r>
              <w:rPr>
                <w:rFonts w:ascii="Arial" w:cs="Arial" w:eastAsia="Arial" w:hAnsi="Arial"/>
                <w:sz w:val="18"/>
                <w:szCs w:val="18"/>
                <w:b w:val="1"/>
                <w:bCs w:val="1"/>
                <w:color w:val="auto"/>
              </w:rPr>
              <w:t>17 %</w:t>
            </w:r>
          </w:p>
        </w:tc>
        <w:tc>
          <w:tcPr>
            <w:tcW w:w="160" w:type="dxa"/>
            <w:vAlign w:val="bottom"/>
          </w:tcPr>
          <w:p>
            <w:pPr>
              <w:spacing w:after="0"/>
              <w:rPr>
                <w:sz w:val="19"/>
                <w:szCs w:val="19"/>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b w:val="1"/>
                <w:bCs w:val="1"/>
                <w:color w:val="auto"/>
              </w:rPr>
              <w:t>1,183</w:t>
            </w:r>
          </w:p>
        </w:tc>
        <w:tc>
          <w:tcPr>
            <w:tcW w:w="30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1,254</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16"/>
        </w:trPr>
        <w:tc>
          <w:tcPr>
            <w:tcW w:w="3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Operating margin rate</w:t>
            </w: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11.3 %</w:t>
            </w: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10.1 %</w:t>
            </w:r>
          </w:p>
        </w:tc>
        <w:tc>
          <w:tcPr>
            <w:tcW w:w="13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11.0 %</w:t>
            </w: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10.7 %</w:t>
            </w:r>
          </w:p>
        </w:tc>
        <w:tc>
          <w:tcPr>
            <w:tcW w:w="12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Sales</w:t>
      </w:r>
    </w:p>
    <w:p>
      <w:pPr>
        <w:spacing w:after="0" w:line="2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Fourth quarter 2025 sales increased $149 million, or 5 percent, primarily due to production ramp-up on the GEM</w:t>
      </w:r>
    </w:p>
    <w:p>
      <w:pPr>
        <w:spacing w:after="0" w:line="11" w:lineRule="exact"/>
        <w:rPr>
          <w:sz w:val="20"/>
          <w:szCs w:val="20"/>
          <w:color w:val="auto"/>
        </w:rPr>
      </w:pPr>
    </w:p>
    <w:p>
      <w:pPr>
        <w:ind w:right="380"/>
        <w:spacing w:after="0" w:line="251" w:lineRule="auto"/>
        <w:rPr>
          <w:sz w:val="20"/>
          <w:szCs w:val="20"/>
          <w:color w:val="auto"/>
        </w:rPr>
      </w:pPr>
      <w:r>
        <w:rPr>
          <w:rFonts w:ascii="Arial" w:cs="Arial" w:eastAsia="Arial" w:hAnsi="Arial"/>
          <w:sz w:val="22"/>
          <w:szCs w:val="22"/>
          <w:color w:val="auto"/>
        </w:rPr>
        <w:t>63 program, increased sales from new program awards in the restricted space portfolio, and higher volume on the Habitation and Logistics Outpost (HALO) program, partially offset by wind-down of work on the Next Generation Interceptor (NGI) program.</w:t>
      </w:r>
    </w:p>
    <w:p>
      <w:pPr>
        <w:spacing w:after="0" w:line="57" w:lineRule="exact"/>
        <w:rPr>
          <w:sz w:val="20"/>
          <w:szCs w:val="20"/>
          <w:color w:val="auto"/>
        </w:rPr>
      </w:pPr>
    </w:p>
    <w:p>
      <w:pPr>
        <w:ind w:right="200" w:firstLine="324"/>
        <w:spacing w:after="0" w:line="253" w:lineRule="auto"/>
        <w:rPr>
          <w:sz w:val="20"/>
          <w:szCs w:val="20"/>
          <w:color w:val="auto"/>
        </w:rPr>
      </w:pPr>
      <w:r>
        <w:rPr>
          <w:rFonts w:ascii="Arial" w:cs="Arial" w:eastAsia="Arial" w:hAnsi="Arial"/>
          <w:sz w:val="22"/>
          <w:szCs w:val="22"/>
          <w:color w:val="auto"/>
        </w:rPr>
        <w:t>2025 sales decreased $960 million, or 8 percent, primarily due to wind-down of work on the restricted space and NGI programs, which reduced sales by $738 million, as well as a $172 million decrease for the SDA satellite programs due to the timing of materials and a $102 million decrease driven by lower volume on the SLS Booster program. These decreases were partially offset by a $168 million increase on GEM 63 and higher volume on HALO as those programs continue to ramp.</w:t>
      </w: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Income</w:t>
      </w:r>
    </w:p>
    <w:p>
      <w:pPr>
        <w:spacing w:after="0" w:line="39" w:lineRule="exact"/>
        <w:rPr>
          <w:sz w:val="20"/>
          <w:szCs w:val="20"/>
          <w:color w:val="auto"/>
        </w:rPr>
      </w:pPr>
    </w:p>
    <w:p>
      <w:pPr>
        <w:ind w:right="120" w:firstLine="324"/>
        <w:spacing w:after="0" w:line="248" w:lineRule="auto"/>
        <w:rPr>
          <w:sz w:val="20"/>
          <w:szCs w:val="20"/>
          <w:color w:val="auto"/>
        </w:rPr>
      </w:pPr>
      <w:r>
        <w:rPr>
          <w:rFonts w:ascii="Arial" w:cs="Arial" w:eastAsia="Arial" w:hAnsi="Arial"/>
          <w:sz w:val="22"/>
          <w:szCs w:val="22"/>
          <w:color w:val="auto"/>
        </w:rPr>
        <w:t>Fourth quarter 2025 operating income increased $47 million, or 17 percent, due to a higher operating margin rate and higher sales. Operating margin rate increased to 11.3 percent from 10.1 percent principally due to higher net EAC adjustments and more favorable contract mix.</w:t>
      </w:r>
    </w:p>
    <w:p>
      <w:pPr>
        <w:spacing w:after="0" w:line="60" w:lineRule="exact"/>
        <w:rPr>
          <w:sz w:val="20"/>
          <w:szCs w:val="20"/>
          <w:color w:val="auto"/>
        </w:rPr>
      </w:pPr>
    </w:p>
    <w:p>
      <w:pPr>
        <w:ind w:right="500" w:firstLine="324"/>
        <w:spacing w:after="0" w:line="257" w:lineRule="auto"/>
        <w:rPr>
          <w:sz w:val="20"/>
          <w:szCs w:val="20"/>
          <w:color w:val="auto"/>
        </w:rPr>
      </w:pPr>
      <w:r>
        <w:rPr>
          <w:rFonts w:ascii="Arial" w:cs="Arial" w:eastAsia="Arial" w:hAnsi="Arial"/>
          <w:sz w:val="22"/>
          <w:szCs w:val="22"/>
          <w:color w:val="auto"/>
        </w:rPr>
        <w:t>2025 operating income decreased $71 million, or 6 percent, due to lower sales, partially offset by a higher operating margin rate. Operating margin rate increased to 11.0 percent from 10.7 percent principally due to more favorable contract mix.</w:t>
      </w:r>
    </w:p>
    <w:p>
      <w:pPr>
        <w:spacing w:after="0" w:line="200" w:lineRule="exact"/>
        <w:rPr>
          <w:sz w:val="20"/>
          <w:szCs w:val="20"/>
          <w:color w:val="auto"/>
        </w:rPr>
      </w:pPr>
    </w:p>
    <w:p>
      <w:pPr>
        <w:spacing w:after="0" w:line="368" w:lineRule="exact"/>
        <w:rPr>
          <w:sz w:val="20"/>
          <w:szCs w:val="20"/>
          <w:color w:val="auto"/>
        </w:rPr>
      </w:pPr>
    </w:p>
    <w:p>
      <w:pPr>
        <w:ind w:left="120" w:hanging="94"/>
        <w:spacing w:after="0"/>
        <w:tabs>
          <w:tab w:leader="none" w:pos="120" w:val="left"/>
        </w:tabs>
        <w:numPr>
          <w:ilvl w:val="0"/>
          <w:numId w:val="12"/>
        </w:numPr>
        <w:rPr>
          <w:rFonts w:ascii="Arial" w:cs="Arial" w:eastAsia="Arial" w:hAnsi="Arial"/>
          <w:sz w:val="9"/>
          <w:szCs w:val="9"/>
          <w:color w:val="auto"/>
        </w:rPr>
      </w:pPr>
      <w:r>
        <w:rPr>
          <w:rFonts w:ascii="Arial" w:cs="Arial" w:eastAsia="Arial" w:hAnsi="Arial"/>
          <w:sz w:val="14"/>
          <w:szCs w:val="14"/>
          <w:color w:val="auto"/>
        </w:rPr>
        <w:t>Non-GAAP measure - see definitions at the end of this earnings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Northrop Grumman Corporation</w:t>
      </w:r>
    </w:p>
    <w:p>
      <w:pPr>
        <w:jc w:val="center"/>
        <w:spacing w:after="0" w:line="223" w:lineRule="auto"/>
        <w:rPr>
          <w:sz w:val="20"/>
          <w:szCs w:val="20"/>
          <w:color w:val="auto"/>
        </w:rPr>
      </w:pPr>
      <w:r>
        <w:rPr>
          <w:rFonts w:ascii="Arial" w:cs="Arial" w:eastAsia="Arial" w:hAnsi="Arial"/>
          <w:sz w:val="14"/>
          <w:szCs w:val="14"/>
          <w:color w:val="auto"/>
        </w:rPr>
        <w:t>2980 Fairview Park Drive • Falls Church, VA 22042-4511</w:t>
      </w:r>
    </w:p>
    <w:p>
      <w:pPr>
        <w:jc w:val="center"/>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40"/>
          </w:cols>
          <w:pgMar w:left="320" w:top="376" w:right="339" w:bottom="1440" w:gutter="0" w:footer="0" w:header="0"/>
        </w:sectPr>
      </w:pPr>
    </w:p>
    <w:bookmarkStart w:id="11" w:name="page12"/>
    <w:bookmarkEnd w:id="11"/>
    <w:tbl>
      <w:tblPr>
        <w:tblLayout w:type="fixed"/>
        <w:tblInd w:w="20" w:type="dxa"/>
        <w:tblCellMar>
          <w:top w:w="0" w:type="dxa"/>
          <w:left w:w="0" w:type="dxa"/>
          <w:bottom w:w="0" w:type="dxa"/>
          <w:right w:w="0" w:type="dxa"/>
        </w:tblCellMar>
      </w:tblPr>
      <w:tr>
        <w:trPr>
          <w:trHeight w:val="250"/>
        </w:trPr>
        <w:tc>
          <w:tcPr>
            <w:tcW w:w="71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8"/>
              </w:rPr>
              <w:t>Northrop Grumman Reports Fourth Quarter and Full-Year 2025 Financial Results</w:t>
            </w:r>
          </w:p>
        </w:tc>
        <w:tc>
          <w:tcPr>
            <w:tcW w:w="4100" w:type="dxa"/>
            <w:vAlign w:val="bottom"/>
            <w:vMerge w:val="restart"/>
          </w:tcPr>
          <w:p>
            <w:pPr>
              <w:jc w:val="right"/>
              <w:spacing w:after="0"/>
              <w:rPr>
                <w:sz w:val="20"/>
                <w:szCs w:val="20"/>
                <w:color w:val="auto"/>
              </w:rPr>
            </w:pPr>
            <w:r>
              <w:rPr>
                <w:rFonts w:ascii="Arial" w:cs="Arial" w:eastAsia="Arial" w:hAnsi="Arial"/>
                <w:sz w:val="22"/>
                <w:szCs w:val="22"/>
                <w:color w:val="auto"/>
              </w:rPr>
              <w:t>9</w:t>
            </w:r>
          </w:p>
        </w:tc>
        <w:tc>
          <w:tcPr>
            <w:tcW w:w="0" w:type="dxa"/>
            <w:vAlign w:val="bottom"/>
          </w:tcPr>
          <w:p>
            <w:pPr>
              <w:spacing w:after="0"/>
              <w:rPr>
                <w:sz w:val="1"/>
                <w:szCs w:val="1"/>
                <w:color w:val="auto"/>
              </w:rPr>
            </w:pPr>
          </w:p>
        </w:tc>
      </w:tr>
      <w:tr>
        <w:trPr>
          <w:trHeight w:val="116"/>
        </w:trPr>
        <w:tc>
          <w:tcPr>
            <w:tcW w:w="7100" w:type="dxa"/>
            <w:vAlign w:val="bottom"/>
          </w:tcPr>
          <w:p>
            <w:pPr>
              <w:spacing w:after="0"/>
              <w:rPr>
                <w:sz w:val="10"/>
                <w:szCs w:val="10"/>
                <w:color w:val="auto"/>
              </w:rPr>
            </w:pPr>
          </w:p>
        </w:tc>
        <w:tc>
          <w:tcPr>
            <w:tcW w:w="4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Guidance</w:t>
      </w:r>
    </w:p>
    <w:p>
      <w:pPr>
        <w:spacing w:after="0" w:line="39" w:lineRule="exact"/>
        <w:rPr>
          <w:sz w:val="20"/>
          <w:szCs w:val="20"/>
          <w:color w:val="auto"/>
        </w:rPr>
      </w:pPr>
    </w:p>
    <w:p>
      <w:pPr>
        <w:ind w:firstLine="240"/>
        <w:spacing w:after="0" w:line="259" w:lineRule="auto"/>
        <w:rPr>
          <w:sz w:val="20"/>
          <w:szCs w:val="20"/>
          <w:color w:val="auto"/>
        </w:rPr>
      </w:pPr>
      <w:r>
        <w:rPr>
          <w:rFonts w:ascii="Arial" w:cs="Arial" w:eastAsia="Arial" w:hAnsi="Arial"/>
          <w:sz w:val="21"/>
          <w:szCs w:val="21"/>
          <w:color w:val="auto"/>
        </w:rPr>
        <w:t>Financial guidance, as well as outlook, trends, expectations and other forward-looking statements provided by the company for 2026 and beyond, reflect the company's judgment based on the information available to the company at the time of this release. The company’s financial guidance and outlook for 2026 and beyond reflect what the company currently anticipates will be the impacts on the company from, among other factors, the global macroeconomic, security, and political/budget environments, including the impacts from inflationary pressures and labor and supply chain challenges; changes in the threat environment; changes in government budget, appropriations and procurement priorities and processes; changes in the regulatory environment, including trade policy and tax policy; and changes in support for our programs. We are not assuming, and the company’s financial guidance and outlook for 2026 and beyond do not reflect impacts on the company from, a prolonged government shutdown, or application of spending limits or other spending cuts. However, the company cannot predict how these factors will evolve or what impacts they will have, and there can be no assurance that the company’s current expectations or underlying assumptions are correct. These factors can affect the company’s ability to achieve guidance or meet expectations.</w:t>
      </w:r>
    </w:p>
    <w:p>
      <w:pPr>
        <w:spacing w:after="0" w:line="39" w:lineRule="exact"/>
        <w:rPr>
          <w:sz w:val="20"/>
          <w:szCs w:val="20"/>
          <w:color w:val="auto"/>
        </w:rPr>
      </w:pPr>
    </w:p>
    <w:p>
      <w:pPr>
        <w:ind w:right="40" w:firstLine="324"/>
        <w:spacing w:after="0" w:line="285" w:lineRule="auto"/>
        <w:rPr>
          <w:sz w:val="20"/>
          <w:szCs w:val="20"/>
          <w:color w:val="auto"/>
        </w:rPr>
      </w:pPr>
      <w:r>
        <w:rPr>
          <w:rFonts w:ascii="Arial" w:cs="Arial" w:eastAsia="Arial" w:hAnsi="Arial"/>
          <w:sz w:val="22"/>
          <w:szCs w:val="22"/>
          <w:color w:val="auto"/>
        </w:rPr>
        <w:t>For additional factors that may impact the company’s ability to achieve guidance or meet expectations, please see the “Forward-Looking Statements” section in this release and our Form 10-K.</w:t>
      </w:r>
    </w:p>
    <w:p>
      <w:pPr>
        <w:spacing w:after="0" w:line="27" w:lineRule="exact"/>
        <w:rPr>
          <w:sz w:val="20"/>
          <w:szCs w:val="20"/>
          <w:color w:val="auto"/>
        </w:rPr>
      </w:pPr>
    </w:p>
    <w:tbl>
      <w:tblPr>
        <w:tblLayout w:type="fixed"/>
        <w:tblInd w:w="30" w:type="dxa"/>
        <w:tblCellMar>
          <w:top w:w="0" w:type="dxa"/>
          <w:left w:w="0" w:type="dxa"/>
          <w:bottom w:w="0" w:type="dxa"/>
          <w:right w:w="0" w:type="dxa"/>
        </w:tblCellMar>
      </w:tblPr>
      <w:tr>
        <w:trPr>
          <w:trHeight w:val="304"/>
        </w:trPr>
        <w:tc>
          <w:tcPr>
            <w:tcW w:w="4180" w:type="dxa"/>
            <w:vAlign w:val="bottom"/>
            <w:tcBorders>
              <w:top w:val="single" w:sz="8" w:color="auto"/>
              <w:left w:val="single" w:sz="8" w:color="auto"/>
              <w:bottom w:val="single" w:sz="8" w:color="auto"/>
            </w:tcBorders>
          </w:tcPr>
          <w:p>
            <w:pPr>
              <w:spacing w:after="0"/>
              <w:rPr>
                <w:sz w:val="24"/>
                <w:szCs w:val="24"/>
                <w:color w:val="auto"/>
              </w:rPr>
            </w:pPr>
          </w:p>
        </w:tc>
        <w:tc>
          <w:tcPr>
            <w:tcW w:w="4320" w:type="dxa"/>
            <w:vAlign w:val="bottom"/>
            <w:tcBorders>
              <w:top w:val="single" w:sz="8" w:color="auto"/>
              <w:bottom w:val="single" w:sz="8" w:color="auto"/>
            </w:tcBorders>
            <w:gridSpan w:val="2"/>
          </w:tcPr>
          <w:p>
            <w:pPr>
              <w:jc w:val="right"/>
              <w:ind w:right="2043"/>
              <w:spacing w:after="0"/>
              <w:rPr>
                <w:sz w:val="20"/>
                <w:szCs w:val="20"/>
                <w:color w:val="auto"/>
              </w:rPr>
            </w:pPr>
            <w:r>
              <w:rPr>
                <w:rFonts w:ascii="Arial" w:cs="Arial" w:eastAsia="Arial" w:hAnsi="Arial"/>
                <w:sz w:val="22"/>
                <w:szCs w:val="22"/>
                <w:b w:val="1"/>
                <w:bCs w:val="1"/>
                <w:color w:val="auto"/>
              </w:rPr>
              <w:t>2026 Guidance</w:t>
            </w:r>
          </w:p>
        </w:tc>
        <w:tc>
          <w:tcPr>
            <w:tcW w:w="2700" w:type="dxa"/>
            <w:vAlign w:val="bottom"/>
            <w:tcBorders>
              <w:top w:val="single" w:sz="8" w:color="auto"/>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1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i w:val="1"/>
                <w:iCs w:val="1"/>
                <w:color w:val="auto"/>
              </w:rPr>
              <w:t>($ in millions, except per share amounts)</w:t>
            </w:r>
          </w:p>
        </w:tc>
        <w:tc>
          <w:tcPr>
            <w:tcW w:w="1900" w:type="dxa"/>
            <w:vAlign w:val="bottom"/>
            <w:tcBorders>
              <w:bottom w:val="single" w:sz="8" w:color="auto"/>
              <w:right w:val="single" w:sz="8" w:color="auto"/>
            </w:tcBorders>
          </w:tcPr>
          <w:p>
            <w:pPr>
              <w:spacing w:after="0"/>
              <w:rPr>
                <w:sz w:val="19"/>
                <w:szCs w:val="19"/>
                <w:color w:val="auto"/>
              </w:rPr>
            </w:pPr>
          </w:p>
        </w:tc>
        <w:tc>
          <w:tcPr>
            <w:tcW w:w="5120" w:type="dxa"/>
            <w:vAlign w:val="bottom"/>
            <w:tcBorders>
              <w:bottom w:val="single" w:sz="8" w:color="auto"/>
              <w:right w:val="single" w:sz="8" w:color="auto"/>
            </w:tcBorders>
            <w:gridSpan w:val="2"/>
          </w:tcPr>
          <w:p>
            <w:pPr>
              <w:ind w:left="1900"/>
              <w:spacing w:after="0"/>
              <w:rPr>
                <w:sz w:val="20"/>
                <w:szCs w:val="20"/>
                <w:color w:val="auto"/>
              </w:rPr>
            </w:pPr>
            <w:r>
              <w:rPr>
                <w:rFonts w:ascii="Arial" w:cs="Arial" w:eastAsia="Arial" w:hAnsi="Arial"/>
                <w:sz w:val="18"/>
                <w:szCs w:val="18"/>
                <w:b w:val="1"/>
                <w:bCs w:val="1"/>
                <w:color w:val="auto"/>
              </w:rPr>
              <w:t>As of 1/27/2026</w:t>
            </w:r>
          </w:p>
        </w:tc>
        <w:tc>
          <w:tcPr>
            <w:tcW w:w="0" w:type="dxa"/>
            <w:vAlign w:val="bottom"/>
          </w:tcPr>
          <w:p>
            <w:pPr>
              <w:spacing w:after="0"/>
              <w:rPr>
                <w:sz w:val="1"/>
                <w:szCs w:val="1"/>
                <w:color w:val="auto"/>
              </w:rPr>
            </w:pPr>
          </w:p>
        </w:tc>
      </w:tr>
      <w:tr>
        <w:trPr>
          <w:trHeight w:val="378"/>
        </w:trPr>
        <w:tc>
          <w:tcPr>
            <w:tcW w:w="4180" w:type="dxa"/>
            <w:vAlign w:val="bottom"/>
            <w:tcBorders>
              <w:left w:val="single" w:sz="8" w:color="auto"/>
            </w:tcBorders>
          </w:tcPr>
          <w:p>
            <w:pPr>
              <w:ind w:left="40"/>
              <w:spacing w:after="0"/>
              <w:rPr>
                <w:sz w:val="20"/>
                <w:szCs w:val="20"/>
                <w:color w:val="auto"/>
              </w:rPr>
            </w:pPr>
            <w:r>
              <w:rPr>
                <w:rFonts w:ascii="Arial" w:cs="Arial" w:eastAsia="Arial" w:hAnsi="Arial"/>
                <w:sz w:val="20"/>
                <w:szCs w:val="20"/>
                <w:b w:val="1"/>
                <w:bCs w:val="1"/>
                <w:color w:val="auto"/>
              </w:rPr>
              <w:t>Sales</w:t>
            </w:r>
          </w:p>
        </w:tc>
        <w:tc>
          <w:tcPr>
            <w:tcW w:w="1900" w:type="dxa"/>
            <w:vAlign w:val="bottom"/>
            <w:tcBorders>
              <w:right w:val="single" w:sz="8" w:color="auto"/>
            </w:tcBorders>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$43,500</w:t>
            </w:r>
          </w:p>
        </w:tc>
        <w:tc>
          <w:tcPr>
            <w:tcW w:w="270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 $44,000</w:t>
            </w:r>
          </w:p>
        </w:tc>
        <w:tc>
          <w:tcPr>
            <w:tcW w:w="0" w:type="dxa"/>
            <w:vAlign w:val="bottom"/>
          </w:tcPr>
          <w:p>
            <w:pPr>
              <w:spacing w:after="0"/>
              <w:rPr>
                <w:sz w:val="1"/>
                <w:szCs w:val="1"/>
                <w:color w:val="auto"/>
              </w:rPr>
            </w:pPr>
          </w:p>
        </w:tc>
      </w:tr>
      <w:tr>
        <w:trPr>
          <w:trHeight w:val="115"/>
        </w:trPr>
        <w:tc>
          <w:tcPr>
            <w:tcW w:w="4180" w:type="dxa"/>
            <w:vAlign w:val="bottom"/>
            <w:tcBorders>
              <w:left w:val="single" w:sz="8" w:color="auto"/>
            </w:tcBorders>
            <w:vMerge w:val="restart"/>
          </w:tcPr>
          <w:p>
            <w:pPr>
              <w:ind w:left="40"/>
              <w:spacing w:after="0"/>
              <w:rPr>
                <w:sz w:val="20"/>
                <w:szCs w:val="20"/>
                <w:color w:val="auto"/>
              </w:rPr>
            </w:pPr>
            <w:r>
              <w:rPr>
                <w:rFonts w:ascii="Arial" w:cs="Arial" w:eastAsia="Arial" w:hAnsi="Arial"/>
                <w:sz w:val="20"/>
                <w:szCs w:val="20"/>
                <w:b w:val="1"/>
                <w:bCs w:val="1"/>
                <w:color w:val="auto"/>
              </w:rPr>
              <w:t>Segment operating income</w:t>
            </w:r>
            <w:r>
              <w:rPr>
                <w:rFonts w:ascii="Arial" w:cs="Arial" w:eastAsia="Arial" w:hAnsi="Arial"/>
                <w:sz w:val="25"/>
                <w:szCs w:val="25"/>
                <w:b w:val="1"/>
                <w:bCs w:val="1"/>
                <w:color w:val="auto"/>
                <w:vertAlign w:val="superscript"/>
              </w:rPr>
              <w:t>1</w:t>
            </w:r>
          </w:p>
        </w:tc>
        <w:tc>
          <w:tcPr>
            <w:tcW w:w="1900" w:type="dxa"/>
            <w:vAlign w:val="bottom"/>
            <w:tcBorders>
              <w:right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2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46"/>
        </w:trPr>
        <w:tc>
          <w:tcPr>
            <w:tcW w:w="4180" w:type="dxa"/>
            <w:vAlign w:val="bottom"/>
            <w:tcBorders>
              <w:left w:val="single" w:sz="8" w:color="auto"/>
            </w:tcBorders>
            <w:vMerge w:val="continue"/>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$4,850</w:t>
            </w:r>
          </w:p>
        </w:tc>
        <w:tc>
          <w:tcPr>
            <w:tcW w:w="270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 $5,000</w:t>
            </w:r>
          </w:p>
        </w:tc>
        <w:tc>
          <w:tcPr>
            <w:tcW w:w="0" w:type="dxa"/>
            <w:vAlign w:val="bottom"/>
          </w:tcPr>
          <w:p>
            <w:pPr>
              <w:spacing w:after="0"/>
              <w:rPr>
                <w:sz w:val="1"/>
                <w:szCs w:val="1"/>
                <w:color w:val="auto"/>
              </w:rPr>
            </w:pPr>
          </w:p>
        </w:tc>
      </w:tr>
      <w:tr>
        <w:trPr>
          <w:trHeight w:val="47"/>
        </w:trPr>
        <w:tc>
          <w:tcPr>
            <w:tcW w:w="4180" w:type="dxa"/>
            <w:vAlign w:val="bottom"/>
            <w:tcBorders>
              <w:left w:val="single" w:sz="8" w:color="auto"/>
            </w:tcBorders>
            <w:vMerge w:val="restart"/>
          </w:tcPr>
          <w:p>
            <w:pPr>
              <w:ind w:left="40"/>
              <w:spacing w:after="0"/>
              <w:rPr>
                <w:sz w:val="20"/>
                <w:szCs w:val="20"/>
                <w:color w:val="auto"/>
              </w:rPr>
            </w:pPr>
            <w:r>
              <w:rPr>
                <w:rFonts w:ascii="Arial" w:cs="Arial" w:eastAsia="Arial" w:hAnsi="Arial"/>
                <w:sz w:val="20"/>
                <w:szCs w:val="20"/>
                <w:b w:val="1"/>
                <w:bCs w:val="1"/>
                <w:color w:val="auto"/>
              </w:rPr>
              <w:t>MTM-adjusted EPS</w:t>
            </w:r>
            <w:r>
              <w:rPr>
                <w:rFonts w:ascii="Arial" w:cs="Arial" w:eastAsia="Arial" w:hAnsi="Arial"/>
                <w:sz w:val="25"/>
                <w:szCs w:val="25"/>
                <w:b w:val="1"/>
                <w:bCs w:val="1"/>
                <w:color w:val="auto"/>
                <w:vertAlign w:val="superscript"/>
              </w:rPr>
              <w:t>1</w:t>
            </w:r>
          </w:p>
        </w:tc>
        <w:tc>
          <w:tcPr>
            <w:tcW w:w="1900" w:type="dxa"/>
            <w:vAlign w:val="bottom"/>
            <w:tcBorders>
              <w:right w:val="single" w:sz="8" w:color="auto"/>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46"/>
        </w:trPr>
        <w:tc>
          <w:tcPr>
            <w:tcW w:w="4180" w:type="dxa"/>
            <w:vAlign w:val="bottom"/>
            <w:tcBorders>
              <w:left w:val="single" w:sz="8" w:color="auto"/>
            </w:tcBorders>
            <w:vMerge w:val="continue"/>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$27.40</w:t>
            </w:r>
          </w:p>
        </w:tc>
        <w:tc>
          <w:tcPr>
            <w:tcW w:w="270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 $27.90</w:t>
            </w:r>
          </w:p>
        </w:tc>
        <w:tc>
          <w:tcPr>
            <w:tcW w:w="0" w:type="dxa"/>
            <w:vAlign w:val="bottom"/>
          </w:tcPr>
          <w:p>
            <w:pPr>
              <w:spacing w:after="0"/>
              <w:rPr>
                <w:sz w:val="1"/>
                <w:szCs w:val="1"/>
                <w:color w:val="auto"/>
              </w:rPr>
            </w:pPr>
          </w:p>
        </w:tc>
      </w:tr>
      <w:tr>
        <w:trPr>
          <w:trHeight w:val="47"/>
        </w:trPr>
        <w:tc>
          <w:tcPr>
            <w:tcW w:w="4180" w:type="dxa"/>
            <w:vAlign w:val="bottom"/>
            <w:tcBorders>
              <w:left w:val="single" w:sz="8" w:color="auto"/>
              <w:bottom w:val="single" w:sz="8" w:color="auto"/>
            </w:tcBorders>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46"/>
        </w:trPr>
        <w:tc>
          <w:tcPr>
            <w:tcW w:w="4180" w:type="dxa"/>
            <w:vAlign w:val="bottom"/>
            <w:tcBorders>
              <w:left w:val="single" w:sz="8" w:color="auto"/>
            </w:tcBorders>
          </w:tcPr>
          <w:p>
            <w:pPr>
              <w:ind w:left="40"/>
              <w:spacing w:after="0"/>
              <w:rPr>
                <w:sz w:val="20"/>
                <w:szCs w:val="20"/>
                <w:color w:val="auto"/>
              </w:rPr>
            </w:pPr>
            <w:r>
              <w:rPr>
                <w:rFonts w:ascii="Arial" w:cs="Arial" w:eastAsia="Arial" w:hAnsi="Arial"/>
                <w:sz w:val="20"/>
                <w:szCs w:val="20"/>
                <w:b w:val="1"/>
                <w:bCs w:val="1"/>
                <w:color w:val="auto"/>
              </w:rPr>
              <w:t>Free cash flow</w:t>
            </w:r>
            <w:r>
              <w:rPr>
                <w:rFonts w:ascii="Arial" w:cs="Arial" w:eastAsia="Arial" w:hAnsi="Arial"/>
                <w:sz w:val="25"/>
                <w:szCs w:val="25"/>
                <w:b w:val="1"/>
                <w:bCs w:val="1"/>
                <w:color w:val="auto"/>
                <w:vertAlign w:val="superscript"/>
              </w:rPr>
              <w:t>1</w:t>
            </w:r>
          </w:p>
        </w:tc>
        <w:tc>
          <w:tcPr>
            <w:tcW w:w="1900" w:type="dxa"/>
            <w:vAlign w:val="bottom"/>
            <w:tcBorders>
              <w:right w:val="single" w:sz="8" w:color="auto"/>
            </w:tcBorders>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$3,100</w:t>
            </w:r>
          </w:p>
        </w:tc>
        <w:tc>
          <w:tcPr>
            <w:tcW w:w="270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 $3,500</w:t>
            </w:r>
          </w:p>
        </w:tc>
        <w:tc>
          <w:tcPr>
            <w:tcW w:w="0" w:type="dxa"/>
            <w:vAlign w:val="bottom"/>
          </w:tcPr>
          <w:p>
            <w:pPr>
              <w:spacing w:after="0"/>
              <w:rPr>
                <w:sz w:val="1"/>
                <w:szCs w:val="1"/>
                <w:color w:val="auto"/>
              </w:rPr>
            </w:pPr>
          </w:p>
        </w:tc>
      </w:tr>
      <w:tr>
        <w:trPr>
          <w:trHeight w:val="41"/>
        </w:trPr>
        <w:tc>
          <w:tcPr>
            <w:tcW w:w="4180" w:type="dxa"/>
            <w:vAlign w:val="bottom"/>
            <w:tcBorders>
              <w:left w:val="single" w:sz="8" w:color="auto"/>
              <w:bottom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c>
          <w:tcPr>
            <w:tcW w:w="27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128905</wp:posOffset>
            </wp:positionV>
            <wp:extent cx="7115175" cy="21431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2143125"/>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2026 Segment Guidance</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6080" w:type="dxa"/>
            <w:vAlign w:val="bottom"/>
            <w:tcBorders>
              <w:top w:val="single" w:sz="8" w:color="auto"/>
              <w:right w:val="single" w:sz="8" w:color="auto"/>
            </w:tcBorders>
          </w:tcPr>
          <w:p>
            <w:pPr>
              <w:spacing w:after="0"/>
              <w:rPr>
                <w:sz w:val="20"/>
                <w:szCs w:val="20"/>
                <w:color w:val="auto"/>
              </w:rPr>
            </w:pPr>
          </w:p>
        </w:tc>
        <w:tc>
          <w:tcPr>
            <w:tcW w:w="5120" w:type="dxa"/>
            <w:vAlign w:val="bottom"/>
            <w:tcBorders>
              <w:top w:val="single" w:sz="8" w:color="auto"/>
              <w:bottom w:val="single" w:sz="8" w:color="auto"/>
            </w:tcBorders>
            <w:gridSpan w:val="2"/>
          </w:tcPr>
          <w:p>
            <w:pPr>
              <w:ind w:left="1900"/>
              <w:spacing w:after="0"/>
              <w:rPr>
                <w:sz w:val="20"/>
                <w:szCs w:val="20"/>
                <w:color w:val="auto"/>
              </w:rPr>
            </w:pPr>
            <w:r>
              <w:rPr>
                <w:rFonts w:ascii="Arial" w:cs="Arial" w:eastAsia="Arial" w:hAnsi="Arial"/>
                <w:sz w:val="18"/>
                <w:szCs w:val="18"/>
                <w:b w:val="1"/>
                <w:bCs w:val="1"/>
                <w:color w:val="auto"/>
              </w:rPr>
              <w:t>As of 1/27/2026</w:t>
            </w:r>
          </w:p>
        </w:tc>
        <w:tc>
          <w:tcPr>
            <w:tcW w:w="0" w:type="dxa"/>
            <w:vAlign w:val="bottom"/>
          </w:tcPr>
          <w:p>
            <w:pPr>
              <w:spacing w:after="0"/>
              <w:rPr>
                <w:sz w:val="1"/>
                <w:szCs w:val="1"/>
                <w:color w:val="auto"/>
              </w:rPr>
            </w:pPr>
          </w:p>
        </w:tc>
      </w:tr>
      <w:tr>
        <w:trPr>
          <w:trHeight w:val="223"/>
        </w:trPr>
        <w:tc>
          <w:tcPr>
            <w:tcW w:w="6080" w:type="dxa"/>
            <w:vAlign w:val="bottom"/>
            <w:tcBorders>
              <w:bottom w:val="single" w:sz="8" w:color="auto"/>
              <w:right w:val="single" w:sz="8" w:color="auto"/>
            </w:tcBorders>
          </w:tcPr>
          <w:p>
            <w:pPr>
              <w:spacing w:after="0"/>
              <w:rPr>
                <w:sz w:val="19"/>
                <w:szCs w:val="19"/>
                <w:color w:val="auto"/>
              </w:rPr>
            </w:pP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Sales ($B)</w:t>
            </w: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OM Rate %</w:t>
            </w:r>
          </w:p>
        </w:tc>
        <w:tc>
          <w:tcPr>
            <w:tcW w:w="0" w:type="dxa"/>
            <w:vAlign w:val="bottom"/>
          </w:tcPr>
          <w:p>
            <w:pPr>
              <w:spacing w:after="0"/>
              <w:rPr>
                <w:sz w:val="1"/>
                <w:szCs w:val="1"/>
                <w:color w:val="auto"/>
              </w:rPr>
            </w:pPr>
          </w:p>
        </w:tc>
      </w:tr>
      <w:tr>
        <w:trPr>
          <w:trHeight w:val="378"/>
        </w:trPr>
        <w:tc>
          <w:tcPr>
            <w:tcW w:w="6080" w:type="dxa"/>
            <w:vAlign w:val="bottom"/>
            <w:tcBorders>
              <w:right w:val="single" w:sz="8" w:color="auto"/>
            </w:tcBorders>
          </w:tcPr>
          <w:p>
            <w:pPr>
              <w:ind w:left="40"/>
              <w:spacing w:after="0"/>
              <w:rPr>
                <w:sz w:val="20"/>
                <w:szCs w:val="20"/>
                <w:color w:val="auto"/>
              </w:rPr>
            </w:pPr>
            <w:r>
              <w:rPr>
                <w:rFonts w:ascii="Arial" w:cs="Arial" w:eastAsia="Arial" w:hAnsi="Arial"/>
                <w:sz w:val="20"/>
                <w:szCs w:val="20"/>
                <w:b w:val="1"/>
                <w:bCs w:val="1"/>
                <w:color w:val="auto"/>
              </w:rPr>
              <w:t>Aeronautics Systems</w:t>
            </w:r>
          </w:p>
        </w:tc>
        <w:tc>
          <w:tcPr>
            <w:tcW w:w="25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rPr>
              <w:t>Mid $13</w:t>
            </w:r>
          </w:p>
        </w:tc>
        <w:tc>
          <w:tcPr>
            <w:tcW w:w="2560" w:type="dxa"/>
            <w:vAlign w:val="bottom"/>
          </w:tcPr>
          <w:p>
            <w:pPr>
              <w:jc w:val="center"/>
              <w:spacing w:after="0"/>
              <w:rPr>
                <w:sz w:val="20"/>
                <w:szCs w:val="20"/>
                <w:color w:val="auto"/>
              </w:rPr>
            </w:pPr>
            <w:r>
              <w:rPr>
                <w:rFonts w:ascii="Arial" w:cs="Arial" w:eastAsia="Arial" w:hAnsi="Arial"/>
                <w:sz w:val="20"/>
                <w:szCs w:val="20"/>
                <w:b w:val="1"/>
                <w:bCs w:val="1"/>
                <w:color w:val="auto"/>
                <w:w w:val="99"/>
              </w:rPr>
              <w:t>Low to Mid 9%</w:t>
            </w:r>
          </w:p>
        </w:tc>
        <w:tc>
          <w:tcPr>
            <w:tcW w:w="0" w:type="dxa"/>
            <w:vAlign w:val="bottom"/>
          </w:tcPr>
          <w:p>
            <w:pPr>
              <w:spacing w:after="0"/>
              <w:rPr>
                <w:sz w:val="1"/>
                <w:szCs w:val="1"/>
                <w:color w:val="auto"/>
              </w:rPr>
            </w:pPr>
          </w:p>
        </w:tc>
      </w:tr>
      <w:tr>
        <w:trPr>
          <w:trHeight w:val="115"/>
        </w:trPr>
        <w:tc>
          <w:tcPr>
            <w:tcW w:w="6080" w:type="dxa"/>
            <w:vAlign w:val="bottom"/>
            <w:tcBorders>
              <w:right w:val="single" w:sz="8" w:color="auto"/>
            </w:tcBorders>
            <w:vMerge w:val="restart"/>
          </w:tcPr>
          <w:p>
            <w:pPr>
              <w:ind w:left="40"/>
              <w:spacing w:after="0"/>
              <w:rPr>
                <w:sz w:val="20"/>
                <w:szCs w:val="20"/>
                <w:color w:val="auto"/>
              </w:rPr>
            </w:pPr>
            <w:r>
              <w:rPr>
                <w:rFonts w:ascii="Arial" w:cs="Arial" w:eastAsia="Arial" w:hAnsi="Arial"/>
                <w:sz w:val="20"/>
                <w:szCs w:val="20"/>
                <w:b w:val="1"/>
                <w:bCs w:val="1"/>
                <w:color w:val="auto"/>
              </w:rPr>
              <w:t>Defense Systems</w:t>
            </w:r>
          </w:p>
        </w:tc>
        <w:tc>
          <w:tcPr>
            <w:tcW w:w="2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8"/>
              </w:rPr>
              <w:t>Mid to High $8</w:t>
            </w:r>
          </w:p>
        </w:tc>
        <w:tc>
          <w:tcPr>
            <w:tcW w:w="2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78"/>
        </w:trPr>
        <w:tc>
          <w:tcPr>
            <w:tcW w:w="6080" w:type="dxa"/>
            <w:vAlign w:val="bottom"/>
            <w:tcBorders>
              <w:right w:val="single" w:sz="8" w:color="auto"/>
            </w:tcBorders>
            <w:vMerge w:val="continue"/>
          </w:tcPr>
          <w:p>
            <w:pPr>
              <w:spacing w:after="0"/>
              <w:rPr>
                <w:sz w:val="24"/>
                <w:szCs w:val="24"/>
                <w:color w:val="auto"/>
              </w:rPr>
            </w:pPr>
          </w:p>
        </w:tc>
        <w:tc>
          <w:tcPr>
            <w:tcW w:w="2560" w:type="dxa"/>
            <w:vAlign w:val="bottom"/>
            <w:tcBorders>
              <w:right w:val="single" w:sz="8" w:color="auto"/>
            </w:tcBorders>
            <w:vMerge w:val="continue"/>
          </w:tcPr>
          <w:p>
            <w:pPr>
              <w:spacing w:after="0"/>
              <w:rPr>
                <w:sz w:val="24"/>
                <w:szCs w:val="24"/>
                <w:color w:val="auto"/>
              </w:rPr>
            </w:pPr>
          </w:p>
        </w:tc>
        <w:tc>
          <w:tcPr>
            <w:tcW w:w="2560" w:type="dxa"/>
            <w:vAlign w:val="bottom"/>
          </w:tcPr>
          <w:p>
            <w:pPr>
              <w:jc w:val="center"/>
              <w:spacing w:after="0"/>
              <w:rPr>
                <w:sz w:val="20"/>
                <w:szCs w:val="20"/>
                <w:color w:val="auto"/>
              </w:rPr>
            </w:pPr>
            <w:r>
              <w:rPr>
                <w:rFonts w:ascii="Arial" w:cs="Arial" w:eastAsia="Arial" w:hAnsi="Arial"/>
                <w:sz w:val="20"/>
                <w:szCs w:val="20"/>
                <w:b w:val="1"/>
                <w:bCs w:val="1"/>
                <w:color w:val="auto"/>
                <w:w w:val="96"/>
              </w:rPr>
              <w:t>~10%</w:t>
            </w:r>
          </w:p>
        </w:tc>
        <w:tc>
          <w:tcPr>
            <w:tcW w:w="0" w:type="dxa"/>
            <w:vAlign w:val="bottom"/>
          </w:tcPr>
          <w:p>
            <w:pPr>
              <w:spacing w:after="0"/>
              <w:rPr>
                <w:sz w:val="1"/>
                <w:szCs w:val="1"/>
                <w:color w:val="auto"/>
              </w:rPr>
            </w:pPr>
          </w:p>
        </w:tc>
      </w:tr>
      <w:tr>
        <w:trPr>
          <w:trHeight w:val="115"/>
        </w:trPr>
        <w:tc>
          <w:tcPr>
            <w:tcW w:w="6080" w:type="dxa"/>
            <w:vAlign w:val="bottom"/>
            <w:tcBorders>
              <w:right w:val="single" w:sz="8" w:color="auto"/>
            </w:tcBorders>
            <w:vMerge w:val="restart"/>
          </w:tcPr>
          <w:p>
            <w:pPr>
              <w:ind w:left="40"/>
              <w:spacing w:after="0"/>
              <w:rPr>
                <w:sz w:val="20"/>
                <w:szCs w:val="20"/>
                <w:color w:val="auto"/>
              </w:rPr>
            </w:pPr>
            <w:r>
              <w:rPr>
                <w:rFonts w:ascii="Arial" w:cs="Arial" w:eastAsia="Arial" w:hAnsi="Arial"/>
                <w:sz w:val="20"/>
                <w:szCs w:val="20"/>
                <w:b w:val="1"/>
                <w:bCs w:val="1"/>
                <w:color w:val="auto"/>
              </w:rPr>
              <w:t>Mission Systems</w:t>
            </w:r>
          </w:p>
        </w:tc>
        <w:tc>
          <w:tcPr>
            <w:tcW w:w="2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8"/>
              </w:rPr>
              <w:t>High $12</w:t>
            </w:r>
          </w:p>
        </w:tc>
        <w:tc>
          <w:tcPr>
            <w:tcW w:w="2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78"/>
        </w:trPr>
        <w:tc>
          <w:tcPr>
            <w:tcW w:w="6080" w:type="dxa"/>
            <w:vAlign w:val="bottom"/>
            <w:tcBorders>
              <w:right w:val="single" w:sz="8" w:color="auto"/>
            </w:tcBorders>
            <w:vMerge w:val="continue"/>
          </w:tcPr>
          <w:p>
            <w:pPr>
              <w:spacing w:after="0"/>
              <w:rPr>
                <w:sz w:val="24"/>
                <w:szCs w:val="24"/>
                <w:color w:val="auto"/>
              </w:rPr>
            </w:pPr>
          </w:p>
        </w:tc>
        <w:tc>
          <w:tcPr>
            <w:tcW w:w="2560" w:type="dxa"/>
            <w:vAlign w:val="bottom"/>
            <w:tcBorders>
              <w:right w:val="single" w:sz="8" w:color="auto"/>
            </w:tcBorders>
            <w:vMerge w:val="continue"/>
          </w:tcPr>
          <w:p>
            <w:pPr>
              <w:spacing w:after="0"/>
              <w:rPr>
                <w:sz w:val="24"/>
                <w:szCs w:val="24"/>
                <w:color w:val="auto"/>
              </w:rPr>
            </w:pPr>
          </w:p>
        </w:tc>
        <w:tc>
          <w:tcPr>
            <w:tcW w:w="2560" w:type="dxa"/>
            <w:vAlign w:val="bottom"/>
          </w:tcPr>
          <w:p>
            <w:pPr>
              <w:jc w:val="center"/>
              <w:spacing w:after="0"/>
              <w:rPr>
                <w:sz w:val="20"/>
                <w:szCs w:val="20"/>
                <w:color w:val="auto"/>
              </w:rPr>
            </w:pPr>
            <w:r>
              <w:rPr>
                <w:rFonts w:ascii="Arial" w:cs="Arial" w:eastAsia="Arial" w:hAnsi="Arial"/>
                <w:sz w:val="20"/>
                <w:szCs w:val="20"/>
                <w:b w:val="1"/>
                <w:bCs w:val="1"/>
                <w:color w:val="auto"/>
                <w:w w:val="99"/>
              </w:rPr>
              <w:t>High 14%</w:t>
            </w:r>
          </w:p>
        </w:tc>
        <w:tc>
          <w:tcPr>
            <w:tcW w:w="0" w:type="dxa"/>
            <w:vAlign w:val="bottom"/>
          </w:tcPr>
          <w:p>
            <w:pPr>
              <w:spacing w:after="0"/>
              <w:rPr>
                <w:sz w:val="1"/>
                <w:szCs w:val="1"/>
                <w:color w:val="auto"/>
              </w:rPr>
            </w:pPr>
          </w:p>
        </w:tc>
      </w:tr>
      <w:tr>
        <w:trPr>
          <w:trHeight w:val="115"/>
        </w:trPr>
        <w:tc>
          <w:tcPr>
            <w:tcW w:w="6080" w:type="dxa"/>
            <w:vAlign w:val="bottom"/>
            <w:tcBorders>
              <w:right w:val="single" w:sz="8" w:color="auto"/>
            </w:tcBorders>
            <w:vMerge w:val="restart"/>
          </w:tcPr>
          <w:p>
            <w:pPr>
              <w:ind w:left="40"/>
              <w:spacing w:after="0"/>
              <w:rPr>
                <w:sz w:val="20"/>
                <w:szCs w:val="20"/>
                <w:color w:val="auto"/>
              </w:rPr>
            </w:pPr>
            <w:r>
              <w:rPr>
                <w:rFonts w:ascii="Arial" w:cs="Arial" w:eastAsia="Arial" w:hAnsi="Arial"/>
                <w:sz w:val="20"/>
                <w:szCs w:val="20"/>
                <w:b w:val="1"/>
                <w:bCs w:val="1"/>
                <w:color w:val="auto"/>
              </w:rPr>
              <w:t>Space Systems</w:t>
            </w:r>
          </w:p>
        </w:tc>
        <w:tc>
          <w:tcPr>
            <w:tcW w:w="2560" w:type="dxa"/>
            <w:vAlign w:val="bottom"/>
            <w:tcBorders>
              <w:right w:val="single" w:sz="8" w:color="auto"/>
            </w:tcBorders>
            <w:vMerge w:val="restart"/>
          </w:tcPr>
          <w:p>
            <w:pPr>
              <w:jc w:val="right"/>
              <w:ind w:right="984"/>
              <w:spacing w:after="0"/>
              <w:rPr>
                <w:sz w:val="20"/>
                <w:szCs w:val="20"/>
                <w:color w:val="auto"/>
              </w:rPr>
            </w:pPr>
            <w:r>
              <w:rPr>
                <w:rFonts w:ascii="Arial" w:cs="Arial" w:eastAsia="Arial" w:hAnsi="Arial"/>
                <w:sz w:val="20"/>
                <w:szCs w:val="20"/>
                <w:b w:val="1"/>
                <w:bCs w:val="1"/>
                <w:color w:val="auto"/>
              </w:rPr>
              <w:t>~$11</w:t>
            </w:r>
          </w:p>
        </w:tc>
        <w:tc>
          <w:tcPr>
            <w:tcW w:w="2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78"/>
        </w:trPr>
        <w:tc>
          <w:tcPr>
            <w:tcW w:w="6080" w:type="dxa"/>
            <w:vAlign w:val="bottom"/>
            <w:tcBorders>
              <w:right w:val="single" w:sz="8" w:color="auto"/>
            </w:tcBorders>
            <w:vMerge w:val="continue"/>
          </w:tcPr>
          <w:p>
            <w:pPr>
              <w:spacing w:after="0"/>
              <w:rPr>
                <w:sz w:val="24"/>
                <w:szCs w:val="24"/>
                <w:color w:val="auto"/>
              </w:rPr>
            </w:pPr>
          </w:p>
        </w:tc>
        <w:tc>
          <w:tcPr>
            <w:tcW w:w="2560" w:type="dxa"/>
            <w:vAlign w:val="bottom"/>
            <w:tcBorders>
              <w:right w:val="single" w:sz="8" w:color="auto"/>
            </w:tcBorders>
            <w:vMerge w:val="continue"/>
          </w:tcPr>
          <w:p>
            <w:pPr>
              <w:spacing w:after="0"/>
              <w:rPr>
                <w:sz w:val="24"/>
                <w:szCs w:val="24"/>
                <w:color w:val="auto"/>
              </w:rPr>
            </w:pPr>
          </w:p>
        </w:tc>
        <w:tc>
          <w:tcPr>
            <w:tcW w:w="2560" w:type="dxa"/>
            <w:vAlign w:val="bottom"/>
          </w:tcPr>
          <w:p>
            <w:pPr>
              <w:jc w:val="center"/>
              <w:spacing w:after="0"/>
              <w:rPr>
                <w:sz w:val="20"/>
                <w:szCs w:val="20"/>
                <w:color w:val="auto"/>
              </w:rPr>
            </w:pPr>
            <w:r>
              <w:rPr>
                <w:rFonts w:ascii="Arial" w:cs="Arial" w:eastAsia="Arial" w:hAnsi="Arial"/>
                <w:sz w:val="20"/>
                <w:szCs w:val="20"/>
                <w:b w:val="1"/>
                <w:bCs w:val="1"/>
                <w:color w:val="auto"/>
                <w:w w:val="96"/>
              </w:rPr>
              <w:t>~11%</w:t>
            </w:r>
          </w:p>
        </w:tc>
        <w:tc>
          <w:tcPr>
            <w:tcW w:w="0" w:type="dxa"/>
            <w:vAlign w:val="bottom"/>
          </w:tcPr>
          <w:p>
            <w:pPr>
              <w:spacing w:after="0"/>
              <w:rPr>
                <w:sz w:val="1"/>
                <w:szCs w:val="1"/>
                <w:color w:val="auto"/>
              </w:rPr>
            </w:pPr>
          </w:p>
        </w:tc>
      </w:tr>
      <w:tr>
        <w:trPr>
          <w:trHeight w:val="115"/>
        </w:trPr>
        <w:tc>
          <w:tcPr>
            <w:tcW w:w="6080" w:type="dxa"/>
            <w:vAlign w:val="bottom"/>
            <w:tcBorders>
              <w:right w:val="single" w:sz="8" w:color="auto"/>
            </w:tcBorders>
          </w:tcPr>
          <w:p>
            <w:pPr>
              <w:spacing w:after="0"/>
              <w:rPr>
                <w:sz w:val="10"/>
                <w:szCs w:val="10"/>
                <w:color w:val="auto"/>
              </w:rPr>
            </w:pPr>
          </w:p>
        </w:tc>
        <w:tc>
          <w:tcPr>
            <w:tcW w:w="2560" w:type="dxa"/>
            <w:vAlign w:val="bottom"/>
            <w:tcBorders>
              <w:right w:val="single" w:sz="8" w:color="auto"/>
            </w:tcBorders>
          </w:tcPr>
          <w:p>
            <w:pPr>
              <w:spacing w:after="0"/>
              <w:rPr>
                <w:sz w:val="10"/>
                <w:szCs w:val="10"/>
                <w:color w:val="auto"/>
              </w:rPr>
            </w:pPr>
          </w:p>
        </w:tc>
        <w:tc>
          <w:tcPr>
            <w:tcW w:w="2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65"/>
        </w:trPr>
        <w:tc>
          <w:tcPr>
            <w:tcW w:w="6080" w:type="dxa"/>
            <w:vAlign w:val="bottom"/>
            <w:tcBorders>
              <w:right w:val="single" w:sz="8" w:color="auto"/>
            </w:tcBorders>
          </w:tcPr>
          <w:p>
            <w:pPr>
              <w:ind w:left="40"/>
              <w:spacing w:after="0"/>
              <w:rPr>
                <w:sz w:val="20"/>
                <w:szCs w:val="20"/>
                <w:color w:val="auto"/>
              </w:rPr>
            </w:pPr>
            <w:r>
              <w:rPr>
                <w:rFonts w:ascii="Arial" w:cs="Arial" w:eastAsia="Arial" w:hAnsi="Arial"/>
                <w:sz w:val="20"/>
                <w:szCs w:val="20"/>
                <w:b w:val="1"/>
                <w:bCs w:val="1"/>
                <w:color w:val="auto"/>
              </w:rPr>
              <w:t>Intersegment Eliminations</w:t>
            </w:r>
          </w:p>
        </w:tc>
        <w:tc>
          <w:tcPr>
            <w:tcW w:w="2560" w:type="dxa"/>
            <w:vAlign w:val="bottom"/>
            <w:tcBorders>
              <w:right w:val="single" w:sz="8" w:color="auto"/>
            </w:tcBorders>
          </w:tcPr>
          <w:p>
            <w:pPr>
              <w:jc w:val="right"/>
              <w:ind w:right="884"/>
              <w:spacing w:after="0"/>
              <w:rPr>
                <w:sz w:val="20"/>
                <w:szCs w:val="20"/>
                <w:color w:val="auto"/>
              </w:rPr>
            </w:pPr>
            <w:r>
              <w:rPr>
                <w:rFonts w:ascii="Arial" w:cs="Arial" w:eastAsia="Arial" w:hAnsi="Arial"/>
                <w:sz w:val="20"/>
                <w:szCs w:val="20"/>
                <w:b w:val="1"/>
                <w:bCs w:val="1"/>
                <w:color w:val="auto"/>
              </w:rPr>
              <w:t>~($2.4)</w:t>
            </w:r>
          </w:p>
        </w:tc>
        <w:tc>
          <w:tcPr>
            <w:tcW w:w="2560" w:type="dxa"/>
            <w:vAlign w:val="bottom"/>
          </w:tcPr>
          <w:p>
            <w:pPr>
              <w:jc w:val="center"/>
              <w:spacing w:after="0"/>
              <w:rPr>
                <w:sz w:val="20"/>
                <w:szCs w:val="20"/>
                <w:color w:val="auto"/>
              </w:rPr>
            </w:pPr>
            <w:r>
              <w:rPr>
                <w:rFonts w:ascii="Arial" w:cs="Arial" w:eastAsia="Arial" w:hAnsi="Arial"/>
                <w:sz w:val="20"/>
                <w:szCs w:val="20"/>
                <w:b w:val="1"/>
                <w:bCs w:val="1"/>
                <w:color w:val="auto"/>
                <w:w w:val="99"/>
              </w:rPr>
              <w:t>High 13%</w:t>
            </w:r>
          </w:p>
        </w:tc>
        <w:tc>
          <w:tcPr>
            <w:tcW w:w="0" w:type="dxa"/>
            <w:vAlign w:val="bottom"/>
          </w:tcPr>
          <w:p>
            <w:pPr>
              <w:spacing w:after="0"/>
              <w:rPr>
                <w:sz w:val="1"/>
                <w:szCs w:val="1"/>
                <w:color w:val="auto"/>
              </w:rPr>
            </w:pPr>
          </w:p>
        </w:tc>
      </w:tr>
      <w:tr>
        <w:trPr>
          <w:trHeight w:val="122"/>
        </w:trPr>
        <w:tc>
          <w:tcPr>
            <w:tcW w:w="6080" w:type="dxa"/>
            <w:vAlign w:val="bottom"/>
            <w:tcBorders>
              <w:bottom w:val="single" w:sz="8" w:color="auto"/>
              <w:right w:val="single" w:sz="8" w:color="auto"/>
            </w:tcBorders>
          </w:tcPr>
          <w:p>
            <w:pPr>
              <w:spacing w:after="0"/>
              <w:rPr>
                <w:sz w:val="10"/>
                <w:szCs w:val="10"/>
                <w:color w:val="auto"/>
              </w:rPr>
            </w:pPr>
          </w:p>
        </w:tc>
        <w:tc>
          <w:tcPr>
            <w:tcW w:w="2560" w:type="dxa"/>
            <w:vAlign w:val="bottom"/>
            <w:tcBorders>
              <w:bottom w:val="single" w:sz="8" w:color="auto"/>
              <w:right w:val="single" w:sz="8" w:color="auto"/>
            </w:tcBorders>
          </w:tcPr>
          <w:p>
            <w:pPr>
              <w:spacing w:after="0"/>
              <w:rPr>
                <w:sz w:val="10"/>
                <w:szCs w:val="10"/>
                <w:color w:val="auto"/>
              </w:rPr>
            </w:pPr>
          </w:p>
        </w:tc>
        <w:tc>
          <w:tcPr>
            <w:tcW w:w="2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260" w:hanging="234"/>
        <w:spacing w:after="0"/>
        <w:tabs>
          <w:tab w:leader="none" w:pos="260" w:val="left"/>
        </w:tabs>
        <w:numPr>
          <w:ilvl w:val="0"/>
          <w:numId w:val="13"/>
        </w:numPr>
        <w:rPr>
          <w:rFonts w:ascii="Arial" w:cs="Arial" w:eastAsia="Arial" w:hAnsi="Arial"/>
          <w:sz w:val="8"/>
          <w:szCs w:val="8"/>
          <w:color w:val="auto"/>
        </w:rPr>
      </w:pPr>
      <w:r>
        <w:rPr>
          <w:rFonts w:ascii="Arial" w:cs="Arial" w:eastAsia="Arial" w:hAnsi="Arial"/>
          <w:sz w:val="13"/>
          <w:szCs w:val="13"/>
          <w:color w:val="auto"/>
        </w:rPr>
        <w:t>Non-GAAP measure - see definitions at the end of this earnings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584835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520"/>
        <w:spacing w:after="0"/>
        <w:rPr>
          <w:sz w:val="20"/>
          <w:szCs w:val="20"/>
          <w:color w:val="auto"/>
        </w:rPr>
      </w:pPr>
      <w:r>
        <w:rPr>
          <w:rFonts w:ascii="Arial" w:cs="Arial" w:eastAsia="Arial" w:hAnsi="Arial"/>
          <w:sz w:val="14"/>
          <w:szCs w:val="14"/>
          <w:b w:val="1"/>
          <w:bCs w:val="1"/>
          <w:color w:val="auto"/>
        </w:rPr>
        <w:t>Northrop Grumman Corporation</w:t>
      </w:r>
    </w:p>
    <w:p>
      <w:pPr>
        <w:ind w:left="3820"/>
        <w:spacing w:after="0" w:line="203" w:lineRule="auto"/>
        <w:rPr>
          <w:sz w:val="20"/>
          <w:szCs w:val="20"/>
          <w:color w:val="auto"/>
        </w:rPr>
      </w:pPr>
      <w:r>
        <w:rPr>
          <w:rFonts w:ascii="Arial" w:cs="Arial" w:eastAsia="Arial" w:hAnsi="Arial"/>
          <w:sz w:val="14"/>
          <w:szCs w:val="14"/>
          <w:color w:val="auto"/>
        </w:rPr>
        <w:t>2980 Fairview Park Drive • Falls Church, VA 22042-4511</w:t>
      </w:r>
    </w:p>
    <w:p>
      <w:pPr>
        <w:jc w:val="center"/>
        <w:ind w:right="-19"/>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40"/>
          </w:cols>
          <w:pgMar w:left="320" w:top="376" w:right="339" w:bottom="1440" w:gutter="0" w:footer="0" w:header="0"/>
        </w:sectPr>
      </w:pPr>
    </w:p>
    <w:bookmarkStart w:id="12" w:name="page13"/>
    <w:bookmarkEnd w:id="12"/>
    <w:tbl>
      <w:tblPr>
        <w:tblLayout w:type="fixed"/>
        <w:tblInd w:w="20" w:type="dxa"/>
        <w:tblCellMar>
          <w:top w:w="0" w:type="dxa"/>
          <w:left w:w="0" w:type="dxa"/>
          <w:bottom w:w="0" w:type="dxa"/>
          <w:right w:w="0" w:type="dxa"/>
        </w:tblCellMar>
      </w:tblPr>
      <w:tr>
        <w:trPr>
          <w:trHeight w:val="250"/>
        </w:trPr>
        <w:tc>
          <w:tcPr>
            <w:tcW w:w="71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8"/>
              </w:rPr>
              <w:t>Northrop Grumman Reports Fourth Quarter and Full-Year 2025 Financial Results</w:t>
            </w:r>
          </w:p>
        </w:tc>
        <w:tc>
          <w:tcPr>
            <w:tcW w:w="4100" w:type="dxa"/>
            <w:vAlign w:val="bottom"/>
            <w:vMerge w:val="restart"/>
          </w:tcPr>
          <w:p>
            <w:pPr>
              <w:jc w:val="right"/>
              <w:spacing w:after="0"/>
              <w:rPr>
                <w:sz w:val="20"/>
                <w:szCs w:val="20"/>
                <w:color w:val="auto"/>
              </w:rPr>
            </w:pPr>
            <w:r>
              <w:rPr>
                <w:rFonts w:ascii="Arial" w:cs="Arial" w:eastAsia="Arial" w:hAnsi="Arial"/>
                <w:sz w:val="22"/>
                <w:szCs w:val="22"/>
                <w:color w:val="auto"/>
              </w:rPr>
              <w:t>10</w:t>
            </w:r>
          </w:p>
        </w:tc>
        <w:tc>
          <w:tcPr>
            <w:tcW w:w="0" w:type="dxa"/>
            <w:vAlign w:val="bottom"/>
          </w:tcPr>
          <w:p>
            <w:pPr>
              <w:spacing w:after="0"/>
              <w:rPr>
                <w:sz w:val="1"/>
                <w:szCs w:val="1"/>
                <w:color w:val="auto"/>
              </w:rPr>
            </w:pPr>
          </w:p>
        </w:tc>
      </w:tr>
      <w:tr>
        <w:trPr>
          <w:trHeight w:val="116"/>
        </w:trPr>
        <w:tc>
          <w:tcPr>
            <w:tcW w:w="7100" w:type="dxa"/>
            <w:vAlign w:val="bottom"/>
          </w:tcPr>
          <w:p>
            <w:pPr>
              <w:spacing w:after="0"/>
              <w:rPr>
                <w:sz w:val="10"/>
                <w:szCs w:val="10"/>
                <w:color w:val="auto"/>
              </w:rPr>
            </w:pPr>
          </w:p>
        </w:tc>
        <w:tc>
          <w:tcPr>
            <w:tcW w:w="4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Northrop Grumman</w:t>
      </w:r>
    </w:p>
    <w:p>
      <w:pPr>
        <w:spacing w:after="0" w:line="100" w:lineRule="exact"/>
        <w:rPr>
          <w:sz w:val="20"/>
          <w:szCs w:val="20"/>
          <w:color w:val="auto"/>
        </w:rPr>
      </w:pPr>
    </w:p>
    <w:p>
      <w:pPr>
        <w:ind w:firstLine="324"/>
        <w:spacing w:after="0" w:line="257" w:lineRule="auto"/>
        <w:rPr>
          <w:sz w:val="20"/>
          <w:szCs w:val="20"/>
          <w:color w:val="auto"/>
        </w:rPr>
      </w:pPr>
      <w:r>
        <w:rPr>
          <w:rFonts w:ascii="Arial" w:cs="Arial" w:eastAsia="Arial" w:hAnsi="Arial"/>
          <w:sz w:val="22"/>
          <w:szCs w:val="22"/>
          <w:color w:val="auto"/>
        </w:rPr>
        <w:t xml:space="preserve">Northrop Grumman will webcast its earnings conference call at 9:30 a.m. Eastern Time on January 27, 2026. A live audio broadcast of the conference call will be available on the investor relations page of the company’s website at </w:t>
      </w:r>
      <w:r>
        <w:rPr>
          <w:rFonts w:ascii="Arial" w:cs="Arial" w:eastAsia="Arial" w:hAnsi="Arial"/>
          <w:sz w:val="22"/>
          <w:szCs w:val="22"/>
          <w:u w:val="single" w:color="auto"/>
          <w:color w:val="auto"/>
        </w:rPr>
        <w:t>www.northropgrumman.com</w:t>
      </w:r>
      <w:r>
        <w:rPr>
          <w:rFonts w:ascii="Arial" w:cs="Arial" w:eastAsia="Arial" w:hAnsi="Arial"/>
          <w:sz w:val="22"/>
          <w:szCs w:val="22"/>
          <w:color w:val="auto"/>
        </w:rPr>
        <w:t>.</w:t>
      </w:r>
    </w:p>
    <w:p>
      <w:pPr>
        <w:spacing w:after="0" w:line="51" w:lineRule="exact"/>
        <w:rPr>
          <w:sz w:val="20"/>
          <w:szCs w:val="20"/>
          <w:color w:val="auto"/>
        </w:rPr>
      </w:pPr>
    </w:p>
    <w:p>
      <w:pPr>
        <w:ind w:right="200" w:firstLine="324"/>
        <w:spacing w:after="0" w:line="257" w:lineRule="auto"/>
        <w:rPr>
          <w:sz w:val="20"/>
          <w:szCs w:val="20"/>
          <w:color w:val="auto"/>
        </w:rPr>
      </w:pPr>
      <w:r>
        <w:rPr>
          <w:rFonts w:ascii="Arial" w:cs="Arial" w:eastAsia="Arial" w:hAnsi="Arial"/>
          <w:sz w:val="22"/>
          <w:szCs w:val="22"/>
          <w:color w:val="auto"/>
        </w:rPr>
        <w:t>Northrop Grumman is a leading global aerospace and defense technology company. Our pioneering solutions equip our customers with the capabilities they need to connect and protect the world, and push the boundaries of human exploration across the universe. Driven by a shared purpose to solve our customers’ toughest problems, our employees define possible every day.</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Forward-Looking Statements and Projections</w:t>
      </w:r>
    </w:p>
    <w:p>
      <w:pPr>
        <w:spacing w:after="0" w:line="87" w:lineRule="exact"/>
        <w:rPr>
          <w:sz w:val="20"/>
          <w:szCs w:val="20"/>
          <w:color w:val="auto"/>
        </w:rPr>
      </w:pPr>
    </w:p>
    <w:p>
      <w:pPr>
        <w:ind w:right="160"/>
        <w:spacing w:after="0" w:line="268" w:lineRule="auto"/>
        <w:rPr>
          <w:sz w:val="20"/>
          <w:szCs w:val="20"/>
          <w:color w:val="auto"/>
        </w:rPr>
      </w:pPr>
      <w:r>
        <w:rPr>
          <w:rFonts w:ascii="Arial" w:cs="Arial" w:eastAsia="Arial" w:hAnsi="Arial"/>
          <w:sz w:val="21"/>
          <w:szCs w:val="21"/>
          <w:color w:val="auto"/>
        </w:rPr>
        <w:t>This earnings release and the information we are incorporating by reference, and statements to be made on the earnings conference call, contain or may contain statements that constitute “forward-looking statements” within the meaning of the Private Securities Litigation Reform Act of 1995. Words such as “will,” “expect,” “anticipate,” “intend,” “may,” “could,” “should,” “plan,” “strategy,” “project,” “forecast,” “achieve,” “believe,” “estimate,” “guidance,” “outlook,” “trends,” “goals,” “confident,” “on track” and similar expressions generally identify these forward-looking statements.</w:t>
      </w:r>
    </w:p>
    <w:p>
      <w:pPr>
        <w:spacing w:after="0" w:line="42"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Forward-looking statements include, among other things, statements relating to our future financial condition, results of operations and/or cash flows, including financial guidance, outlook, trends, expectations and other forward-looking statements for 2026 and beyond. Forward-looking statements are based upon assumptions, expectations, plans and projections that we believe to be reasonable when made, but which may change over time. These statements are not guarantees of future performance and inherently involve a wide range of risks and uncertainties that are difficult to predict. Specific risks that could cause actual results to differ materially from those expressed or implied in these forward-looking statements include, but are not limited to, those identified and discussed more fully in the section entitled “Risk Factors” in the Form 10-K for the year ended December 31, 2025, and from time to time in our other filings with the Securities and Exchange Commission (SEC). They include:</w:t>
      </w:r>
    </w:p>
    <w:p>
      <w:pPr>
        <w:spacing w:after="0" w:line="45" w:lineRule="exact"/>
        <w:rPr>
          <w:sz w:val="20"/>
          <w:szCs w:val="20"/>
          <w:color w:val="auto"/>
        </w:rPr>
      </w:pPr>
    </w:p>
    <w:p>
      <w:pPr>
        <w:spacing w:after="0"/>
        <w:rPr>
          <w:sz w:val="20"/>
          <w:szCs w:val="20"/>
          <w:color w:val="auto"/>
        </w:rPr>
      </w:pPr>
      <w:r>
        <w:rPr>
          <w:rFonts w:ascii="Arial" w:cs="Arial" w:eastAsia="Arial" w:hAnsi="Arial"/>
          <w:sz w:val="22"/>
          <w:szCs w:val="22"/>
          <w:color w:val="auto"/>
        </w:rPr>
        <w:t>Industry and Economic Risks</w:t>
      </w:r>
    </w:p>
    <w:p>
      <w:pPr>
        <w:spacing w:after="0" w:line="98"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22"/>
          <w:szCs w:val="22"/>
          <w:color w:val="auto"/>
        </w:rPr>
      </w:pPr>
      <w:r>
        <w:rPr>
          <w:rFonts w:ascii="Arial" w:cs="Arial" w:eastAsia="Arial" w:hAnsi="Arial"/>
          <w:sz w:val="22"/>
          <w:szCs w:val="22"/>
          <w:color w:val="auto"/>
        </w:rPr>
        <w:t>our dependence on the U.S. government for a substantial portion of our business</w:t>
      </w:r>
    </w:p>
    <w:p>
      <w:pPr>
        <w:spacing w:after="0" w:line="98" w:lineRule="exact"/>
        <w:rPr>
          <w:rFonts w:ascii="Arial" w:cs="Arial" w:eastAsia="Arial" w:hAnsi="Arial"/>
          <w:sz w:val="22"/>
          <w:szCs w:val="22"/>
          <w:color w:val="auto"/>
        </w:rPr>
      </w:pPr>
    </w:p>
    <w:p>
      <w:pPr>
        <w:jc w:val="both"/>
        <w:ind w:left="340" w:right="620" w:hanging="332"/>
        <w:spacing w:after="0" w:line="257" w:lineRule="auto"/>
        <w:tabs>
          <w:tab w:leader="none" w:pos="335" w:val="left"/>
        </w:tabs>
        <w:numPr>
          <w:ilvl w:val="0"/>
          <w:numId w:val="14"/>
        </w:numPr>
        <w:rPr>
          <w:rFonts w:ascii="Arial" w:cs="Arial" w:eastAsia="Arial" w:hAnsi="Arial"/>
          <w:sz w:val="22"/>
          <w:szCs w:val="22"/>
          <w:color w:val="auto"/>
        </w:rPr>
      </w:pPr>
      <w:r>
        <w:rPr>
          <w:rFonts w:ascii="Arial" w:cs="Arial" w:eastAsia="Arial" w:hAnsi="Arial"/>
          <w:sz w:val="22"/>
          <w:szCs w:val="22"/>
          <w:color w:val="auto"/>
        </w:rPr>
        <w:t>significant delays or reductions in appropriations and/or for our programs, and U.S. government funding and program support more broadly, including as a result of a prolonged continuing resolution and/or government shutdown, and/or related to the global security environment or other global events</w:t>
      </w:r>
    </w:p>
    <w:p>
      <w:pPr>
        <w:spacing w:after="0" w:line="51" w:lineRule="exact"/>
        <w:rPr>
          <w:rFonts w:ascii="Arial" w:cs="Arial" w:eastAsia="Arial" w:hAnsi="Arial"/>
          <w:sz w:val="22"/>
          <w:szCs w:val="22"/>
          <w:color w:val="auto"/>
        </w:rPr>
      </w:pPr>
    </w:p>
    <w:p>
      <w:pPr>
        <w:ind w:left="340" w:right="120" w:hanging="332"/>
        <w:spacing w:after="0" w:line="285" w:lineRule="auto"/>
        <w:tabs>
          <w:tab w:leader="none" w:pos="335" w:val="left"/>
        </w:tabs>
        <w:numPr>
          <w:ilvl w:val="0"/>
          <w:numId w:val="14"/>
        </w:numPr>
        <w:rPr>
          <w:rFonts w:ascii="Arial" w:cs="Arial" w:eastAsia="Arial" w:hAnsi="Arial"/>
          <w:sz w:val="22"/>
          <w:szCs w:val="22"/>
          <w:color w:val="auto"/>
        </w:rPr>
      </w:pPr>
      <w:r>
        <w:rPr>
          <w:rFonts w:ascii="Arial" w:cs="Arial" w:eastAsia="Arial" w:hAnsi="Arial"/>
          <w:sz w:val="22"/>
          <w:szCs w:val="22"/>
          <w:color w:val="auto"/>
        </w:rPr>
        <w:t>significant delays or reductions in payments as a result of or related to a breach of the debt ceiling or a prolonged government shutdown</w:t>
      </w:r>
    </w:p>
    <w:p>
      <w:pPr>
        <w:spacing w:after="0" w:line="6" w:lineRule="exact"/>
        <w:rPr>
          <w:rFonts w:ascii="Arial" w:cs="Arial" w:eastAsia="Arial" w:hAnsi="Arial"/>
          <w:sz w:val="22"/>
          <w:szCs w:val="22"/>
          <w:color w:val="auto"/>
        </w:rPr>
      </w:pPr>
    </w:p>
    <w:p>
      <w:pPr>
        <w:ind w:left="340" w:right="400" w:hanging="332"/>
        <w:spacing w:after="0" w:line="257" w:lineRule="auto"/>
        <w:tabs>
          <w:tab w:leader="none" w:pos="335"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use of estimates when accounting for our contracts and the effect of contract cost growth and our efforts to recover or offset such costs and/or changes in estimated contract costs and revenues, including as a result of inflationary pressures, labor shortages, supply chain challenges, changes in trade policies and/or other macroeconomic factors, and risks 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520"/>
        <w:spacing w:after="0"/>
        <w:rPr>
          <w:sz w:val="20"/>
          <w:szCs w:val="20"/>
          <w:color w:val="auto"/>
        </w:rPr>
      </w:pPr>
      <w:r>
        <w:rPr>
          <w:rFonts w:ascii="Arial" w:cs="Arial" w:eastAsia="Arial" w:hAnsi="Arial"/>
          <w:sz w:val="14"/>
          <w:szCs w:val="14"/>
          <w:b w:val="1"/>
          <w:bCs w:val="1"/>
          <w:color w:val="auto"/>
        </w:rPr>
        <w:t>Northrop Grumman Corporation</w:t>
      </w:r>
    </w:p>
    <w:p>
      <w:pPr>
        <w:ind w:left="3820"/>
        <w:spacing w:after="0" w:line="203" w:lineRule="auto"/>
        <w:rPr>
          <w:sz w:val="20"/>
          <w:szCs w:val="20"/>
          <w:color w:val="auto"/>
        </w:rPr>
      </w:pPr>
      <w:r>
        <w:rPr>
          <w:rFonts w:ascii="Arial" w:cs="Arial" w:eastAsia="Arial" w:hAnsi="Arial"/>
          <w:sz w:val="14"/>
          <w:szCs w:val="14"/>
          <w:color w:val="auto"/>
        </w:rPr>
        <w:t>2980 Fairview Park Drive • Falls Church, VA 22042-4511</w:t>
      </w:r>
    </w:p>
    <w:p>
      <w:pPr>
        <w:jc w:val="center"/>
        <w:ind w:right="-19"/>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40"/>
          </w:cols>
          <w:pgMar w:left="320" w:top="376" w:right="339" w:bottom="1440" w:gutter="0" w:footer="0" w:header="0"/>
        </w:sectPr>
      </w:pPr>
    </w:p>
    <w:bookmarkStart w:id="13" w:name="page14"/>
    <w:bookmarkEnd w:id="13"/>
    <w:tbl>
      <w:tblPr>
        <w:tblLayout w:type="fixed"/>
        <w:tblInd w:w="20" w:type="dxa"/>
        <w:tblCellMar>
          <w:top w:w="0" w:type="dxa"/>
          <w:left w:w="0" w:type="dxa"/>
          <w:bottom w:w="0" w:type="dxa"/>
          <w:right w:w="0" w:type="dxa"/>
        </w:tblCellMar>
      </w:tblPr>
      <w:tr>
        <w:trPr>
          <w:trHeight w:val="250"/>
        </w:trPr>
        <w:tc>
          <w:tcPr>
            <w:tcW w:w="71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8"/>
              </w:rPr>
              <w:t>Northrop Grumman Reports Fourth Quarter and Full-Year 2025 Financial Results</w:t>
            </w:r>
          </w:p>
        </w:tc>
        <w:tc>
          <w:tcPr>
            <w:tcW w:w="4100" w:type="dxa"/>
            <w:vAlign w:val="bottom"/>
            <w:vMerge w:val="restart"/>
          </w:tcPr>
          <w:p>
            <w:pPr>
              <w:jc w:val="right"/>
              <w:spacing w:after="0"/>
              <w:rPr>
                <w:sz w:val="20"/>
                <w:szCs w:val="20"/>
                <w:color w:val="auto"/>
              </w:rPr>
            </w:pPr>
            <w:r>
              <w:rPr>
                <w:rFonts w:ascii="Arial" w:cs="Arial" w:eastAsia="Arial" w:hAnsi="Arial"/>
                <w:sz w:val="22"/>
                <w:szCs w:val="22"/>
                <w:color w:val="auto"/>
              </w:rPr>
              <w:t>11</w:t>
            </w:r>
          </w:p>
        </w:tc>
        <w:tc>
          <w:tcPr>
            <w:tcW w:w="0" w:type="dxa"/>
            <w:vAlign w:val="bottom"/>
          </w:tcPr>
          <w:p>
            <w:pPr>
              <w:spacing w:after="0"/>
              <w:rPr>
                <w:sz w:val="1"/>
                <w:szCs w:val="1"/>
                <w:color w:val="auto"/>
              </w:rPr>
            </w:pPr>
          </w:p>
        </w:tc>
      </w:tr>
      <w:tr>
        <w:trPr>
          <w:trHeight w:val="116"/>
        </w:trPr>
        <w:tc>
          <w:tcPr>
            <w:tcW w:w="7100" w:type="dxa"/>
            <w:vAlign w:val="bottom"/>
          </w:tcPr>
          <w:p>
            <w:pPr>
              <w:spacing w:after="0"/>
              <w:rPr>
                <w:sz w:val="10"/>
                <w:szCs w:val="10"/>
                <w:color w:val="auto"/>
              </w:rPr>
            </w:pPr>
          </w:p>
        </w:tc>
        <w:tc>
          <w:tcPr>
            <w:tcW w:w="4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340" w:right="180"/>
        <w:spacing w:after="0" w:line="285" w:lineRule="auto"/>
        <w:rPr>
          <w:sz w:val="20"/>
          <w:szCs w:val="20"/>
          <w:color w:val="auto"/>
        </w:rPr>
      </w:pPr>
      <w:r>
        <w:rPr>
          <w:rFonts w:ascii="Arial" w:cs="Arial" w:eastAsia="Arial" w:hAnsi="Arial"/>
          <w:sz w:val="22"/>
          <w:szCs w:val="22"/>
          <w:color w:val="auto"/>
        </w:rPr>
        <w:t>to management’s judgments and assumptions in estimating and/or projecting contract revenue and performance which may be inaccurate</w:t>
      </w:r>
    </w:p>
    <w:p>
      <w:pPr>
        <w:spacing w:after="0" w:line="7"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22"/>
          <w:szCs w:val="22"/>
          <w:color w:val="auto"/>
        </w:rPr>
      </w:pPr>
      <w:r>
        <w:rPr>
          <w:rFonts w:ascii="Arial" w:cs="Arial" w:eastAsia="Arial" w:hAnsi="Arial"/>
          <w:sz w:val="22"/>
          <w:szCs w:val="22"/>
          <w:color w:val="auto"/>
        </w:rPr>
        <w:t>increased competition within our markets and bid protests</w:t>
      </w:r>
    </w:p>
    <w:p>
      <w:pPr>
        <w:spacing w:after="0" w:line="98" w:lineRule="exact"/>
        <w:rPr>
          <w:rFonts w:ascii="Arial" w:cs="Arial" w:eastAsia="Arial" w:hAnsi="Arial"/>
          <w:sz w:val="22"/>
          <w:szCs w:val="22"/>
          <w:color w:val="auto"/>
        </w:rPr>
      </w:pPr>
    </w:p>
    <w:p>
      <w:pPr>
        <w:ind w:left="340" w:right="140" w:hanging="332"/>
        <w:spacing w:after="0" w:line="272" w:lineRule="auto"/>
        <w:tabs>
          <w:tab w:leader="none" w:pos="335" w:val="left"/>
        </w:tabs>
        <w:numPr>
          <w:ilvl w:val="0"/>
          <w:numId w:val="15"/>
        </w:numPr>
        <w:rPr>
          <w:rFonts w:ascii="Arial" w:cs="Arial" w:eastAsia="Arial" w:hAnsi="Arial"/>
          <w:sz w:val="22"/>
          <w:szCs w:val="22"/>
          <w:color w:val="auto"/>
        </w:rPr>
      </w:pPr>
      <w:r>
        <w:rPr>
          <w:rFonts w:ascii="Arial" w:cs="Arial" w:eastAsia="Arial" w:hAnsi="Arial"/>
          <w:sz w:val="22"/>
          <w:szCs w:val="22"/>
          <w:color w:val="auto"/>
        </w:rPr>
        <w:t>continued pressures from macroeconomic trends, including on costs, schedules, performance and ability to meet expectations</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color w:val="auto"/>
        </w:rPr>
        <w:t>Legal and Regulatory Risks</w:t>
      </w:r>
    </w:p>
    <w:p>
      <w:pPr>
        <w:spacing w:after="0" w:line="98" w:lineRule="exact"/>
        <w:rPr>
          <w:sz w:val="20"/>
          <w:szCs w:val="20"/>
          <w:color w:val="auto"/>
        </w:rPr>
      </w:pPr>
    </w:p>
    <w:p>
      <w:pPr>
        <w:ind w:left="340" w:right="120" w:hanging="332"/>
        <w:spacing w:after="0" w:line="272" w:lineRule="auto"/>
        <w:tabs>
          <w:tab w:leader="none" w:pos="335" w:val="left"/>
        </w:tabs>
        <w:numPr>
          <w:ilvl w:val="0"/>
          <w:numId w:val="16"/>
        </w:numPr>
        <w:rPr>
          <w:rFonts w:ascii="Arial" w:cs="Arial" w:eastAsia="Arial" w:hAnsi="Arial"/>
          <w:sz w:val="22"/>
          <w:szCs w:val="22"/>
          <w:color w:val="auto"/>
        </w:rPr>
      </w:pPr>
      <w:r>
        <w:rPr>
          <w:rFonts w:ascii="Arial" w:cs="Arial" w:eastAsia="Arial" w:hAnsi="Arial"/>
          <w:sz w:val="22"/>
          <w:szCs w:val="22"/>
          <w:color w:val="auto"/>
        </w:rPr>
        <w:t>investigations, claims, disputes, enforcement actions, litigation (including criminal, civil and administrative) and/or other legal proceedings</w:t>
      </w:r>
    </w:p>
    <w:p>
      <w:pPr>
        <w:spacing w:after="0" w:line="34" w:lineRule="exact"/>
        <w:rPr>
          <w:rFonts w:ascii="Arial" w:cs="Arial" w:eastAsia="Arial" w:hAnsi="Arial"/>
          <w:sz w:val="22"/>
          <w:szCs w:val="22"/>
          <w:color w:val="auto"/>
        </w:rPr>
      </w:pPr>
    </w:p>
    <w:p>
      <w:pPr>
        <w:ind w:left="340" w:right="300" w:hanging="332"/>
        <w:spacing w:after="0" w:line="273" w:lineRule="auto"/>
        <w:tabs>
          <w:tab w:leader="none" w:pos="335" w:val="left"/>
        </w:tabs>
        <w:numPr>
          <w:ilvl w:val="0"/>
          <w:numId w:val="16"/>
        </w:numPr>
        <w:rPr>
          <w:rFonts w:ascii="Arial" w:cs="Arial" w:eastAsia="Arial" w:hAnsi="Arial"/>
          <w:sz w:val="21"/>
          <w:szCs w:val="21"/>
          <w:color w:val="auto"/>
        </w:rPr>
      </w:pPr>
      <w:r>
        <w:rPr>
          <w:rFonts w:ascii="Arial" w:cs="Arial" w:eastAsia="Arial" w:hAnsi="Arial"/>
          <w:sz w:val="21"/>
          <w:szCs w:val="21"/>
          <w:color w:val="auto"/>
        </w:rPr>
        <w:t>changes in procurement and other laws, SEC, U.S. Department of War (DoW) and other rules and regulations, including changes through executive orders, contract terms and practices applicable to our industry, findings by the U.S. government as to our compliance with such requirements, more aggressive enforcement of such requirements and changes in our customers’ business practices and preferences globally</w:t>
      </w:r>
    </w:p>
    <w:p>
      <w:pPr>
        <w:spacing w:after="0" w:line="35" w:lineRule="exact"/>
        <w:rPr>
          <w:rFonts w:ascii="Arial" w:cs="Arial" w:eastAsia="Arial" w:hAnsi="Arial"/>
          <w:sz w:val="21"/>
          <w:szCs w:val="21"/>
          <w:color w:val="auto"/>
        </w:rPr>
      </w:pPr>
    </w:p>
    <w:p>
      <w:pPr>
        <w:ind w:left="340" w:right="580" w:hanging="332"/>
        <w:spacing w:after="0" w:line="272" w:lineRule="auto"/>
        <w:tabs>
          <w:tab w:leader="none" w:pos="335"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improper conduct of employees, agents, subcontractors, suppliers, business partners or joint ventures in which we participate, including the impact on our reputation and our ability to do business</w:t>
      </w:r>
    </w:p>
    <w:p>
      <w:pPr>
        <w:spacing w:after="0" w:line="34" w:lineRule="exact"/>
        <w:rPr>
          <w:rFonts w:ascii="Arial" w:cs="Arial" w:eastAsia="Arial" w:hAnsi="Arial"/>
          <w:sz w:val="22"/>
          <w:szCs w:val="22"/>
          <w:color w:val="auto"/>
        </w:rPr>
      </w:pPr>
    </w:p>
    <w:p>
      <w:pPr>
        <w:ind w:left="320" w:hanging="312"/>
        <w:spacing w:after="0"/>
        <w:tabs>
          <w:tab w:leader="none" w:pos="320" w:val="left"/>
        </w:tabs>
        <w:numPr>
          <w:ilvl w:val="0"/>
          <w:numId w:val="16"/>
        </w:numPr>
        <w:rPr>
          <w:rFonts w:ascii="Arial" w:cs="Arial" w:eastAsia="Arial" w:hAnsi="Arial"/>
          <w:sz w:val="22"/>
          <w:szCs w:val="22"/>
          <w:color w:val="auto"/>
        </w:rPr>
      </w:pPr>
      <w:r>
        <w:rPr>
          <w:rFonts w:ascii="Arial" w:cs="Arial" w:eastAsia="Arial" w:hAnsi="Arial"/>
          <w:sz w:val="22"/>
          <w:szCs w:val="22"/>
          <w:color w:val="auto"/>
        </w:rPr>
        <w:t>environmental matters, unforeseen environmental costs and government and third-party claims</w:t>
      </w:r>
    </w:p>
    <w:p>
      <w:pPr>
        <w:spacing w:after="0" w:line="84" w:lineRule="exact"/>
        <w:rPr>
          <w:rFonts w:ascii="Arial" w:cs="Arial" w:eastAsia="Arial" w:hAnsi="Arial"/>
          <w:sz w:val="22"/>
          <w:szCs w:val="22"/>
          <w:color w:val="auto"/>
        </w:rPr>
      </w:pPr>
    </w:p>
    <w:p>
      <w:pPr>
        <w:ind w:left="320" w:hanging="312"/>
        <w:spacing w:after="0"/>
        <w:tabs>
          <w:tab w:leader="none" w:pos="320" w:val="left"/>
        </w:tabs>
        <w:numPr>
          <w:ilvl w:val="0"/>
          <w:numId w:val="16"/>
        </w:numPr>
        <w:rPr>
          <w:rFonts w:ascii="Arial" w:cs="Arial" w:eastAsia="Arial" w:hAnsi="Arial"/>
          <w:sz w:val="22"/>
          <w:szCs w:val="22"/>
          <w:color w:val="auto"/>
        </w:rPr>
      </w:pPr>
      <w:r>
        <w:rPr>
          <w:rFonts w:ascii="Arial" w:cs="Arial" w:eastAsia="Arial" w:hAnsi="Arial"/>
          <w:sz w:val="22"/>
          <w:szCs w:val="22"/>
          <w:color w:val="auto"/>
        </w:rPr>
        <w:t>unanticipated changes in our tax provisions or exposure to additional tax liabilities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Business and Operational Risks</w:t>
      </w:r>
    </w:p>
    <w:p>
      <w:pPr>
        <w:spacing w:after="0" w:line="98" w:lineRule="exact"/>
        <w:rPr>
          <w:sz w:val="20"/>
          <w:szCs w:val="20"/>
          <w:color w:val="auto"/>
        </w:rPr>
      </w:pPr>
    </w:p>
    <w:p>
      <w:pPr>
        <w:ind w:left="340" w:hanging="332"/>
        <w:spacing w:after="0" w:line="272" w:lineRule="auto"/>
        <w:tabs>
          <w:tab w:leader="none" w:pos="335" w:val="left"/>
        </w:tabs>
        <w:numPr>
          <w:ilvl w:val="0"/>
          <w:numId w:val="17"/>
        </w:numPr>
        <w:rPr>
          <w:rFonts w:ascii="Arial" w:cs="Arial" w:eastAsia="Arial" w:hAnsi="Arial"/>
          <w:sz w:val="22"/>
          <w:szCs w:val="22"/>
          <w:color w:val="auto"/>
        </w:rPr>
      </w:pPr>
      <w:r>
        <w:rPr>
          <w:rFonts w:ascii="Arial" w:cs="Arial" w:eastAsia="Arial" w:hAnsi="Arial"/>
          <w:sz w:val="22"/>
          <w:szCs w:val="22"/>
          <w:color w:val="auto"/>
        </w:rPr>
        <w:t>cyber and other security threats or disruptions faced by us, our customers or our suppliers and other partners, and changes in related regulations</w:t>
      </w:r>
    </w:p>
    <w:p>
      <w:pPr>
        <w:spacing w:after="0" w:line="34" w:lineRule="exact"/>
        <w:rPr>
          <w:rFonts w:ascii="Arial" w:cs="Arial" w:eastAsia="Arial" w:hAnsi="Arial"/>
          <w:sz w:val="22"/>
          <w:szCs w:val="22"/>
          <w:color w:val="auto"/>
        </w:rPr>
      </w:pPr>
    </w:p>
    <w:p>
      <w:pPr>
        <w:jc w:val="both"/>
        <w:ind w:left="340" w:right="80" w:hanging="332"/>
        <w:spacing w:after="0" w:line="257" w:lineRule="auto"/>
        <w:tabs>
          <w:tab w:leader="none" w:pos="335"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performance and viability of our subcontractors and suppliers and the availability and pricing of raw materials, chemicals, parts and components, particularly with inflationary pressures, increased costs, shortages in labor and financial resources, supply chain disruptions, and extended material lead times</w:t>
      </w:r>
    </w:p>
    <w:p>
      <w:pPr>
        <w:spacing w:after="0" w:line="51" w:lineRule="exact"/>
        <w:rPr>
          <w:rFonts w:ascii="Arial" w:cs="Arial" w:eastAsia="Arial" w:hAnsi="Arial"/>
          <w:sz w:val="22"/>
          <w:szCs w:val="22"/>
          <w:color w:val="auto"/>
        </w:rPr>
      </w:pPr>
    </w:p>
    <w:p>
      <w:pPr>
        <w:ind w:left="340" w:right="220" w:hanging="332"/>
        <w:spacing w:after="0" w:line="285" w:lineRule="auto"/>
        <w:tabs>
          <w:tab w:leader="none" w:pos="335" w:val="left"/>
        </w:tabs>
        <w:numPr>
          <w:ilvl w:val="0"/>
          <w:numId w:val="17"/>
        </w:numPr>
        <w:rPr>
          <w:rFonts w:ascii="Arial" w:cs="Arial" w:eastAsia="Arial" w:hAnsi="Arial"/>
          <w:sz w:val="22"/>
          <w:szCs w:val="22"/>
          <w:color w:val="auto"/>
        </w:rPr>
      </w:pPr>
      <w:r>
        <w:rPr>
          <w:rFonts w:ascii="Arial" w:cs="Arial" w:eastAsia="Arial" w:hAnsi="Arial"/>
          <w:sz w:val="22"/>
          <w:szCs w:val="22"/>
          <w:color w:val="auto"/>
        </w:rPr>
        <w:t>our ability to attract and retain a qualified and talented workforce with the necessary security clearances to meet our performance obligations</w:t>
      </w:r>
    </w:p>
    <w:p>
      <w:pPr>
        <w:spacing w:after="0" w:line="6" w:lineRule="exact"/>
        <w:rPr>
          <w:rFonts w:ascii="Arial" w:cs="Arial" w:eastAsia="Arial" w:hAnsi="Arial"/>
          <w:sz w:val="22"/>
          <w:szCs w:val="22"/>
          <w:color w:val="auto"/>
        </w:rPr>
      </w:pPr>
    </w:p>
    <w:p>
      <w:pPr>
        <w:ind w:left="340" w:right="160" w:hanging="332"/>
        <w:spacing w:after="0" w:line="285" w:lineRule="auto"/>
        <w:tabs>
          <w:tab w:leader="none" w:pos="335" w:val="left"/>
        </w:tabs>
        <w:numPr>
          <w:ilvl w:val="0"/>
          <w:numId w:val="17"/>
        </w:numPr>
        <w:rPr>
          <w:rFonts w:ascii="Arial" w:cs="Arial" w:eastAsia="Arial" w:hAnsi="Arial"/>
          <w:sz w:val="22"/>
          <w:szCs w:val="22"/>
          <w:color w:val="auto"/>
        </w:rPr>
      </w:pPr>
      <w:r>
        <w:rPr>
          <w:rFonts w:ascii="Arial" w:cs="Arial" w:eastAsia="Arial" w:hAnsi="Arial"/>
          <w:sz w:val="22"/>
          <w:szCs w:val="22"/>
          <w:color w:val="auto"/>
        </w:rPr>
        <w:t>our exposure to additional risks as a result of our international business, including risks related to global security, geopolitical and economic factors, misconduct, suppliers, laws and regulations</w:t>
      </w:r>
    </w:p>
    <w:p>
      <w:pPr>
        <w:spacing w:after="0" w:line="6" w:lineRule="exact"/>
        <w:rPr>
          <w:rFonts w:ascii="Arial" w:cs="Arial" w:eastAsia="Arial" w:hAnsi="Arial"/>
          <w:sz w:val="22"/>
          <w:szCs w:val="22"/>
          <w:color w:val="auto"/>
        </w:rPr>
      </w:pPr>
    </w:p>
    <w:p>
      <w:pPr>
        <w:ind w:left="340" w:right="300" w:hanging="332"/>
        <w:spacing w:after="0" w:line="285" w:lineRule="auto"/>
        <w:tabs>
          <w:tab w:leader="none" w:pos="335" w:val="left"/>
        </w:tabs>
        <w:numPr>
          <w:ilvl w:val="0"/>
          <w:numId w:val="17"/>
        </w:numPr>
        <w:rPr>
          <w:rFonts w:ascii="Arial" w:cs="Arial" w:eastAsia="Arial" w:hAnsi="Arial"/>
          <w:sz w:val="22"/>
          <w:szCs w:val="22"/>
          <w:color w:val="auto"/>
        </w:rPr>
      </w:pPr>
      <w:r>
        <w:rPr>
          <w:rFonts w:ascii="Arial" w:cs="Arial" w:eastAsia="Arial" w:hAnsi="Arial"/>
          <w:sz w:val="22"/>
          <w:szCs w:val="22"/>
          <w:color w:val="auto"/>
        </w:rPr>
        <w:t>our ability to innovate, develop new products and technologies, progress and benefit from digital transformation and maintain technologies to meet the needs of our customers</w:t>
      </w:r>
    </w:p>
    <w:p>
      <w:pPr>
        <w:spacing w:after="0" w:line="6" w:lineRule="exact"/>
        <w:rPr>
          <w:rFonts w:ascii="Arial" w:cs="Arial" w:eastAsia="Arial" w:hAnsi="Arial"/>
          <w:sz w:val="22"/>
          <w:szCs w:val="22"/>
          <w:color w:val="auto"/>
        </w:rPr>
      </w:pPr>
    </w:p>
    <w:p>
      <w:pPr>
        <w:ind w:left="320" w:hanging="312"/>
        <w:spacing w:after="0"/>
        <w:tabs>
          <w:tab w:leader="none" w:pos="320" w:val="left"/>
        </w:tabs>
        <w:numPr>
          <w:ilvl w:val="0"/>
          <w:numId w:val="17"/>
        </w:numPr>
        <w:rPr>
          <w:rFonts w:ascii="Arial" w:cs="Arial" w:eastAsia="Arial" w:hAnsi="Arial"/>
          <w:sz w:val="22"/>
          <w:szCs w:val="22"/>
          <w:color w:val="auto"/>
        </w:rPr>
      </w:pPr>
      <w:r>
        <w:rPr>
          <w:rFonts w:ascii="Arial" w:cs="Arial" w:eastAsia="Arial" w:hAnsi="Arial"/>
          <w:sz w:val="22"/>
          <w:szCs w:val="22"/>
          <w:color w:val="auto"/>
        </w:rPr>
        <w:t>natural disasters, epidemics, pandemics and similar outbreaks and other significant disruptions</w:t>
      </w:r>
    </w:p>
    <w:p>
      <w:pPr>
        <w:spacing w:after="0" w:line="30" w:lineRule="exact"/>
        <w:rPr>
          <w:rFonts w:ascii="Arial" w:cs="Arial" w:eastAsia="Arial" w:hAnsi="Arial"/>
          <w:sz w:val="22"/>
          <w:szCs w:val="22"/>
          <w:color w:val="auto"/>
        </w:rPr>
      </w:pPr>
    </w:p>
    <w:p>
      <w:pPr>
        <w:ind w:left="340" w:right="80" w:hanging="332"/>
        <w:spacing w:after="0" w:line="283" w:lineRule="auto"/>
        <w:tabs>
          <w:tab w:leader="none" w:pos="335" w:val="left"/>
        </w:tabs>
        <w:numPr>
          <w:ilvl w:val="0"/>
          <w:numId w:val="17"/>
        </w:numPr>
        <w:rPr>
          <w:rFonts w:ascii="Arial" w:cs="Arial" w:eastAsia="Arial" w:hAnsi="Arial"/>
          <w:sz w:val="21"/>
          <w:szCs w:val="21"/>
          <w:color w:val="auto"/>
        </w:rPr>
      </w:pPr>
      <w:r>
        <w:rPr>
          <w:rFonts w:ascii="Arial" w:cs="Arial" w:eastAsia="Arial" w:hAnsi="Arial"/>
          <w:sz w:val="21"/>
          <w:szCs w:val="21"/>
          <w:color w:val="auto"/>
        </w:rPr>
        <w:t>products and services we provide related to hazardous and high risk operations, including the production and use of such products, which subject us to various environmental, regulatory, financial, reputational and other risks</w:t>
      </w:r>
    </w:p>
    <w:p>
      <w:pPr>
        <w:spacing w:after="0" w:line="24" w:lineRule="exact"/>
        <w:rPr>
          <w:rFonts w:ascii="Arial" w:cs="Arial" w:eastAsia="Arial" w:hAnsi="Arial"/>
          <w:sz w:val="21"/>
          <w:szCs w:val="21"/>
          <w:color w:val="auto"/>
        </w:rPr>
      </w:pPr>
    </w:p>
    <w:p>
      <w:pPr>
        <w:ind w:left="320" w:hanging="312"/>
        <w:spacing w:after="0"/>
        <w:tabs>
          <w:tab w:leader="none" w:pos="320" w:val="left"/>
        </w:tabs>
        <w:numPr>
          <w:ilvl w:val="0"/>
          <w:numId w:val="17"/>
        </w:numPr>
        <w:rPr>
          <w:rFonts w:ascii="Arial" w:cs="Arial" w:eastAsia="Arial" w:hAnsi="Arial"/>
          <w:sz w:val="22"/>
          <w:szCs w:val="22"/>
          <w:color w:val="auto"/>
        </w:rPr>
      </w:pPr>
      <w:r>
        <w:rPr>
          <w:rFonts w:ascii="Arial" w:cs="Arial" w:eastAsia="Arial" w:hAnsi="Arial"/>
          <w:sz w:val="22"/>
          <w:szCs w:val="22"/>
          <w:color w:val="auto"/>
        </w:rPr>
        <w:t>our ability appropriately to protect and exploit intellectual property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516255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Northrop Grumman Corporation</w:t>
      </w:r>
    </w:p>
    <w:p>
      <w:pPr>
        <w:jc w:val="center"/>
        <w:ind w:right="-19"/>
        <w:spacing w:after="0" w:line="221" w:lineRule="auto"/>
        <w:rPr>
          <w:sz w:val="20"/>
          <w:szCs w:val="20"/>
          <w:color w:val="auto"/>
        </w:rPr>
      </w:pPr>
      <w:r>
        <w:rPr>
          <w:rFonts w:ascii="Arial" w:cs="Arial" w:eastAsia="Arial" w:hAnsi="Arial"/>
          <w:sz w:val="14"/>
          <w:szCs w:val="14"/>
          <w:color w:val="auto"/>
        </w:rPr>
        <w:t>2980 Fairview Park Drive • Falls Church, VA 22042-4511</w:t>
      </w:r>
    </w:p>
    <w:p>
      <w:pPr>
        <w:jc w:val="center"/>
        <w:ind w:right="-19"/>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20"/>
          </w:cols>
          <w:pgMar w:left="320" w:top="376" w:right="359" w:bottom="1440" w:gutter="0" w:footer="0" w:header="0"/>
        </w:sectPr>
      </w:pPr>
    </w:p>
    <w:bookmarkStart w:id="14" w:name="page15"/>
    <w:bookmarkEnd w:id="14"/>
    <w:tbl>
      <w:tblPr>
        <w:tblLayout w:type="fixed"/>
        <w:tblInd w:w="20" w:type="dxa"/>
        <w:tblCellMar>
          <w:top w:w="0" w:type="dxa"/>
          <w:left w:w="0" w:type="dxa"/>
          <w:bottom w:w="0" w:type="dxa"/>
          <w:right w:w="0" w:type="dxa"/>
        </w:tblCellMar>
      </w:tblPr>
      <w:tr>
        <w:trPr>
          <w:trHeight w:val="250"/>
        </w:trPr>
        <w:tc>
          <w:tcPr>
            <w:tcW w:w="71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8"/>
              </w:rPr>
              <w:t>Northrop Grumman Reports Fourth Quarter and Full-Year 2025 Financial Results</w:t>
            </w:r>
          </w:p>
        </w:tc>
        <w:tc>
          <w:tcPr>
            <w:tcW w:w="4100" w:type="dxa"/>
            <w:vAlign w:val="bottom"/>
            <w:vMerge w:val="restart"/>
          </w:tcPr>
          <w:p>
            <w:pPr>
              <w:jc w:val="right"/>
              <w:spacing w:after="0"/>
              <w:rPr>
                <w:sz w:val="20"/>
                <w:szCs w:val="20"/>
                <w:color w:val="auto"/>
              </w:rPr>
            </w:pPr>
            <w:r>
              <w:rPr>
                <w:rFonts w:ascii="Arial" w:cs="Arial" w:eastAsia="Arial" w:hAnsi="Arial"/>
                <w:sz w:val="22"/>
                <w:szCs w:val="22"/>
                <w:color w:val="auto"/>
              </w:rPr>
              <w:t>12</w:t>
            </w:r>
          </w:p>
        </w:tc>
        <w:tc>
          <w:tcPr>
            <w:tcW w:w="0" w:type="dxa"/>
            <w:vAlign w:val="bottom"/>
          </w:tcPr>
          <w:p>
            <w:pPr>
              <w:spacing w:after="0"/>
              <w:rPr>
                <w:sz w:val="1"/>
                <w:szCs w:val="1"/>
                <w:color w:val="auto"/>
              </w:rPr>
            </w:pPr>
          </w:p>
        </w:tc>
      </w:tr>
      <w:tr>
        <w:trPr>
          <w:trHeight w:val="116"/>
        </w:trPr>
        <w:tc>
          <w:tcPr>
            <w:tcW w:w="7100" w:type="dxa"/>
            <w:vAlign w:val="bottom"/>
          </w:tcPr>
          <w:p>
            <w:pPr>
              <w:spacing w:after="0"/>
              <w:rPr>
                <w:sz w:val="10"/>
                <w:szCs w:val="10"/>
                <w:color w:val="auto"/>
              </w:rPr>
            </w:pPr>
          </w:p>
        </w:tc>
        <w:tc>
          <w:tcPr>
            <w:tcW w:w="4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22"/>
          <w:szCs w:val="22"/>
          <w:color w:val="auto"/>
        </w:rPr>
        <w:t>General and Other Risk Factors</w:t>
      </w:r>
    </w:p>
    <w:p>
      <w:pPr>
        <w:spacing w:after="0" w:line="98" w:lineRule="exact"/>
        <w:rPr>
          <w:sz w:val="20"/>
          <w:szCs w:val="20"/>
          <w:color w:val="auto"/>
        </w:rPr>
      </w:pPr>
    </w:p>
    <w:p>
      <w:pPr>
        <w:ind w:left="340" w:right="480" w:hanging="332"/>
        <w:spacing w:after="0" w:line="272" w:lineRule="auto"/>
        <w:tabs>
          <w:tab w:leader="none" w:pos="335"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adequacy and availability of, and ability to obtain, insurance coverage, customer indemnifications or other liability protections</w:t>
      </w:r>
    </w:p>
    <w:p>
      <w:pPr>
        <w:spacing w:after="0" w:line="34" w:lineRule="exact"/>
        <w:rPr>
          <w:rFonts w:ascii="Arial" w:cs="Arial" w:eastAsia="Arial" w:hAnsi="Arial"/>
          <w:sz w:val="22"/>
          <w:szCs w:val="22"/>
          <w:color w:val="auto"/>
        </w:rPr>
      </w:pPr>
    </w:p>
    <w:p>
      <w:pPr>
        <w:ind w:left="340" w:right="80" w:hanging="332"/>
        <w:spacing w:after="0" w:line="257" w:lineRule="auto"/>
        <w:tabs>
          <w:tab w:leader="none" w:pos="335"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future investment performance of plan assets, gains or losses associated with changes in valuation of marketable securities related to our non-qualified benefit plans, changes in actuarial assumptions associated with our pension and other postretirement benefit plans and legislative or other regulatory actions impacting our pension and postretirement benefit obligations</w:t>
      </w:r>
    </w:p>
    <w:p>
      <w:pPr>
        <w:spacing w:after="0" w:line="50" w:lineRule="exact"/>
        <w:rPr>
          <w:rFonts w:ascii="Arial" w:cs="Arial" w:eastAsia="Arial" w:hAnsi="Arial"/>
          <w:sz w:val="22"/>
          <w:szCs w:val="22"/>
          <w:color w:val="auto"/>
        </w:rPr>
      </w:pPr>
    </w:p>
    <w:p>
      <w:pPr>
        <w:ind w:left="340" w:right="240" w:hanging="332"/>
        <w:spacing w:after="0" w:line="272" w:lineRule="auto"/>
        <w:tabs>
          <w:tab w:leader="none" w:pos="335" w:val="left"/>
        </w:tabs>
        <w:numPr>
          <w:ilvl w:val="0"/>
          <w:numId w:val="18"/>
        </w:numPr>
        <w:rPr>
          <w:rFonts w:ascii="Arial" w:cs="Arial" w:eastAsia="Arial" w:hAnsi="Arial"/>
          <w:sz w:val="22"/>
          <w:szCs w:val="22"/>
          <w:color w:val="auto"/>
        </w:rPr>
      </w:pPr>
      <w:r>
        <w:rPr>
          <w:rFonts w:ascii="Arial" w:cs="Arial" w:eastAsia="Arial" w:hAnsi="Arial"/>
          <w:sz w:val="22"/>
          <w:szCs w:val="22"/>
          <w:color w:val="auto"/>
        </w:rPr>
        <w:t>changes in business conditions that could impact business investments and/or recorded goodwill or the value of other long-lived assets, and other potential future liabilities</w:t>
      </w:r>
    </w:p>
    <w:p>
      <w:pPr>
        <w:spacing w:after="0" w:line="34"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You are urged to consider the limitations on, and risks associated with, forward-looking statements and not unduly rely on the accuracy of forward-looking statements. These forward-looking statements speak only as of the date this earnings release is first issued or, in the case of any document incorporated by reference, the date of that document. We undertake no obligation to publicly update or revise any forward-looking statements, whether as a result of new information, future events or otherwise, except as required by applicable law.</w:t>
      </w:r>
    </w:p>
    <w:p>
      <w:pPr>
        <w:spacing w:after="0" w:line="140" w:lineRule="exact"/>
        <w:rPr>
          <w:sz w:val="20"/>
          <w:szCs w:val="20"/>
          <w:color w:val="auto"/>
        </w:rPr>
      </w:pPr>
    </w:p>
    <w:p>
      <w:pPr>
        <w:jc w:val="both"/>
        <w:ind w:right="220"/>
        <w:spacing w:after="0" w:line="296" w:lineRule="auto"/>
        <w:rPr>
          <w:sz w:val="20"/>
          <w:szCs w:val="20"/>
          <w:color w:val="auto"/>
        </w:rPr>
      </w:pPr>
      <w:r>
        <w:rPr>
          <w:rFonts w:ascii="Arial" w:cs="Arial" w:eastAsia="Arial" w:hAnsi="Arial"/>
          <w:sz w:val="21"/>
          <w:szCs w:val="21"/>
          <w:color w:val="auto"/>
        </w:rPr>
        <w:t>This release and the attachments also contain non-GAAP financial measures. A reconciliation to the nearest GAAP measure and a discussion of the company’s use of these measures are included in this release or the attachments.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504190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Northrop Grumman Corporation</w:t>
      </w:r>
    </w:p>
    <w:p>
      <w:pPr>
        <w:jc w:val="center"/>
        <w:ind w:right="-19"/>
        <w:spacing w:after="0" w:line="223" w:lineRule="auto"/>
        <w:rPr>
          <w:sz w:val="20"/>
          <w:szCs w:val="20"/>
          <w:color w:val="auto"/>
        </w:rPr>
      </w:pPr>
      <w:r>
        <w:rPr>
          <w:rFonts w:ascii="Arial" w:cs="Arial" w:eastAsia="Arial" w:hAnsi="Arial"/>
          <w:sz w:val="14"/>
          <w:szCs w:val="14"/>
          <w:color w:val="auto"/>
        </w:rPr>
        <w:t>2980 Fairview Park Drive • Falls Church, VA 22042-4511</w:t>
      </w:r>
    </w:p>
    <w:p>
      <w:pPr>
        <w:jc w:val="center"/>
        <w:ind w:right="-19"/>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20"/>
          </w:cols>
          <w:pgMar w:left="320" w:top="376" w:right="35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50"/>
        </w:trPr>
        <w:tc>
          <w:tcPr>
            <w:tcW w:w="710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auto"/>
                <w:w w:val="98"/>
              </w:rPr>
              <w:t>Northrop Grumman Reports Fourth Quarter and Full-Year 2025 Financial Results</w:t>
            </w:r>
          </w:p>
        </w:tc>
        <w:tc>
          <w:tcPr>
            <w:tcW w:w="820" w:type="dxa"/>
            <w:vAlign w:val="bottom"/>
            <w:vMerge w:val="restart"/>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gridSpan w:val="2"/>
            <w:vMerge w:val="restart"/>
          </w:tcPr>
          <w:p>
            <w:pPr>
              <w:jc w:val="right"/>
              <w:ind w:right="20"/>
              <w:spacing w:after="0"/>
              <w:rPr>
                <w:sz w:val="20"/>
                <w:szCs w:val="20"/>
                <w:color w:val="auto"/>
              </w:rPr>
            </w:pPr>
            <w:r>
              <w:rPr>
                <w:rFonts w:ascii="Arial" w:cs="Arial" w:eastAsia="Arial" w:hAnsi="Arial"/>
                <w:sz w:val="22"/>
                <w:szCs w:val="22"/>
                <w:color w:val="auto"/>
              </w:rPr>
              <w:t>13</w:t>
            </w:r>
          </w:p>
        </w:tc>
        <w:tc>
          <w:tcPr>
            <w:tcW w:w="0" w:type="dxa"/>
            <w:vAlign w:val="bottom"/>
          </w:tcPr>
          <w:p>
            <w:pPr>
              <w:spacing w:after="0"/>
              <w:rPr>
                <w:sz w:val="1"/>
                <w:szCs w:val="1"/>
                <w:color w:val="auto"/>
              </w:rPr>
            </w:pPr>
          </w:p>
        </w:tc>
      </w:tr>
      <w:tr>
        <w:trPr>
          <w:trHeight w:val="116"/>
        </w:trPr>
        <w:tc>
          <w:tcPr>
            <w:tcW w:w="620" w:type="dxa"/>
            <w:vAlign w:val="bottom"/>
          </w:tcPr>
          <w:p>
            <w:pPr>
              <w:spacing w:after="0"/>
              <w:rPr>
                <w:sz w:val="10"/>
                <w:szCs w:val="10"/>
                <w:color w:val="auto"/>
              </w:rPr>
            </w:pPr>
          </w:p>
        </w:tc>
        <w:tc>
          <w:tcPr>
            <w:tcW w:w="6480" w:type="dxa"/>
            <w:vAlign w:val="bottom"/>
            <w:gridSpan w:val="3"/>
          </w:tcPr>
          <w:p>
            <w:pPr>
              <w:spacing w:after="0"/>
              <w:rPr>
                <w:sz w:val="10"/>
                <w:szCs w:val="10"/>
                <w:color w:val="auto"/>
              </w:rPr>
            </w:pPr>
          </w:p>
        </w:tc>
        <w:tc>
          <w:tcPr>
            <w:tcW w:w="82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51"/>
        </w:trPr>
        <w:tc>
          <w:tcPr>
            <w:tcW w:w="620" w:type="dxa"/>
            <w:vAlign w:val="bottom"/>
          </w:tcPr>
          <w:p>
            <w:pPr>
              <w:spacing w:after="0"/>
              <w:rPr>
                <w:sz w:val="24"/>
                <w:szCs w:val="24"/>
                <w:color w:val="auto"/>
              </w:rPr>
            </w:pPr>
          </w:p>
        </w:tc>
        <w:tc>
          <w:tcPr>
            <w:tcW w:w="7300" w:type="dxa"/>
            <w:vAlign w:val="bottom"/>
            <w:gridSpan w:val="4"/>
            <w:vMerge w:val="restart"/>
          </w:tcPr>
          <w:p>
            <w:pPr>
              <w:jc w:val="center"/>
              <w:ind w:left="2590"/>
              <w:spacing w:after="0"/>
              <w:rPr>
                <w:sz w:val="20"/>
                <w:szCs w:val="20"/>
                <w:color w:val="auto"/>
              </w:rPr>
            </w:pPr>
            <w:r>
              <w:rPr>
                <w:rFonts w:ascii="Arial" w:cs="Arial" w:eastAsia="Arial" w:hAnsi="Arial"/>
                <w:sz w:val="18"/>
                <w:szCs w:val="18"/>
                <w:b w:val="1"/>
                <w:bCs w:val="1"/>
                <w:color w:val="auto"/>
                <w:w w:val="99"/>
              </w:rPr>
              <w:t>NORTHROP GRUMMAN CORPORATION</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rPr>
              <w:t>SCHEDULE 1</w:t>
            </w:r>
          </w:p>
        </w:tc>
        <w:tc>
          <w:tcPr>
            <w:tcW w:w="0" w:type="dxa"/>
            <w:vAlign w:val="bottom"/>
          </w:tcPr>
          <w:p>
            <w:pPr>
              <w:spacing w:after="0"/>
              <w:rPr>
                <w:sz w:val="1"/>
                <w:szCs w:val="1"/>
                <w:color w:val="auto"/>
              </w:rPr>
            </w:pPr>
          </w:p>
        </w:tc>
      </w:tr>
      <w:tr>
        <w:trPr>
          <w:trHeight w:val="185"/>
        </w:trPr>
        <w:tc>
          <w:tcPr>
            <w:tcW w:w="620" w:type="dxa"/>
            <w:vAlign w:val="bottom"/>
          </w:tcPr>
          <w:p>
            <w:pPr>
              <w:spacing w:after="0"/>
              <w:rPr>
                <w:sz w:val="16"/>
                <w:szCs w:val="16"/>
                <w:color w:val="auto"/>
              </w:rPr>
            </w:pPr>
          </w:p>
        </w:tc>
        <w:tc>
          <w:tcPr>
            <w:tcW w:w="7300" w:type="dxa"/>
            <w:vAlign w:val="bottom"/>
            <w:gridSpan w:val="4"/>
            <w:vMerge w:val="continue"/>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680" w:type="dxa"/>
            <w:vAlign w:val="bottom"/>
            <w:gridSpan w:val="6"/>
          </w:tcPr>
          <w:p>
            <w:pPr>
              <w:jc w:val="center"/>
              <w:ind w:left="1190"/>
              <w:spacing w:after="0"/>
              <w:rPr>
                <w:sz w:val="20"/>
                <w:szCs w:val="20"/>
                <w:color w:val="auto"/>
              </w:rPr>
            </w:pPr>
            <w:r>
              <w:rPr>
                <w:rFonts w:ascii="Arial" w:cs="Arial" w:eastAsia="Arial" w:hAnsi="Arial"/>
                <w:sz w:val="18"/>
                <w:szCs w:val="18"/>
                <w:b w:val="1"/>
                <w:bCs w:val="1"/>
                <w:color w:val="auto"/>
                <w:w w:val="99"/>
              </w:rPr>
              <w:t>CONSOLIDATED STATEMENTS OF EARNINGS AND COMPREHENSIVE INCOME</w:t>
            </w: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620" w:type="dxa"/>
            <w:vAlign w:val="bottom"/>
          </w:tcPr>
          <w:p>
            <w:pPr>
              <w:spacing w:after="0"/>
              <w:rPr>
                <w:sz w:val="21"/>
                <w:szCs w:val="21"/>
                <w:color w:val="auto"/>
              </w:rPr>
            </w:pPr>
          </w:p>
        </w:tc>
        <w:tc>
          <w:tcPr>
            <w:tcW w:w="5880" w:type="dxa"/>
            <w:vAlign w:val="bottom"/>
          </w:tcPr>
          <w:p>
            <w:pPr>
              <w:jc w:val="center"/>
              <w:ind w:left="3990"/>
              <w:spacing w:after="0"/>
              <w:rPr>
                <w:sz w:val="20"/>
                <w:szCs w:val="20"/>
                <w:color w:val="auto"/>
              </w:rPr>
            </w:pPr>
            <w:r>
              <w:rPr>
                <w:rFonts w:ascii="Arial" w:cs="Arial" w:eastAsia="Arial" w:hAnsi="Arial"/>
                <w:sz w:val="18"/>
                <w:szCs w:val="18"/>
                <w:b w:val="1"/>
                <w:bCs w:val="1"/>
                <w:color w:val="auto"/>
                <w:w w:val="99"/>
              </w:rPr>
              <w:t>(Unaudited)</w:t>
            </w: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25"/>
        </w:trPr>
        <w:tc>
          <w:tcPr>
            <w:tcW w:w="6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Year Ended December 31</w:t>
            </w:r>
          </w:p>
        </w:tc>
        <w:tc>
          <w:tcPr>
            <w:tcW w:w="900" w:type="dxa"/>
            <w:vAlign w:val="bottom"/>
            <w:tcBorders>
              <w:bottom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 except per share amounts</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b w:val="1"/>
                <w:bCs w:val="1"/>
                <w:color w:val="auto"/>
              </w:rPr>
              <w:t>2025</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2024</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9"/>
              <w:spacing w:after="0"/>
              <w:rPr>
                <w:sz w:val="20"/>
                <w:szCs w:val="20"/>
                <w:color w:val="auto"/>
              </w:rPr>
            </w:pPr>
            <w:r>
              <w:rPr>
                <w:rFonts w:ascii="Arial" w:cs="Arial" w:eastAsia="Arial" w:hAnsi="Arial"/>
                <w:sz w:val="18"/>
                <w:szCs w:val="18"/>
                <w:color w:val="auto"/>
              </w:rPr>
              <w:t>2023</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5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Sales</w:t>
            </w: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5880" w:type="dxa"/>
            <w:vAlign w:val="bottom"/>
          </w:tcPr>
          <w:p>
            <w:pPr>
              <w:ind w:left="220"/>
              <w:spacing w:after="0"/>
              <w:rPr>
                <w:sz w:val="20"/>
                <w:szCs w:val="20"/>
                <w:color w:val="auto"/>
              </w:rPr>
            </w:pPr>
            <w:r>
              <w:rPr>
                <w:rFonts w:ascii="Arial" w:cs="Arial" w:eastAsia="Arial" w:hAnsi="Arial"/>
                <w:sz w:val="18"/>
                <w:szCs w:val="18"/>
                <w:color w:val="auto"/>
              </w:rPr>
              <w:t>Product</w:t>
            </w:r>
          </w:p>
        </w:tc>
        <w:tc>
          <w:tcPr>
            <w:tcW w:w="4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33,741</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32,726</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30,897</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58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Service</w:t>
            </w: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8,213</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8,307</w:t>
            </w: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8,393</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sales</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41,954</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41,033</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39,290</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5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5880" w:type="dxa"/>
            <w:vAlign w:val="bottom"/>
          </w:tcPr>
          <w:p>
            <w:pPr>
              <w:ind w:left="220"/>
              <w:spacing w:after="0"/>
              <w:rPr>
                <w:sz w:val="20"/>
                <w:szCs w:val="20"/>
                <w:color w:val="auto"/>
              </w:rPr>
            </w:pPr>
            <w:r>
              <w:rPr>
                <w:rFonts w:ascii="Arial" w:cs="Arial" w:eastAsia="Arial" w:hAnsi="Arial"/>
                <w:sz w:val="18"/>
                <w:szCs w:val="18"/>
                <w:color w:val="auto"/>
              </w:rPr>
              <w:t>Product</w:t>
            </w:r>
          </w:p>
        </w:tc>
        <w:tc>
          <w:tcPr>
            <w:tcW w:w="400" w:type="dxa"/>
            <w:vAlign w:val="bottom"/>
          </w:tcPr>
          <w:p>
            <w:pPr>
              <w:spacing w:after="0"/>
              <w:rPr>
                <w:sz w:val="19"/>
                <w:szCs w:val="19"/>
                <w:color w:val="auto"/>
              </w:rPr>
            </w:pPr>
          </w:p>
        </w:tc>
        <w:tc>
          <w:tcPr>
            <w:tcW w:w="10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27,280</w:t>
            </w:r>
          </w:p>
        </w:tc>
        <w:tc>
          <w:tcPr>
            <w:tcW w:w="340" w:type="dxa"/>
            <w:vAlign w:val="bottom"/>
          </w:tcPr>
          <w:p>
            <w:pPr>
              <w:spacing w:after="0"/>
              <w:rPr>
                <w:sz w:val="19"/>
                <w:szCs w:val="19"/>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26,188</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26,226</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5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w:t>
            </w: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6,361</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6,483</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6,513</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58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General and administrative expenses</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4,033</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3,992</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4,014</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58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 operating costs and expenses</w:t>
            </w: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37,674</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36,663</w:t>
            </w: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36,753</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Gain on sale of business</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231</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5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4,511</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4,370</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588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5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(665)</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(621)</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5880" w:type="dxa"/>
            <w:vAlign w:val="bottom"/>
          </w:tcPr>
          <w:p>
            <w:pPr>
              <w:ind w:left="220"/>
              <w:spacing w:after="0"/>
              <w:rPr>
                <w:sz w:val="20"/>
                <w:szCs w:val="20"/>
                <w:color w:val="auto"/>
              </w:rPr>
            </w:pPr>
            <w:r>
              <w:rPr>
                <w:rFonts w:ascii="Arial" w:cs="Arial" w:eastAsia="Arial" w:hAnsi="Arial"/>
                <w:sz w:val="18"/>
                <w:szCs w:val="18"/>
                <w:color w:val="auto"/>
              </w:rPr>
              <w:t>Non-operating FAS pension benefit</w:t>
            </w:r>
          </w:p>
        </w:tc>
        <w:tc>
          <w:tcPr>
            <w:tcW w:w="400" w:type="dxa"/>
            <w:vAlign w:val="bottom"/>
          </w:tcPr>
          <w:p>
            <w:pPr>
              <w:spacing w:after="0"/>
              <w:rPr>
                <w:sz w:val="19"/>
                <w:szCs w:val="19"/>
                <w:color w:val="auto"/>
              </w:rPr>
            </w:pPr>
          </w:p>
        </w:tc>
        <w:tc>
          <w:tcPr>
            <w:tcW w:w="10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541</w:t>
            </w:r>
          </w:p>
        </w:tc>
        <w:tc>
          <w:tcPr>
            <w:tcW w:w="340" w:type="dxa"/>
            <w:vAlign w:val="bottom"/>
          </w:tcPr>
          <w:p>
            <w:pPr>
              <w:spacing w:after="0"/>
              <w:rPr>
                <w:sz w:val="19"/>
                <w:szCs w:val="19"/>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656</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530</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5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Mark-to-market pension and OPB benefit (expense)</w:t>
            </w: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527</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443</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58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 net</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154</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168</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5,068</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5,016</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Federal and foreign income tax expense</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886</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842</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5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w:t>
            </w:r>
          </w:p>
        </w:tc>
        <w:tc>
          <w:tcPr>
            <w:tcW w:w="4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4,182</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4,174</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2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5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per share</w:t>
            </w:r>
          </w:p>
        </w:tc>
        <w:tc>
          <w:tcPr>
            <w:tcW w:w="4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29.14</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28.39</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Weighted-average common shares outstanding, in millions</w:t>
            </w: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143.5</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147.0</w:t>
            </w: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5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4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29.08</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28.34</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20" w:type="dxa"/>
            <w:vAlign w:val="bottom"/>
          </w:tcPr>
          <w:p>
            <w:pPr>
              <w:spacing w:after="0"/>
              <w:rPr>
                <w:sz w:val="20"/>
                <w:szCs w:val="20"/>
                <w:color w:val="auto"/>
              </w:rPr>
            </w:pPr>
          </w:p>
        </w:tc>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Weighted-average diluted shares outstanding, in millions</w:t>
            </w: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143.8</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147.3</w:t>
            </w: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20" w:type="dxa"/>
            <w:vAlign w:val="bottom"/>
          </w:tcPr>
          <w:p>
            <w:pPr>
              <w:spacing w:after="0"/>
              <w:rPr>
                <w:sz w:val="17"/>
                <w:szCs w:val="17"/>
                <w:color w:val="auto"/>
              </w:rPr>
            </w:pPr>
          </w:p>
        </w:tc>
        <w:tc>
          <w:tcPr>
            <w:tcW w:w="5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5880" w:type="dxa"/>
            <w:vAlign w:val="bottom"/>
          </w:tcPr>
          <w:p>
            <w:pPr>
              <w:ind w:left="20"/>
              <w:spacing w:after="0"/>
              <w:rPr>
                <w:sz w:val="20"/>
                <w:szCs w:val="20"/>
                <w:color w:val="auto"/>
              </w:rPr>
            </w:pPr>
            <w:r>
              <w:rPr>
                <w:rFonts w:ascii="Arial" w:cs="Arial" w:eastAsia="Arial" w:hAnsi="Arial"/>
                <w:sz w:val="18"/>
                <w:szCs w:val="18"/>
                <w:color w:val="auto"/>
              </w:rPr>
              <w:t>Net earnings (from above)</w:t>
            </w:r>
          </w:p>
        </w:tc>
        <w:tc>
          <w:tcPr>
            <w:tcW w:w="4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4,182</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4,174</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2,056</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5880" w:type="dxa"/>
            <w:vAlign w:val="bottom"/>
          </w:tcPr>
          <w:p>
            <w:pPr>
              <w:ind w:left="220"/>
              <w:spacing w:after="0"/>
              <w:rPr>
                <w:sz w:val="20"/>
                <w:szCs w:val="20"/>
                <w:color w:val="auto"/>
              </w:rPr>
            </w:pPr>
            <w:r>
              <w:rPr>
                <w:rFonts w:ascii="Arial" w:cs="Arial" w:eastAsia="Arial" w:hAnsi="Arial"/>
                <w:sz w:val="18"/>
                <w:szCs w:val="18"/>
                <w:color w:val="auto"/>
              </w:rPr>
              <w:t>Change in cumulative translation adjustment</w:t>
            </w:r>
          </w:p>
        </w:tc>
        <w:tc>
          <w:tcPr>
            <w:tcW w:w="400" w:type="dxa"/>
            <w:vAlign w:val="bottom"/>
          </w:tcPr>
          <w:p>
            <w:pPr>
              <w:spacing w:after="0"/>
              <w:rPr>
                <w:sz w:val="19"/>
                <w:szCs w:val="19"/>
                <w:color w:val="auto"/>
              </w:rPr>
            </w:pPr>
          </w:p>
        </w:tc>
        <w:tc>
          <w:tcPr>
            <w:tcW w:w="10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9</w:t>
            </w:r>
          </w:p>
        </w:tc>
        <w:tc>
          <w:tcPr>
            <w:tcW w:w="34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58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Change in other, net</w:t>
            </w: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17</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26</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5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4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4,208</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4,150</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2,081</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506095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500"/>
        <w:spacing w:after="0"/>
        <w:rPr>
          <w:sz w:val="20"/>
          <w:szCs w:val="20"/>
          <w:color w:val="auto"/>
        </w:rPr>
      </w:pPr>
      <w:r>
        <w:rPr>
          <w:rFonts w:ascii="Arial" w:cs="Arial" w:eastAsia="Arial" w:hAnsi="Arial"/>
          <w:sz w:val="14"/>
          <w:szCs w:val="14"/>
          <w:b w:val="1"/>
          <w:bCs w:val="1"/>
          <w:color w:val="auto"/>
        </w:rPr>
        <w:t>Northrop Grumman Corporation</w:t>
      </w:r>
    </w:p>
    <w:p>
      <w:pPr>
        <w:ind w:left="3800"/>
        <w:spacing w:after="0" w:line="203" w:lineRule="auto"/>
        <w:rPr>
          <w:sz w:val="20"/>
          <w:szCs w:val="20"/>
          <w:color w:val="auto"/>
        </w:rPr>
      </w:pPr>
      <w:r>
        <w:rPr>
          <w:rFonts w:ascii="Arial" w:cs="Arial" w:eastAsia="Arial" w:hAnsi="Arial"/>
          <w:sz w:val="14"/>
          <w:szCs w:val="14"/>
          <w:color w:val="auto"/>
        </w:rPr>
        <w:t>2980 Fairview Park Drive • Falls Church, VA 22042-4511</w:t>
      </w:r>
    </w:p>
    <w:p>
      <w:pPr>
        <w:jc w:val="center"/>
        <w:ind w:right="20"/>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20"/>
          </w:cols>
          <w:pgMar w:left="340" w:top="376"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71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8"/>
              </w:rPr>
              <w:t>Northrop Grumman Reports Fourth Quarter and Full-Year 2025 Financial Results</w:t>
            </w:r>
          </w:p>
        </w:tc>
        <w:tc>
          <w:tcPr>
            <w:tcW w:w="660" w:type="dxa"/>
            <w:vAlign w:val="bottom"/>
            <w:vMerge w:val="restart"/>
          </w:tcPr>
          <w:p>
            <w:pPr>
              <w:spacing w:after="0"/>
              <w:rPr>
                <w:sz w:val="21"/>
                <w:szCs w:val="21"/>
                <w:color w:val="auto"/>
              </w:rPr>
            </w:pPr>
          </w:p>
        </w:tc>
        <w:tc>
          <w:tcPr>
            <w:tcW w:w="6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14</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10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51"/>
        </w:trPr>
        <w:tc>
          <w:tcPr>
            <w:tcW w:w="20" w:type="dxa"/>
            <w:vAlign w:val="bottom"/>
          </w:tcPr>
          <w:p>
            <w:pPr>
              <w:spacing w:after="0"/>
              <w:rPr>
                <w:sz w:val="24"/>
                <w:szCs w:val="24"/>
                <w:color w:val="auto"/>
              </w:rPr>
            </w:pPr>
          </w:p>
        </w:tc>
        <w:tc>
          <w:tcPr>
            <w:tcW w:w="7760" w:type="dxa"/>
            <w:vAlign w:val="bottom"/>
            <w:gridSpan w:val="2"/>
            <w:vMerge w:val="restart"/>
          </w:tcPr>
          <w:p>
            <w:pPr>
              <w:jc w:val="center"/>
              <w:ind w:left="3370"/>
              <w:spacing w:after="0"/>
              <w:rPr>
                <w:sz w:val="20"/>
                <w:szCs w:val="20"/>
                <w:color w:val="auto"/>
              </w:rPr>
            </w:pPr>
            <w:r>
              <w:rPr>
                <w:rFonts w:ascii="Arial" w:cs="Arial" w:eastAsia="Arial" w:hAnsi="Arial"/>
                <w:sz w:val="18"/>
                <w:szCs w:val="18"/>
                <w:b w:val="1"/>
                <w:bCs w:val="1"/>
                <w:color w:val="auto"/>
                <w:w w:val="99"/>
              </w:rPr>
              <w:t>NORTHROP GRUMMAN CORPORATION</w:t>
            </w: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SCHEDULE 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760" w:type="dxa"/>
            <w:vAlign w:val="bottom"/>
            <w:gridSpan w:val="2"/>
            <w:vMerge w:val="continue"/>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3"/>
          </w:tcPr>
          <w:p>
            <w:pPr>
              <w:jc w:val="center"/>
              <w:ind w:left="2690"/>
              <w:spacing w:after="0"/>
              <w:rPr>
                <w:sz w:val="20"/>
                <w:szCs w:val="20"/>
                <w:color w:val="auto"/>
              </w:rPr>
            </w:pPr>
            <w:r>
              <w:rPr>
                <w:rFonts w:ascii="Arial" w:cs="Arial" w:eastAsia="Arial" w:hAnsi="Arial"/>
                <w:sz w:val="18"/>
                <w:szCs w:val="18"/>
                <w:b w:val="1"/>
                <w:bCs w:val="1"/>
                <w:color w:val="auto"/>
                <w:w w:val="99"/>
              </w:rPr>
              <w:t>CONSOLIDATED STATEMENTS OF FINANCIAL POSITION</w:t>
            </w: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760" w:type="dxa"/>
            <w:vAlign w:val="bottom"/>
            <w:gridSpan w:val="2"/>
          </w:tcPr>
          <w:p>
            <w:pPr>
              <w:jc w:val="center"/>
              <w:ind w:left="3350"/>
              <w:spacing w:after="0"/>
              <w:rPr>
                <w:sz w:val="20"/>
                <w:szCs w:val="20"/>
                <w:color w:val="auto"/>
              </w:rPr>
            </w:pPr>
            <w:r>
              <w:rPr>
                <w:rFonts w:ascii="Arial" w:cs="Arial" w:eastAsia="Arial" w:hAnsi="Arial"/>
                <w:sz w:val="18"/>
                <w:szCs w:val="18"/>
                <w:b w:val="1"/>
                <w:bCs w:val="1"/>
                <w:color w:val="auto"/>
                <w:w w:val="99"/>
              </w:rPr>
              <w:t>(Unaudited)</w:t>
            </w:r>
          </w:p>
        </w:tc>
        <w:tc>
          <w:tcPr>
            <w:tcW w:w="6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2"/>
        </w:trPr>
        <w:tc>
          <w:tcPr>
            <w:tcW w:w="2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 in millions, except par value</w:t>
            </w:r>
          </w:p>
        </w:tc>
        <w:tc>
          <w:tcPr>
            <w:tcW w:w="17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December 31, 2025</w:t>
            </w:r>
          </w:p>
        </w:tc>
        <w:tc>
          <w:tcPr>
            <w:tcW w:w="17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December 31, 2024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60" w:type="dxa"/>
            <w:vAlign w:val="bottom"/>
            <w:gridSpan w:val="2"/>
          </w:tcPr>
          <w:p>
            <w:pPr>
              <w:ind w:left="120"/>
              <w:spacing w:after="0"/>
              <w:rPr>
                <w:sz w:val="20"/>
                <w:szCs w:val="20"/>
                <w:color w:val="auto"/>
              </w:rPr>
            </w:pPr>
            <w:r>
              <w:rPr>
                <w:rFonts w:ascii="Arial" w:cs="Arial" w:eastAsia="Arial" w:hAnsi="Arial"/>
                <w:sz w:val="18"/>
                <w:szCs w:val="18"/>
                <w:color w:val="auto"/>
              </w:rPr>
              <w:t>Cash and cash equivalents</w:t>
            </w:r>
          </w:p>
        </w:tc>
        <w:tc>
          <w:tcPr>
            <w:tcW w:w="68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4,403</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4,353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Accounts receivable, net</w:t>
            </w: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1,375</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gridSpan w:val="2"/>
          </w:tcPr>
          <w:p>
            <w:pPr>
              <w:ind w:left="120"/>
              <w:spacing w:after="0"/>
              <w:rPr>
                <w:sz w:val="20"/>
                <w:szCs w:val="20"/>
                <w:color w:val="auto"/>
              </w:rPr>
            </w:pPr>
            <w:r>
              <w:rPr>
                <w:rFonts w:ascii="Arial" w:cs="Arial" w:eastAsia="Arial" w:hAnsi="Arial"/>
                <w:sz w:val="18"/>
                <w:szCs w:val="18"/>
                <w:color w:val="auto"/>
              </w:rPr>
              <w:t>Unbilled receivables, net</w:t>
            </w:r>
          </w:p>
        </w:tc>
        <w:tc>
          <w:tcPr>
            <w:tcW w:w="6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6,544</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5,908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Inventoried costs, net</w:t>
            </w: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1,309</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29"/>
        </w:trPr>
        <w:tc>
          <w:tcPr>
            <w:tcW w:w="20" w:type="dxa"/>
            <w:vAlign w:val="bottom"/>
            <w:tcBorders>
              <w:bottom w:val="single" w:sz="8" w:color="auto"/>
            </w:tcBorders>
          </w:tcPr>
          <w:p>
            <w:pPr>
              <w:spacing w:after="0"/>
              <w:rPr>
                <w:sz w:val="19"/>
                <w:szCs w:val="19"/>
                <w:color w:val="auto"/>
              </w:rPr>
            </w:pPr>
          </w:p>
        </w:tc>
        <w:tc>
          <w:tcPr>
            <w:tcW w:w="77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1,656</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shd w:val="clear" w:color="auto" w:fill="CCEEFF"/>
          </w:tcPr>
          <w:p>
            <w:pPr>
              <w:spacing w:after="0"/>
              <w:rPr>
                <w:sz w:val="19"/>
                <w:szCs w:val="19"/>
                <w:color w:val="auto"/>
              </w:rPr>
            </w:pPr>
          </w:p>
        </w:tc>
        <w:tc>
          <w:tcPr>
            <w:tcW w:w="77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6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15,287</w:t>
            </w: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760" w:type="dxa"/>
            <w:vAlign w:val="bottom"/>
            <w:gridSpan w:val="2"/>
          </w:tcPr>
          <w:p>
            <w:pPr>
              <w:ind w:left="120"/>
              <w:spacing w:after="0" w:line="169" w:lineRule="exact"/>
              <w:rPr>
                <w:sz w:val="20"/>
                <w:szCs w:val="20"/>
                <w:color w:val="auto"/>
              </w:rPr>
            </w:pPr>
            <w:r>
              <w:rPr>
                <w:rFonts w:ascii="Arial" w:cs="Arial" w:eastAsia="Arial" w:hAnsi="Arial"/>
                <w:sz w:val="18"/>
                <w:szCs w:val="18"/>
                <w:color w:val="auto"/>
              </w:rPr>
              <w:t>Property, plant and equipment, net of accumulated depreciation of $9,648 for 2025 and $8,733</w:t>
            </w:r>
          </w:p>
        </w:tc>
        <w:tc>
          <w:tcPr>
            <w:tcW w:w="680" w:type="dxa"/>
            <w:vAlign w:val="bottom"/>
          </w:tcPr>
          <w:p>
            <w:pPr>
              <w:spacing w:after="0"/>
              <w:rPr>
                <w:sz w:val="14"/>
                <w:szCs w:val="14"/>
                <w:color w:val="auto"/>
              </w:rPr>
            </w:pPr>
          </w:p>
        </w:tc>
        <w:tc>
          <w:tcPr>
            <w:tcW w:w="10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10,972</w:t>
            </w:r>
          </w:p>
        </w:tc>
        <w:tc>
          <w:tcPr>
            <w:tcW w:w="38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10,536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760" w:type="dxa"/>
            <w:vAlign w:val="bottom"/>
            <w:gridSpan w:val="2"/>
          </w:tcPr>
          <w:p>
            <w:pPr>
              <w:ind w:left="120"/>
              <w:spacing w:after="0"/>
              <w:rPr>
                <w:sz w:val="20"/>
                <w:szCs w:val="20"/>
                <w:color w:val="auto"/>
              </w:rPr>
            </w:pPr>
            <w:r>
              <w:rPr>
                <w:rFonts w:ascii="Arial" w:cs="Arial" w:eastAsia="Arial" w:hAnsi="Arial"/>
                <w:sz w:val="18"/>
                <w:szCs w:val="18"/>
                <w:color w:val="auto"/>
              </w:rPr>
              <w:t>for 2024</w:t>
            </w:r>
          </w:p>
        </w:tc>
        <w:tc>
          <w:tcPr>
            <w:tcW w:w="68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Operating lease right-of-use assets</w:t>
            </w: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1,859</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60" w:type="dxa"/>
            <w:vAlign w:val="bottom"/>
            <w:gridSpan w:val="2"/>
          </w:tcPr>
          <w:p>
            <w:pPr>
              <w:ind w:left="120"/>
              <w:spacing w:after="0"/>
              <w:rPr>
                <w:sz w:val="20"/>
                <w:szCs w:val="20"/>
                <w:color w:val="auto"/>
              </w:rPr>
            </w:pPr>
            <w:r>
              <w:rPr>
                <w:rFonts w:ascii="Arial" w:cs="Arial" w:eastAsia="Arial" w:hAnsi="Arial"/>
                <w:sz w:val="18"/>
                <w:szCs w:val="18"/>
                <w:color w:val="auto"/>
              </w:rPr>
              <w:t>Goodwill</w:t>
            </w:r>
          </w:p>
        </w:tc>
        <w:tc>
          <w:tcPr>
            <w:tcW w:w="6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17,437</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17,512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Deferred tax assets</w:t>
            </w: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1,051</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gridSpan w:val="2"/>
          </w:tcPr>
          <w:p>
            <w:pPr>
              <w:ind w:left="120"/>
              <w:spacing w:after="0"/>
              <w:rPr>
                <w:sz w:val="20"/>
                <w:szCs w:val="20"/>
                <w:color w:val="auto"/>
              </w:rPr>
            </w:pPr>
            <w:r>
              <w:rPr>
                <w:rFonts w:ascii="Arial" w:cs="Arial" w:eastAsia="Arial" w:hAnsi="Arial"/>
                <w:sz w:val="18"/>
                <w:szCs w:val="18"/>
                <w:color w:val="auto"/>
              </w:rPr>
              <w:t>Pension and other postretirement benefit plan assets</w:t>
            </w:r>
          </w:p>
        </w:tc>
        <w:tc>
          <w:tcPr>
            <w:tcW w:w="6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3,167</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2,184</w:t>
            </w:r>
          </w:p>
        </w:tc>
        <w:tc>
          <w:tcPr>
            <w:tcW w:w="0" w:type="dxa"/>
            <w:vAlign w:val="bottom"/>
          </w:tcPr>
          <w:p>
            <w:pPr>
              <w:spacing w:after="0"/>
              <w:rPr>
                <w:sz w:val="1"/>
                <w:szCs w:val="1"/>
                <w:color w:val="auto"/>
              </w:rPr>
            </w:pPr>
          </w:p>
        </w:tc>
      </w:tr>
      <w:tr>
        <w:trPr>
          <w:trHeight w:val="229"/>
        </w:trPr>
        <w:tc>
          <w:tcPr>
            <w:tcW w:w="20" w:type="dxa"/>
            <w:vAlign w:val="bottom"/>
            <w:tcBorders>
              <w:bottom w:val="single" w:sz="8" w:color="auto"/>
            </w:tcBorders>
            <w:shd w:val="clear" w:color="auto" w:fill="CCEEFF"/>
          </w:tcPr>
          <w:p>
            <w:pPr>
              <w:spacing w:after="0"/>
              <w:rPr>
                <w:sz w:val="19"/>
                <w:szCs w:val="19"/>
                <w:color w:val="auto"/>
              </w:rPr>
            </w:pPr>
          </w:p>
        </w:tc>
        <w:tc>
          <w:tcPr>
            <w:tcW w:w="776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 non-current assets</w:t>
            </w:r>
          </w:p>
        </w:tc>
        <w:tc>
          <w:tcPr>
            <w:tcW w:w="6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1,604</w:t>
            </w: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tcPr>
          <w:p>
            <w:pPr>
              <w:spacing w:after="0"/>
              <w:rPr>
                <w:sz w:val="20"/>
                <w:szCs w:val="20"/>
                <w:color w:val="auto"/>
              </w:rPr>
            </w:pPr>
          </w:p>
        </w:tc>
        <w:tc>
          <w:tcPr>
            <w:tcW w:w="7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Total assets</w:t>
            </w: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51,377</w:t>
            </w: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49,359</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Trade accounts payable</w:t>
            </w:r>
          </w:p>
        </w:tc>
        <w:tc>
          <w:tcPr>
            <w:tcW w:w="6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3,240</w:t>
            </w: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gridSpan w:val="2"/>
          </w:tcPr>
          <w:p>
            <w:pPr>
              <w:ind w:left="120"/>
              <w:spacing w:after="0"/>
              <w:rPr>
                <w:sz w:val="20"/>
                <w:szCs w:val="20"/>
                <w:color w:val="auto"/>
              </w:rPr>
            </w:pPr>
            <w:r>
              <w:rPr>
                <w:rFonts w:ascii="Arial" w:cs="Arial" w:eastAsia="Arial" w:hAnsi="Arial"/>
                <w:sz w:val="18"/>
                <w:szCs w:val="18"/>
                <w:color w:val="auto"/>
              </w:rPr>
              <w:t>Accrued employee compensation</w:t>
            </w:r>
          </w:p>
        </w:tc>
        <w:tc>
          <w:tcPr>
            <w:tcW w:w="6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2,309</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2,271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Advance payments and billings in excess of costs incurred</w:t>
            </w: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4,086</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4,070</w:t>
            </w:r>
          </w:p>
        </w:tc>
        <w:tc>
          <w:tcPr>
            <w:tcW w:w="0" w:type="dxa"/>
            <w:vAlign w:val="bottom"/>
          </w:tcPr>
          <w:p>
            <w:pPr>
              <w:spacing w:after="0"/>
              <w:rPr>
                <w:sz w:val="1"/>
                <w:szCs w:val="1"/>
                <w:color w:val="auto"/>
              </w:rPr>
            </w:pPr>
          </w:p>
        </w:tc>
      </w:tr>
      <w:tr>
        <w:trPr>
          <w:trHeight w:val="229"/>
        </w:trPr>
        <w:tc>
          <w:tcPr>
            <w:tcW w:w="20" w:type="dxa"/>
            <w:vAlign w:val="bottom"/>
            <w:tcBorders>
              <w:bottom w:val="single" w:sz="8" w:color="auto"/>
            </w:tcBorders>
          </w:tcPr>
          <w:p>
            <w:pPr>
              <w:spacing w:after="0"/>
              <w:rPr>
                <w:sz w:val="19"/>
                <w:szCs w:val="19"/>
                <w:color w:val="auto"/>
              </w:rPr>
            </w:pPr>
          </w:p>
        </w:tc>
        <w:tc>
          <w:tcPr>
            <w:tcW w:w="77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Other current liabilities</w:t>
            </w: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4,247</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5,188</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shd w:val="clear" w:color="auto" w:fill="CCEEFF"/>
          </w:tcPr>
          <w:p>
            <w:pPr>
              <w:spacing w:after="0"/>
              <w:rPr>
                <w:sz w:val="19"/>
                <w:szCs w:val="19"/>
                <w:color w:val="auto"/>
              </w:rPr>
            </w:pPr>
          </w:p>
        </w:tc>
        <w:tc>
          <w:tcPr>
            <w:tcW w:w="77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6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13,882</w:t>
            </w: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gridSpan w:val="2"/>
          </w:tcPr>
          <w:p>
            <w:pPr>
              <w:ind w:left="120"/>
              <w:spacing w:after="0"/>
              <w:rPr>
                <w:sz w:val="20"/>
                <w:szCs w:val="20"/>
                <w:color w:val="auto"/>
              </w:rPr>
            </w:pPr>
            <w:r>
              <w:rPr>
                <w:rFonts w:ascii="Arial" w:cs="Arial" w:eastAsia="Arial" w:hAnsi="Arial"/>
                <w:sz w:val="18"/>
                <w:szCs w:val="18"/>
                <w:color w:val="auto"/>
              </w:rPr>
              <w:t>Long-term debt, net of current portion of $534 for 2025 and $1,582 for 2024</w:t>
            </w:r>
          </w:p>
        </w:tc>
        <w:tc>
          <w:tcPr>
            <w:tcW w:w="6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15,162</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14,692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Pension and other postretirement benefit plan liabilities</w:t>
            </w: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1,110</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gridSpan w:val="2"/>
          </w:tcPr>
          <w:p>
            <w:pPr>
              <w:ind w:left="120"/>
              <w:spacing w:after="0"/>
              <w:rPr>
                <w:sz w:val="20"/>
                <w:szCs w:val="20"/>
                <w:color w:val="auto"/>
              </w:rPr>
            </w:pPr>
            <w:r>
              <w:rPr>
                <w:rFonts w:ascii="Arial" w:cs="Arial" w:eastAsia="Arial" w:hAnsi="Arial"/>
                <w:sz w:val="18"/>
                <w:szCs w:val="18"/>
                <w:color w:val="auto"/>
              </w:rPr>
              <w:t>Operating lease liabilities</w:t>
            </w:r>
          </w:p>
        </w:tc>
        <w:tc>
          <w:tcPr>
            <w:tcW w:w="6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1,857</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1,798</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shd w:val="clear" w:color="auto" w:fill="CCEEFF"/>
          </w:tcPr>
          <w:p>
            <w:pPr>
              <w:spacing w:after="0"/>
              <w:rPr>
                <w:sz w:val="19"/>
                <w:szCs w:val="19"/>
                <w:color w:val="auto"/>
              </w:rPr>
            </w:pPr>
          </w:p>
        </w:tc>
        <w:tc>
          <w:tcPr>
            <w:tcW w:w="776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 non-current liabilities</w:t>
            </w:r>
          </w:p>
        </w:tc>
        <w:tc>
          <w:tcPr>
            <w:tcW w:w="6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2,692</w:t>
            </w: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2,331</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7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34,703</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34,069</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7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Arial" w:cs="Arial" w:eastAsia="Arial" w:hAnsi="Arial"/>
                <w:sz w:val="18"/>
                <w:szCs w:val="18"/>
                <w:b w:val="1"/>
                <w:bCs w:val="1"/>
                <w:color w:val="auto"/>
              </w:rPr>
              <w:t>Shareholders’ equity</w:t>
            </w:r>
          </w:p>
        </w:tc>
        <w:tc>
          <w:tcPr>
            <w:tcW w:w="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Preferred stock, $1 par value; 10,000,000 shares authorized; no shares issued and outstanding</w:t>
            </w: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76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Common stock, $1 par value; 800,000,000 shares authorized; issued and outstanding: 2025—</w:t>
            </w:r>
          </w:p>
        </w:tc>
        <w:tc>
          <w:tcPr>
            <w:tcW w:w="680" w:type="dxa"/>
            <w:vAlign w:val="bottom"/>
          </w:tcPr>
          <w:p>
            <w:pPr>
              <w:spacing w:after="0"/>
              <w:rPr>
                <w:sz w:val="15"/>
                <w:szCs w:val="15"/>
                <w:color w:val="auto"/>
              </w:rPr>
            </w:pPr>
          </w:p>
        </w:tc>
        <w:tc>
          <w:tcPr>
            <w:tcW w:w="10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142</w:t>
            </w:r>
          </w:p>
        </w:tc>
        <w:tc>
          <w:tcPr>
            <w:tcW w:w="38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760" w:type="dxa"/>
            <w:vAlign w:val="bottom"/>
            <w:gridSpan w:val="2"/>
          </w:tcPr>
          <w:p>
            <w:pPr>
              <w:ind w:left="120"/>
              <w:spacing w:after="0"/>
              <w:rPr>
                <w:sz w:val="20"/>
                <w:szCs w:val="20"/>
                <w:color w:val="auto"/>
              </w:rPr>
            </w:pPr>
            <w:r>
              <w:rPr>
                <w:rFonts w:ascii="Arial" w:cs="Arial" w:eastAsia="Arial" w:hAnsi="Arial"/>
                <w:sz w:val="18"/>
                <w:szCs w:val="18"/>
                <w:color w:val="auto"/>
              </w:rPr>
              <w:t>141,997,194 and 2024—144,952,026</w:t>
            </w:r>
          </w:p>
        </w:tc>
        <w:tc>
          <w:tcPr>
            <w:tcW w:w="68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Paid-in capital</w:t>
            </w: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gridSpan w:val="2"/>
          </w:tcPr>
          <w:p>
            <w:pPr>
              <w:ind w:left="120"/>
              <w:spacing w:after="0"/>
              <w:rPr>
                <w:sz w:val="20"/>
                <w:szCs w:val="20"/>
                <w:color w:val="auto"/>
              </w:rPr>
            </w:pPr>
            <w:r>
              <w:rPr>
                <w:rFonts w:ascii="Arial" w:cs="Arial" w:eastAsia="Arial" w:hAnsi="Arial"/>
                <w:sz w:val="18"/>
                <w:szCs w:val="18"/>
                <w:color w:val="auto"/>
              </w:rPr>
              <w:t>Retained earnings</w:t>
            </w:r>
          </w:p>
        </w:tc>
        <w:tc>
          <w:tcPr>
            <w:tcW w:w="6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16,658</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15,297</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shd w:val="clear" w:color="auto" w:fill="CCEEFF"/>
          </w:tcPr>
          <w:p>
            <w:pPr>
              <w:spacing w:after="0"/>
              <w:rPr>
                <w:sz w:val="19"/>
                <w:szCs w:val="19"/>
                <w:color w:val="auto"/>
              </w:rPr>
            </w:pPr>
          </w:p>
        </w:tc>
        <w:tc>
          <w:tcPr>
            <w:tcW w:w="776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Accumulated other comprehensive loss</w:t>
            </w:r>
          </w:p>
        </w:tc>
        <w:tc>
          <w:tcPr>
            <w:tcW w:w="6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w:t>
            </w: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77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Total shareholders’ equity</w:t>
            </w: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16,674</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15,290</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shd w:val="clear" w:color="auto" w:fill="CCEEFF"/>
          </w:tcPr>
          <w:p>
            <w:pPr>
              <w:spacing w:after="0"/>
              <w:rPr>
                <w:sz w:val="20"/>
                <w:szCs w:val="20"/>
                <w:color w:val="auto"/>
              </w:rPr>
            </w:pPr>
          </w:p>
        </w:tc>
        <w:tc>
          <w:tcPr>
            <w:tcW w:w="77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6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51,377</w:t>
            </w:r>
          </w:p>
        </w:tc>
        <w:tc>
          <w:tcPr>
            <w:tcW w:w="3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505460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520"/>
        <w:spacing w:after="0"/>
        <w:rPr>
          <w:sz w:val="20"/>
          <w:szCs w:val="20"/>
          <w:color w:val="auto"/>
        </w:rPr>
      </w:pPr>
      <w:r>
        <w:rPr>
          <w:rFonts w:ascii="Arial" w:cs="Arial" w:eastAsia="Arial" w:hAnsi="Arial"/>
          <w:sz w:val="14"/>
          <w:szCs w:val="14"/>
          <w:b w:val="1"/>
          <w:bCs w:val="1"/>
          <w:color w:val="auto"/>
        </w:rPr>
        <w:t>Northrop Grumman Corporation</w:t>
      </w:r>
    </w:p>
    <w:p>
      <w:pPr>
        <w:ind w:left="3820"/>
        <w:spacing w:after="0" w:line="203" w:lineRule="auto"/>
        <w:rPr>
          <w:sz w:val="20"/>
          <w:szCs w:val="20"/>
          <w:color w:val="auto"/>
        </w:rPr>
      </w:pPr>
      <w:r>
        <w:rPr>
          <w:rFonts w:ascii="Arial" w:cs="Arial" w:eastAsia="Arial" w:hAnsi="Arial"/>
          <w:sz w:val="14"/>
          <w:szCs w:val="14"/>
          <w:color w:val="auto"/>
        </w:rPr>
        <w:t>2980 Fairview Park Drive • Falls Church, VA 22042-4511</w:t>
      </w:r>
    </w:p>
    <w:p>
      <w:pPr>
        <w:jc w:val="center"/>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40"/>
          </w:cols>
          <w:pgMar w:left="320" w:top="376"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71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8"/>
              </w:rPr>
              <w:t>Northrop Grumman Reports Fourth Quarter and Full-Year 2025 Financial Results</w:t>
            </w:r>
          </w:p>
        </w:tc>
        <w:tc>
          <w:tcPr>
            <w:tcW w:w="340" w:type="dxa"/>
            <w:vAlign w:val="bottom"/>
            <w:vMerge w:val="restart"/>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vMerge w:val="restart"/>
          </w:tcPr>
          <w:p>
            <w:pPr>
              <w:jc w:val="right"/>
              <w:spacing w:after="0"/>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10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51"/>
        </w:trPr>
        <w:tc>
          <w:tcPr>
            <w:tcW w:w="20" w:type="dxa"/>
            <w:vAlign w:val="bottom"/>
          </w:tcPr>
          <w:p>
            <w:pPr>
              <w:spacing w:after="0"/>
              <w:rPr>
                <w:sz w:val="24"/>
                <w:szCs w:val="24"/>
                <w:color w:val="auto"/>
              </w:rPr>
            </w:pPr>
          </w:p>
        </w:tc>
        <w:tc>
          <w:tcPr>
            <w:tcW w:w="7440" w:type="dxa"/>
            <w:vAlign w:val="bottom"/>
            <w:gridSpan w:val="2"/>
            <w:vMerge w:val="restart"/>
          </w:tcPr>
          <w:p>
            <w:pPr>
              <w:jc w:val="center"/>
              <w:ind w:left="3690"/>
              <w:spacing w:after="0"/>
              <w:rPr>
                <w:sz w:val="20"/>
                <w:szCs w:val="20"/>
                <w:color w:val="auto"/>
              </w:rPr>
            </w:pPr>
            <w:r>
              <w:rPr>
                <w:rFonts w:ascii="Arial" w:cs="Arial" w:eastAsia="Arial" w:hAnsi="Arial"/>
                <w:sz w:val="18"/>
                <w:szCs w:val="18"/>
                <w:b w:val="1"/>
                <w:bCs w:val="1"/>
                <w:color w:val="auto"/>
                <w:w w:val="99"/>
              </w:rPr>
              <w:t>NORTHROP GRUMMAN CORPORATION</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rPr>
              <w:t>SCHEDULE 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3"/>
          </w:tcPr>
          <w:p>
            <w:pPr>
              <w:jc w:val="center"/>
              <w:ind w:left="335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440" w:type="dxa"/>
            <w:vAlign w:val="bottom"/>
            <w:gridSpan w:val="2"/>
          </w:tcPr>
          <w:p>
            <w:pPr>
              <w:jc w:val="center"/>
              <w:ind w:left="3670"/>
              <w:spacing w:after="0"/>
              <w:rPr>
                <w:sz w:val="20"/>
                <w:szCs w:val="20"/>
                <w:color w:val="auto"/>
              </w:rPr>
            </w:pPr>
            <w:r>
              <w:rPr>
                <w:rFonts w:ascii="Arial" w:cs="Arial" w:eastAsia="Arial" w:hAnsi="Arial"/>
                <w:sz w:val="18"/>
                <w:szCs w:val="18"/>
                <w:b w:val="1"/>
                <w:bCs w:val="1"/>
                <w:color w:val="auto"/>
                <w:w w:val="99"/>
              </w:rPr>
              <w:t>(Unaudited)</w:t>
            </w: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Year Ended December 31</w:t>
            </w:r>
          </w:p>
        </w:tc>
        <w:tc>
          <w:tcPr>
            <w:tcW w:w="8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7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 in millions</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2025</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2024</w:t>
            </w: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2023</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Net earnings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4,182</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4,174</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2,056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to net cash provided by operating activities:</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40" w:type="dxa"/>
            <w:vAlign w:val="bottom"/>
            <w:gridSpan w:val="2"/>
          </w:tcPr>
          <w:p>
            <w:pPr>
              <w:ind w:left="1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1,472</w:t>
            </w:r>
          </w:p>
        </w:tc>
        <w:tc>
          <w:tcPr>
            <w:tcW w:w="32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1,370</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119</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101</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40" w:type="dxa"/>
            <w:vAlign w:val="bottom"/>
            <w:gridSpan w:val="2"/>
          </w:tcPr>
          <w:p>
            <w:pPr>
              <w:ind w:left="12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548</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(582)</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B-21 loss provisions</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477</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40" w:type="dxa"/>
            <w:vAlign w:val="bottom"/>
            <w:gridSpan w:val="2"/>
          </w:tcPr>
          <w:p>
            <w:pPr>
              <w:ind w:left="120"/>
              <w:spacing w:after="0"/>
              <w:rPr>
                <w:sz w:val="20"/>
                <w:szCs w:val="20"/>
                <w:color w:val="auto"/>
              </w:rPr>
            </w:pPr>
            <w:r>
              <w:rPr>
                <w:rFonts w:ascii="Arial" w:cs="Arial" w:eastAsia="Arial" w:hAnsi="Arial"/>
                <w:sz w:val="18"/>
                <w:szCs w:val="18"/>
                <w:color w:val="auto"/>
              </w:rPr>
              <w:t>Gain on sale of business</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(231)</w:t>
            </w:r>
          </w:p>
        </w:tc>
        <w:tc>
          <w:tcPr>
            <w:tcW w:w="32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Mark-to-market pension and OPB (benefit) expense</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(527)</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40" w:type="dxa"/>
            <w:vAlign w:val="bottom"/>
            <w:gridSpan w:val="2"/>
          </w:tcPr>
          <w:p>
            <w:pPr>
              <w:ind w:left="120"/>
              <w:spacing w:after="0"/>
              <w:rPr>
                <w:sz w:val="20"/>
                <w:szCs w:val="20"/>
                <w:color w:val="auto"/>
              </w:rPr>
            </w:pPr>
            <w:r>
              <w:rPr>
                <w:rFonts w:ascii="Arial" w:cs="Arial" w:eastAsia="Arial" w:hAnsi="Arial"/>
                <w:sz w:val="18"/>
                <w:szCs w:val="18"/>
                <w:color w:val="auto"/>
              </w:rPr>
              <w:t>Net periodic pension and OPB income</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(346)</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(438)</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Pension and OPB contributions</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40" w:type="dxa"/>
            <w:vAlign w:val="bottom"/>
            <w:gridSpan w:val="2"/>
          </w:tcPr>
          <w:p>
            <w:pPr>
              <w:ind w:left="12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182</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40" w:type="dxa"/>
            <w:vAlign w:val="bottom"/>
            <w:gridSpan w:val="2"/>
          </w:tcPr>
          <w:p>
            <w:pPr>
              <w:ind w:left="340"/>
              <w:spacing w:after="0"/>
              <w:rPr>
                <w:sz w:val="20"/>
                <w:szCs w:val="20"/>
                <w:color w:val="auto"/>
              </w:rPr>
            </w:pPr>
            <w:r>
              <w:rPr>
                <w:rFonts w:ascii="Arial" w:cs="Arial" w:eastAsia="Arial" w:hAnsi="Arial"/>
                <w:sz w:val="18"/>
                <w:szCs w:val="18"/>
                <w:color w:val="auto"/>
              </w:rPr>
              <w:t>Unbilled receivables, net</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(754)</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(215)</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Inventoried costs, net</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97</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40" w:type="dxa"/>
            <w:vAlign w:val="bottom"/>
            <w:gridSpan w:val="2"/>
          </w:tcPr>
          <w:p>
            <w:pPr>
              <w:ind w:left="340"/>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8</w:t>
            </w:r>
          </w:p>
        </w:tc>
        <w:tc>
          <w:tcPr>
            <w:tcW w:w="32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35</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Trade accounts payable</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646</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485</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40" w:type="dxa"/>
            <w:vAlign w:val="bottom"/>
            <w:gridSpan w:val="2"/>
          </w:tcPr>
          <w:p>
            <w:pPr>
              <w:ind w:left="340"/>
              <w:spacing w:after="0"/>
              <w:rPr>
                <w:sz w:val="20"/>
                <w:szCs w:val="20"/>
                <w:color w:val="auto"/>
              </w:rPr>
            </w:pPr>
            <w:r>
              <w:rPr>
                <w:rFonts w:ascii="Arial" w:cs="Arial" w:eastAsia="Arial" w:hAnsi="Arial"/>
                <w:sz w:val="18"/>
                <w:szCs w:val="18"/>
                <w:color w:val="auto"/>
              </w:rPr>
              <w:t>Advance payments and billings in excess of costs incurred</w:t>
            </w:r>
          </w:p>
        </w:tc>
        <w:tc>
          <w:tcPr>
            <w:tcW w:w="3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19</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liabilities</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(212)</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40" w:type="dxa"/>
            <w:vAlign w:val="bottom"/>
            <w:gridSpan w:val="2"/>
          </w:tcPr>
          <w:p>
            <w:pPr>
              <w:ind w:left="340"/>
              <w:spacing w:after="0"/>
              <w:rPr>
                <w:sz w:val="20"/>
                <w:szCs w:val="20"/>
                <w:color w:val="auto"/>
              </w:rPr>
            </w:pPr>
            <w:r>
              <w:rPr>
                <w:rFonts w:ascii="Arial" w:cs="Arial" w:eastAsia="Arial" w:hAnsi="Arial"/>
                <w:sz w:val="18"/>
                <w:szCs w:val="18"/>
                <w:color w:val="auto"/>
              </w:rPr>
              <w:t>Income taxes payable, net</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(559)</w:t>
            </w:r>
          </w:p>
        </w:tc>
        <w:tc>
          <w:tcPr>
            <w:tcW w:w="32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1,143</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29"/>
        </w:trPr>
        <w:tc>
          <w:tcPr>
            <w:tcW w:w="20" w:type="dxa"/>
            <w:vAlign w:val="bottom"/>
            <w:tcBorders>
              <w:bottom w:val="single" w:sz="8" w:color="auto"/>
            </w:tcBorders>
            <w:shd w:val="clear" w:color="auto" w:fill="CCEEFF"/>
          </w:tcPr>
          <w:p>
            <w:pPr>
              <w:spacing w:after="0"/>
              <w:rPr>
                <w:sz w:val="19"/>
                <w:szCs w:val="19"/>
                <w:color w:val="auto"/>
              </w:rPr>
            </w:pPr>
          </w:p>
        </w:tc>
        <w:tc>
          <w:tcPr>
            <w:tcW w:w="744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56</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61</w:t>
            </w: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7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4,757</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4,388</w:t>
            </w: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3,875</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7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Capital expenditures</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(1,450)</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40" w:type="dxa"/>
            <w:vAlign w:val="bottom"/>
            <w:gridSpan w:val="2"/>
          </w:tcPr>
          <w:p>
            <w:pPr>
              <w:ind w:left="120"/>
              <w:spacing w:after="0"/>
              <w:rPr>
                <w:sz w:val="20"/>
                <w:szCs w:val="20"/>
                <w:color w:val="auto"/>
              </w:rPr>
            </w:pPr>
            <w:r>
              <w:rPr>
                <w:rFonts w:ascii="Arial" w:cs="Arial" w:eastAsia="Arial" w:hAnsi="Arial"/>
                <w:sz w:val="18"/>
                <w:szCs w:val="18"/>
                <w:color w:val="auto"/>
              </w:rPr>
              <w:t>Divestiture of training services business</w:t>
            </w:r>
          </w:p>
        </w:tc>
        <w:tc>
          <w:tcPr>
            <w:tcW w:w="3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333</w:t>
            </w:r>
          </w:p>
        </w:tc>
        <w:tc>
          <w:tcPr>
            <w:tcW w:w="32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Proceeds from sale of minority investments</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tcPr>
          <w:p>
            <w:pPr>
              <w:spacing w:after="0"/>
              <w:rPr>
                <w:sz w:val="19"/>
                <w:szCs w:val="19"/>
                <w:color w:val="auto"/>
              </w:rPr>
            </w:pPr>
          </w:p>
        </w:tc>
        <w:tc>
          <w:tcPr>
            <w:tcW w:w="74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Other investing activities</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w:t>
            </w: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shd w:val="clear" w:color="auto" w:fill="CCEEFF"/>
          </w:tcPr>
          <w:p>
            <w:pPr>
              <w:spacing w:after="0"/>
              <w:rPr>
                <w:sz w:val="19"/>
                <w:szCs w:val="19"/>
                <w:color w:val="auto"/>
              </w:rPr>
            </w:pPr>
          </w:p>
        </w:tc>
        <w:tc>
          <w:tcPr>
            <w:tcW w:w="74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(1,155)</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40" w:type="dxa"/>
            <w:vAlign w:val="bottom"/>
            <w:gridSpan w:val="2"/>
          </w:tcPr>
          <w:p>
            <w:pPr>
              <w:ind w:left="120"/>
              <w:spacing w:after="0"/>
              <w:rPr>
                <w:sz w:val="20"/>
                <w:szCs w:val="20"/>
                <w:color w:val="auto"/>
              </w:rPr>
            </w:pPr>
            <w:r>
              <w:rPr>
                <w:rFonts w:ascii="Arial" w:cs="Arial" w:eastAsia="Arial" w:hAnsi="Arial"/>
                <w:sz w:val="18"/>
                <w:szCs w:val="18"/>
                <w:color w:val="auto"/>
              </w:rPr>
              <w:t>Net proceeds from issuance of long-term debt</w:t>
            </w:r>
          </w:p>
        </w:tc>
        <w:tc>
          <w:tcPr>
            <w:tcW w:w="3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998</w:t>
            </w:r>
          </w:p>
        </w:tc>
        <w:tc>
          <w:tcPr>
            <w:tcW w:w="32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2,495</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1,995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Payments of long-term debt</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(1,500)</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40" w:type="dxa"/>
            <w:vAlign w:val="bottom"/>
            <w:gridSpan w:val="2"/>
          </w:tcPr>
          <w:p>
            <w:pPr>
              <w:ind w:left="120"/>
              <w:spacing w:after="0"/>
              <w:rPr>
                <w:sz w:val="20"/>
                <w:szCs w:val="20"/>
                <w:color w:val="auto"/>
              </w:rPr>
            </w:pPr>
            <w:r>
              <w:rPr>
                <w:rFonts w:ascii="Arial" w:cs="Arial" w:eastAsia="Arial" w:hAnsi="Arial"/>
                <w:sz w:val="18"/>
                <w:szCs w:val="18"/>
                <w:color w:val="auto"/>
              </w:rPr>
              <w:t>Common stock repurchases</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(1,624)</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(2,514)</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Cash dividends paid</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(1,293)</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40" w:type="dxa"/>
            <w:vAlign w:val="bottom"/>
            <w:gridSpan w:val="2"/>
          </w:tcPr>
          <w:p>
            <w:pPr>
              <w:ind w:left="120"/>
              <w:spacing w:after="0"/>
              <w:rPr>
                <w:sz w:val="20"/>
                <w:szCs w:val="20"/>
                <w:color w:val="auto"/>
              </w:rPr>
            </w:pPr>
            <w:r>
              <w:rPr>
                <w:rFonts w:ascii="Arial" w:cs="Arial" w:eastAsia="Arial" w:hAnsi="Arial"/>
                <w:sz w:val="18"/>
                <w:szCs w:val="18"/>
                <w:color w:val="auto"/>
              </w:rPr>
              <w:t>Payments of employee taxes withheld from share-based awards</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shd w:val="clear" w:color="auto" w:fill="CCEEFF"/>
          </w:tcPr>
          <w:p>
            <w:pPr>
              <w:spacing w:after="0"/>
              <w:rPr>
                <w:sz w:val="19"/>
                <w:szCs w:val="19"/>
                <w:color w:val="auto"/>
              </w:rPr>
            </w:pPr>
          </w:p>
        </w:tc>
        <w:tc>
          <w:tcPr>
            <w:tcW w:w="744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7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(3,552)</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w:t>
            </w: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in cash and cash equivalents</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1,244</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tcPr>
          <w:p>
            <w:pPr>
              <w:spacing w:after="0"/>
              <w:rPr>
                <w:sz w:val="19"/>
                <w:szCs w:val="19"/>
                <w:color w:val="auto"/>
              </w:rPr>
            </w:pPr>
          </w:p>
        </w:tc>
        <w:tc>
          <w:tcPr>
            <w:tcW w:w="7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Cash and cash equivalents, beginning of year</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4,353</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3,109</w:t>
            </w: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2,577</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shd w:val="clear" w:color="auto" w:fill="CCEEFF"/>
          </w:tcPr>
          <w:p>
            <w:pPr>
              <w:spacing w:after="0"/>
              <w:rPr>
                <w:sz w:val="20"/>
                <w:szCs w:val="20"/>
                <w:color w:val="auto"/>
              </w:rPr>
            </w:pPr>
          </w:p>
        </w:tc>
        <w:tc>
          <w:tcPr>
            <w:tcW w:w="74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4,403</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4,353</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505460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Northrop Grumman Corporation</w:t>
      </w:r>
    </w:p>
    <w:p>
      <w:pPr>
        <w:jc w:val="center"/>
        <w:spacing w:after="0" w:line="223" w:lineRule="auto"/>
        <w:rPr>
          <w:sz w:val="20"/>
          <w:szCs w:val="20"/>
          <w:color w:val="auto"/>
        </w:rPr>
      </w:pPr>
      <w:r>
        <w:rPr>
          <w:rFonts w:ascii="Arial" w:cs="Arial" w:eastAsia="Arial" w:hAnsi="Arial"/>
          <w:sz w:val="14"/>
          <w:szCs w:val="14"/>
          <w:color w:val="auto"/>
        </w:rPr>
        <w:t>2980 Fairview Park Drive • Falls Church, VA 22042-4511</w:t>
      </w:r>
    </w:p>
    <w:p>
      <w:pPr>
        <w:jc w:val="center"/>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40"/>
          </w:cols>
          <w:pgMar w:left="320" w:top="376"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7100" w:type="dxa"/>
            <w:vAlign w:val="bottom"/>
            <w:tcBorders>
              <w:bottom w:val="single" w:sz="8" w:color="auto"/>
            </w:tcBorders>
            <w:gridSpan w:val="7"/>
          </w:tcPr>
          <w:p>
            <w:pPr>
              <w:spacing w:after="0"/>
              <w:rPr>
                <w:sz w:val="20"/>
                <w:szCs w:val="20"/>
                <w:color w:val="auto"/>
              </w:rPr>
            </w:pPr>
            <w:r>
              <w:rPr>
                <w:rFonts w:ascii="Arial" w:cs="Arial" w:eastAsia="Arial" w:hAnsi="Arial"/>
                <w:sz w:val="20"/>
                <w:szCs w:val="20"/>
                <w:color w:val="auto"/>
                <w:w w:val="98"/>
              </w:rPr>
              <w:t>Northrop Grumman Reports Fourth Quarter and Full-Year 2025 Financial Results</w:t>
            </w:r>
          </w:p>
        </w:tc>
        <w:tc>
          <w:tcPr>
            <w:tcW w:w="140" w:type="dxa"/>
            <w:vAlign w:val="bottom"/>
            <w:vMerge w:val="restart"/>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20" w:type="dxa"/>
            <w:vAlign w:val="bottom"/>
            <w:vMerge w:val="restart"/>
          </w:tcPr>
          <w:p>
            <w:pPr>
              <w:jc w:val="right"/>
              <w:spacing w:after="0"/>
              <w:rPr>
                <w:sz w:val="20"/>
                <w:szCs w:val="20"/>
                <w:color w:val="auto"/>
              </w:rPr>
            </w:pPr>
            <w:r>
              <w:rPr>
                <w:rFonts w:ascii="Arial" w:cs="Arial" w:eastAsia="Arial" w:hAnsi="Arial"/>
                <w:sz w:val="22"/>
                <w:szCs w:val="22"/>
                <w:color w:val="auto"/>
              </w:rPr>
              <w:t>16</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340" w:type="dxa"/>
            <w:vAlign w:val="bottom"/>
            <w:gridSpan w:val="2"/>
          </w:tcPr>
          <w:p>
            <w:pPr>
              <w:spacing w:after="0"/>
              <w:rPr>
                <w:sz w:val="10"/>
                <w:szCs w:val="10"/>
                <w:color w:val="auto"/>
              </w:rPr>
            </w:pPr>
          </w:p>
        </w:tc>
        <w:tc>
          <w:tcPr>
            <w:tcW w:w="2760" w:type="dxa"/>
            <w:vAlign w:val="bottom"/>
            <w:gridSpan w:val="5"/>
          </w:tcPr>
          <w:p>
            <w:pPr>
              <w:spacing w:after="0"/>
              <w:rPr>
                <w:sz w:val="10"/>
                <w:szCs w:val="10"/>
                <w:color w:val="auto"/>
              </w:rPr>
            </w:pPr>
          </w:p>
        </w:tc>
        <w:tc>
          <w:tcPr>
            <w:tcW w:w="14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51"/>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620" w:type="dxa"/>
            <w:vAlign w:val="bottom"/>
            <w:gridSpan w:val="9"/>
            <w:vMerge w:val="restart"/>
          </w:tcPr>
          <w:p>
            <w:pPr>
              <w:jc w:val="center"/>
              <w:spacing w:after="0"/>
              <w:rPr>
                <w:sz w:val="20"/>
                <w:szCs w:val="20"/>
                <w:color w:val="auto"/>
              </w:rPr>
            </w:pPr>
            <w:r>
              <w:rPr>
                <w:rFonts w:ascii="Arial" w:cs="Arial" w:eastAsia="Arial" w:hAnsi="Arial"/>
                <w:sz w:val="18"/>
                <w:szCs w:val="18"/>
                <w:b w:val="1"/>
                <w:bCs w:val="1"/>
                <w:color w:val="auto"/>
                <w:w w:val="99"/>
              </w:rPr>
              <w:t>NORTHROP GRUMMAN CORPORATION</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SCHEDULE 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5620" w:type="dxa"/>
            <w:vAlign w:val="bottom"/>
            <w:gridSpan w:val="9"/>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gridSpan w:val="3"/>
          </w:tcPr>
          <w:p>
            <w:pPr>
              <w:jc w:val="center"/>
              <w:ind w:right="210"/>
              <w:spacing w:after="0"/>
              <w:rPr>
                <w:sz w:val="20"/>
                <w:szCs w:val="20"/>
                <w:color w:val="auto"/>
              </w:rPr>
            </w:pPr>
            <w:r>
              <w:rPr>
                <w:rFonts w:ascii="Arial" w:cs="Arial" w:eastAsia="Arial" w:hAnsi="Arial"/>
                <w:sz w:val="18"/>
                <w:szCs w:val="18"/>
                <w:b w:val="1"/>
                <w:bCs w:val="1"/>
                <w:color w:val="auto"/>
                <w:w w:val="98"/>
              </w:rPr>
              <w:t>TOTAL BACKLOG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40" w:type="dxa"/>
            <w:vAlign w:val="bottom"/>
            <w:gridSpan w:val="3"/>
          </w:tcPr>
          <w:p>
            <w:pPr>
              <w:jc w:val="center"/>
              <w:ind w:right="230"/>
              <w:spacing w:after="0"/>
              <w:rPr>
                <w:sz w:val="20"/>
                <w:szCs w:val="20"/>
                <w:color w:val="auto"/>
              </w:rPr>
            </w:pPr>
            <w:r>
              <w:rPr>
                <w:rFonts w:ascii="Arial" w:cs="Arial" w:eastAsia="Arial" w:hAnsi="Arial"/>
                <w:sz w:val="18"/>
                <w:szCs w:val="18"/>
                <w:b w:val="1"/>
                <w:bCs w:val="1"/>
                <w:color w:val="auto"/>
                <w:w w:val="99"/>
              </w:rPr>
              <w:t>(Unaudited)</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85"/>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20" w:type="dxa"/>
            <w:vAlign w:val="bottom"/>
            <w:gridSpan w:val="4"/>
            <w:vMerge w:val="restart"/>
          </w:tcPr>
          <w:p>
            <w:pPr>
              <w:jc w:val="right"/>
              <w:ind w:right="100"/>
              <w:spacing w:after="0"/>
              <w:rPr>
                <w:sz w:val="20"/>
                <w:szCs w:val="20"/>
                <w:color w:val="auto"/>
              </w:rPr>
            </w:pPr>
            <w:r>
              <w:rPr>
                <w:rFonts w:ascii="Arial" w:cs="Arial" w:eastAsia="Arial" w:hAnsi="Arial"/>
                <w:sz w:val="18"/>
                <w:szCs w:val="18"/>
                <w:b w:val="1"/>
                <w:bCs w:val="1"/>
                <w:color w:val="auto"/>
                <w:w w:val="98"/>
              </w:rPr>
              <w:t>December 31, 2025</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color w:val="auto"/>
              </w:rPr>
              <w:t>December 31,</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4"/>
            <w:vMerge w:val="continue"/>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9"/>
              </w:rPr>
              <w:t>2024</w:t>
            </w:r>
          </w:p>
        </w:tc>
        <w:tc>
          <w:tcPr>
            <w:tcW w:w="1320" w:type="dxa"/>
            <w:vAlign w:val="bottom"/>
            <w:vMerge w:val="restart"/>
          </w:tcPr>
          <w:p>
            <w:pPr>
              <w:jc w:val="right"/>
              <w:ind w:right="8"/>
              <w:spacing w:after="0"/>
              <w:rPr>
                <w:sz w:val="20"/>
                <w:szCs w:val="20"/>
                <w:color w:val="auto"/>
              </w:rPr>
            </w:pPr>
            <w:r>
              <w:rPr>
                <w:rFonts w:ascii="Arial" w:cs="Arial" w:eastAsia="Arial" w:hAnsi="Arial"/>
                <w:sz w:val="18"/>
                <w:szCs w:val="18"/>
                <w:color w:val="auto"/>
              </w:rPr>
              <w:t>% Change in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00" w:type="dxa"/>
            <w:vAlign w:val="bottom"/>
            <w:vMerge w:val="restart"/>
          </w:tcPr>
          <w:p>
            <w:pPr>
              <w:spacing w:after="0"/>
              <w:rPr>
                <w:sz w:val="20"/>
                <w:szCs w:val="20"/>
                <w:color w:val="auto"/>
              </w:rPr>
            </w:pPr>
            <w:r>
              <w:rPr>
                <w:rFonts w:ascii="Arial" w:cs="Arial" w:eastAsia="Arial" w:hAnsi="Arial"/>
                <w:sz w:val="18"/>
                <w:szCs w:val="18"/>
                <w:i w:val="1"/>
                <w:iCs w:val="1"/>
                <w:color w:val="auto"/>
              </w:rPr>
              <w:t>$ in millions</w:t>
            </w: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Funded</w:t>
            </w:r>
            <w:r>
              <w:rPr>
                <w:rFonts w:ascii="Arial" w:cs="Arial" w:eastAsia="Arial" w:hAnsi="Arial"/>
                <w:sz w:val="23"/>
                <w:szCs w:val="23"/>
                <w:b w:val="1"/>
                <w:bCs w:val="1"/>
                <w:color w:val="auto"/>
                <w:vertAlign w:val="superscript"/>
              </w:rPr>
              <w:t>1</w:t>
            </w:r>
          </w:p>
        </w:tc>
        <w:tc>
          <w:tcPr>
            <w:tcW w:w="340" w:type="dxa"/>
            <w:vAlign w:val="bottom"/>
          </w:tcPr>
          <w:p>
            <w:pPr>
              <w:spacing w:after="0"/>
              <w:rPr>
                <w:sz w:val="14"/>
                <w:szCs w:val="14"/>
                <w:color w:val="auto"/>
              </w:rPr>
            </w:pPr>
          </w:p>
        </w:tc>
        <w:tc>
          <w:tcPr>
            <w:tcW w:w="112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Unfunded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97"/>
              </w:rPr>
              <w:t>Total</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70"/>
              <w:spacing w:after="0" w:line="169" w:lineRule="exact"/>
              <w:rPr>
                <w:sz w:val="20"/>
                <w:szCs w:val="20"/>
                <w:color w:val="auto"/>
              </w:rPr>
            </w:pPr>
            <w:r>
              <w:rPr>
                <w:rFonts w:ascii="Arial" w:cs="Arial" w:eastAsia="Arial" w:hAnsi="Arial"/>
                <w:sz w:val="18"/>
                <w:szCs w:val="18"/>
                <w:color w:val="auto"/>
                <w:w w:val="94"/>
              </w:rPr>
              <w:t>Total</w:t>
            </w: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vMerge w:val="continue"/>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center"/>
              <w:ind w:right="300"/>
              <w:spacing w:after="0" w:line="243" w:lineRule="exact"/>
              <w:rPr>
                <w:sz w:val="20"/>
                <w:szCs w:val="20"/>
                <w:color w:val="auto"/>
              </w:rPr>
            </w:pPr>
            <w:r>
              <w:rPr>
                <w:rFonts w:ascii="Arial" w:cs="Arial" w:eastAsia="Arial" w:hAnsi="Arial"/>
                <w:sz w:val="18"/>
                <w:szCs w:val="18"/>
                <w:b w:val="1"/>
                <w:bCs w:val="1"/>
                <w:color w:val="auto"/>
                <w:w w:val="96"/>
              </w:rPr>
              <w:t>Backlog</w:t>
            </w:r>
            <w:r>
              <w:rPr>
                <w:rFonts w:ascii="Arial" w:cs="Arial" w:eastAsia="Arial" w:hAnsi="Arial"/>
                <w:sz w:val="23"/>
                <w:szCs w:val="23"/>
                <w:b w:val="1"/>
                <w:bCs w:val="1"/>
                <w:color w:val="auto"/>
                <w:w w:val="96"/>
                <w:vertAlign w:val="superscript"/>
              </w:rPr>
              <w:t>2</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70"/>
              <w:spacing w:after="0" w:line="243" w:lineRule="exact"/>
              <w:rPr>
                <w:sz w:val="20"/>
                <w:szCs w:val="20"/>
                <w:color w:val="auto"/>
              </w:rPr>
            </w:pPr>
            <w:r>
              <w:rPr>
                <w:rFonts w:ascii="Arial" w:cs="Arial" w:eastAsia="Arial" w:hAnsi="Arial"/>
                <w:sz w:val="18"/>
                <w:szCs w:val="18"/>
                <w:color w:val="auto"/>
                <w:w w:val="96"/>
              </w:rPr>
              <w:t>Backlog</w:t>
            </w:r>
            <w:r>
              <w:rPr>
                <w:rFonts w:ascii="Arial" w:cs="Arial" w:eastAsia="Arial" w:hAnsi="Arial"/>
                <w:sz w:val="23"/>
                <w:szCs w:val="23"/>
                <w:color w:val="auto"/>
                <w:w w:val="96"/>
                <w:vertAlign w:val="superscript"/>
              </w:rPr>
              <w:t>2</w:t>
            </w:r>
          </w:p>
        </w:tc>
        <w:tc>
          <w:tcPr>
            <w:tcW w:w="132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Aeronautics Systems</w:t>
            </w:r>
          </w:p>
        </w:tc>
        <w:tc>
          <w:tcPr>
            <w:tcW w:w="1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12,585</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10,467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23,052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Defense Systems</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8,610</w:t>
            </w:r>
          </w:p>
        </w:tc>
        <w:tc>
          <w:tcPr>
            <w:tcW w:w="3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19,186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27,796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26,614</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4 %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Mission Systems</w:t>
            </w:r>
          </w:p>
        </w:tc>
        <w:tc>
          <w:tcPr>
            <w:tcW w:w="1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13,251</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5,381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16,443</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13 %</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Space Systems</w:t>
            </w:r>
          </w:p>
        </w:tc>
        <w:tc>
          <w:tcPr>
            <w:tcW w:w="15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9,083</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17,118</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26,201</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23,209</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13 %</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shd w:val="clear" w:color="auto" w:fill="CCEEFF"/>
          </w:tcPr>
          <w:p>
            <w:pPr>
              <w:spacing w:after="0"/>
              <w:rPr>
                <w:sz w:val="20"/>
                <w:szCs w:val="20"/>
                <w:color w:val="auto"/>
              </w:rPr>
            </w:pPr>
          </w:p>
        </w:tc>
        <w:tc>
          <w:tcPr>
            <w:tcW w:w="2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backlog</w:t>
            </w:r>
          </w:p>
        </w:tc>
        <w:tc>
          <w:tcPr>
            <w:tcW w:w="17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43,529</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52,152</w:t>
            </w:r>
          </w:p>
        </w:tc>
        <w:tc>
          <w:tcPr>
            <w:tcW w:w="2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95,681</w:t>
            </w:r>
          </w:p>
        </w:tc>
        <w:tc>
          <w:tcPr>
            <w:tcW w:w="1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91,468</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5 %</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300" w:hanging="132"/>
        <w:spacing w:after="0"/>
        <w:tabs>
          <w:tab w:leader="none" w:pos="300" w:val="left"/>
        </w:tabs>
        <w:numPr>
          <w:ilvl w:val="0"/>
          <w:numId w:val="19"/>
        </w:numPr>
        <w:rPr>
          <w:rFonts w:ascii="Arial" w:cs="Arial" w:eastAsia="Arial" w:hAnsi="Arial"/>
          <w:sz w:val="22"/>
          <w:szCs w:val="22"/>
          <w:color w:val="auto"/>
          <w:vertAlign w:val="superscript"/>
        </w:rPr>
      </w:pPr>
      <w:r>
        <w:rPr>
          <w:rFonts w:ascii="Arial" w:cs="Arial" w:eastAsia="Arial" w:hAnsi="Arial"/>
          <w:sz w:val="16"/>
          <w:szCs w:val="16"/>
          <w:color w:val="auto"/>
        </w:rPr>
        <w:t>Funded backlog represents firm orders for which funding is authorized and appropriated.</w:t>
      </w:r>
    </w:p>
    <w:p>
      <w:pPr>
        <w:spacing w:after="0" w:line="12" w:lineRule="exact"/>
        <w:rPr>
          <w:sz w:val="20"/>
          <w:szCs w:val="20"/>
          <w:color w:val="auto"/>
        </w:rPr>
      </w:pPr>
    </w:p>
    <w:p>
      <w:pPr>
        <w:ind w:left="300" w:right="440" w:hanging="132"/>
        <w:spacing w:after="0" w:line="200" w:lineRule="auto"/>
        <w:tabs>
          <w:tab w:leader="none" w:pos="300" w:val="left"/>
        </w:tabs>
        <w:numPr>
          <w:ilvl w:val="0"/>
          <w:numId w:val="20"/>
        </w:numPr>
        <w:rPr>
          <w:rFonts w:ascii="Arial" w:cs="Arial" w:eastAsia="Arial" w:hAnsi="Arial"/>
          <w:sz w:val="22"/>
          <w:szCs w:val="22"/>
          <w:color w:val="auto"/>
          <w:vertAlign w:val="superscript"/>
        </w:rPr>
      </w:pPr>
      <w:r>
        <w:rPr>
          <w:rFonts w:ascii="Arial" w:cs="Arial" w:eastAsia="Arial" w:hAnsi="Arial"/>
          <w:sz w:val="16"/>
          <w:szCs w:val="16"/>
          <w:color w:val="auto"/>
        </w:rPr>
        <w:t>Total backlog excludes unexercised contract options and indefinite delivery, indefinite quantity (IDIQ) contracts until the time the option or IDIQ task order is exercised or awarded.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520"/>
        <w:spacing w:after="0"/>
        <w:rPr>
          <w:sz w:val="20"/>
          <w:szCs w:val="20"/>
          <w:color w:val="auto"/>
        </w:rPr>
      </w:pPr>
      <w:r>
        <w:rPr>
          <w:rFonts w:ascii="Arial" w:cs="Arial" w:eastAsia="Arial" w:hAnsi="Arial"/>
          <w:sz w:val="14"/>
          <w:szCs w:val="14"/>
          <w:b w:val="1"/>
          <w:bCs w:val="1"/>
          <w:color w:val="auto"/>
        </w:rPr>
        <w:t>Northrop Grumman Corporation</w:t>
      </w:r>
    </w:p>
    <w:p>
      <w:pPr>
        <w:ind w:left="3820"/>
        <w:spacing w:after="0" w:line="203" w:lineRule="auto"/>
        <w:rPr>
          <w:sz w:val="20"/>
          <w:szCs w:val="20"/>
          <w:color w:val="auto"/>
        </w:rPr>
      </w:pPr>
      <w:r>
        <w:rPr>
          <w:rFonts w:ascii="Arial" w:cs="Arial" w:eastAsia="Arial" w:hAnsi="Arial"/>
          <w:sz w:val="14"/>
          <w:szCs w:val="14"/>
          <w:color w:val="auto"/>
        </w:rPr>
        <w:t>2980 Fairview Park Drive • Falls Church, VA 22042-4511</w:t>
      </w:r>
    </w:p>
    <w:p>
      <w:pPr>
        <w:jc w:val="center"/>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40"/>
          </w:cols>
          <w:pgMar w:left="320" w:top="376"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710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auto"/>
                <w:w w:val="98"/>
              </w:rPr>
              <w:t>Northrop Grumman Reports Fourth Quarter and Full-Year 2025 Financial Results</w:t>
            </w:r>
          </w:p>
        </w:tc>
        <w:tc>
          <w:tcPr>
            <w:tcW w:w="640" w:type="dxa"/>
            <w:vAlign w:val="bottom"/>
            <w:vMerge w:val="restart"/>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vMerge w:val="restart"/>
          </w:tcPr>
          <w:p>
            <w:pPr>
              <w:jc w:val="right"/>
              <w:spacing w:after="0"/>
              <w:rPr>
                <w:sz w:val="20"/>
                <w:szCs w:val="20"/>
                <w:color w:val="auto"/>
              </w:rPr>
            </w:pPr>
            <w:r>
              <w:rPr>
                <w:rFonts w:ascii="Arial" w:cs="Arial" w:eastAsia="Arial" w:hAnsi="Arial"/>
                <w:sz w:val="22"/>
                <w:szCs w:val="22"/>
                <w:color w:val="auto"/>
              </w:rPr>
              <w:t>17</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100" w:type="dxa"/>
            <w:vAlign w:val="bottom"/>
            <w:gridSpan w:val="3"/>
          </w:tcPr>
          <w:p>
            <w:pPr>
              <w:spacing w:after="0"/>
              <w:rPr>
                <w:sz w:val="10"/>
                <w:szCs w:val="10"/>
                <w:color w:val="auto"/>
              </w:rPr>
            </w:pPr>
          </w:p>
        </w:tc>
        <w:tc>
          <w:tcPr>
            <w:tcW w:w="64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51"/>
        </w:trPr>
        <w:tc>
          <w:tcPr>
            <w:tcW w:w="20" w:type="dxa"/>
            <w:vAlign w:val="bottom"/>
          </w:tcPr>
          <w:p>
            <w:pPr>
              <w:spacing w:after="0"/>
              <w:rPr>
                <w:sz w:val="24"/>
                <w:szCs w:val="24"/>
                <w:color w:val="auto"/>
              </w:rPr>
            </w:pPr>
          </w:p>
        </w:tc>
        <w:tc>
          <w:tcPr>
            <w:tcW w:w="7740" w:type="dxa"/>
            <w:vAlign w:val="bottom"/>
            <w:gridSpan w:val="4"/>
            <w:vMerge w:val="restart"/>
          </w:tcPr>
          <w:p>
            <w:pPr>
              <w:jc w:val="center"/>
              <w:ind w:left="3390"/>
              <w:spacing w:after="0"/>
              <w:rPr>
                <w:sz w:val="20"/>
                <w:szCs w:val="20"/>
                <w:color w:val="auto"/>
              </w:rPr>
            </w:pPr>
            <w:r>
              <w:rPr>
                <w:rFonts w:ascii="Arial" w:cs="Arial" w:eastAsia="Arial" w:hAnsi="Arial"/>
                <w:sz w:val="18"/>
                <w:szCs w:val="18"/>
                <w:b w:val="1"/>
                <w:bCs w:val="1"/>
                <w:color w:val="auto"/>
                <w:w w:val="99"/>
              </w:rPr>
              <w:t>NORTHROP GRUMMAN CORPORATION</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SCHEDULE 5</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740" w:type="dxa"/>
            <w:vAlign w:val="bottom"/>
            <w:gridSpan w:val="4"/>
            <w:vMerge w:val="continue"/>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4"/>
          </w:tcPr>
          <w:p>
            <w:pPr>
              <w:jc w:val="center"/>
              <w:ind w:left="3390"/>
              <w:spacing w:after="0"/>
              <w:rPr>
                <w:sz w:val="20"/>
                <w:szCs w:val="20"/>
                <w:color w:val="auto"/>
              </w:rPr>
            </w:pPr>
            <w:r>
              <w:rPr>
                <w:rFonts w:ascii="Arial" w:cs="Arial" w:eastAsia="Arial" w:hAnsi="Arial"/>
                <w:sz w:val="18"/>
                <w:szCs w:val="18"/>
                <w:b w:val="1"/>
                <w:bCs w:val="1"/>
                <w:color w:val="auto"/>
                <w:w w:val="99"/>
              </w:rPr>
              <w:t>SUPPLEMENTAL PER SHARE INFORMATION</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620" w:type="dxa"/>
            <w:vAlign w:val="bottom"/>
          </w:tcPr>
          <w:p>
            <w:pPr>
              <w:jc w:val="center"/>
              <w:ind w:left="4490"/>
              <w:spacing w:after="0"/>
              <w:rPr>
                <w:sz w:val="20"/>
                <w:szCs w:val="20"/>
                <w:color w:val="auto"/>
              </w:rPr>
            </w:pPr>
            <w:r>
              <w:rPr>
                <w:rFonts w:ascii="Arial" w:cs="Arial" w:eastAsia="Arial" w:hAnsi="Arial"/>
                <w:sz w:val="18"/>
                <w:szCs w:val="18"/>
                <w:b w:val="1"/>
                <w:bCs w:val="1"/>
                <w:color w:val="auto"/>
                <w:w w:val="99"/>
              </w:rPr>
              <w:t>(Unaudited)</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71"/>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60" w:type="dxa"/>
            <w:vAlign w:val="bottom"/>
            <w:gridSpan w:val="5"/>
          </w:tcPr>
          <w:p>
            <w:pPr>
              <w:jc w:val="center"/>
              <w:ind w:right="280"/>
              <w:spacing w:after="0"/>
              <w:rPr>
                <w:sz w:val="20"/>
                <w:szCs w:val="20"/>
                <w:color w:val="auto"/>
              </w:rPr>
            </w:pPr>
            <w:r>
              <w:rPr>
                <w:rFonts w:ascii="Arial" w:cs="Arial" w:eastAsia="Arial" w:hAnsi="Arial"/>
                <w:sz w:val="18"/>
                <w:szCs w:val="18"/>
                <w:color w:val="auto"/>
                <w:w w:val="99"/>
              </w:rPr>
              <w:t>Three Months Ended</w:t>
            </w:r>
          </w:p>
        </w:tc>
        <w:tc>
          <w:tcPr>
            <w:tcW w:w="2240" w:type="dxa"/>
            <w:vAlign w:val="bottom"/>
            <w:gridSpan w:val="4"/>
            <w:vMerge w:val="restart"/>
          </w:tcPr>
          <w:p>
            <w:pPr>
              <w:jc w:val="right"/>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gridSpan w:val="4"/>
          </w:tcPr>
          <w:p>
            <w:pPr>
              <w:jc w:val="center"/>
              <w:ind w:right="560"/>
              <w:spacing w:after="0"/>
              <w:rPr>
                <w:sz w:val="20"/>
                <w:szCs w:val="20"/>
                <w:color w:val="auto"/>
              </w:rPr>
            </w:pPr>
            <w:r>
              <w:rPr>
                <w:rFonts w:ascii="Arial" w:cs="Arial" w:eastAsia="Arial" w:hAnsi="Arial"/>
                <w:sz w:val="18"/>
                <w:szCs w:val="18"/>
                <w:color w:val="auto"/>
                <w:w w:val="99"/>
              </w:rPr>
              <w:t>December 31</w:t>
            </w:r>
          </w:p>
        </w:tc>
        <w:tc>
          <w:tcPr>
            <w:tcW w:w="2240" w:type="dxa"/>
            <w:vAlign w:val="bottom"/>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6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 except per share amounts</w:t>
            </w: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2025</w:t>
            </w: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2025</w:t>
            </w:r>
          </w:p>
        </w:tc>
        <w:tc>
          <w:tcPr>
            <w:tcW w:w="3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49"/>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impact of total net FAS/CAS pension adjustment</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20" w:type="dxa"/>
            <w:vAlign w:val="bottom"/>
          </w:tcPr>
          <w:p>
            <w:pPr>
              <w:ind w:left="200"/>
              <w:spacing w:after="0"/>
              <w:rPr>
                <w:sz w:val="20"/>
                <w:szCs w:val="20"/>
                <w:color w:val="auto"/>
              </w:rPr>
            </w:pPr>
            <w:r>
              <w:rPr>
                <w:rFonts w:ascii="Arial" w:cs="Arial" w:eastAsia="Arial" w:hAnsi="Arial"/>
                <w:sz w:val="18"/>
                <w:szCs w:val="18"/>
                <w:color w:val="auto"/>
              </w:rPr>
              <w:t>FAS/CAS operating adjustment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65</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258</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Non-operating FAS pension benefit</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138</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541</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Total net FAS/CAS pension adjustment</w:t>
            </w:r>
          </w:p>
        </w:tc>
        <w:tc>
          <w:tcPr>
            <w:tcW w:w="200" w:type="dxa"/>
            <w:vAlign w:val="bottom"/>
          </w:tcPr>
          <w:p>
            <w:pPr>
              <w:spacing w:after="0"/>
              <w:rPr>
                <w:sz w:val="19"/>
                <w:szCs w:val="19"/>
                <w:color w:val="auto"/>
              </w:rPr>
            </w:pPr>
          </w:p>
        </w:tc>
        <w:tc>
          <w:tcPr>
            <w:tcW w:w="9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203</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799</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MTM pension and OPB benefit</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527</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527</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Total pension-related benefit</w:t>
            </w:r>
          </w:p>
        </w:tc>
        <w:tc>
          <w:tcPr>
            <w:tcW w:w="200" w:type="dxa"/>
            <w:vAlign w:val="bottom"/>
          </w:tcPr>
          <w:p>
            <w:pPr>
              <w:spacing w:after="0"/>
              <w:rPr>
                <w:sz w:val="19"/>
                <w:szCs w:val="19"/>
                <w:color w:val="auto"/>
              </w:rPr>
            </w:pPr>
          </w:p>
        </w:tc>
        <w:tc>
          <w:tcPr>
            <w:tcW w:w="9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730</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1,326</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2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Tax effect</w:t>
            </w:r>
            <w:r>
              <w:rPr>
                <w:rFonts w:ascii="Arial" w:cs="Arial" w:eastAsia="Arial" w:hAnsi="Arial"/>
                <w:sz w:val="23"/>
                <w:szCs w:val="23"/>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(183)</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(333)</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After-tax impact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547</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993</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diluted shares outstanding, in millions</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142.9</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143.8</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66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Per share impact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3.83</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6.91</w:t>
            </w: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66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62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Per share impact of intangible asset amortization and PP&amp;E step-up</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w:t>
            </w: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Intangible asset amortization and PP&amp;E step-up depreciation</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(21)</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(84)</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2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Tax effect</w:t>
            </w:r>
            <w:r>
              <w:rPr>
                <w:rFonts w:ascii="Arial" w:cs="Arial" w:eastAsia="Arial" w:hAnsi="Arial"/>
                <w:sz w:val="23"/>
                <w:szCs w:val="23"/>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After-tax impact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(16)</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(63)</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diluted shares outstanding, in millions</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142.9</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143.8</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 share impact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(0.11)</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(0.44)</w:t>
            </w: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300" w:hanging="227"/>
        <w:spacing w:after="0"/>
        <w:tabs>
          <w:tab w:leader="none" w:pos="300" w:val="left"/>
        </w:tabs>
        <w:numPr>
          <w:ilvl w:val="0"/>
          <w:numId w:val="21"/>
        </w:numPr>
        <w:rPr>
          <w:rFonts w:ascii="Arial" w:cs="Arial" w:eastAsia="Arial" w:hAnsi="Arial"/>
          <w:sz w:val="22"/>
          <w:szCs w:val="22"/>
          <w:color w:val="auto"/>
          <w:vertAlign w:val="superscript"/>
        </w:rPr>
      </w:pPr>
      <w:r>
        <w:rPr>
          <w:rFonts w:ascii="Arial" w:cs="Arial" w:eastAsia="Arial" w:hAnsi="Arial"/>
          <w:sz w:val="16"/>
          <w:szCs w:val="16"/>
          <w:color w:val="auto"/>
        </w:rPr>
        <w:t>Based on a 21% federal statutory tax rate and a 5.25% blended state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506730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Northrop Grumman Corporation</w:t>
      </w:r>
    </w:p>
    <w:p>
      <w:pPr>
        <w:jc w:val="center"/>
        <w:spacing w:after="0" w:line="221" w:lineRule="auto"/>
        <w:rPr>
          <w:sz w:val="20"/>
          <w:szCs w:val="20"/>
          <w:color w:val="auto"/>
        </w:rPr>
      </w:pPr>
      <w:r>
        <w:rPr>
          <w:rFonts w:ascii="Arial" w:cs="Arial" w:eastAsia="Arial" w:hAnsi="Arial"/>
          <w:sz w:val="14"/>
          <w:szCs w:val="14"/>
          <w:color w:val="auto"/>
        </w:rPr>
        <w:t>2980 Fairview Park Drive • Falls Church, VA 22042-4511</w:t>
      </w:r>
    </w:p>
    <w:p>
      <w:pPr>
        <w:jc w:val="center"/>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40"/>
          </w:cols>
          <w:pgMar w:left="320" w:top="376" w:right="339" w:bottom="1440" w:gutter="0" w:footer="0" w:header="0"/>
        </w:sectPr>
      </w:pPr>
    </w:p>
    <w:bookmarkStart w:id="20" w:name="page21"/>
    <w:bookmarkEnd w:id="20"/>
    <w:tbl>
      <w:tblPr>
        <w:tblLayout w:type="fixed"/>
        <w:tblInd w:w="20" w:type="dxa"/>
        <w:tblCellMar>
          <w:top w:w="0" w:type="dxa"/>
          <w:left w:w="0" w:type="dxa"/>
          <w:bottom w:w="0" w:type="dxa"/>
          <w:right w:w="0" w:type="dxa"/>
        </w:tblCellMar>
      </w:tblPr>
      <w:tr>
        <w:trPr>
          <w:trHeight w:val="250"/>
        </w:trPr>
        <w:tc>
          <w:tcPr>
            <w:tcW w:w="71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8"/>
              </w:rPr>
              <w:t>Northrop Grumman Reports Fourth Quarter and Full-Year 2025 Financial Results</w:t>
            </w:r>
          </w:p>
        </w:tc>
        <w:tc>
          <w:tcPr>
            <w:tcW w:w="4100" w:type="dxa"/>
            <w:vAlign w:val="bottom"/>
            <w:vMerge w:val="restart"/>
          </w:tcPr>
          <w:p>
            <w:pPr>
              <w:jc w:val="right"/>
              <w:spacing w:after="0"/>
              <w:rPr>
                <w:sz w:val="20"/>
                <w:szCs w:val="20"/>
                <w:color w:val="auto"/>
              </w:rPr>
            </w:pPr>
            <w:r>
              <w:rPr>
                <w:rFonts w:ascii="Arial" w:cs="Arial" w:eastAsia="Arial" w:hAnsi="Arial"/>
                <w:sz w:val="22"/>
                <w:szCs w:val="22"/>
                <w:color w:val="auto"/>
              </w:rPr>
              <w:t>18</w:t>
            </w:r>
          </w:p>
        </w:tc>
        <w:tc>
          <w:tcPr>
            <w:tcW w:w="0" w:type="dxa"/>
            <w:vAlign w:val="bottom"/>
          </w:tcPr>
          <w:p>
            <w:pPr>
              <w:spacing w:after="0"/>
              <w:rPr>
                <w:sz w:val="1"/>
                <w:szCs w:val="1"/>
                <w:color w:val="auto"/>
              </w:rPr>
            </w:pPr>
          </w:p>
        </w:tc>
      </w:tr>
      <w:tr>
        <w:trPr>
          <w:trHeight w:val="116"/>
        </w:trPr>
        <w:tc>
          <w:tcPr>
            <w:tcW w:w="7100" w:type="dxa"/>
            <w:vAlign w:val="bottom"/>
          </w:tcPr>
          <w:p>
            <w:pPr>
              <w:spacing w:after="0"/>
              <w:rPr>
                <w:sz w:val="10"/>
                <w:szCs w:val="10"/>
                <w:color w:val="auto"/>
              </w:rPr>
            </w:pPr>
          </w:p>
        </w:tc>
        <w:tc>
          <w:tcPr>
            <w:tcW w:w="4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300" w:lineRule="exact"/>
        <w:rPr>
          <w:sz w:val="20"/>
          <w:szCs w:val="20"/>
          <w:color w:val="auto"/>
        </w:rPr>
      </w:pPr>
    </w:p>
    <w:p>
      <w:pPr>
        <w:ind w:right="140"/>
        <w:spacing w:after="0" w:line="254" w:lineRule="auto"/>
        <w:rPr>
          <w:sz w:val="20"/>
          <w:szCs w:val="20"/>
          <w:color w:val="auto"/>
        </w:rPr>
      </w:pPr>
      <w:r>
        <w:rPr>
          <w:rFonts w:ascii="Arial" w:cs="Arial" w:eastAsia="Arial" w:hAnsi="Arial"/>
          <w:sz w:val="20"/>
          <w:szCs w:val="20"/>
          <w:b w:val="1"/>
          <w:bCs w:val="1"/>
          <w:u w:val="single" w:color="auto"/>
          <w:color w:val="auto"/>
        </w:rPr>
        <w:t>Non-GAAP Financial Measures Disclosure:</w:t>
      </w:r>
      <w:r>
        <w:rPr>
          <w:rFonts w:ascii="Arial" w:cs="Arial" w:eastAsia="Arial" w:hAnsi="Arial"/>
          <w:sz w:val="20"/>
          <w:szCs w:val="20"/>
          <w:b w:val="1"/>
          <w:bCs w:val="1"/>
          <w:color w:val="auto"/>
        </w:rPr>
        <w:t xml:space="preserve"> </w:t>
      </w:r>
      <w:r>
        <w:rPr>
          <w:rFonts w:ascii="Arial" w:cs="Arial" w:eastAsia="Arial" w:hAnsi="Arial"/>
          <w:sz w:val="20"/>
          <w:szCs w:val="20"/>
          <w:color w:val="auto"/>
        </w:rPr>
        <w:t>This earnings release contains non-GAAP (accounting principles generally</w:t>
      </w:r>
      <w:r>
        <w:rPr>
          <w:rFonts w:ascii="Arial" w:cs="Arial" w:eastAsia="Arial" w:hAnsi="Arial"/>
          <w:sz w:val="20"/>
          <w:szCs w:val="20"/>
          <w:b w:val="1"/>
          <w:bCs w:val="1"/>
          <w:color w:val="auto"/>
        </w:rPr>
        <w:t xml:space="preserve"> </w:t>
      </w:r>
      <w:r>
        <w:rPr>
          <w:rFonts w:ascii="Arial" w:cs="Arial" w:eastAsia="Arial" w:hAnsi="Arial"/>
          <w:sz w:val="20"/>
          <w:szCs w:val="20"/>
          <w:color w:val="auto"/>
        </w:rPr>
        <w:t>accepted in the United States of America) financial measures, as defined by SEC Regulation G and indicated by a footnote in the text of the release. Definitions for the non-GAAP measures are provided below and reconciliations are provided in the body of the release, except that reconciliations of forward-looking non-GAAP measures are not provided because the company is unable to provide such reconciliations without unreasonable effort due to the uncertainty and inherent difficulty of predicting the occurrence and financial impact of certain items, including, but not limited to, the impact of any mark-to-market pension adjustment. Other companies may define these measures differently or may utilize different non-GAAP measures.</w:t>
      </w:r>
    </w:p>
    <w:p>
      <w:pPr>
        <w:spacing w:after="0" w:line="51" w:lineRule="exact"/>
        <w:rPr>
          <w:sz w:val="20"/>
          <w:szCs w:val="20"/>
          <w:color w:val="auto"/>
        </w:rPr>
      </w:pPr>
    </w:p>
    <w:p>
      <w:pPr>
        <w:ind w:left="260" w:right="40"/>
        <w:spacing w:after="0" w:line="254" w:lineRule="auto"/>
        <w:rPr>
          <w:sz w:val="20"/>
          <w:szCs w:val="20"/>
          <w:color w:val="auto"/>
        </w:rPr>
      </w:pPr>
      <w:r>
        <w:rPr>
          <w:rFonts w:ascii="Arial" w:cs="Arial" w:eastAsia="Arial" w:hAnsi="Arial"/>
          <w:sz w:val="20"/>
          <w:szCs w:val="20"/>
          <w:b w:val="1"/>
          <w:bCs w:val="1"/>
          <w:u w:val="single" w:color="auto"/>
          <w:color w:val="auto"/>
        </w:rPr>
        <w:t>MTM-adjusted net earnings:</w:t>
      </w:r>
      <w:r>
        <w:rPr>
          <w:rFonts w:ascii="Arial" w:cs="Arial" w:eastAsia="Arial" w:hAnsi="Arial"/>
          <w:sz w:val="20"/>
          <w:szCs w:val="20"/>
          <w:b w:val="1"/>
          <w:bCs w:val="1"/>
          <w:color w:val="auto"/>
        </w:rPr>
        <w:t xml:space="preserve"> </w:t>
      </w:r>
      <w:r>
        <w:rPr>
          <w:rFonts w:ascii="Arial" w:cs="Arial" w:eastAsia="Arial" w:hAnsi="Arial"/>
          <w:sz w:val="20"/>
          <w:szCs w:val="20"/>
          <w:color w:val="auto"/>
        </w:rPr>
        <w:t>Net earnings excluding MTM benefit (expense) and related tax impacts. This measure may be</w:t>
      </w:r>
      <w:r>
        <w:rPr>
          <w:rFonts w:ascii="Arial" w:cs="Arial" w:eastAsia="Arial" w:hAnsi="Arial"/>
          <w:sz w:val="20"/>
          <w:szCs w:val="20"/>
          <w:b w:val="1"/>
          <w:bCs w:val="1"/>
          <w:color w:val="auto"/>
        </w:rPr>
        <w:t xml:space="preserve"> </w:t>
      </w:r>
      <w:r>
        <w:rPr>
          <w:rFonts w:ascii="Arial" w:cs="Arial" w:eastAsia="Arial" w:hAnsi="Arial"/>
          <w:sz w:val="20"/>
          <w:szCs w:val="20"/>
          <w:color w:val="auto"/>
        </w:rPr>
        <w:t>useful to investors and other users of our financial statements as a supplemental measure in evaluating the company’s underlying financial performance by presenting the company’s operating results before the non-operational impact of pension and OPB actuarial gains and losses. This measure is also consistent with how management views the underlying performance of the business as the impact of MTM accounting is not considered in management’s assessment of the company’s operating performance or in its determination of incentive compensation awards.</w:t>
      </w:r>
    </w:p>
    <w:p>
      <w:pPr>
        <w:spacing w:after="0" w:line="52" w:lineRule="exact"/>
        <w:rPr>
          <w:sz w:val="20"/>
          <w:szCs w:val="20"/>
          <w:color w:val="auto"/>
        </w:rPr>
      </w:pPr>
    </w:p>
    <w:p>
      <w:pPr>
        <w:ind w:left="260" w:right="140"/>
        <w:spacing w:after="0" w:line="260" w:lineRule="auto"/>
        <w:rPr>
          <w:sz w:val="20"/>
          <w:szCs w:val="20"/>
          <w:color w:val="auto"/>
        </w:rPr>
      </w:pPr>
      <w:r>
        <w:rPr>
          <w:rFonts w:ascii="Arial" w:cs="Arial" w:eastAsia="Arial" w:hAnsi="Arial"/>
          <w:sz w:val="20"/>
          <w:szCs w:val="20"/>
          <w:b w:val="1"/>
          <w:bCs w:val="1"/>
          <w:u w:val="single" w:color="auto"/>
          <w:color w:val="auto"/>
        </w:rPr>
        <w:t>MTM-adjusted EPS:</w:t>
      </w:r>
      <w:r>
        <w:rPr>
          <w:rFonts w:ascii="Arial" w:cs="Arial" w:eastAsia="Arial" w:hAnsi="Arial"/>
          <w:sz w:val="20"/>
          <w:szCs w:val="20"/>
          <w:b w:val="1"/>
          <w:bCs w:val="1"/>
          <w:color w:val="auto"/>
        </w:rPr>
        <w:t xml:space="preserve"> </w:t>
      </w:r>
      <w:r>
        <w:rPr>
          <w:rFonts w:ascii="Arial" w:cs="Arial" w:eastAsia="Arial" w:hAnsi="Arial"/>
          <w:sz w:val="20"/>
          <w:szCs w:val="20"/>
          <w:color w:val="auto"/>
        </w:rPr>
        <w:t>Diluted earnings per share excluding the per share impact of MTM benefit (expense) and related tax</w:t>
      </w:r>
      <w:r>
        <w:rPr>
          <w:rFonts w:ascii="Arial" w:cs="Arial" w:eastAsia="Arial" w:hAnsi="Arial"/>
          <w:sz w:val="20"/>
          <w:szCs w:val="20"/>
          <w:b w:val="1"/>
          <w:bCs w:val="1"/>
          <w:color w:val="auto"/>
        </w:rPr>
        <w:t xml:space="preserve"> </w:t>
      </w:r>
      <w:r>
        <w:rPr>
          <w:rFonts w:ascii="Arial" w:cs="Arial" w:eastAsia="Arial" w:hAnsi="Arial"/>
          <w:sz w:val="20"/>
          <w:szCs w:val="20"/>
          <w:color w:val="auto"/>
        </w:rPr>
        <w:t>impacts. This measure may be useful to investors and other users of our financial statements as a supplemental measure in evaluating the company’s underlying financial performance by presenting the company’s diluted earnings per share results before the non-operational impact of pension and OPB actuarial gains and losses.</w:t>
      </w:r>
    </w:p>
    <w:p>
      <w:pPr>
        <w:spacing w:after="0" w:line="43" w:lineRule="exact"/>
        <w:rPr>
          <w:sz w:val="20"/>
          <w:szCs w:val="20"/>
          <w:color w:val="auto"/>
        </w:rPr>
      </w:pPr>
    </w:p>
    <w:p>
      <w:pPr>
        <w:ind w:left="260" w:right="40"/>
        <w:spacing w:after="0" w:line="254" w:lineRule="auto"/>
        <w:rPr>
          <w:sz w:val="20"/>
          <w:szCs w:val="20"/>
          <w:color w:val="auto"/>
        </w:rPr>
      </w:pPr>
      <w:r>
        <w:rPr>
          <w:rFonts w:ascii="Arial" w:cs="Arial" w:eastAsia="Arial" w:hAnsi="Arial"/>
          <w:sz w:val="20"/>
          <w:szCs w:val="20"/>
          <w:b w:val="1"/>
          <w:bCs w:val="1"/>
          <w:u w:val="single" w:color="auto"/>
          <w:color w:val="auto"/>
        </w:rPr>
        <w:t>Segment operating income and segment operating margin rate:</w:t>
      </w:r>
      <w:r>
        <w:rPr>
          <w:rFonts w:ascii="Arial" w:cs="Arial" w:eastAsia="Arial" w:hAnsi="Arial"/>
          <w:sz w:val="20"/>
          <w:szCs w:val="20"/>
          <w:b w:val="1"/>
          <w:bCs w:val="1"/>
          <w:color w:val="auto"/>
        </w:rPr>
        <w:t xml:space="preserve"> </w:t>
      </w:r>
      <w:r>
        <w:rPr>
          <w:rFonts w:ascii="Arial" w:cs="Arial" w:eastAsia="Arial" w:hAnsi="Arial"/>
          <w:sz w:val="20"/>
          <w:szCs w:val="20"/>
          <w:color w:val="auto"/>
        </w:rPr>
        <w:t>Segment operating income and segment operating</w:t>
      </w:r>
      <w:r>
        <w:rPr>
          <w:rFonts w:ascii="Arial" w:cs="Arial" w:eastAsia="Arial" w:hAnsi="Arial"/>
          <w:sz w:val="20"/>
          <w:szCs w:val="20"/>
          <w:b w:val="1"/>
          <w:bCs w:val="1"/>
          <w:color w:val="auto"/>
        </w:rPr>
        <w:t xml:space="preserve"> </w:t>
      </w:r>
      <w:r>
        <w:rPr>
          <w:rFonts w:ascii="Arial" w:cs="Arial" w:eastAsia="Arial" w:hAnsi="Arial"/>
          <w:sz w:val="20"/>
          <w:szCs w:val="20"/>
          <w:color w:val="auto"/>
        </w:rPr>
        <w:t>margin rate (segment operating income divided by sales) reflect the combined operating income of our four segments less the operating income associated with intersegment sales. Segment operating income includes pension expense allocated to our sectors under FAR and CAS and excludes FAS pension service expense and unallocated corporate items. These measures may be useful to investors and other users of our financial statements as supplemental measures in evaluating the financial performance and operational trends of our sectors. These measures should not be considered in isolation or as alternatives to operating results presented in accordance with GAAP.</w:t>
      </w:r>
    </w:p>
    <w:p>
      <w:pPr>
        <w:spacing w:after="0" w:line="51" w:lineRule="exact"/>
        <w:rPr>
          <w:sz w:val="20"/>
          <w:szCs w:val="20"/>
          <w:color w:val="auto"/>
        </w:rPr>
      </w:pPr>
    </w:p>
    <w:p>
      <w:pPr>
        <w:ind w:left="260" w:right="300"/>
        <w:spacing w:after="0" w:line="258" w:lineRule="auto"/>
        <w:rPr>
          <w:sz w:val="20"/>
          <w:szCs w:val="20"/>
          <w:color w:val="auto"/>
        </w:rPr>
      </w:pPr>
      <w:r>
        <w:rPr>
          <w:rFonts w:ascii="Arial" w:cs="Arial" w:eastAsia="Arial" w:hAnsi="Arial"/>
          <w:sz w:val="20"/>
          <w:szCs w:val="20"/>
          <w:b w:val="1"/>
          <w:bCs w:val="1"/>
          <w:u w:val="single" w:color="auto"/>
          <w:color w:val="auto"/>
        </w:rPr>
        <w:t>Free cash flow:</w:t>
      </w:r>
      <w:r>
        <w:rPr>
          <w:rFonts w:ascii="Arial" w:cs="Arial" w:eastAsia="Arial" w:hAnsi="Arial"/>
          <w:sz w:val="20"/>
          <w:szCs w:val="20"/>
          <w:b w:val="1"/>
          <w:bCs w:val="1"/>
          <w:color w:val="auto"/>
        </w:rPr>
        <w:t xml:space="preserve"> </w:t>
      </w:r>
      <w:r>
        <w:rPr>
          <w:rFonts w:ascii="Arial" w:cs="Arial" w:eastAsia="Arial" w:hAnsi="Arial"/>
          <w:sz w:val="20"/>
          <w:szCs w:val="20"/>
          <w:color w:val="auto"/>
        </w:rPr>
        <w:t>Net cash provided by or used in operating activities less capital expenditures. We use free cash flow as a</w:t>
      </w:r>
      <w:r>
        <w:rPr>
          <w:rFonts w:ascii="Arial" w:cs="Arial" w:eastAsia="Arial" w:hAnsi="Arial"/>
          <w:sz w:val="20"/>
          <w:szCs w:val="20"/>
          <w:b w:val="1"/>
          <w:bCs w:val="1"/>
          <w:color w:val="auto"/>
        </w:rPr>
        <w:t xml:space="preserve"> </w:t>
      </w:r>
      <w:r>
        <w:rPr>
          <w:rFonts w:ascii="Arial" w:cs="Arial" w:eastAsia="Arial" w:hAnsi="Arial"/>
          <w:sz w:val="20"/>
          <w:szCs w:val="20"/>
          <w:color w:val="auto"/>
        </w:rPr>
        <w:t>key factor in our planning for, and consideration of, acquisitions, the payment of dividends and stock repurchases. This measure may be useful to investors and other users of our financial statements as a supplemental measure of our cash performance, but should not be considered in isolation, as a measure of residual cash flow available for discretionary purposes, or as an alternative to operating cash flows presented in accordance with GAAP.</w:t>
      </w:r>
    </w:p>
    <w:p>
      <w:pPr>
        <w:spacing w:after="0" w:line="46" w:lineRule="exact"/>
        <w:rPr>
          <w:sz w:val="20"/>
          <w:szCs w:val="20"/>
          <w:color w:val="auto"/>
        </w:rPr>
      </w:pPr>
    </w:p>
    <w:p>
      <w:pPr>
        <w:ind w:left="260" w:right="200"/>
        <w:spacing w:after="0" w:line="260" w:lineRule="auto"/>
        <w:rPr>
          <w:sz w:val="20"/>
          <w:szCs w:val="20"/>
          <w:color w:val="auto"/>
        </w:rPr>
      </w:pPr>
      <w:r>
        <w:rPr>
          <w:rFonts w:ascii="Arial" w:cs="Arial" w:eastAsia="Arial" w:hAnsi="Arial"/>
          <w:sz w:val="20"/>
          <w:szCs w:val="20"/>
          <w:b w:val="1"/>
          <w:bCs w:val="1"/>
          <w:u w:val="single" w:color="auto"/>
          <w:color w:val="auto"/>
        </w:rPr>
        <w:t>Organic sales:</w:t>
      </w:r>
      <w:r>
        <w:rPr>
          <w:rFonts w:ascii="Arial" w:cs="Arial" w:eastAsia="Arial" w:hAnsi="Arial"/>
          <w:sz w:val="20"/>
          <w:szCs w:val="20"/>
          <w:b w:val="1"/>
          <w:bCs w:val="1"/>
          <w:color w:val="auto"/>
        </w:rPr>
        <w:t xml:space="preserve"> </w:t>
      </w:r>
      <w:r>
        <w:rPr>
          <w:rFonts w:ascii="Arial" w:cs="Arial" w:eastAsia="Arial" w:hAnsi="Arial"/>
          <w:sz w:val="20"/>
          <w:szCs w:val="20"/>
          <w:color w:val="auto"/>
        </w:rPr>
        <w:t>Total sales excluding sales attributable to the company’s former training services business. This measure</w:t>
      </w:r>
      <w:r>
        <w:rPr>
          <w:rFonts w:ascii="Arial" w:cs="Arial" w:eastAsia="Arial" w:hAnsi="Arial"/>
          <w:sz w:val="20"/>
          <w:szCs w:val="20"/>
          <w:b w:val="1"/>
          <w:bCs w:val="1"/>
          <w:color w:val="auto"/>
        </w:rPr>
        <w:t xml:space="preserve"> </w:t>
      </w:r>
      <w:r>
        <w:rPr>
          <w:rFonts w:ascii="Arial" w:cs="Arial" w:eastAsia="Arial" w:hAnsi="Arial"/>
          <w:sz w:val="20"/>
          <w:szCs w:val="20"/>
          <w:color w:val="auto"/>
        </w:rPr>
        <w:t>may be useful to investors and other users of our financial statements as a supplemental measure in evaluating the company’s underlying sales growth as well as in understanding our ongoing business and future sales trends by presenting the company’s sales adjusted for the impact of the divestiture.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519430</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520"/>
        <w:spacing w:after="0"/>
        <w:rPr>
          <w:sz w:val="20"/>
          <w:szCs w:val="20"/>
          <w:color w:val="auto"/>
        </w:rPr>
      </w:pPr>
      <w:r>
        <w:rPr>
          <w:rFonts w:ascii="Arial" w:cs="Arial" w:eastAsia="Arial" w:hAnsi="Arial"/>
          <w:sz w:val="14"/>
          <w:szCs w:val="14"/>
          <w:b w:val="1"/>
          <w:bCs w:val="1"/>
          <w:color w:val="auto"/>
        </w:rPr>
        <w:t>Northrop Grumman Corporation</w:t>
      </w:r>
    </w:p>
    <w:p>
      <w:pPr>
        <w:ind w:left="3820"/>
        <w:spacing w:after="0" w:line="203" w:lineRule="auto"/>
        <w:rPr>
          <w:sz w:val="20"/>
          <w:szCs w:val="20"/>
          <w:color w:val="auto"/>
        </w:rPr>
      </w:pPr>
      <w:r>
        <w:rPr>
          <w:rFonts w:ascii="Arial" w:cs="Arial" w:eastAsia="Arial" w:hAnsi="Arial"/>
          <w:sz w:val="14"/>
          <w:szCs w:val="14"/>
          <w:color w:val="auto"/>
        </w:rPr>
        <w:t>2980 Fairview Park Drive • Falls Church, VA 22042-4511</w:t>
      </w:r>
    </w:p>
    <w:p>
      <w:pPr>
        <w:jc w:val="center"/>
        <w:ind w:right="-19"/>
        <w:spacing w:after="0"/>
        <w:rPr>
          <w:sz w:val="20"/>
          <w:szCs w:val="20"/>
          <w:color w:val="auto"/>
        </w:rPr>
      </w:pPr>
      <w:r>
        <w:rPr>
          <w:rFonts w:ascii="Arial" w:cs="Arial" w:eastAsia="Arial" w:hAnsi="Arial"/>
          <w:sz w:val="14"/>
          <w:szCs w:val="14"/>
          <w:color w:val="auto"/>
        </w:rPr>
        <w:t>news.northropgrumman.com</w:t>
      </w:r>
    </w:p>
    <w:sectPr>
      <w:pgSz w:w="11900" w:h="16838" w:orient="portrait"/>
      <w:cols w:equalWidth="0" w:num="1">
        <w:col w:w="11220"/>
      </w:cols>
      <w:pgMar w:left="320" w:top="37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bullet"/>
      <w:start w:val="1"/>
    </w:lvl>
  </w:abstractNum>
  <w:abstractNum w:abstractNumId="3">
    <w:nsid w:val="140E0F76"/>
    <w:multiLevelType w:val="hybridMultilevel"/>
    <w:lvl w:ilvl="0">
      <w:lvlJc w:val="left"/>
      <w:lvlText w:val="1"/>
      <w:numFmt w:val="bullet"/>
      <w:start w:val="1"/>
    </w:lvl>
  </w:abstractNum>
  <w:abstractNum w:abstractNumId="4">
    <w:nsid w:val="3352255A"/>
    <w:multiLevelType w:val="hybridMultilevel"/>
    <w:lvl w:ilvl="0">
      <w:lvlJc w:val="left"/>
      <w:lvlText w:val="2"/>
      <w:numFmt w:val="bullet"/>
      <w:start w:val="1"/>
    </w:lvl>
  </w:abstractNum>
  <w:abstractNum w:abstractNumId="5">
    <w:nsid w:val="109CF92E"/>
    <w:multiLevelType w:val="hybridMultilevel"/>
    <w:lvl w:ilvl="0">
      <w:lvlJc w:val="left"/>
      <w:lvlText w:val="3"/>
      <w:numFmt w:val="bullet"/>
      <w:start w:val="1"/>
    </w:lvl>
  </w:abstractNum>
  <w:abstractNum w:abstractNumId="6">
    <w:nsid w:val="DED7263"/>
    <w:multiLevelType w:val="hybridMultilevel"/>
    <w:lvl w:ilvl="0">
      <w:lvlJc w:val="left"/>
      <w:lvlText w:val="1"/>
      <w:numFmt w:val="bullet"/>
      <w:start w:val="1"/>
    </w:lvl>
  </w:abstractNum>
  <w:abstractNum w:abstractNumId="7">
    <w:nsid w:val="7FDCC233"/>
    <w:multiLevelType w:val="hybridMultilevel"/>
    <w:lvl w:ilvl="0">
      <w:lvlJc w:val="left"/>
      <w:lvlText w:val="1"/>
      <w:numFmt w:val="bullet"/>
      <w:start w:val="1"/>
    </w:lvl>
  </w:abstractNum>
  <w:abstractNum w:abstractNumId="8">
    <w:nsid w:val="1BEFD79F"/>
    <w:multiLevelType w:val="hybridMultilevel"/>
    <w:lvl w:ilvl="0">
      <w:lvlJc w:val="left"/>
      <w:lvlText w:val="1"/>
      <w:numFmt w:val="bullet"/>
      <w:start w:val="1"/>
    </w:lvl>
  </w:abstractNum>
  <w:abstractNum w:abstractNumId="9">
    <w:nsid w:val="41A7C4C9"/>
    <w:multiLevelType w:val="hybridMultilevel"/>
    <w:lvl w:ilvl="0">
      <w:lvlJc w:val="left"/>
      <w:lvlText w:val="1"/>
      <w:numFmt w:val="bullet"/>
      <w:start w:val="1"/>
    </w:lvl>
  </w:abstractNum>
  <w:abstractNum w:abstractNumId="10">
    <w:nsid w:val="6B68079A"/>
    <w:multiLevelType w:val="hybridMultilevel"/>
    <w:lvl w:ilvl="0">
      <w:lvlJc w:val="left"/>
      <w:lvlText w:val="1"/>
      <w:numFmt w:val="bullet"/>
      <w:start w:val="1"/>
    </w:lvl>
  </w:abstractNum>
  <w:abstractNum w:abstractNumId="11">
    <w:nsid w:val="4E6AFB66"/>
    <w:multiLevelType w:val="hybridMultilevel"/>
    <w:lvl w:ilvl="0">
      <w:lvlJc w:val="left"/>
      <w:lvlText w:val="1"/>
      <w:numFmt w:val="bullet"/>
      <w:start w:val="1"/>
    </w:lvl>
  </w:abstractNum>
  <w:abstractNum w:abstractNumId="12">
    <w:nsid w:val="25E45D32"/>
    <w:multiLevelType w:val="hybridMultilevel"/>
    <w:lvl w:ilvl="0">
      <w:lvlJc w:val="left"/>
      <w:lvlText w:val="1"/>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bullet"/>
      <w:start w:val="1"/>
    </w:lvl>
  </w:abstractNum>
  <w:abstractNum w:abstractNumId="19">
    <w:nsid w:val="436C6125"/>
    <w:multiLevelType w:val="hybridMultilevel"/>
    <w:lvl w:ilvl="0">
      <w:lvlJc w:val="left"/>
      <w:lvlText w:val="2"/>
      <w:numFmt w:val="bullet"/>
      <w:start w:val="1"/>
    </w:lvl>
  </w:abstractNum>
  <w:abstractNum w:abstractNumId="20">
    <w:nsid w:val="628C895D"/>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2026-01-27T05:47:39Z</dcterms:created>
  <dcterms:modified xsi:type="dcterms:W3CDTF">2026-01-27T05:47:39Z</dcterms:modified>
</cp:coreProperties>
</file>