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Registration No. 333-217087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March 19,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Relating to Prospectus dated March 31, 2017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Preliminary Prospectus Supplement dated March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160020</wp:posOffset>
            </wp:positionV>
            <wp:extent cx="28117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$2,250,000,000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Senior Notes Offering</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Pricing Term Sheet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March 19, 2020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660" w:type="dxa"/>
            <w:vAlign w:val="bottom"/>
            <w:vMerge w:val="restart"/>
          </w:tcPr>
          <w:p>
            <w:pPr>
              <w:spacing w:after="0"/>
              <w:rPr>
                <w:sz w:val="20"/>
                <w:szCs w:val="20"/>
                <w:color w:val="auto"/>
              </w:rPr>
            </w:pPr>
            <w:r>
              <w:rPr>
                <w:rFonts w:ascii="Arial" w:cs="Arial" w:eastAsia="Arial" w:hAnsi="Arial"/>
                <w:sz w:val="14"/>
                <w:szCs w:val="14"/>
                <w:color w:val="auto"/>
              </w:rPr>
              <w:t>Issuer:</w:t>
            </w:r>
          </w:p>
        </w:tc>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4.400% Senior Notes due 2030</w:t>
            </w:r>
          </w:p>
        </w:tc>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5.150% Senior Notes due 2040</w:t>
            </w:r>
          </w:p>
        </w:tc>
        <w:tc>
          <w:tcPr>
            <w:tcW w:w="3080" w:type="dxa"/>
            <w:vAlign w:val="bottom"/>
          </w:tcPr>
          <w:p>
            <w:pPr>
              <w:spacing w:after="0"/>
              <w:rPr>
                <w:sz w:val="20"/>
                <w:szCs w:val="20"/>
                <w:color w:val="auto"/>
              </w:rPr>
            </w:pPr>
            <w:r>
              <w:rPr>
                <w:rFonts w:ascii="Arial" w:cs="Arial" w:eastAsia="Arial" w:hAnsi="Arial"/>
                <w:sz w:val="14"/>
                <w:szCs w:val="14"/>
                <w:b w:val="1"/>
                <w:bCs w:val="1"/>
                <w:color w:val="auto"/>
              </w:rPr>
              <w:t>5.250% Senior Notes due 2050</w:t>
            </w:r>
          </w:p>
        </w:tc>
        <w:tc>
          <w:tcPr>
            <w:tcW w:w="0" w:type="dxa"/>
            <w:vAlign w:val="bottom"/>
          </w:tcPr>
          <w:p>
            <w:pPr>
              <w:spacing w:after="0"/>
              <w:rPr>
                <w:sz w:val="1"/>
                <w:szCs w:val="1"/>
                <w:color w:val="auto"/>
              </w:rPr>
            </w:pPr>
          </w:p>
        </w:tc>
      </w:tr>
      <w:tr>
        <w:trPr>
          <w:trHeight w:val="176"/>
        </w:trPr>
        <w:tc>
          <w:tcPr>
            <w:tcW w:w="1660" w:type="dxa"/>
            <w:vAlign w:val="bottom"/>
            <w:vMerge w:val="continue"/>
          </w:tcPr>
          <w:p>
            <w:pPr>
              <w:spacing w:after="0"/>
              <w:rPr>
                <w:sz w:val="15"/>
                <w:szCs w:val="15"/>
                <w:color w:val="auto"/>
              </w:rPr>
            </w:pPr>
          </w:p>
        </w:tc>
        <w:tc>
          <w:tcPr>
            <w:tcW w:w="2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Northrop Grumman Corporation</w:t>
            </w:r>
          </w:p>
        </w:tc>
        <w:tc>
          <w:tcPr>
            <w:tcW w:w="100" w:type="dxa"/>
            <w:vAlign w:val="bottom"/>
          </w:tcPr>
          <w:p>
            <w:pPr>
              <w:spacing w:after="0"/>
              <w:rPr>
                <w:sz w:val="15"/>
                <w:szCs w:val="15"/>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Northrop Grumman Corporation</w:t>
            </w:r>
          </w:p>
        </w:tc>
        <w:tc>
          <w:tcPr>
            <w:tcW w:w="120" w:type="dxa"/>
            <w:vAlign w:val="bottom"/>
          </w:tcPr>
          <w:p>
            <w:pPr>
              <w:spacing w:after="0"/>
              <w:rPr>
                <w:sz w:val="15"/>
                <w:szCs w:val="15"/>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Northrop Grumman Corporation</w:t>
            </w:r>
          </w:p>
        </w:tc>
        <w:tc>
          <w:tcPr>
            <w:tcW w:w="0" w:type="dxa"/>
            <w:vAlign w:val="bottom"/>
          </w:tcPr>
          <w:p>
            <w:pPr>
              <w:spacing w:after="0"/>
              <w:rPr>
                <w:sz w:val="1"/>
                <w:szCs w:val="1"/>
                <w:color w:val="auto"/>
              </w:rPr>
            </w:pPr>
          </w:p>
        </w:tc>
      </w:tr>
      <w:tr>
        <w:trPr>
          <w:trHeight w:val="346"/>
        </w:trPr>
        <w:tc>
          <w:tcPr>
            <w:tcW w:w="1660" w:type="dxa"/>
            <w:vAlign w:val="bottom"/>
          </w:tcPr>
          <w:p>
            <w:pPr>
              <w:spacing w:after="0"/>
              <w:rPr>
                <w:sz w:val="20"/>
                <w:szCs w:val="20"/>
                <w:color w:val="auto"/>
              </w:rPr>
            </w:pPr>
            <w:r>
              <w:rPr>
                <w:rFonts w:ascii="Arial" w:cs="Arial" w:eastAsia="Arial" w:hAnsi="Arial"/>
                <w:sz w:val="14"/>
                <w:szCs w:val="14"/>
                <w:color w:val="auto"/>
              </w:rPr>
              <w:t>Expected Ratings:</w:t>
            </w:r>
            <w:r>
              <w:rPr>
                <w:rFonts w:ascii="Arial" w:cs="Arial" w:eastAsia="Arial" w:hAnsi="Arial"/>
                <w:sz w:val="12"/>
                <w:szCs w:val="12"/>
                <w:color w:val="auto"/>
              </w:rPr>
              <w:t>(1)</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ectPr>
          <w:pgSz w:w="11900" w:h="16838" w:orient="portrait"/>
          <w:cols w:equalWidth="0" w:num="1">
            <w:col w:w="11020"/>
          </w:cols>
          <w:pgMar w:left="440" w:top="233" w:right="439" w:bottom="1440" w:gutter="0" w:footer="0" w:header="0"/>
        </w:sectPr>
      </w:pPr>
    </w:p>
    <w:p>
      <w:pPr>
        <w:spacing w:after="0"/>
        <w:tabs>
          <w:tab w:leader="none" w:pos="1660" w:val="left"/>
        </w:tabs>
        <w:rPr>
          <w:sz w:val="20"/>
          <w:szCs w:val="20"/>
          <w:color w:val="auto"/>
        </w:rPr>
      </w:pPr>
      <w:r>
        <w:rPr>
          <w:rFonts w:ascii="Arial" w:cs="Arial" w:eastAsia="Arial" w:hAnsi="Arial"/>
          <w:sz w:val="14"/>
          <w:szCs w:val="14"/>
          <w:color w:val="auto"/>
        </w:rPr>
        <w:t>Moody’s Investors</w:t>
      </w:r>
      <w:r>
        <w:rPr>
          <w:sz w:val="20"/>
          <w:szCs w:val="20"/>
          <w:color w:val="auto"/>
        </w:rPr>
        <w:tab/>
      </w:r>
      <w:r>
        <w:rPr>
          <w:rFonts w:ascii="Arial" w:cs="Arial" w:eastAsia="Arial" w:hAnsi="Arial"/>
          <w:sz w:val="13"/>
          <w:szCs w:val="13"/>
          <w:color w:val="auto"/>
        </w:rPr>
        <w:t>Baa2 (Outlook: Stable)</w:t>
      </w:r>
    </w:p>
    <w:p>
      <w:pPr>
        <w:spacing w:after="0"/>
        <w:rPr>
          <w:sz w:val="20"/>
          <w:szCs w:val="20"/>
          <w:color w:val="auto"/>
        </w:rPr>
      </w:pPr>
      <w:r>
        <w:rPr>
          <w:rFonts w:ascii="Arial" w:cs="Arial" w:eastAsia="Arial" w:hAnsi="Arial"/>
          <w:sz w:val="14"/>
          <w:szCs w:val="14"/>
          <w:color w:val="auto"/>
        </w:rPr>
        <w:t>Service, Inc.:</w:t>
      </w:r>
    </w:p>
    <w:p>
      <w:pPr>
        <w:spacing w:after="0" w:line="191"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Standard &amp; Poor’s</w:t>
      </w:r>
      <w:r>
        <w:rPr>
          <w:sz w:val="20"/>
          <w:szCs w:val="20"/>
          <w:color w:val="auto"/>
        </w:rPr>
        <w:tab/>
      </w:r>
      <w:r>
        <w:rPr>
          <w:rFonts w:ascii="Arial" w:cs="Arial" w:eastAsia="Arial" w:hAnsi="Arial"/>
          <w:sz w:val="13"/>
          <w:szCs w:val="13"/>
          <w:color w:val="auto"/>
        </w:rPr>
        <w:t>BBB (Outlook: Stable)</w:t>
      </w:r>
    </w:p>
    <w:p>
      <w:pPr>
        <w:spacing w:after="0"/>
        <w:rPr>
          <w:sz w:val="20"/>
          <w:szCs w:val="20"/>
          <w:color w:val="auto"/>
        </w:rPr>
      </w:pPr>
      <w:r>
        <w:rPr>
          <w:rFonts w:ascii="Arial" w:cs="Arial" w:eastAsia="Arial" w:hAnsi="Arial"/>
          <w:sz w:val="14"/>
          <w:szCs w:val="14"/>
          <w:color w:val="auto"/>
        </w:rPr>
        <w:t>Ratings Services:</w:t>
      </w:r>
    </w:p>
    <w:p>
      <w:pPr>
        <w:spacing w:after="0" w:line="192"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Fitch Ratings, Ltd.:</w:t>
      </w:r>
      <w:r>
        <w:rPr>
          <w:sz w:val="20"/>
          <w:szCs w:val="20"/>
          <w:color w:val="auto"/>
        </w:rPr>
        <w:tab/>
      </w:r>
      <w:r>
        <w:rPr>
          <w:rFonts w:ascii="Arial" w:cs="Arial" w:eastAsia="Arial" w:hAnsi="Arial"/>
          <w:sz w:val="13"/>
          <w:szCs w:val="13"/>
          <w:color w:val="auto"/>
        </w:rPr>
        <w:t>BBB (Outlook: Stable)</w:t>
      </w:r>
    </w:p>
    <w:p>
      <w:pPr>
        <w:spacing w:after="0" w:line="203"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Principal Amount</w:t>
      </w:r>
      <w:r>
        <w:rPr>
          <w:sz w:val="20"/>
          <w:szCs w:val="20"/>
          <w:color w:val="auto"/>
        </w:rPr>
        <w:tab/>
      </w:r>
      <w:r>
        <w:rPr>
          <w:rFonts w:ascii="Arial" w:cs="Arial" w:eastAsia="Arial" w:hAnsi="Arial"/>
          <w:sz w:val="12"/>
          <w:szCs w:val="12"/>
          <w:color w:val="auto"/>
        </w:rPr>
        <w:t>$750,000,000</w:t>
      </w:r>
    </w:p>
    <w:p>
      <w:pPr>
        <w:spacing w:after="0"/>
        <w:rPr>
          <w:sz w:val="20"/>
          <w:szCs w:val="20"/>
          <w:color w:val="auto"/>
        </w:rPr>
      </w:pPr>
      <w:r>
        <w:rPr>
          <w:rFonts w:ascii="Arial" w:cs="Arial" w:eastAsia="Arial" w:hAnsi="Arial"/>
          <w:sz w:val="14"/>
          <w:szCs w:val="14"/>
          <w:color w:val="auto"/>
        </w:rPr>
        <w:t>Offered:</w:t>
      </w:r>
    </w:p>
    <w:p>
      <w:pPr>
        <w:spacing w:after="0" w:line="192"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Pricing Date:</w:t>
      </w:r>
      <w:r>
        <w:rPr>
          <w:sz w:val="20"/>
          <w:szCs w:val="20"/>
          <w:color w:val="auto"/>
        </w:rPr>
        <w:tab/>
      </w:r>
      <w:r>
        <w:rPr>
          <w:rFonts w:ascii="Arial" w:cs="Arial" w:eastAsia="Arial" w:hAnsi="Arial"/>
          <w:sz w:val="12"/>
          <w:szCs w:val="12"/>
          <w:color w:val="auto"/>
        </w:rPr>
        <w:t>March 19, 2020</w:t>
      </w:r>
    </w:p>
    <w:p>
      <w:pPr>
        <w:spacing w:after="0" w:line="203"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Settlement Date</w:t>
      </w:r>
      <w:r>
        <w:rPr>
          <w:sz w:val="20"/>
          <w:szCs w:val="20"/>
          <w:color w:val="auto"/>
        </w:rPr>
        <w:tab/>
      </w:r>
      <w:r>
        <w:rPr>
          <w:rFonts w:ascii="Arial" w:cs="Arial" w:eastAsia="Arial" w:hAnsi="Arial"/>
          <w:sz w:val="13"/>
          <w:szCs w:val="13"/>
          <w:color w:val="auto"/>
        </w:rPr>
        <w:t>It is expected that delivery of the Notes will be</w:t>
      </w:r>
    </w:p>
    <w:p>
      <w:pPr>
        <w:spacing w:after="0"/>
        <w:tabs>
          <w:tab w:leader="none" w:pos="1660" w:val="left"/>
        </w:tabs>
        <w:rPr>
          <w:sz w:val="20"/>
          <w:szCs w:val="20"/>
          <w:color w:val="auto"/>
        </w:rPr>
      </w:pPr>
      <w:r>
        <w:rPr>
          <w:rFonts w:ascii="Arial" w:cs="Arial" w:eastAsia="Arial" w:hAnsi="Arial"/>
          <w:sz w:val="14"/>
          <w:szCs w:val="14"/>
          <w:color w:val="auto"/>
        </w:rPr>
        <w:t>(T + 2):</w:t>
      </w:r>
      <w:r>
        <w:rPr>
          <w:sz w:val="20"/>
          <w:szCs w:val="20"/>
          <w:color w:val="auto"/>
        </w:rPr>
        <w:tab/>
      </w:r>
      <w:r>
        <w:rPr>
          <w:rFonts w:ascii="Arial" w:cs="Arial" w:eastAsia="Arial" w:hAnsi="Arial"/>
          <w:sz w:val="12"/>
          <w:szCs w:val="12"/>
          <w:color w:val="auto"/>
        </w:rPr>
        <w:t>made against payment therefor on or about March</w:t>
      </w:r>
    </w:p>
    <w:p>
      <w:pPr>
        <w:ind w:left="1680" w:right="420"/>
        <w:spacing w:after="0" w:line="237" w:lineRule="auto"/>
        <w:rPr>
          <w:sz w:val="20"/>
          <w:szCs w:val="20"/>
          <w:color w:val="auto"/>
        </w:rPr>
      </w:pPr>
      <w:r>
        <w:rPr>
          <w:rFonts w:ascii="Arial" w:cs="Arial" w:eastAsia="Arial" w:hAnsi="Arial"/>
          <w:sz w:val="14"/>
          <w:szCs w:val="14"/>
          <w:color w:val="auto"/>
        </w:rPr>
        <w:t>23, 2020, which is the second business day following the date hereof.</w:t>
      </w:r>
    </w:p>
    <w:p>
      <w:pPr>
        <w:spacing w:after="0" w:line="183"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Maturity Date:</w:t>
      </w:r>
      <w:r>
        <w:rPr>
          <w:sz w:val="20"/>
          <w:szCs w:val="20"/>
          <w:color w:val="auto"/>
        </w:rPr>
        <w:tab/>
      </w:r>
      <w:r>
        <w:rPr>
          <w:rFonts w:ascii="Arial" w:cs="Arial" w:eastAsia="Arial" w:hAnsi="Arial"/>
          <w:sz w:val="13"/>
          <w:szCs w:val="13"/>
          <w:color w:val="auto"/>
        </w:rPr>
        <w:t>May 1, 2030</w:t>
      </w:r>
    </w:p>
    <w:p>
      <w:pPr>
        <w:spacing w:after="0" w:line="204"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Benchmark Treasury:</w:t>
      </w:r>
      <w:r>
        <w:rPr>
          <w:sz w:val="20"/>
          <w:szCs w:val="20"/>
          <w:color w:val="auto"/>
        </w:rPr>
        <w:tab/>
      </w:r>
      <w:r>
        <w:rPr>
          <w:rFonts w:ascii="Arial" w:cs="Arial" w:eastAsia="Arial" w:hAnsi="Arial"/>
          <w:sz w:val="12"/>
          <w:szCs w:val="12"/>
          <w:color w:val="auto"/>
        </w:rPr>
        <w:t>1.500% due February 15, 2030</w:t>
      </w:r>
    </w:p>
    <w:p>
      <w:pPr>
        <w:spacing w:after="0" w:line="203"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Benchmark Treasury</w:t>
      </w:r>
      <w:r>
        <w:rPr>
          <w:sz w:val="20"/>
          <w:szCs w:val="20"/>
          <w:color w:val="auto"/>
        </w:rPr>
        <w:tab/>
      </w:r>
      <w:r>
        <w:rPr>
          <w:rFonts w:ascii="Arial" w:cs="Arial" w:eastAsia="Arial" w:hAnsi="Arial"/>
          <w:sz w:val="13"/>
          <w:szCs w:val="13"/>
          <w:color w:val="auto"/>
        </w:rPr>
        <w:t>103-09 / 1.149%</w:t>
      </w:r>
    </w:p>
    <w:p>
      <w:pPr>
        <w:spacing w:after="0"/>
        <w:rPr>
          <w:sz w:val="20"/>
          <w:szCs w:val="20"/>
          <w:color w:val="auto"/>
        </w:rPr>
      </w:pPr>
      <w:r>
        <w:rPr>
          <w:rFonts w:ascii="Arial" w:cs="Arial" w:eastAsia="Arial" w:hAnsi="Arial"/>
          <w:sz w:val="14"/>
          <w:szCs w:val="14"/>
          <w:color w:val="auto"/>
        </w:rPr>
        <w:t>Price/Yield:</w:t>
      </w:r>
    </w:p>
    <w:p>
      <w:pPr>
        <w:spacing w:after="0" w:line="191"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Spread to Benchmark</w:t>
      </w:r>
      <w:r>
        <w:rPr>
          <w:sz w:val="20"/>
          <w:szCs w:val="20"/>
          <w:color w:val="auto"/>
        </w:rPr>
        <w:tab/>
      </w:r>
      <w:r>
        <w:rPr>
          <w:rFonts w:ascii="Arial" w:cs="Arial" w:eastAsia="Arial" w:hAnsi="Arial"/>
          <w:sz w:val="12"/>
          <w:szCs w:val="12"/>
          <w:color w:val="auto"/>
        </w:rPr>
        <w:t>+330 basis points</w:t>
      </w:r>
    </w:p>
    <w:p>
      <w:pPr>
        <w:spacing w:after="0"/>
        <w:rPr>
          <w:sz w:val="20"/>
          <w:szCs w:val="20"/>
          <w:color w:val="auto"/>
        </w:rPr>
      </w:pPr>
      <w:r>
        <w:rPr>
          <w:rFonts w:ascii="Arial" w:cs="Arial" w:eastAsia="Arial" w:hAnsi="Arial"/>
          <w:sz w:val="14"/>
          <w:szCs w:val="14"/>
          <w:color w:val="auto"/>
        </w:rPr>
        <w:t>Treasury:</w:t>
      </w:r>
    </w:p>
    <w:p>
      <w:pPr>
        <w:spacing w:after="0" w:line="192"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Yield to Maturity:</w:t>
      </w:r>
      <w:r>
        <w:rPr>
          <w:sz w:val="20"/>
          <w:szCs w:val="20"/>
          <w:color w:val="auto"/>
        </w:rPr>
        <w:tab/>
      </w:r>
      <w:r>
        <w:rPr>
          <w:rFonts w:ascii="Arial" w:cs="Arial" w:eastAsia="Arial" w:hAnsi="Arial"/>
          <w:sz w:val="12"/>
          <w:szCs w:val="12"/>
          <w:color w:val="auto"/>
        </w:rPr>
        <w:t>4.449%</w:t>
      </w:r>
    </w:p>
    <w:p>
      <w:pPr>
        <w:spacing w:after="0" w:line="204"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Coupon:</w:t>
      </w:r>
      <w:r>
        <w:rPr>
          <w:sz w:val="20"/>
          <w:szCs w:val="20"/>
          <w:color w:val="auto"/>
        </w:rPr>
        <w:tab/>
      </w:r>
      <w:r>
        <w:rPr>
          <w:rFonts w:ascii="Arial" w:cs="Arial" w:eastAsia="Arial" w:hAnsi="Arial"/>
          <w:sz w:val="14"/>
          <w:szCs w:val="14"/>
          <w:color w:val="auto"/>
        </w:rPr>
        <w:t>4.400%</w:t>
      </w:r>
    </w:p>
    <w:p>
      <w:pPr>
        <w:spacing w:after="0" w:line="203" w:lineRule="exact"/>
        <w:rPr>
          <w:sz w:val="24"/>
          <w:szCs w:val="24"/>
          <w:color w:val="auto"/>
        </w:rPr>
      </w:pPr>
    </w:p>
    <w:p>
      <w:pPr>
        <w:spacing w:after="0"/>
        <w:tabs>
          <w:tab w:leader="none" w:pos="1660" w:val="left"/>
        </w:tabs>
        <w:rPr>
          <w:sz w:val="20"/>
          <w:szCs w:val="20"/>
          <w:color w:val="auto"/>
        </w:rPr>
      </w:pPr>
      <w:r>
        <w:rPr>
          <w:rFonts w:ascii="Arial" w:cs="Arial" w:eastAsia="Arial" w:hAnsi="Arial"/>
          <w:sz w:val="14"/>
          <w:szCs w:val="14"/>
          <w:color w:val="auto"/>
        </w:rPr>
        <w:t>Day Count</w:t>
      </w:r>
      <w:r>
        <w:rPr>
          <w:sz w:val="20"/>
          <w:szCs w:val="20"/>
          <w:color w:val="auto"/>
        </w:rPr>
        <w:tab/>
      </w:r>
      <w:r>
        <w:rPr>
          <w:rFonts w:ascii="Arial" w:cs="Arial" w:eastAsia="Arial" w:hAnsi="Arial"/>
          <w:sz w:val="12"/>
          <w:szCs w:val="12"/>
          <w:color w:val="auto"/>
        </w:rPr>
        <w:t>30 / 360</w:t>
      </w:r>
    </w:p>
    <w:p>
      <w:pPr>
        <w:spacing w:after="0"/>
        <w:rPr>
          <w:sz w:val="20"/>
          <w:szCs w:val="20"/>
          <w:color w:val="auto"/>
        </w:rPr>
      </w:pPr>
      <w:r>
        <w:rPr>
          <w:rFonts w:ascii="Arial" w:cs="Arial" w:eastAsia="Arial" w:hAnsi="Arial"/>
          <w:sz w:val="14"/>
          <w:szCs w:val="14"/>
          <w:color w:val="auto"/>
        </w:rPr>
        <w:t>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Baa2 (Outlook: Stable)</w:t>
      </w:r>
    </w:p>
    <w:p>
      <w:pPr>
        <w:spacing w:after="0" w:line="352" w:lineRule="exact"/>
        <w:rPr>
          <w:sz w:val="24"/>
          <w:szCs w:val="24"/>
          <w:color w:val="auto"/>
        </w:rPr>
      </w:pPr>
    </w:p>
    <w:p>
      <w:pPr>
        <w:spacing w:after="0"/>
        <w:rPr>
          <w:sz w:val="20"/>
          <w:szCs w:val="20"/>
          <w:color w:val="auto"/>
        </w:rPr>
      </w:pPr>
      <w:r>
        <w:rPr>
          <w:rFonts w:ascii="Arial" w:cs="Arial" w:eastAsia="Arial" w:hAnsi="Arial"/>
          <w:sz w:val="14"/>
          <w:szCs w:val="14"/>
          <w:color w:val="auto"/>
        </w:rPr>
        <w:t>BBB (Outlook: Stable)</w:t>
      </w:r>
    </w:p>
    <w:p>
      <w:pPr>
        <w:spacing w:after="0" w:line="352" w:lineRule="exact"/>
        <w:rPr>
          <w:sz w:val="24"/>
          <w:szCs w:val="24"/>
          <w:color w:val="auto"/>
        </w:rPr>
      </w:pPr>
    </w:p>
    <w:p>
      <w:pPr>
        <w:ind w:right="1740" w:firstLine="8"/>
        <w:spacing w:after="0" w:line="575" w:lineRule="auto"/>
        <w:tabs>
          <w:tab w:leader="none" w:pos="324" w:val="left"/>
        </w:tabs>
        <w:numPr>
          <w:ilvl w:val="0"/>
          <w:numId w:val="1"/>
        </w:numPr>
        <w:rPr>
          <w:rFonts w:ascii="Arial" w:cs="Arial" w:eastAsia="Arial" w:hAnsi="Arial"/>
          <w:sz w:val="14"/>
          <w:szCs w:val="14"/>
          <w:color w:val="auto"/>
        </w:rPr>
      </w:pPr>
      <w:r>
        <w:rPr>
          <w:rFonts w:ascii="Arial" w:cs="Arial" w:eastAsia="Arial" w:hAnsi="Arial"/>
          <w:sz w:val="14"/>
          <w:szCs w:val="14"/>
          <w:color w:val="auto"/>
        </w:rPr>
        <w:t>(Outlook: Stable) $500,000,000</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March 19, 2020</w:t>
      </w:r>
    </w:p>
    <w:p>
      <w:pPr>
        <w:spacing w:after="0" w:line="204" w:lineRule="exact"/>
        <w:rPr>
          <w:sz w:val="24"/>
          <w:szCs w:val="24"/>
          <w:color w:val="auto"/>
        </w:rPr>
      </w:pPr>
    </w:p>
    <w:p>
      <w:pPr>
        <w:spacing w:after="0" w:line="233" w:lineRule="auto"/>
        <w:rPr>
          <w:sz w:val="20"/>
          <w:szCs w:val="20"/>
          <w:color w:val="auto"/>
        </w:rPr>
      </w:pPr>
      <w:r>
        <w:rPr>
          <w:rFonts w:ascii="Arial" w:cs="Arial" w:eastAsia="Arial" w:hAnsi="Arial"/>
          <w:sz w:val="14"/>
          <w:szCs w:val="14"/>
          <w:color w:val="auto"/>
        </w:rPr>
        <w:t>It is expected that delivery of the Notes will be made against payment therefor on or about March 23, 2020, which is the second business day following the date hereof.</w:t>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color w:val="auto"/>
        </w:rPr>
        <w:t>May 1, 2040</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2.375% due November 15, 2049</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111-00 / 1.889%</w:t>
      </w:r>
    </w:p>
    <w:p>
      <w:pPr>
        <w:spacing w:after="0" w:line="352" w:lineRule="exact"/>
        <w:rPr>
          <w:sz w:val="24"/>
          <w:szCs w:val="24"/>
          <w:color w:val="auto"/>
        </w:rPr>
      </w:pPr>
    </w:p>
    <w:p>
      <w:pPr>
        <w:spacing w:after="0"/>
        <w:rPr>
          <w:sz w:val="20"/>
          <w:szCs w:val="20"/>
          <w:color w:val="auto"/>
        </w:rPr>
      </w:pPr>
      <w:r>
        <w:rPr>
          <w:rFonts w:ascii="Arial" w:cs="Arial" w:eastAsia="Arial" w:hAnsi="Arial"/>
          <w:sz w:val="14"/>
          <w:szCs w:val="14"/>
          <w:color w:val="auto"/>
        </w:rPr>
        <w:t>+330 basis points</w:t>
      </w:r>
    </w:p>
    <w:p>
      <w:pPr>
        <w:spacing w:after="0" w:line="352" w:lineRule="exact"/>
        <w:rPr>
          <w:sz w:val="24"/>
          <w:szCs w:val="24"/>
          <w:color w:val="auto"/>
        </w:rPr>
      </w:pPr>
    </w:p>
    <w:p>
      <w:pPr>
        <w:spacing w:after="0"/>
        <w:rPr>
          <w:sz w:val="20"/>
          <w:szCs w:val="20"/>
          <w:color w:val="auto"/>
        </w:rPr>
      </w:pPr>
      <w:r>
        <w:rPr>
          <w:rFonts w:ascii="Arial" w:cs="Arial" w:eastAsia="Arial" w:hAnsi="Arial"/>
          <w:sz w:val="14"/>
          <w:szCs w:val="14"/>
          <w:color w:val="auto"/>
        </w:rPr>
        <w:t>5.189%</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5.150%</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30 / 360</w:t>
      </w:r>
    </w:p>
    <w:p>
      <w:pPr>
        <w:spacing w:after="0" w:line="20" w:lineRule="exact"/>
        <w:rPr>
          <w:sz w:val="24"/>
          <w:szCs w:val="24"/>
          <w:color w:val="auto"/>
        </w:rPr>
      </w:pPr>
      <w:r>
        <w:rPr>
          <w:sz w:val="24"/>
          <w:szCs w:val="24"/>
          <w:color w:val="auto"/>
        </w:rPr>
        <w:br w:type="column"/>
      </w:r>
    </w:p>
    <w:p>
      <w:pPr>
        <w:ind w:left="6"/>
        <w:spacing w:after="0"/>
        <w:rPr>
          <w:sz w:val="20"/>
          <w:szCs w:val="20"/>
          <w:color w:val="auto"/>
        </w:rPr>
      </w:pPr>
      <w:r>
        <w:rPr>
          <w:rFonts w:ascii="Arial" w:cs="Arial" w:eastAsia="Arial" w:hAnsi="Arial"/>
          <w:sz w:val="14"/>
          <w:szCs w:val="14"/>
          <w:color w:val="auto"/>
        </w:rPr>
        <w:t>Baa2 (Outlook: Stable)</w:t>
      </w:r>
    </w:p>
    <w:p>
      <w:pPr>
        <w:spacing w:after="0" w:line="352" w:lineRule="exact"/>
        <w:rPr>
          <w:sz w:val="24"/>
          <w:szCs w:val="24"/>
          <w:color w:val="auto"/>
        </w:rPr>
      </w:pPr>
    </w:p>
    <w:p>
      <w:pPr>
        <w:ind w:left="6"/>
        <w:spacing w:after="0"/>
        <w:rPr>
          <w:sz w:val="20"/>
          <w:szCs w:val="20"/>
          <w:color w:val="auto"/>
        </w:rPr>
      </w:pPr>
      <w:r>
        <w:rPr>
          <w:rFonts w:ascii="Arial" w:cs="Arial" w:eastAsia="Arial" w:hAnsi="Arial"/>
          <w:sz w:val="14"/>
          <w:szCs w:val="14"/>
          <w:color w:val="auto"/>
        </w:rPr>
        <w:t>BBB (Outlook: Stable)</w:t>
      </w:r>
    </w:p>
    <w:p>
      <w:pPr>
        <w:spacing w:after="0" w:line="352" w:lineRule="exact"/>
        <w:rPr>
          <w:sz w:val="24"/>
          <w:szCs w:val="24"/>
          <w:color w:val="auto"/>
        </w:rPr>
      </w:pPr>
    </w:p>
    <w:p>
      <w:pPr>
        <w:ind w:left="6" w:right="1760" w:hanging="6"/>
        <w:spacing w:after="0" w:line="637" w:lineRule="auto"/>
        <w:tabs>
          <w:tab w:leader="none" w:pos="33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(Outlook: Stable) $1,000,000,000</w:t>
      </w:r>
    </w:p>
    <w:p>
      <w:pPr>
        <w:spacing w:after="0" w:line="84" w:lineRule="exact"/>
        <w:rPr>
          <w:sz w:val="24"/>
          <w:szCs w:val="24"/>
          <w:color w:val="auto"/>
        </w:rPr>
      </w:pPr>
    </w:p>
    <w:p>
      <w:pPr>
        <w:ind w:left="6"/>
        <w:spacing w:after="0"/>
        <w:rPr>
          <w:sz w:val="20"/>
          <w:szCs w:val="20"/>
          <w:color w:val="auto"/>
        </w:rPr>
      </w:pPr>
      <w:r>
        <w:rPr>
          <w:rFonts w:ascii="Arial" w:cs="Arial" w:eastAsia="Arial" w:hAnsi="Arial"/>
          <w:sz w:val="14"/>
          <w:szCs w:val="14"/>
          <w:color w:val="auto"/>
        </w:rPr>
        <w:t>March 19, 2020</w:t>
      </w:r>
    </w:p>
    <w:p>
      <w:pPr>
        <w:spacing w:after="0" w:line="204" w:lineRule="exact"/>
        <w:rPr>
          <w:sz w:val="24"/>
          <w:szCs w:val="24"/>
          <w:color w:val="auto"/>
        </w:rPr>
      </w:pPr>
    </w:p>
    <w:p>
      <w:pPr>
        <w:ind w:left="6" w:right="20"/>
        <w:spacing w:after="0" w:line="233" w:lineRule="auto"/>
        <w:rPr>
          <w:sz w:val="20"/>
          <w:szCs w:val="20"/>
          <w:color w:val="auto"/>
        </w:rPr>
      </w:pPr>
      <w:r>
        <w:rPr>
          <w:rFonts w:ascii="Arial" w:cs="Arial" w:eastAsia="Arial" w:hAnsi="Arial"/>
          <w:sz w:val="14"/>
          <w:szCs w:val="14"/>
          <w:color w:val="auto"/>
        </w:rPr>
        <w:t>It is expected that delivery of the Notes will be made against payment therefor on or about March 23, 2020, which is the second business day following the date hereof.</w:t>
      </w:r>
    </w:p>
    <w:p>
      <w:pPr>
        <w:spacing w:after="0" w:line="185" w:lineRule="exact"/>
        <w:rPr>
          <w:sz w:val="24"/>
          <w:szCs w:val="24"/>
          <w:color w:val="auto"/>
        </w:rPr>
      </w:pPr>
    </w:p>
    <w:p>
      <w:pPr>
        <w:ind w:left="6"/>
        <w:spacing w:after="0"/>
        <w:rPr>
          <w:sz w:val="20"/>
          <w:szCs w:val="20"/>
          <w:color w:val="auto"/>
        </w:rPr>
      </w:pPr>
      <w:r>
        <w:rPr>
          <w:rFonts w:ascii="Arial" w:cs="Arial" w:eastAsia="Arial" w:hAnsi="Arial"/>
          <w:sz w:val="14"/>
          <w:szCs w:val="14"/>
          <w:color w:val="auto"/>
        </w:rPr>
        <w:t>May 1, 2050</w:t>
      </w:r>
    </w:p>
    <w:p>
      <w:pPr>
        <w:spacing w:after="0" w:line="204" w:lineRule="exact"/>
        <w:rPr>
          <w:sz w:val="24"/>
          <w:szCs w:val="24"/>
          <w:color w:val="auto"/>
        </w:rPr>
      </w:pPr>
    </w:p>
    <w:p>
      <w:pPr>
        <w:ind w:left="6"/>
        <w:spacing w:after="0"/>
        <w:rPr>
          <w:sz w:val="20"/>
          <w:szCs w:val="20"/>
          <w:color w:val="auto"/>
        </w:rPr>
      </w:pPr>
      <w:r>
        <w:rPr>
          <w:rFonts w:ascii="Arial" w:cs="Arial" w:eastAsia="Arial" w:hAnsi="Arial"/>
          <w:sz w:val="14"/>
          <w:szCs w:val="14"/>
          <w:color w:val="auto"/>
        </w:rPr>
        <w:t>2.375% due November 15, 2049</w:t>
      </w:r>
    </w:p>
    <w:p>
      <w:pPr>
        <w:spacing w:after="0" w:line="204" w:lineRule="exact"/>
        <w:rPr>
          <w:sz w:val="24"/>
          <w:szCs w:val="24"/>
          <w:color w:val="auto"/>
        </w:rPr>
      </w:pPr>
    </w:p>
    <w:p>
      <w:pPr>
        <w:ind w:left="6"/>
        <w:spacing w:after="0"/>
        <w:rPr>
          <w:sz w:val="20"/>
          <w:szCs w:val="20"/>
          <w:color w:val="auto"/>
        </w:rPr>
      </w:pPr>
      <w:r>
        <w:rPr>
          <w:rFonts w:ascii="Arial" w:cs="Arial" w:eastAsia="Arial" w:hAnsi="Arial"/>
          <w:sz w:val="14"/>
          <w:szCs w:val="14"/>
          <w:color w:val="auto"/>
        </w:rPr>
        <w:t>111-00 / 1.889%</w:t>
      </w:r>
    </w:p>
    <w:p>
      <w:pPr>
        <w:spacing w:after="0" w:line="352" w:lineRule="exact"/>
        <w:rPr>
          <w:sz w:val="24"/>
          <w:szCs w:val="24"/>
          <w:color w:val="auto"/>
        </w:rPr>
      </w:pPr>
    </w:p>
    <w:p>
      <w:pPr>
        <w:ind w:left="6"/>
        <w:spacing w:after="0"/>
        <w:rPr>
          <w:sz w:val="20"/>
          <w:szCs w:val="20"/>
          <w:color w:val="auto"/>
        </w:rPr>
      </w:pPr>
      <w:r>
        <w:rPr>
          <w:rFonts w:ascii="Arial" w:cs="Arial" w:eastAsia="Arial" w:hAnsi="Arial"/>
          <w:sz w:val="14"/>
          <w:szCs w:val="14"/>
          <w:color w:val="auto"/>
        </w:rPr>
        <w:t>+340 basis points</w:t>
      </w:r>
    </w:p>
    <w:p>
      <w:pPr>
        <w:spacing w:after="0" w:line="352" w:lineRule="exact"/>
        <w:rPr>
          <w:sz w:val="24"/>
          <w:szCs w:val="24"/>
          <w:color w:val="auto"/>
        </w:rPr>
      </w:pPr>
    </w:p>
    <w:p>
      <w:pPr>
        <w:ind w:left="6"/>
        <w:spacing w:after="0"/>
        <w:rPr>
          <w:sz w:val="20"/>
          <w:szCs w:val="20"/>
          <w:color w:val="auto"/>
        </w:rPr>
      </w:pPr>
      <w:r>
        <w:rPr>
          <w:rFonts w:ascii="Arial" w:cs="Arial" w:eastAsia="Arial" w:hAnsi="Arial"/>
          <w:sz w:val="14"/>
          <w:szCs w:val="14"/>
          <w:color w:val="auto"/>
        </w:rPr>
        <w:t>5.289%</w:t>
      </w:r>
    </w:p>
    <w:p>
      <w:pPr>
        <w:spacing w:after="0" w:line="204" w:lineRule="exact"/>
        <w:rPr>
          <w:sz w:val="24"/>
          <w:szCs w:val="24"/>
          <w:color w:val="auto"/>
        </w:rPr>
      </w:pPr>
    </w:p>
    <w:p>
      <w:pPr>
        <w:ind w:left="6"/>
        <w:spacing w:after="0"/>
        <w:rPr>
          <w:sz w:val="20"/>
          <w:szCs w:val="20"/>
          <w:color w:val="auto"/>
        </w:rPr>
      </w:pPr>
      <w:r>
        <w:rPr>
          <w:rFonts w:ascii="Arial" w:cs="Arial" w:eastAsia="Arial" w:hAnsi="Arial"/>
          <w:sz w:val="14"/>
          <w:szCs w:val="14"/>
          <w:color w:val="auto"/>
        </w:rPr>
        <w:t>5.250%</w:t>
      </w:r>
    </w:p>
    <w:p>
      <w:pPr>
        <w:spacing w:after="0" w:line="204" w:lineRule="exact"/>
        <w:rPr>
          <w:sz w:val="24"/>
          <w:szCs w:val="24"/>
          <w:color w:val="auto"/>
        </w:rPr>
      </w:pPr>
    </w:p>
    <w:p>
      <w:pPr>
        <w:ind w:left="6"/>
        <w:spacing w:after="0"/>
        <w:rPr>
          <w:sz w:val="20"/>
          <w:szCs w:val="20"/>
          <w:color w:val="auto"/>
        </w:rPr>
      </w:pPr>
      <w:r>
        <w:rPr>
          <w:rFonts w:ascii="Arial" w:cs="Arial" w:eastAsia="Arial" w:hAnsi="Arial"/>
          <w:sz w:val="14"/>
          <w:szCs w:val="14"/>
          <w:color w:val="auto"/>
        </w:rPr>
        <w:t>30 / 360</w:t>
      </w:r>
    </w:p>
    <w:p>
      <w:pPr>
        <w:sectPr>
          <w:pgSz w:w="11900" w:h="16838" w:orient="portrait"/>
          <w:cols w:equalWidth="0" w:num="3">
            <w:col w:w="4560" w:space="180"/>
            <w:col w:w="3080" w:space="114"/>
            <w:col w:w="3086"/>
          </w:cols>
          <w:pgMar w:left="440" w:top="233" w:right="439" w:bottom="1440" w:gutter="0" w:footer="0" w:header="0"/>
          <w:type w:val="continuous"/>
        </w:sectPr>
      </w:pPr>
    </w:p>
    <w:bookmarkStart w:id="1" w:name="page2"/>
    <w:bookmarkEnd w:id="1"/>
    <w:p>
      <w:pPr>
        <w:ind w:left="4"/>
        <w:spacing w:after="0"/>
        <w:tabs>
          <w:tab w:leader="none" w:pos="1664" w:val="left"/>
        </w:tabs>
        <w:rPr>
          <w:sz w:val="20"/>
          <w:szCs w:val="20"/>
          <w:color w:val="auto"/>
        </w:rPr>
      </w:pPr>
      <w:r>
        <w:rPr>
          <w:rFonts w:ascii="Arial" w:cs="Arial" w:eastAsia="Arial" w:hAnsi="Arial"/>
          <w:sz w:val="14"/>
          <w:szCs w:val="14"/>
          <w:color w:val="auto"/>
        </w:rPr>
        <w:t>Price to Public:</w:t>
      </w: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99.599%</w:t>
      </w:r>
    </w:p>
    <w:p>
      <w:pPr>
        <w:spacing w:after="0" w:line="203" w:lineRule="exact"/>
        <w:rPr>
          <w:sz w:val="20"/>
          <w:szCs w:val="20"/>
          <w:color w:val="auto"/>
        </w:rPr>
      </w:pPr>
    </w:p>
    <w:p>
      <w:pPr>
        <w:ind w:left="4"/>
        <w:spacing w:after="0"/>
        <w:tabs>
          <w:tab w:leader="none" w:pos="1664" w:val="left"/>
        </w:tabs>
        <w:rPr>
          <w:sz w:val="20"/>
          <w:szCs w:val="20"/>
          <w:color w:val="auto"/>
        </w:rPr>
      </w:pPr>
      <w:r>
        <w:rPr>
          <w:rFonts w:ascii="Arial" w:cs="Arial" w:eastAsia="Arial" w:hAnsi="Arial"/>
          <w:sz w:val="14"/>
          <w:szCs w:val="14"/>
          <w:color w:val="auto"/>
        </w:rPr>
        <w:t>Interest Payment</w:t>
      </w:r>
      <w:r>
        <w:rPr>
          <w:sz w:val="20"/>
          <w:szCs w:val="20"/>
          <w:color w:val="auto"/>
        </w:rPr>
        <w:tab/>
      </w:r>
      <w:r>
        <w:rPr>
          <w:rFonts w:ascii="Arial" w:cs="Arial" w:eastAsia="Arial" w:hAnsi="Arial"/>
          <w:sz w:val="13"/>
          <w:szCs w:val="13"/>
          <w:color w:val="auto"/>
        </w:rPr>
        <w:t>May 1 and November 1, commencing November 1,</w:t>
      </w:r>
    </w:p>
    <w:p>
      <w:pPr>
        <w:ind w:left="4"/>
        <w:spacing w:after="0"/>
        <w:tabs>
          <w:tab w:leader="none" w:pos="1664" w:val="left"/>
        </w:tabs>
        <w:rPr>
          <w:sz w:val="20"/>
          <w:szCs w:val="20"/>
          <w:color w:val="auto"/>
        </w:rPr>
      </w:pPr>
      <w:r>
        <w:rPr>
          <w:rFonts w:ascii="Arial" w:cs="Arial" w:eastAsia="Arial" w:hAnsi="Arial"/>
          <w:sz w:val="14"/>
          <w:szCs w:val="14"/>
          <w:color w:val="auto"/>
        </w:rPr>
        <w:t>Dates:</w:t>
      </w:r>
      <w:r>
        <w:rPr>
          <w:sz w:val="20"/>
          <w:szCs w:val="20"/>
          <w:color w:val="auto"/>
        </w:rPr>
        <w:tab/>
      </w:r>
      <w:r>
        <w:rPr>
          <w:rFonts w:ascii="Arial" w:cs="Arial" w:eastAsia="Arial" w:hAnsi="Arial"/>
          <w:sz w:val="14"/>
          <w:szCs w:val="14"/>
          <w:color w:val="auto"/>
        </w:rPr>
        <w:t>2020</w:t>
      </w:r>
    </w:p>
    <w:p>
      <w:pPr>
        <w:spacing w:after="0" w:line="192" w:lineRule="exact"/>
        <w:rPr>
          <w:sz w:val="20"/>
          <w:szCs w:val="20"/>
          <w:color w:val="auto"/>
        </w:rPr>
      </w:pPr>
    </w:p>
    <w:p>
      <w:pPr>
        <w:ind w:left="4"/>
        <w:spacing w:after="0"/>
        <w:tabs>
          <w:tab w:leader="none" w:pos="1664" w:val="left"/>
        </w:tabs>
        <w:rPr>
          <w:sz w:val="20"/>
          <w:szCs w:val="20"/>
          <w:color w:val="auto"/>
        </w:rPr>
      </w:pPr>
      <w:r>
        <w:rPr>
          <w:rFonts w:ascii="Arial" w:cs="Arial" w:eastAsia="Arial" w:hAnsi="Arial"/>
          <w:sz w:val="14"/>
          <w:szCs w:val="14"/>
          <w:color w:val="auto"/>
        </w:rPr>
        <w:t>Record Dates:</w:t>
      </w:r>
      <w:r>
        <w:rPr>
          <w:sz w:val="20"/>
          <w:szCs w:val="20"/>
          <w:color w:val="auto"/>
        </w:rPr>
        <w:tab/>
      </w:r>
      <w:r>
        <w:rPr>
          <w:rFonts w:ascii="Arial" w:cs="Arial" w:eastAsia="Arial" w:hAnsi="Arial"/>
          <w:sz w:val="13"/>
          <w:szCs w:val="13"/>
          <w:color w:val="auto"/>
        </w:rPr>
        <w:t>April 15 and October 15</w:t>
      </w:r>
    </w:p>
    <w:p>
      <w:pPr>
        <w:spacing w:after="0" w:line="203" w:lineRule="exact"/>
        <w:rPr>
          <w:sz w:val="20"/>
          <w:szCs w:val="20"/>
          <w:color w:val="auto"/>
        </w:rPr>
      </w:pPr>
    </w:p>
    <w:p>
      <w:pPr>
        <w:ind w:left="4"/>
        <w:spacing w:after="0"/>
        <w:tabs>
          <w:tab w:leader="none" w:pos="1664" w:val="left"/>
        </w:tabs>
        <w:rPr>
          <w:sz w:val="20"/>
          <w:szCs w:val="20"/>
          <w:color w:val="auto"/>
        </w:rPr>
      </w:pPr>
      <w:r>
        <w:rPr>
          <w:rFonts w:ascii="Arial" w:cs="Arial" w:eastAsia="Arial" w:hAnsi="Arial"/>
          <w:sz w:val="14"/>
          <w:szCs w:val="14"/>
          <w:color w:val="auto"/>
        </w:rPr>
        <w:t>Optional Redemption:</w:t>
      </w:r>
      <w:r>
        <w:rPr>
          <w:sz w:val="20"/>
          <w:szCs w:val="20"/>
          <w:color w:val="auto"/>
        </w:rPr>
        <w:tab/>
      </w:r>
      <w:r>
        <w:rPr>
          <w:rFonts w:ascii="Arial" w:cs="Arial" w:eastAsia="Arial" w:hAnsi="Arial"/>
          <w:sz w:val="13"/>
          <w:szCs w:val="13"/>
          <w:color w:val="auto"/>
        </w:rPr>
        <w:t>Prior to February 1, 2030 (the “Par Call Date”), at</w:t>
      </w:r>
    </w:p>
    <w:p>
      <w:pPr>
        <w:ind w:left="1684" w:right="20"/>
        <w:spacing w:after="0" w:line="243" w:lineRule="auto"/>
        <w:rPr>
          <w:sz w:val="20"/>
          <w:szCs w:val="20"/>
          <w:color w:val="auto"/>
        </w:rPr>
      </w:pPr>
      <w:r>
        <w:rPr>
          <w:rFonts w:ascii="Arial" w:cs="Arial" w:eastAsia="Arial" w:hAnsi="Arial"/>
          <w:sz w:val="13"/>
          <w:szCs w:val="13"/>
          <w:color w:val="auto"/>
        </w:rPr>
        <w:t>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195" w:lineRule="exact"/>
        <w:rPr>
          <w:sz w:val="20"/>
          <w:szCs w:val="20"/>
          <w:color w:val="auto"/>
        </w:rPr>
      </w:pPr>
    </w:p>
    <w:p>
      <w:pPr>
        <w:ind w:left="1684" w:right="60"/>
        <w:spacing w:after="0" w:line="238" w:lineRule="auto"/>
        <w:rPr>
          <w:sz w:val="20"/>
          <w:szCs w:val="20"/>
          <w:color w:val="auto"/>
        </w:rPr>
      </w:pPr>
      <w:r>
        <w:rPr>
          <w:rFonts w:ascii="Arial" w:cs="Arial" w:eastAsia="Arial" w:hAnsi="Arial"/>
          <w:sz w:val="14"/>
          <w:szCs w:val="14"/>
          <w:color w:val="auto"/>
        </w:rPr>
        <w:t>On and after the Par Call Date, at a redemption price equal to 100% of the principal amount of the notes being redeemed.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99.509%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-184150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May 1 and November 1, commencing November 1, 2020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April 15 and October 15</w:t>
      </w:r>
    </w:p>
    <w:p>
      <w:pPr>
        <w:spacing w:after="0" w:line="204"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Prior to November 1, 2039 (the “Par Call Date”), at 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On and after the Par Call Date, at a redemption price equal to 100% of the principal amount of the notes being redeemed.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99.407%</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May 1 and November 1, commencing November 1, 2020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April 15 and October 15</w:t>
      </w:r>
    </w:p>
    <w:p>
      <w:pPr>
        <w:spacing w:after="0" w:line="204"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Prior to November 1, 2049 (the “Par Call Date”), at 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On and after the Par Call Date, at a redemption price equal to 100% of the principal amount of the notes being redeemed.</w:t>
      </w:r>
    </w:p>
    <w:p>
      <w:pPr>
        <w:spacing w:after="0" w:line="196" w:lineRule="exact"/>
        <w:rPr>
          <w:sz w:val="20"/>
          <w:szCs w:val="20"/>
          <w:color w:val="auto"/>
        </w:rPr>
      </w:pPr>
    </w:p>
    <w:p>
      <w:pPr>
        <w:sectPr>
          <w:pgSz w:w="11900" w:h="16838" w:orient="portrait"/>
          <w:cols w:equalWidth="0" w:num="3">
            <w:col w:w="4644" w:space="100"/>
            <w:col w:w="3080" w:space="120"/>
            <w:col w:w="3060"/>
          </w:cols>
          <w:pgMar w:left="436" w:top="269" w:right="459" w:bottom="1440" w:gutter="0" w:footer="0" w:header="0"/>
        </w:sectPr>
      </w:pPr>
    </w:p>
    <w:tbl>
      <w:tblPr>
        <w:tblLayout w:type="fixed"/>
        <w:tblInd w:w="4" w:type="dxa"/>
        <w:tblCellMar>
          <w:top w:w="0" w:type="dxa"/>
          <w:left w:w="0" w:type="dxa"/>
          <w:bottom w:w="0" w:type="dxa"/>
          <w:right w:w="0" w:type="dxa"/>
        </w:tblCellMar>
      </w:tblPr>
      <w:tr>
        <w:trPr>
          <w:trHeight w:val="182"/>
        </w:trPr>
        <w:tc>
          <w:tcPr>
            <w:tcW w:w="1460" w:type="dxa"/>
            <w:vAlign w:val="bottom"/>
          </w:tcPr>
          <w:p>
            <w:pPr>
              <w:spacing w:after="0"/>
              <w:rPr>
                <w:sz w:val="20"/>
                <w:szCs w:val="20"/>
                <w:color w:val="auto"/>
              </w:rPr>
            </w:pPr>
            <w:r>
              <w:rPr>
                <w:rFonts w:ascii="Arial" w:cs="Arial" w:eastAsia="Arial" w:hAnsi="Arial"/>
                <w:sz w:val="14"/>
                <w:szCs w:val="14"/>
                <w:color w:val="auto"/>
              </w:rPr>
              <w:t>CUSIP/ISIN:</w:t>
            </w:r>
          </w:p>
        </w:tc>
        <w:tc>
          <w:tcPr>
            <w:tcW w:w="3140" w:type="dxa"/>
            <w:vAlign w:val="bottom"/>
          </w:tcPr>
          <w:p>
            <w:pPr>
              <w:ind w:left="220"/>
              <w:spacing w:after="0"/>
              <w:rPr>
                <w:sz w:val="20"/>
                <w:szCs w:val="20"/>
                <w:color w:val="auto"/>
              </w:rPr>
            </w:pPr>
            <w:r>
              <w:rPr>
                <w:rFonts w:ascii="Arial" w:cs="Arial" w:eastAsia="Arial" w:hAnsi="Arial"/>
                <w:sz w:val="14"/>
                <w:szCs w:val="14"/>
                <w:color w:val="auto"/>
              </w:rPr>
              <w:t>666807 BS0 / US666807BS00</w:t>
            </w:r>
          </w:p>
        </w:tc>
        <w:tc>
          <w:tcPr>
            <w:tcW w:w="3140" w:type="dxa"/>
            <w:vAlign w:val="bottom"/>
          </w:tcPr>
          <w:p>
            <w:pPr>
              <w:ind w:left="140"/>
              <w:spacing w:after="0"/>
              <w:rPr>
                <w:sz w:val="20"/>
                <w:szCs w:val="20"/>
                <w:color w:val="auto"/>
              </w:rPr>
            </w:pPr>
            <w:r>
              <w:rPr>
                <w:rFonts w:ascii="Arial" w:cs="Arial" w:eastAsia="Arial" w:hAnsi="Arial"/>
                <w:sz w:val="14"/>
                <w:szCs w:val="14"/>
                <w:color w:val="auto"/>
              </w:rPr>
              <w:t>666807 BT8 / US666807BT82</w:t>
            </w:r>
          </w:p>
        </w:tc>
        <w:tc>
          <w:tcPr>
            <w:tcW w:w="3000" w:type="dxa"/>
            <w:vAlign w:val="bottom"/>
          </w:tcPr>
          <w:p>
            <w:pPr>
              <w:ind w:left="200"/>
              <w:spacing w:after="0"/>
              <w:rPr>
                <w:sz w:val="20"/>
                <w:szCs w:val="20"/>
                <w:color w:val="auto"/>
              </w:rPr>
            </w:pPr>
            <w:r>
              <w:rPr>
                <w:rFonts w:ascii="Arial" w:cs="Arial" w:eastAsia="Arial" w:hAnsi="Arial"/>
                <w:sz w:val="14"/>
                <w:szCs w:val="14"/>
                <w:color w:val="auto"/>
              </w:rPr>
              <w:t>666807 BU5 / US666807BU55</w:t>
            </w:r>
          </w:p>
        </w:tc>
      </w:tr>
      <w:tr>
        <w:trPr>
          <w:trHeight w:val="365"/>
        </w:trPr>
        <w:tc>
          <w:tcPr>
            <w:tcW w:w="1460" w:type="dxa"/>
            <w:vAlign w:val="bottom"/>
          </w:tcPr>
          <w:p>
            <w:pPr>
              <w:spacing w:after="0"/>
              <w:rPr>
                <w:sz w:val="20"/>
                <w:szCs w:val="20"/>
                <w:color w:val="auto"/>
              </w:rPr>
            </w:pPr>
            <w:r>
              <w:rPr>
                <w:rFonts w:ascii="Arial" w:cs="Arial" w:eastAsia="Arial" w:hAnsi="Arial"/>
                <w:sz w:val="14"/>
                <w:szCs w:val="14"/>
                <w:color w:val="auto"/>
              </w:rPr>
              <w:t>Denominations:</w:t>
            </w:r>
          </w:p>
        </w:tc>
        <w:tc>
          <w:tcPr>
            <w:tcW w:w="3140" w:type="dxa"/>
            <w:vAlign w:val="bottom"/>
          </w:tcPr>
          <w:p>
            <w:pPr>
              <w:ind w:left="220"/>
              <w:spacing w:after="0"/>
              <w:rPr>
                <w:sz w:val="20"/>
                <w:szCs w:val="20"/>
                <w:color w:val="auto"/>
              </w:rPr>
            </w:pPr>
            <w:r>
              <w:rPr>
                <w:rFonts w:ascii="Arial" w:cs="Arial" w:eastAsia="Arial" w:hAnsi="Arial"/>
                <w:sz w:val="14"/>
                <w:szCs w:val="14"/>
                <w:color w:val="auto"/>
                <w:w w:val="96"/>
              </w:rPr>
              <w:t>$2,000 and multiples of $1,000 in excess thereof</w:t>
            </w:r>
          </w:p>
        </w:tc>
        <w:tc>
          <w:tcPr>
            <w:tcW w:w="3140" w:type="dxa"/>
            <w:vAlign w:val="bottom"/>
          </w:tcPr>
          <w:p>
            <w:pPr>
              <w:ind w:left="140"/>
              <w:spacing w:after="0"/>
              <w:rPr>
                <w:sz w:val="20"/>
                <w:szCs w:val="20"/>
                <w:color w:val="auto"/>
              </w:rPr>
            </w:pPr>
            <w:r>
              <w:rPr>
                <w:rFonts w:ascii="Arial" w:cs="Arial" w:eastAsia="Arial" w:hAnsi="Arial"/>
                <w:sz w:val="14"/>
                <w:szCs w:val="14"/>
                <w:color w:val="auto"/>
                <w:w w:val="98"/>
              </w:rPr>
              <w:t>$2,000 and multiples of $1,000 in excess thereof</w:t>
            </w:r>
          </w:p>
        </w:tc>
        <w:tc>
          <w:tcPr>
            <w:tcW w:w="3000" w:type="dxa"/>
            <w:vAlign w:val="bottom"/>
          </w:tcPr>
          <w:p>
            <w:pPr>
              <w:ind w:left="200"/>
              <w:spacing w:after="0"/>
              <w:rPr>
                <w:sz w:val="20"/>
                <w:szCs w:val="20"/>
                <w:color w:val="auto"/>
              </w:rPr>
            </w:pPr>
            <w:r>
              <w:rPr>
                <w:rFonts w:ascii="Arial" w:cs="Arial" w:eastAsia="Arial" w:hAnsi="Arial"/>
                <w:sz w:val="14"/>
                <w:szCs w:val="14"/>
                <w:color w:val="auto"/>
                <w:w w:val="92"/>
              </w:rPr>
              <w:t>$2,000 and multiples of $1,000 in excess thereof</w:t>
            </w:r>
          </w:p>
        </w:tc>
      </w:tr>
      <w:tr>
        <w:trPr>
          <w:trHeight w:val="331"/>
        </w:trPr>
        <w:tc>
          <w:tcPr>
            <w:tcW w:w="1460" w:type="dxa"/>
            <w:vAlign w:val="bottom"/>
          </w:tcPr>
          <w:p>
            <w:pPr>
              <w:spacing w:after="0"/>
              <w:rPr>
                <w:sz w:val="20"/>
                <w:szCs w:val="20"/>
                <w:color w:val="auto"/>
              </w:rPr>
            </w:pPr>
            <w:r>
              <w:rPr>
                <w:rFonts w:ascii="Arial" w:cs="Arial" w:eastAsia="Arial" w:hAnsi="Arial"/>
                <w:sz w:val="14"/>
                <w:szCs w:val="14"/>
                <w:color w:val="auto"/>
              </w:rPr>
              <w:t>Joint Book-Running</w:t>
            </w:r>
          </w:p>
        </w:tc>
        <w:tc>
          <w:tcPr>
            <w:tcW w:w="3140" w:type="dxa"/>
            <w:vAlign w:val="bottom"/>
          </w:tcPr>
          <w:p>
            <w:pPr>
              <w:ind w:left="220"/>
              <w:spacing w:after="0"/>
              <w:rPr>
                <w:sz w:val="20"/>
                <w:szCs w:val="20"/>
                <w:color w:val="auto"/>
              </w:rPr>
            </w:pPr>
            <w:r>
              <w:rPr>
                <w:rFonts w:ascii="Arial" w:cs="Arial" w:eastAsia="Arial" w:hAnsi="Arial"/>
                <w:sz w:val="14"/>
                <w:szCs w:val="14"/>
                <w:color w:val="auto"/>
              </w:rPr>
              <w:t>J.P. Morgan Securities LLC</w:t>
            </w:r>
          </w:p>
        </w:tc>
        <w:tc>
          <w:tcPr>
            <w:tcW w:w="3140" w:type="dxa"/>
            <w:vAlign w:val="bottom"/>
          </w:tcPr>
          <w:p>
            <w:pPr>
              <w:ind w:left="140"/>
              <w:spacing w:after="0"/>
              <w:rPr>
                <w:sz w:val="20"/>
                <w:szCs w:val="20"/>
                <w:color w:val="auto"/>
              </w:rPr>
            </w:pPr>
            <w:r>
              <w:rPr>
                <w:rFonts w:ascii="Arial" w:cs="Arial" w:eastAsia="Arial" w:hAnsi="Arial"/>
                <w:sz w:val="14"/>
                <w:szCs w:val="14"/>
                <w:color w:val="auto"/>
              </w:rPr>
              <w:t>J.P. Morgan Securities LLC</w:t>
            </w:r>
          </w:p>
        </w:tc>
        <w:tc>
          <w:tcPr>
            <w:tcW w:w="3000" w:type="dxa"/>
            <w:vAlign w:val="bottom"/>
          </w:tcPr>
          <w:p>
            <w:pPr>
              <w:ind w:left="200"/>
              <w:spacing w:after="0"/>
              <w:rPr>
                <w:sz w:val="20"/>
                <w:szCs w:val="20"/>
                <w:color w:val="auto"/>
              </w:rPr>
            </w:pPr>
            <w:r>
              <w:rPr>
                <w:rFonts w:ascii="Arial" w:cs="Arial" w:eastAsia="Arial" w:hAnsi="Arial"/>
                <w:sz w:val="14"/>
                <w:szCs w:val="14"/>
                <w:color w:val="auto"/>
              </w:rPr>
              <w:t>J.P. Morgan Securities LLC</w:t>
            </w: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Managers:</w:t>
            </w: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BofA Securities,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BofA Securities,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BofA Securities,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Citigroup Global Markets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Citigroup Global Markets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Citigroup Global Markets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Goldman Sachs &amp; Co. LLC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Goldman Sachs &amp; Co. LLC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Goldman Sachs &amp; Co. LLC</w:t>
            </w:r>
          </w:p>
        </w:tc>
      </w:tr>
      <w:tr>
        <w:trPr>
          <w:trHeight w:val="182"/>
        </w:trPr>
        <w:tc>
          <w:tcPr>
            <w:tcW w:w="1460" w:type="dxa"/>
            <w:vAlign w:val="bottom"/>
          </w:tcPr>
          <w:p>
            <w:pPr>
              <w:spacing w:after="0"/>
              <w:rPr>
                <w:sz w:val="15"/>
                <w:szCs w:val="15"/>
                <w:color w:val="auto"/>
              </w:rPr>
            </w:pPr>
          </w:p>
        </w:tc>
        <w:tc>
          <w:tcPr>
            <w:tcW w:w="3140" w:type="dxa"/>
            <w:vAlign w:val="bottom"/>
          </w:tcPr>
          <w:p>
            <w:pPr>
              <w:ind w:left="220"/>
              <w:spacing w:after="0"/>
              <w:rPr>
                <w:sz w:val="20"/>
                <w:szCs w:val="20"/>
                <w:color w:val="auto"/>
              </w:rPr>
            </w:pPr>
            <w:r>
              <w:rPr>
                <w:rFonts w:ascii="Arial" w:cs="Arial" w:eastAsia="Arial" w:hAnsi="Arial"/>
                <w:sz w:val="14"/>
                <w:szCs w:val="14"/>
                <w:color w:val="auto"/>
              </w:rPr>
              <w:t>Wells Fargo Securities, LLC</w:t>
            </w:r>
          </w:p>
        </w:tc>
        <w:tc>
          <w:tcPr>
            <w:tcW w:w="3140" w:type="dxa"/>
            <w:vAlign w:val="bottom"/>
          </w:tcPr>
          <w:p>
            <w:pPr>
              <w:ind w:left="140"/>
              <w:spacing w:after="0"/>
              <w:rPr>
                <w:sz w:val="20"/>
                <w:szCs w:val="20"/>
                <w:color w:val="auto"/>
              </w:rPr>
            </w:pPr>
            <w:r>
              <w:rPr>
                <w:rFonts w:ascii="Arial" w:cs="Arial" w:eastAsia="Arial" w:hAnsi="Arial"/>
                <w:sz w:val="14"/>
                <w:szCs w:val="14"/>
                <w:color w:val="auto"/>
              </w:rPr>
              <w:t>Wells Fargo Securities, LLC</w:t>
            </w:r>
          </w:p>
        </w:tc>
        <w:tc>
          <w:tcPr>
            <w:tcW w:w="3000" w:type="dxa"/>
            <w:vAlign w:val="bottom"/>
          </w:tcPr>
          <w:p>
            <w:pPr>
              <w:ind w:left="200"/>
              <w:spacing w:after="0"/>
              <w:rPr>
                <w:sz w:val="20"/>
                <w:szCs w:val="20"/>
                <w:color w:val="auto"/>
              </w:rPr>
            </w:pPr>
            <w:r>
              <w:rPr>
                <w:rFonts w:ascii="Arial" w:cs="Arial" w:eastAsia="Arial" w:hAnsi="Arial"/>
                <w:sz w:val="14"/>
                <w:szCs w:val="14"/>
                <w:color w:val="auto"/>
              </w:rPr>
              <w:t>Wells Fargo Securities, LLC</w:t>
            </w:r>
          </w:p>
        </w:tc>
      </w:tr>
      <w:tr>
        <w:trPr>
          <w:trHeight w:val="331"/>
        </w:trPr>
        <w:tc>
          <w:tcPr>
            <w:tcW w:w="1460" w:type="dxa"/>
            <w:vAlign w:val="bottom"/>
          </w:tcPr>
          <w:p>
            <w:pPr>
              <w:spacing w:after="0"/>
              <w:rPr>
                <w:sz w:val="20"/>
                <w:szCs w:val="20"/>
                <w:color w:val="auto"/>
              </w:rPr>
            </w:pPr>
            <w:r>
              <w:rPr>
                <w:rFonts w:ascii="Arial" w:cs="Arial" w:eastAsia="Arial" w:hAnsi="Arial"/>
                <w:sz w:val="14"/>
                <w:szCs w:val="14"/>
                <w:color w:val="auto"/>
              </w:rPr>
              <w:t>Senior Co-Managers:</w:t>
            </w:r>
          </w:p>
        </w:tc>
        <w:tc>
          <w:tcPr>
            <w:tcW w:w="3140" w:type="dxa"/>
            <w:vAlign w:val="bottom"/>
          </w:tcPr>
          <w:p>
            <w:pPr>
              <w:ind w:left="220"/>
              <w:spacing w:after="0"/>
              <w:rPr>
                <w:sz w:val="20"/>
                <w:szCs w:val="20"/>
                <w:color w:val="auto"/>
              </w:rPr>
            </w:pPr>
            <w:r>
              <w:rPr>
                <w:rFonts w:ascii="Arial" w:cs="Arial" w:eastAsia="Arial" w:hAnsi="Arial"/>
                <w:sz w:val="14"/>
                <w:szCs w:val="14"/>
                <w:color w:val="auto"/>
              </w:rPr>
              <w:t>BNP Paribas Securities Corp.</w:t>
            </w:r>
          </w:p>
        </w:tc>
        <w:tc>
          <w:tcPr>
            <w:tcW w:w="3140" w:type="dxa"/>
            <w:vAlign w:val="bottom"/>
          </w:tcPr>
          <w:p>
            <w:pPr>
              <w:ind w:left="140"/>
              <w:spacing w:after="0"/>
              <w:rPr>
                <w:sz w:val="20"/>
                <w:szCs w:val="20"/>
                <w:color w:val="auto"/>
              </w:rPr>
            </w:pPr>
            <w:r>
              <w:rPr>
                <w:rFonts w:ascii="Arial" w:cs="Arial" w:eastAsia="Arial" w:hAnsi="Arial"/>
                <w:sz w:val="14"/>
                <w:szCs w:val="14"/>
                <w:color w:val="auto"/>
              </w:rPr>
              <w:t>BNP Paribas Securities Corp.</w:t>
            </w:r>
          </w:p>
        </w:tc>
        <w:tc>
          <w:tcPr>
            <w:tcW w:w="3000" w:type="dxa"/>
            <w:vAlign w:val="bottom"/>
          </w:tcPr>
          <w:p>
            <w:pPr>
              <w:ind w:left="200"/>
              <w:spacing w:after="0"/>
              <w:rPr>
                <w:sz w:val="20"/>
                <w:szCs w:val="20"/>
                <w:color w:val="auto"/>
              </w:rPr>
            </w:pPr>
            <w:r>
              <w:rPr>
                <w:rFonts w:ascii="Arial" w:cs="Arial" w:eastAsia="Arial" w:hAnsi="Arial"/>
                <w:sz w:val="14"/>
                <w:szCs w:val="14"/>
                <w:color w:val="auto"/>
              </w:rPr>
              <w:t>BNP Paribas Securities Corp.</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Credit Suisse Securities (USA) LLC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Credit Suisse Securities (USA) LLC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Credit Suisse Securities (USA) LLC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Mizuho Securities USA LLC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Mizuho Securities USA LLC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Mizuho Securities USA LLC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MUFG Securities Americas,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MUFG Securities Americas,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MUFG Securities Americas,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SMBC Nikko Securities America,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SMBC Nikko Securities America,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SMBC Nikko Securities America, Inc.</w:t>
            </w:r>
          </w:p>
        </w:tc>
      </w:tr>
      <w:tr>
        <w:trPr>
          <w:trHeight w:val="182"/>
        </w:trPr>
        <w:tc>
          <w:tcPr>
            <w:tcW w:w="1460" w:type="dxa"/>
            <w:vAlign w:val="bottom"/>
          </w:tcPr>
          <w:p>
            <w:pPr>
              <w:spacing w:after="0"/>
              <w:rPr>
                <w:sz w:val="15"/>
                <w:szCs w:val="15"/>
                <w:color w:val="auto"/>
              </w:rPr>
            </w:pPr>
          </w:p>
        </w:tc>
        <w:tc>
          <w:tcPr>
            <w:tcW w:w="3140" w:type="dxa"/>
            <w:vAlign w:val="bottom"/>
          </w:tcPr>
          <w:p>
            <w:pPr>
              <w:ind w:left="220"/>
              <w:spacing w:after="0"/>
              <w:rPr>
                <w:sz w:val="20"/>
                <w:szCs w:val="20"/>
                <w:color w:val="auto"/>
              </w:rPr>
            </w:pPr>
            <w:r>
              <w:rPr>
                <w:rFonts w:ascii="Arial" w:cs="Arial" w:eastAsia="Arial" w:hAnsi="Arial"/>
                <w:sz w:val="14"/>
                <w:szCs w:val="14"/>
                <w:color w:val="auto"/>
              </w:rPr>
              <w:t>U.S. Bancorp Investments, Inc.</w:t>
            </w:r>
          </w:p>
        </w:tc>
        <w:tc>
          <w:tcPr>
            <w:tcW w:w="3140" w:type="dxa"/>
            <w:vAlign w:val="bottom"/>
          </w:tcPr>
          <w:p>
            <w:pPr>
              <w:ind w:left="140"/>
              <w:spacing w:after="0"/>
              <w:rPr>
                <w:sz w:val="20"/>
                <w:szCs w:val="20"/>
                <w:color w:val="auto"/>
              </w:rPr>
            </w:pPr>
            <w:r>
              <w:rPr>
                <w:rFonts w:ascii="Arial" w:cs="Arial" w:eastAsia="Arial" w:hAnsi="Arial"/>
                <w:sz w:val="14"/>
                <w:szCs w:val="14"/>
                <w:color w:val="auto"/>
              </w:rPr>
              <w:t>U.S. Bancorp Investments, Inc.</w:t>
            </w:r>
          </w:p>
        </w:tc>
        <w:tc>
          <w:tcPr>
            <w:tcW w:w="3000" w:type="dxa"/>
            <w:vAlign w:val="bottom"/>
          </w:tcPr>
          <w:p>
            <w:pPr>
              <w:ind w:left="200"/>
              <w:spacing w:after="0"/>
              <w:rPr>
                <w:sz w:val="20"/>
                <w:szCs w:val="20"/>
                <w:color w:val="auto"/>
              </w:rPr>
            </w:pPr>
            <w:r>
              <w:rPr>
                <w:rFonts w:ascii="Arial" w:cs="Arial" w:eastAsia="Arial" w:hAnsi="Arial"/>
                <w:sz w:val="14"/>
                <w:szCs w:val="14"/>
                <w:color w:val="auto"/>
              </w:rPr>
              <w:t>U.S. Bancorp Investments, Inc.</w:t>
            </w:r>
          </w:p>
        </w:tc>
      </w:tr>
      <w:tr>
        <w:trPr>
          <w:trHeight w:val="331"/>
        </w:trPr>
        <w:tc>
          <w:tcPr>
            <w:tcW w:w="1460" w:type="dxa"/>
            <w:vAlign w:val="bottom"/>
          </w:tcPr>
          <w:p>
            <w:pPr>
              <w:spacing w:after="0"/>
              <w:rPr>
                <w:sz w:val="20"/>
                <w:szCs w:val="20"/>
                <w:color w:val="auto"/>
              </w:rPr>
            </w:pPr>
            <w:r>
              <w:rPr>
                <w:rFonts w:ascii="Arial" w:cs="Arial" w:eastAsia="Arial" w:hAnsi="Arial"/>
                <w:sz w:val="14"/>
                <w:szCs w:val="14"/>
                <w:color w:val="auto"/>
              </w:rPr>
              <w:t>Co-Managers:</w:t>
            </w:r>
          </w:p>
        </w:tc>
        <w:tc>
          <w:tcPr>
            <w:tcW w:w="3140" w:type="dxa"/>
            <w:vAlign w:val="bottom"/>
          </w:tcPr>
          <w:p>
            <w:pPr>
              <w:ind w:left="220"/>
              <w:spacing w:after="0"/>
              <w:rPr>
                <w:sz w:val="20"/>
                <w:szCs w:val="20"/>
                <w:color w:val="auto"/>
              </w:rPr>
            </w:pPr>
            <w:r>
              <w:rPr>
                <w:rFonts w:ascii="Arial" w:cs="Arial" w:eastAsia="Arial" w:hAnsi="Arial"/>
                <w:sz w:val="14"/>
                <w:szCs w:val="14"/>
                <w:color w:val="auto"/>
              </w:rPr>
              <w:t>Academy Securities, Inc.</w:t>
            </w:r>
          </w:p>
        </w:tc>
        <w:tc>
          <w:tcPr>
            <w:tcW w:w="3140" w:type="dxa"/>
            <w:vAlign w:val="bottom"/>
          </w:tcPr>
          <w:p>
            <w:pPr>
              <w:ind w:left="140"/>
              <w:spacing w:after="0"/>
              <w:rPr>
                <w:sz w:val="20"/>
                <w:szCs w:val="20"/>
                <w:color w:val="auto"/>
              </w:rPr>
            </w:pPr>
            <w:r>
              <w:rPr>
                <w:rFonts w:ascii="Arial" w:cs="Arial" w:eastAsia="Arial" w:hAnsi="Arial"/>
                <w:sz w:val="14"/>
                <w:szCs w:val="14"/>
                <w:color w:val="auto"/>
              </w:rPr>
              <w:t>Academy Securities, Inc.</w:t>
            </w:r>
          </w:p>
        </w:tc>
        <w:tc>
          <w:tcPr>
            <w:tcW w:w="3000" w:type="dxa"/>
            <w:vAlign w:val="bottom"/>
          </w:tcPr>
          <w:p>
            <w:pPr>
              <w:ind w:left="200"/>
              <w:spacing w:after="0"/>
              <w:rPr>
                <w:sz w:val="20"/>
                <w:szCs w:val="20"/>
                <w:color w:val="auto"/>
              </w:rPr>
            </w:pPr>
            <w:r>
              <w:rPr>
                <w:rFonts w:ascii="Arial" w:cs="Arial" w:eastAsia="Arial" w:hAnsi="Arial"/>
                <w:sz w:val="14"/>
                <w:szCs w:val="14"/>
                <w:color w:val="auto"/>
              </w:rPr>
              <w:t>Academy Securities,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ANZ Securities,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ANZ Securities,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ANZ Securities,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BNY Mellon Capital Markets, LLC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BNY Mellon Capital Markets, LLC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BNY Mellon Capital Markets, LLC</w:t>
            </w:r>
          </w:p>
        </w:tc>
      </w:tr>
      <w:tr>
        <w:trPr>
          <w:trHeight w:val="149"/>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Scotia Capital (USA)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Scotia Capital (USA)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Scotia Capital (USA) Inc.</w:t>
            </w:r>
          </w:p>
        </w:tc>
      </w:tr>
      <w:tr>
        <w:trPr>
          <w:trHeight w:val="148"/>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UniCredit Capital Markets LLC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UniCredit Capital Markets LLC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UniCredit Capital Markets LLC</w:t>
            </w:r>
          </w:p>
        </w:tc>
      </w:tr>
      <w:tr>
        <w:trPr>
          <w:trHeight w:val="149"/>
        </w:trPr>
        <w:tc>
          <w:tcPr>
            <w:tcW w:w="1460" w:type="dxa"/>
            <w:vAlign w:val="bottom"/>
          </w:tcPr>
          <w:p>
            <w:pPr>
              <w:spacing w:after="0"/>
              <w:rPr>
                <w:sz w:val="12"/>
                <w:szCs w:val="12"/>
                <w:color w:val="auto"/>
              </w:rPr>
            </w:pPr>
          </w:p>
        </w:tc>
        <w:tc>
          <w:tcPr>
            <w:tcW w:w="3140" w:type="dxa"/>
            <w:vAlign w:val="bottom"/>
          </w:tcPr>
          <w:p>
            <w:pPr>
              <w:ind w:left="220"/>
              <w:spacing w:after="0" w:line="149" w:lineRule="exact"/>
              <w:rPr>
                <w:sz w:val="20"/>
                <w:szCs w:val="20"/>
                <w:color w:val="auto"/>
              </w:rPr>
            </w:pPr>
            <w:r>
              <w:rPr>
                <w:rFonts w:ascii="Arial" w:cs="Arial" w:eastAsia="Arial" w:hAnsi="Arial"/>
                <w:sz w:val="14"/>
                <w:szCs w:val="14"/>
                <w:color w:val="auto"/>
              </w:rPr>
              <w:t>Mischler Financial Group, Inc.</w:t>
            </w: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Mischler Financial Group, Inc.</w:t>
            </w: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Mischler Financial Group, Inc.</w:t>
            </w:r>
          </w:p>
        </w:tc>
      </w:tr>
      <w:tr>
        <w:trPr>
          <w:trHeight w:val="182"/>
        </w:trPr>
        <w:tc>
          <w:tcPr>
            <w:tcW w:w="1460" w:type="dxa"/>
            <w:vAlign w:val="bottom"/>
          </w:tcPr>
          <w:p>
            <w:pPr>
              <w:spacing w:after="0"/>
              <w:rPr>
                <w:sz w:val="15"/>
                <w:szCs w:val="15"/>
                <w:color w:val="auto"/>
              </w:rPr>
            </w:pPr>
          </w:p>
        </w:tc>
        <w:tc>
          <w:tcPr>
            <w:tcW w:w="3140" w:type="dxa"/>
            <w:vAlign w:val="bottom"/>
          </w:tcPr>
          <w:p>
            <w:pPr>
              <w:ind w:left="220"/>
              <w:spacing w:after="0"/>
              <w:rPr>
                <w:sz w:val="20"/>
                <w:szCs w:val="20"/>
                <w:color w:val="auto"/>
              </w:rPr>
            </w:pPr>
            <w:r>
              <w:rPr>
                <w:rFonts w:ascii="Arial" w:cs="Arial" w:eastAsia="Arial" w:hAnsi="Arial"/>
                <w:sz w:val="14"/>
                <w:szCs w:val="14"/>
                <w:color w:val="auto"/>
              </w:rPr>
              <w:t>Siebert Williams Shank &amp; Co., LLC</w:t>
            </w:r>
          </w:p>
        </w:tc>
        <w:tc>
          <w:tcPr>
            <w:tcW w:w="3140" w:type="dxa"/>
            <w:vAlign w:val="bottom"/>
          </w:tcPr>
          <w:p>
            <w:pPr>
              <w:ind w:left="140"/>
              <w:spacing w:after="0"/>
              <w:rPr>
                <w:sz w:val="20"/>
                <w:szCs w:val="20"/>
                <w:color w:val="auto"/>
              </w:rPr>
            </w:pPr>
            <w:r>
              <w:rPr>
                <w:rFonts w:ascii="Arial" w:cs="Arial" w:eastAsia="Arial" w:hAnsi="Arial"/>
                <w:sz w:val="14"/>
                <w:szCs w:val="14"/>
                <w:color w:val="auto"/>
              </w:rPr>
              <w:t>Siebert Williams Shank &amp; Co., LLC</w:t>
            </w:r>
          </w:p>
        </w:tc>
        <w:tc>
          <w:tcPr>
            <w:tcW w:w="3000" w:type="dxa"/>
            <w:vAlign w:val="bottom"/>
          </w:tcPr>
          <w:p>
            <w:pPr>
              <w:ind w:left="200"/>
              <w:spacing w:after="0"/>
              <w:rPr>
                <w:sz w:val="20"/>
                <w:szCs w:val="20"/>
                <w:color w:val="auto"/>
              </w:rPr>
            </w:pPr>
            <w:r>
              <w:rPr>
                <w:rFonts w:ascii="Arial" w:cs="Arial" w:eastAsia="Arial" w:hAnsi="Arial"/>
                <w:sz w:val="14"/>
                <w:szCs w:val="14"/>
                <w:color w:val="auto"/>
              </w:rPr>
              <w:t>Siebert Williams Shank &amp; Co., LLC</w:t>
            </w:r>
          </w:p>
        </w:tc>
      </w:tr>
    </w:tbl>
    <w:p>
      <w:pPr>
        <w:spacing w:after="0" w:line="209" w:lineRule="exact"/>
        <w:rPr>
          <w:sz w:val="20"/>
          <w:szCs w:val="20"/>
          <w:color w:val="auto"/>
        </w:rPr>
      </w:pPr>
    </w:p>
    <w:p>
      <w:pPr>
        <w:ind w:left="424" w:right="20" w:hanging="424"/>
        <w:spacing w:after="0" w:line="238" w:lineRule="auto"/>
        <w:tabs>
          <w:tab w:leader="none" w:pos="424" w:val="left"/>
        </w:tabs>
        <w:numPr>
          <w:ilvl w:val="0"/>
          <w:numId w:val="3"/>
        </w:numPr>
        <w:rPr>
          <w:rFonts w:ascii="Arial" w:cs="Arial" w:eastAsia="Arial" w:hAnsi="Arial"/>
          <w:sz w:val="12"/>
          <w:szCs w:val="12"/>
          <w:color w:val="auto"/>
        </w:rPr>
      </w:pPr>
      <w:r>
        <w:rPr>
          <w:rFonts w:ascii="Arial" w:cs="Arial" w:eastAsia="Arial" w:hAnsi="Arial"/>
          <w:sz w:val="14"/>
          <w:szCs w:val="14"/>
          <w:color w:val="auto"/>
        </w:rPr>
        <w:t>A securities rating is not a recommendation to buy, sell or hold securities and may be subject to revision or withdrawal at any time. An explanation of the significance of ratings may be obtained from the ratings agencies. Generally, ratings agencies base their ratings on such material and information, and such of their own investigations, studies and assumptions, as they deem appropriate. Each of the expected security ratings above should be evaluated independently of any other security rating.</w:t>
      </w:r>
    </w:p>
    <w:p>
      <w:pPr>
        <w:spacing w:after="0" w:line="209" w:lineRule="exact"/>
        <w:rPr>
          <w:rFonts w:ascii="Arial" w:cs="Arial" w:eastAsia="Arial" w:hAnsi="Arial"/>
          <w:sz w:val="12"/>
          <w:szCs w:val="12"/>
          <w:color w:val="auto"/>
        </w:rPr>
      </w:pPr>
    </w:p>
    <w:p>
      <w:pPr>
        <w:ind w:left="424" w:hanging="424"/>
        <w:spacing w:after="0"/>
        <w:tabs>
          <w:tab w:leader="none" w:pos="424" w:val="left"/>
        </w:tabs>
        <w:numPr>
          <w:ilvl w:val="0"/>
          <w:numId w:val="3"/>
        </w:numPr>
        <w:rPr>
          <w:rFonts w:ascii="Arial" w:cs="Arial" w:eastAsia="Arial" w:hAnsi="Arial"/>
          <w:sz w:val="12"/>
          <w:szCs w:val="12"/>
          <w:color w:val="auto"/>
        </w:rPr>
      </w:pPr>
      <w:r>
        <w:rPr>
          <w:rFonts w:ascii="Arial" w:cs="Arial" w:eastAsia="Arial" w:hAnsi="Arial"/>
          <w:sz w:val="14"/>
          <w:szCs w:val="14"/>
          <w:color w:val="auto"/>
        </w:rPr>
        <w:t>Plus accrued interest, if any, from March 23, 2020.</w:t>
      </w:r>
    </w:p>
    <w:p>
      <w:pPr>
        <w:spacing w:after="0" w:line="200" w:lineRule="exact"/>
        <w:rPr>
          <w:sz w:val="20"/>
          <w:szCs w:val="20"/>
          <w:color w:val="auto"/>
        </w:rPr>
      </w:pPr>
    </w:p>
    <w:p>
      <w:pPr>
        <w:spacing w:after="0" w:line="22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Changes from the Preliminary Prospectus Supplement</w:t>
      </w:r>
    </w:p>
    <w:p>
      <w:pPr>
        <w:spacing w:after="0" w:line="229" w:lineRule="exact"/>
        <w:rPr>
          <w:sz w:val="20"/>
          <w:szCs w:val="20"/>
          <w:color w:val="auto"/>
        </w:rPr>
      </w:pPr>
    </w:p>
    <w:p>
      <w:pPr>
        <w:ind w:left="4" w:right="480" w:firstLine="440"/>
        <w:spacing w:after="0" w:line="342" w:lineRule="auto"/>
        <w:rPr>
          <w:sz w:val="20"/>
          <w:szCs w:val="20"/>
          <w:color w:val="auto"/>
        </w:rPr>
      </w:pPr>
      <w:r>
        <w:rPr>
          <w:rFonts w:ascii="Arial" w:cs="Arial" w:eastAsia="Arial" w:hAnsi="Arial"/>
          <w:sz w:val="16"/>
          <w:szCs w:val="16"/>
          <w:color w:val="auto"/>
        </w:rPr>
        <w:t>The number of series of notes to be issued in the offering increased from two to three, consisting of 4.400% Senior Notes due 2030, 5.150% Senior Notes due 2040 and 5.250% Senior Notes due 2050. The information in the preliminary prospectus supplement (including, but not</w:t>
      </w:r>
    </w:p>
    <w:p>
      <w:pPr>
        <w:sectPr>
          <w:pgSz w:w="11900" w:h="16838" w:orient="portrait"/>
          <w:cols w:equalWidth="0" w:num="1">
            <w:col w:w="11004"/>
          </w:cols>
          <w:pgMar w:left="436" w:top="269" w:right="459" w:bottom="1440" w:gutter="0" w:footer="0" w:header="0"/>
          <w:type w:val="continuous"/>
        </w:sectPr>
      </w:pPr>
    </w:p>
    <w:bookmarkStart w:id="2" w:name="page3"/>
    <w:bookmarkEnd w:id="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limited to, the information in the sections entitled “Summary,” “Capitalization” and “Description of notes”) is deemed to have changed to the extent affected by the additional series of notes.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Arial" w:cs="Arial" w:eastAsia="Arial" w:hAnsi="Arial"/>
          <w:sz w:val="18"/>
          <w:szCs w:val="18"/>
          <w:i w:val="1"/>
          <w:iCs w:val="1"/>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one of the numbers listed below:</w:t>
      </w:r>
    </w:p>
    <w:p>
      <w:pPr>
        <w:sectPr>
          <w:pgSz w:w="11900" w:h="16838" w:orient="portrait"/>
          <w:cols w:equalWidth="0" w:num="1">
            <w:col w:w="10800"/>
          </w:cols>
          <w:pgMar w:left="440" w:top="274" w:right="659" w:bottom="1440" w:gutter="0" w:footer="0" w:header="0"/>
        </w:sectPr>
      </w:pPr>
    </w:p>
    <w:p>
      <w:pPr>
        <w:spacing w:after="0" w:line="21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1-212-834-4533 (collect)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1-800-294-1322 (toll-free)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1-800-831-9146 (toll-free)</w:t>
      </w:r>
    </w:p>
    <w:p>
      <w:pPr>
        <w:spacing w:after="0" w:line="200" w:lineRule="exact"/>
        <w:rPr>
          <w:sz w:val="20"/>
          <w:szCs w:val="20"/>
          <w:color w:val="auto"/>
        </w:rPr>
      </w:pPr>
    </w:p>
    <w:p>
      <w:pPr>
        <w:sectPr>
          <w:pgSz w:w="11900" w:h="16838" w:orient="portrait"/>
          <w:cols w:equalWidth="0" w:num="3">
            <w:col w:w="3940" w:space="720"/>
            <w:col w:w="2780" w:space="720"/>
            <w:col w:w="2640"/>
          </w:cols>
          <w:pgMar w:left="440" w:top="274" w:right="659" w:bottom="1440" w:gutter="0" w:footer="0" w:header="0"/>
          <w:type w:val="continuous"/>
        </w:sectPr>
      </w:pPr>
    </w:p>
    <w:p>
      <w:pPr>
        <w:spacing w:after="0" w:line="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800"/>
      </w:cols>
      <w:pgMar w:left="440" w:top="27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54"/>
    </w:lvl>
  </w:abstractNum>
  <w:abstractNum w:abstractNumId="1">
    <w:nsid w:val="74B0DC51"/>
    <w:multiLevelType w:val="hybridMultilevel"/>
    <w:lvl w:ilvl="0">
      <w:lvlJc w:val="left"/>
      <w:lvlText w:val="%1"/>
      <w:numFmt w:val="upperLetter"/>
      <w:start w:val="5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2020-03-20T05:10:40Z</dcterms:created>
  <dcterms:modified xsi:type="dcterms:W3CDTF">2020-03-20T05:10:40Z</dcterms:modified>
</cp:coreProperties>
</file>