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27940</wp:posOffset>
            </wp:positionV>
            <wp:extent cx="2940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4005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-220345</wp:posOffset>
            </wp:positionV>
            <wp:extent cx="29400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line="21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51435</wp:posOffset>
            </wp:positionV>
            <wp:extent cx="2940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NORTHROP GRUMMAN CORPORATION</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71120</wp:posOffset>
            </wp:positionV>
            <wp:extent cx="2922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b w:val="1"/>
          <w:bCs w:val="1"/>
          <w:color w:val="auto"/>
        </w:rPr>
        <w:t>1-16411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80-0640649</w:t>
      </w:r>
    </w:p>
    <w:p>
      <w:pPr>
        <w:spacing w:after="0" w:line="43" w:lineRule="exact"/>
        <w:rPr>
          <w:sz w:val="24"/>
          <w:szCs w:val="24"/>
          <w:color w:val="auto"/>
        </w:rPr>
      </w:pPr>
    </w:p>
    <w:p>
      <w:pPr>
        <w:sectPr>
          <w:pgSz w:w="11900" w:h="16838" w:orient="portrait"/>
          <w:cols w:equalWidth="0" w:num="3">
            <w:col w:w="4560" w:space="720"/>
            <w:col w:w="3020" w:space="720"/>
            <w:col w:w="2220"/>
          </w:cols>
          <w:pgMar w:left="320" w:top="1029" w:right="339" w:bottom="1440" w:gutter="0" w:footer="0" w:header="0"/>
          <w:type w:val="continuous"/>
        </w:sect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020" w:space="720"/>
            <w:col w:w="3280" w:space="720"/>
            <w:col w:w="2500"/>
          </w:cols>
          <w:pgMar w:left="320" w:top="1029" w:right="339" w:bottom="1440" w:gutter="0" w:footer="0" w:header="0"/>
          <w:type w:val="continuous"/>
        </w:sectPr>
      </w:pPr>
    </w:p>
    <w:p>
      <w:pPr>
        <w:spacing w:after="0" w:line="20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2980 Fairview Park Drive, Falls Church, VA 22042</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offices)(Zip Code)</w:t>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(703) 280-2900</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029" w:right="339" w:bottom="1440" w:gutter="0" w:footer="0" w:header="0"/>
          <w:type w:val="continuous"/>
        </w:sectPr>
      </w:pPr>
    </w:p>
    <w:p>
      <w:pPr>
        <w:spacing w:after="0" w:line="291"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30" w:type="dxa"/>
        <w:tblCellMar>
          <w:top w:w="0" w:type="dxa"/>
          <w:left w:w="0" w:type="dxa"/>
          <w:bottom w:w="0" w:type="dxa"/>
          <w:right w:w="0" w:type="dxa"/>
        </w:tblCellMar>
      </w:tblPr>
      <w:tr>
        <w:trPr>
          <w:trHeight w:val="243"/>
        </w:trPr>
        <w:tc>
          <w:tcPr>
            <w:tcW w:w="40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30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41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3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NOC</w:t>
            </w:r>
          </w:p>
        </w:tc>
        <w:tc>
          <w:tcPr>
            <w:tcW w:w="4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200" w:lineRule="exact"/>
        <w:rPr>
          <w:sz w:val="24"/>
          <w:szCs w:val="24"/>
          <w:color w:val="auto"/>
        </w:rPr>
      </w:pPr>
    </w:p>
    <w:p>
      <w:pPr>
        <w:spacing w:after="0" w:line="36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jc w:val="center"/>
        <w:ind w:right="-179"/>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80" w:lineRule="exact"/>
        <w:rPr>
          <w:sz w:val="20"/>
          <w:szCs w:val="20"/>
          <w:color w:val="auto"/>
        </w:rPr>
      </w:pPr>
    </w:p>
    <w:p>
      <w:pPr>
        <w:ind w:right="460" w:firstLine="8"/>
        <w:spacing w:after="0" w:line="266"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2026, the Board of Directors (the "Board") of Northrop Grumman Corporation (the "Company") elected Admiral Christopher W. Grady to the Board effective that date.</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Admiral Grady most recently served as the 12th Vice Chairman of the Joint Chiefs of Staff, the United States' second highest-ranking military officer, from December 2021 until his retirement from active duty at the end of October 2025. He served on active duty in the U.S. Navy for over 40 years in various positions.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appointed Admiral Grady to the Audit and Risk Committee and the Policy Committee.</w:t>
      </w:r>
    </w:p>
    <w:p>
      <w:pPr>
        <w:spacing w:after="0" w:line="25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Admiral Grady is entitled to receive an annual cash retainer of $145,000 per year as well as an additional $15,000 retainer for serving on the Audit and Risk Committee. In addition, Admiral Grady will receive an annual equity grant of $182,500 in deferred stock units to be paid out at the conclusion of his Board service, or earlier, as specified by Admiral Grady. Admiral Grady's retainer fees and equity grant will be prorated for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12, 2026, the Board also approved an increase in the size of the Board from 12 members to 13 members.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the election of Admiral Grady is attached hereto as Exhibit 99.1 and is incorporated herein by reference.</w:t>
      </w:r>
    </w:p>
    <w:p>
      <w:pPr>
        <w:spacing w:after="0" w:line="23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February 11, 2026, the Board designated James S. Turley as the Lead Independent Director effective May 20, 2026. Mr. Turley will succeed Madeleine A. Kleiner who is retiring from the Board at the 2026 Annual Meeting of Shareholders since she will have attained the Board's retirement age.</w:t>
      </w:r>
    </w:p>
    <w:p>
      <w:pPr>
        <w:spacing w:after="0" w:line="175" w:lineRule="exact"/>
        <w:rPr>
          <w:sz w:val="20"/>
          <w:szCs w:val="20"/>
          <w:color w:val="auto"/>
        </w:rPr>
      </w:pPr>
    </w:p>
    <w:p>
      <w:pPr>
        <w:ind w:right="280" w:firstLine="8"/>
        <w:spacing w:after="0" w:line="266" w:lineRule="auto"/>
        <w:tabs>
          <w:tab w:leader="none" w:pos="2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11, 2026, the Compensation and Human Capital Committee and the Board approved the following compensation-related actions for the Company's named executive officers.</w:t>
      </w:r>
    </w:p>
    <w:p>
      <w:pPr>
        <w:spacing w:after="0" w:line="202" w:lineRule="exact"/>
        <w:rPr>
          <w:rFonts w:ascii="Times New Roman" w:cs="Times New Roman" w:eastAsia="Times New Roman" w:hAnsi="Times New Roman"/>
          <w:sz w:val="18"/>
          <w:szCs w:val="18"/>
          <w:color w:val="auto"/>
        </w:rPr>
      </w:pPr>
    </w:p>
    <w:p>
      <w:pPr>
        <w:ind w:left="660" w:right="60" w:hanging="328"/>
        <w:spacing w:after="0" w:line="246"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2026 goals under the 2006 Annual Incentive Plan and Incentive Compensation Plan, as amended and restated effective January 1, 2024 (the "ICP"). The financial metrics selected for inclusion in the ICP* (and their relative weightings) are as follows: cash flow from operations before discretionary pension funding (20%); segment operating income** (25%); sales (25%); and strategic performance metrics (30%). The strategic performance metrics in the ICP are: (1) Quality, (2) Customer Satisfaction, (3) On-Time Delivery, (4) Scaling/Production Capacity, (5) Belonging and (6) Sustainability.</w:t>
      </w:r>
    </w:p>
    <w:p>
      <w:pPr>
        <w:spacing w:after="0" w:line="208" w:lineRule="exact"/>
        <w:rPr>
          <w:rFonts w:ascii="Times New Roman" w:cs="Times New Roman" w:eastAsia="Times New Roman" w:hAnsi="Times New Roman"/>
          <w:sz w:val="18"/>
          <w:szCs w:val="18"/>
          <w:color w:val="auto"/>
        </w:rPr>
      </w:pPr>
    </w:p>
    <w:p>
      <w:pPr>
        <w:ind w:left="660" w:right="80" w:hanging="328"/>
        <w:spacing w:after="0" w:line="262" w:lineRule="auto"/>
        <w:tabs>
          <w:tab w:leader="none" w:pos="655"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Awarded Restricted Performance Stock Rights ("RPSR") for the performance period 2026-2028 and approved the metrics for such RPSR awards (and their relative weightings), which will be measured in terms of cumulative free cash flow** (1/3); return on invested capital** (1/3); and relative total shareholder return specifically related to the S&amp;P 500 (1/3). Awarded Restricted Stock Rights ("RSR") that will vest on February 12, 2029. Similar to prior years, the Compensation and Human Capital Committee did not award any stock options. There are no material changes</w:t>
      </w:r>
    </w:p>
    <w:p>
      <w:pPr>
        <w:ind w:left="660"/>
        <w:spacing w:after="0" w:line="238" w:lineRule="auto"/>
        <w:rPr>
          <w:sz w:val="20"/>
          <w:szCs w:val="20"/>
          <w:color w:val="auto"/>
        </w:rPr>
      </w:pPr>
      <w:r>
        <w:rPr>
          <w:rFonts w:ascii="Times New Roman" w:cs="Times New Roman" w:eastAsia="Times New Roman" w:hAnsi="Times New Roman"/>
          <w:sz w:val="18"/>
          <w:szCs w:val="18"/>
          <w:color w:val="auto"/>
        </w:rPr>
        <w:t>from 2025 in the terms of the 2026 RPSR and RSR awards for the named executive officers.</w:t>
      </w:r>
    </w:p>
    <w:p>
      <w:pPr>
        <w:spacing w:after="0" w:line="235" w:lineRule="auto"/>
        <w:rPr>
          <w:sz w:val="20"/>
          <w:szCs w:val="20"/>
          <w:color w:val="auto"/>
        </w:rPr>
      </w:pPr>
      <w:r>
        <w:rPr>
          <w:rFonts w:ascii="Times New Roman" w:cs="Times New Roman" w:eastAsia="Times New Roman" w:hAnsi="Times New Roman"/>
          <w:sz w:val="18"/>
          <w:szCs w:val="18"/>
          <w:color w:val="auto"/>
        </w:rPr>
        <w:t>________________</w:t>
      </w:r>
    </w:p>
    <w:p>
      <w:pPr>
        <w:ind w:right="560" w:firstLine="8"/>
        <w:spacing w:after="0" w:line="234"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net pension, purchased intangible amortization, certain other acquisition and divestiture-related items, government contracting policy reform, other non-operational and/or non-recurring significant items, where approved by the Compensation and Human Capital Committee.</w:t>
      </w:r>
    </w:p>
    <w:p>
      <w:pPr>
        <w:spacing w:after="0" w:line="1" w:lineRule="exact"/>
        <w:rPr>
          <w:rFonts w:ascii="Times New Roman" w:cs="Times New Roman" w:eastAsia="Times New Roman" w:hAnsi="Times New Roman"/>
          <w:sz w:val="18"/>
          <w:szCs w:val="18"/>
          <w:color w:val="auto"/>
        </w:rPr>
      </w:pPr>
    </w:p>
    <w:p>
      <w:pPr>
        <w:ind w:right="60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 segment operating income, cumulative free cash flow and return on invested capital, results for a restricted program will be favorably and/or unfavorably capped within a specific range aligned with plan expectations.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5" w:lineRule="exact"/>
        <w:rPr>
          <w:sz w:val="20"/>
          <w:szCs w:val="20"/>
          <w:color w:val="auto"/>
        </w:rPr>
      </w:pPr>
    </w:p>
    <w:p>
      <w:pPr>
        <w:ind w:left="800" w:hanging="774"/>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420" w:type="dxa"/>
            <w:vAlign w:val="bottom"/>
          </w:tcPr>
          <w:p>
            <w:pPr>
              <w:spacing w:after="0"/>
              <w:rPr>
                <w:sz w:val="18"/>
                <w:szCs w:val="18"/>
                <w:color w:val="auto"/>
              </w:rPr>
            </w:pPr>
          </w:p>
        </w:tc>
        <w:tc>
          <w:tcPr>
            <w:tcW w:w="9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0"/>
        </w:trPr>
        <w:tc>
          <w:tcPr>
            <w:tcW w:w="1640" w:type="dxa"/>
            <w:vAlign w:val="bottom"/>
            <w:gridSpan w:val="2"/>
          </w:tcPr>
          <w:p>
            <w:pPr>
              <w:ind w:left="80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18"/>
                <w:szCs w:val="18"/>
                <w:color w:val="auto"/>
              </w:rPr>
            </w:pPr>
          </w:p>
        </w:tc>
        <w:tc>
          <w:tcPr>
            <w:tcW w:w="77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("Christopher Grady Joins Northrop Grumman Board of Directors") dated February 13, 2026</w:t>
            </w:r>
          </w:p>
        </w:tc>
        <w:tc>
          <w:tcPr>
            <w:tcW w:w="1440" w:type="dxa"/>
            <w:vAlign w:val="bottom"/>
          </w:tcPr>
          <w:p>
            <w:pPr>
              <w:spacing w:after="0"/>
              <w:rPr>
                <w:sz w:val="18"/>
                <w:szCs w:val="18"/>
                <w:color w:val="auto"/>
              </w:rPr>
            </w:pPr>
          </w:p>
        </w:tc>
      </w:tr>
      <w:tr>
        <w:trPr>
          <w:trHeight w:val="277"/>
        </w:trPr>
        <w:tc>
          <w:tcPr>
            <w:tcW w:w="16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9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38"/>
        </w:trPr>
        <w:tc>
          <w:tcPr>
            <w:tcW w:w="8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2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C. McGarey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163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(Signature)</w:t>
      </w:r>
    </w:p>
    <w:p>
      <w:pPr>
        <w:ind w:left="6320"/>
        <w:spacing w:after="0" w:line="203" w:lineRule="auto"/>
        <w:rPr>
          <w:sz w:val="20"/>
          <w:szCs w:val="20"/>
          <w:color w:val="auto"/>
        </w:rPr>
      </w:pPr>
      <w:r>
        <w:rPr>
          <w:rFonts w:ascii="Times New Roman" w:cs="Times New Roman" w:eastAsia="Times New Roman" w:hAnsi="Times New Roman"/>
          <w:sz w:val="18"/>
          <w:szCs w:val="18"/>
          <w:color w:val="auto"/>
        </w:rPr>
        <w:t>Jennifer C. McGarey</w:t>
      </w:r>
    </w:p>
    <w:p>
      <w:pPr>
        <w:ind w:left="6320"/>
        <w:spacing w:after="0"/>
        <w:rPr>
          <w:sz w:val="20"/>
          <w:szCs w:val="20"/>
          <w:color w:val="auto"/>
        </w:rPr>
      </w:pPr>
      <w:r>
        <w:rPr>
          <w:rFonts w:ascii="Times New Roman" w:cs="Times New Roman" w:eastAsia="Times New Roman" w:hAnsi="Times New Roman"/>
          <w:sz w:val="18"/>
          <w:szCs w:val="18"/>
          <w:color w:val="auto"/>
        </w:rPr>
        <w:t>Corporate Vice President and Secretary</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2026</w:t>
      </w:r>
    </w:p>
    <w:p>
      <w:pPr>
        <w:sectPr>
          <w:pgSz w:w="11900" w:h="16838" w:orient="portrait"/>
          <w:cols w:equalWidth="0" w:num="1">
            <w:col w:w="11200"/>
          </w:cols>
          <w:pgMar w:left="320" w:top="92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226060</wp:posOffset>
            </wp:positionV>
            <wp:extent cx="1800225"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022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31"/>
          <w:szCs w:val="31"/>
          <w:b w:val="1"/>
          <w:bCs w:val="1"/>
          <w:color w:val="auto"/>
        </w:rPr>
        <w:t>News Release</w:t>
      </w:r>
    </w:p>
    <w:p>
      <w:pPr>
        <w:spacing w:after="0" w:line="277" w:lineRule="exact"/>
        <w:rPr>
          <w:sz w:val="20"/>
          <w:szCs w:val="20"/>
          <w:color w:val="auto"/>
        </w:rPr>
      </w:pPr>
    </w:p>
    <w:p>
      <w:pPr>
        <w:ind w:left="6160"/>
        <w:spacing w:after="0"/>
        <w:tabs>
          <w:tab w:leader="none" w:pos="7420" w:val="left"/>
        </w:tabs>
        <w:rPr>
          <w:sz w:val="20"/>
          <w:szCs w:val="20"/>
          <w:color w:val="auto"/>
        </w:rPr>
      </w:pPr>
      <w:r>
        <w:rPr>
          <w:rFonts w:ascii="Arial" w:cs="Arial" w:eastAsia="Arial" w:hAnsi="Arial"/>
          <w:sz w:val="22"/>
          <w:szCs w:val="22"/>
          <w:color w:val="auto"/>
        </w:rPr>
        <w:t>Contact:</w:t>
      </w:r>
      <w:r>
        <w:rPr>
          <w:sz w:val="20"/>
          <w:szCs w:val="20"/>
          <w:color w:val="auto"/>
        </w:rPr>
        <w:tab/>
      </w:r>
      <w:r>
        <w:rPr>
          <w:rFonts w:ascii="Arial" w:cs="Arial" w:eastAsia="Arial" w:hAnsi="Arial"/>
          <w:sz w:val="22"/>
          <w:szCs w:val="22"/>
          <w:color w:val="auto"/>
        </w:rPr>
        <w:t>News Bureau</w:t>
      </w:r>
    </w:p>
    <w:p>
      <w:pPr>
        <w:spacing w:after="0" w:line="31" w:lineRule="exact"/>
        <w:rPr>
          <w:sz w:val="20"/>
          <w:szCs w:val="20"/>
          <w:color w:val="auto"/>
        </w:rPr>
      </w:pPr>
    </w:p>
    <w:p>
      <w:pPr>
        <w:ind w:left="7440"/>
        <w:spacing w:after="0"/>
        <w:rPr>
          <w:sz w:val="20"/>
          <w:szCs w:val="20"/>
          <w:color w:val="auto"/>
        </w:rPr>
      </w:pPr>
      <w:r>
        <w:rPr>
          <w:rFonts w:ascii="Arial" w:cs="Arial" w:eastAsia="Arial" w:hAnsi="Arial"/>
          <w:sz w:val="22"/>
          <w:szCs w:val="22"/>
          <w:u w:val="single" w:color="auto"/>
          <w:color w:val="auto"/>
        </w:rPr>
        <w:t>newsbureau@ngc.com</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Christopher Grady Joins Northrop Grumman Board of Directors</w:t>
      </w:r>
    </w:p>
    <w:p>
      <w:pPr>
        <w:spacing w:after="0" w:line="251" w:lineRule="exact"/>
        <w:rPr>
          <w:sz w:val="20"/>
          <w:szCs w:val="20"/>
          <w:color w:val="auto"/>
        </w:rPr>
      </w:pPr>
    </w:p>
    <w:p>
      <w:pPr>
        <w:ind w:right="180" w:firstLine="648"/>
        <w:spacing w:after="0" w:line="259" w:lineRule="auto"/>
        <w:rPr>
          <w:sz w:val="20"/>
          <w:szCs w:val="20"/>
          <w:color w:val="auto"/>
        </w:rPr>
      </w:pPr>
      <w:r>
        <w:rPr>
          <w:rFonts w:ascii="Arial" w:cs="Arial" w:eastAsia="Arial" w:hAnsi="Arial"/>
          <w:sz w:val="22"/>
          <w:szCs w:val="22"/>
          <w:color w:val="auto"/>
        </w:rPr>
        <w:t>FALLS CHURCH, Va. – Feb. 13, 2026 – Northrop Grumman (NYSE: NOC) announced it has elected Admiral Christopher Grady, former vice chairman of the Joint Chiefs of Staff, to its board of directors.</w:t>
      </w:r>
    </w:p>
    <w:p>
      <w:pPr>
        <w:spacing w:after="0" w:line="183" w:lineRule="exact"/>
        <w:rPr>
          <w:sz w:val="20"/>
          <w:szCs w:val="20"/>
          <w:color w:val="auto"/>
        </w:rPr>
      </w:pPr>
    </w:p>
    <w:p>
      <w:pPr>
        <w:ind w:right="120" w:firstLine="648"/>
        <w:spacing w:after="0" w:line="236" w:lineRule="auto"/>
        <w:rPr>
          <w:sz w:val="20"/>
          <w:szCs w:val="20"/>
          <w:color w:val="auto"/>
        </w:rPr>
      </w:pPr>
      <w:r>
        <w:rPr>
          <w:rFonts w:ascii="Arial" w:cs="Arial" w:eastAsia="Arial" w:hAnsi="Arial"/>
          <w:sz w:val="22"/>
          <w:szCs w:val="22"/>
          <w:color w:val="auto"/>
        </w:rPr>
        <w:t>“With his storied military service and leadership, Admiral Grady will provide valuable insights to our board and management team, as our company continues to focus on delivering differentiating technology to the United States and its allies, at speed and scale,” said Kathy Warden, chair, chief executive officer and president, Northrop Grumman.</w:t>
      </w:r>
    </w:p>
    <w:p>
      <w:pPr>
        <w:spacing w:after="0" w:line="207"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Grady served as the 12th vice chairman of the Joint Chiefs of Staff, the second highest-ranking military officer in the United States, from 2021 until his retirement as a four-star admiral in 2025. His previous assignments include serving as the Commander of the U.S. Fleet Forces Command, the Commander of the U.S. Sixth Fleet and Naval Striking and Support Forces NATO and the Commander of the Carrier Strike Group 1.</w:t>
      </w:r>
    </w:p>
    <w:p>
      <w:pPr>
        <w:spacing w:after="0" w:line="203"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He served on active duty in the U.S. Navy for over 40 years as a career surface warfare officer, participating in nearly every major military operation during that time. Grady has an undergraduate degree from the University of Notre Dame, master’s degrees from Georgetown University’s Edmund A. Walsh School of Foreign Service and the National War College.</w:t>
      </w:r>
    </w:p>
    <w:p>
      <w:pPr>
        <w:spacing w:after="0" w:line="203"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Northrop Grumman is a leading global aerospace and defense technology company. Our pioneering solutions equip our customers with the capabilities they need to connect and protect the world, and push the boundaries of human exploration across the universe. Driven by a shared purpose to solve our customers’ toughest problems, our employees define possible every day.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spacing w:after="0" w:line="29" w:lineRule="exact"/>
        <w:rPr>
          <w:sz w:val="20"/>
          <w:szCs w:val="20"/>
          <w:color w:val="auto"/>
        </w:rPr>
      </w:pPr>
    </w:p>
    <w:p>
      <w:pPr>
        <w:ind w:left="3820"/>
        <w:spacing w:after="0"/>
        <w:rPr>
          <w:sz w:val="20"/>
          <w:szCs w:val="20"/>
          <w:color w:val="auto"/>
        </w:rPr>
      </w:pPr>
      <w:r>
        <w:rPr>
          <w:rFonts w:ascii="Arial" w:cs="Arial" w:eastAsia="Arial" w:hAnsi="Arial"/>
          <w:sz w:val="14"/>
          <w:szCs w:val="14"/>
          <w:color w:val="auto"/>
        </w:rPr>
        <w:t>2980 Fairview Park Drive • Falls Church, VA 22042-4511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news.northropgrumman.com</w:t>
      </w:r>
    </w:p>
    <w:sectPr>
      <w:pgSz w:w="11900" w:h="16838" w:orient="portrait"/>
      <w:cols w:equalWidth="0" w:num="1">
        <w:col w:w="11220"/>
      </w:cols>
      <w:pgMar w:left="320" w:top="105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lowerLetter"/>
      <w:start w:val="5"/>
    </w:lvl>
    <w:lvl w:ilvl="1">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2026-02-13T15:32:55Z</dcterms:created>
  <dcterms:modified xsi:type="dcterms:W3CDTF">2026-02-13T15:32:55Z</dcterms:modified>
</cp:coreProperties>
</file>