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6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Northrop Grumman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920" w:hanging="912"/>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25" w:lineRule="exact"/>
        <w:rPr>
          <w:rFonts w:ascii="Arial" w:cs="Arial" w:eastAsia="Arial" w:hAnsi="Arial"/>
          <w:sz w:val="18"/>
          <w:szCs w:val="18"/>
          <w:color w:val="auto"/>
        </w:rPr>
      </w:pPr>
    </w:p>
    <w:p>
      <w:pPr>
        <w:ind w:left="1360" w:hanging="447"/>
        <w:spacing w:after="0" w:line="246" w:lineRule="auto"/>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920" w:right="120" w:hanging="912"/>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8" w:lineRule="exact"/>
        <w:rPr>
          <w:rFonts w:ascii="MS PGothic" w:cs="MS PGothic" w:eastAsia="MS PGothic" w:hAnsi="MS PGothic"/>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360" w:hanging="447"/>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-3046095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-2771775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-2368550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-2094230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-1819910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-816610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-516255</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-215900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83820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220345</wp:posOffset>
            </wp:positionV>
            <wp:extent cx="6037580" cy="7787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7580" cy="77870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754380</wp:posOffset>
            </wp:positionV>
            <wp:extent cx="225552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555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30, 2018</w:t>
      </w:r>
    </w:p>
    <w:p>
      <w:pPr>
        <w:spacing w:after="0" w:line="144"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On behalf of the Board of Directors and management team, we cordially invite you to attend Northrop Grumman Corporation’s 2018 Annual Meeting of Shareholders. This year’s meeting will be held on Wednesday, May 16, 2018 at our principal executive office located at 2980 Fairview Park Drive, Falls Church, Virginia 22042 beginning at 8:00 a.m., Eastern Daylight Time.</w:t>
      </w:r>
    </w:p>
    <w:p>
      <w:pPr>
        <w:spacing w:after="0" w:line="122"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 xml:space="preserve">We look forward to meeting those of you who are able to attend the meeting. For those who are unable to attend, live coverage of the meeting will be available on the Northrop Grumman website at </w:t>
      </w:r>
      <w:r>
        <w:rPr>
          <w:rFonts w:ascii="Arial" w:cs="Arial" w:eastAsia="Arial" w:hAnsi="Arial"/>
          <w:sz w:val="18"/>
          <w:szCs w:val="18"/>
          <w:i w:val="1"/>
          <w:iCs w:val="1"/>
          <w:color w:val="auto"/>
        </w:rPr>
        <w:t>www.northropgrumman.com</w:t>
      </w:r>
      <w:r>
        <w:rPr>
          <w:rFonts w:ascii="Arial" w:cs="Arial" w:eastAsia="Arial" w:hAnsi="Arial"/>
          <w:sz w:val="18"/>
          <w:szCs w:val="18"/>
          <w:color w:val="auto"/>
        </w:rPr>
        <w:t>.</w:t>
      </w:r>
    </w:p>
    <w:p>
      <w:pPr>
        <w:spacing w:after="0" w:line="129"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At this meeting, shareholders will vote on matters set forth in the accompanying Notice of 2018 Annual Meeting of Shareholders and Proxy Statement. We will also provide a report on our Company and will entertain questions of general interest to the shareholders.</w:t>
      </w:r>
    </w:p>
    <w:p>
      <w:pPr>
        <w:spacing w:after="0" w:line="129"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very pleased to report another year of outstanding performance for our shareholders, customers and employees. Excellent results from all three of our businesses combined to generate higher operating income, and before the impacts of the Tax Cuts and Jobs Act and our related discretionary pension contribution, higher earnings and cash generation than in 2016. Our capital deployment strategy continues to serve us and our shareholders well. Our robust capital expenditures reflect the quality of our opportunities and support our foundation for long-term profitable growth. In addition to these investments, we also took an important step to broaden our portfolio by reaching an agreement to acquire Orbital ATK. For our shareholders, we raised our quarterly dividend 11% and reduced our weighted-average diluted shares outstanding by 3%. In 2017, we returned more than $1 billion to our shareholders through dividends and share repurchases. Total shareholder return was 33.9% in 2017, another strong performance relative to our peers and the S&amp;P 500.</w:t>
      </w:r>
    </w:p>
    <w:p>
      <w:pPr>
        <w:spacing w:after="0" w:line="1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In addition to strong financial and operational achievements, we continue to strengthen our corporate citizenship and sustainability efforts. For the sixth consecutive year, Northrop Grumman earned a leadership score in CDP’s 2017 climate change program; we were again included in the Dow Jones Sustainability Index for North America, and DiversityInc named us one of their Top 50 Companies for Diversity for the eighth consecutive year.</w:t>
      </w:r>
    </w:p>
    <w:p>
      <w:pPr>
        <w:spacing w:after="0" w:line="134"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In 2017, as in prior years, we actively engaged with our shareholders on a variety of matters, including our strategy for long-term value creation and further aligning our governance, compensation and sustainability practices to support long-term profitable growth and value creation.</w:t>
      </w:r>
    </w:p>
    <w:p>
      <w:pPr>
        <w:spacing w:after="0" w:line="135"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Your vote is important. Your proxy or voting instruction card includes specific information regarding the several ways to vote your shares. We encourage you to vote as soon as possible, even if you plan to attend the meeting. You may vote over the internet, by telephone or mobile device, by mailing a proxy or voting instruction card or in person at the Annual Meeting.</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Thank you for your support and continued interest in Northrop Grumman Corporation.</w:t>
      </w:r>
    </w:p>
    <w:p>
      <w:pPr>
        <w:spacing w:after="0" w:line="239"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Wes Bush</w:t>
      </w:r>
      <w:r>
        <w:rPr>
          <w:sz w:val="20"/>
          <w:szCs w:val="20"/>
          <w:color w:val="auto"/>
        </w:rPr>
        <w:tab/>
      </w:r>
      <w:r>
        <w:rPr>
          <w:rFonts w:ascii="Arial" w:cs="Arial" w:eastAsia="Arial" w:hAnsi="Arial"/>
          <w:sz w:val="17"/>
          <w:szCs w:val="17"/>
          <w:color w:val="auto"/>
        </w:rPr>
        <w:t>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186690</wp:posOffset>
            </wp:positionV>
            <wp:extent cx="1243330" cy="403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43330" cy="40322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203835</wp:posOffset>
            </wp:positionV>
            <wp:extent cx="1818005"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80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tabs>
          <w:tab w:leader="none" w:pos="6140" w:val="left"/>
        </w:tabs>
        <w:rPr>
          <w:sz w:val="20"/>
          <w:szCs w:val="20"/>
          <w:color w:val="auto"/>
        </w:rPr>
      </w:pPr>
      <w:r>
        <w:rPr>
          <w:rFonts w:ascii="Arial" w:cs="Arial" w:eastAsia="Arial" w:hAnsi="Arial"/>
          <w:sz w:val="18"/>
          <w:szCs w:val="18"/>
          <w:color w:val="auto"/>
        </w:rPr>
        <w:t>Chairman and Chief Executive Officer</w:t>
      </w:r>
      <w:r>
        <w:rPr>
          <w:sz w:val="20"/>
          <w:szCs w:val="20"/>
          <w:color w:val="auto"/>
        </w:rPr>
        <w:tab/>
      </w:r>
      <w:r>
        <w:rPr>
          <w:rFonts w:ascii="Arial" w:cs="Arial" w:eastAsia="Arial" w:hAnsi="Arial"/>
          <w:sz w:val="18"/>
          <w:szCs w:val="18"/>
          <w:color w:val="auto"/>
        </w:rPr>
        <w:t>Lead Independent Director</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8"/>
          <w:szCs w:val="18"/>
          <w:color w:val="000000"/>
        </w:rPr>
        <w:t>|</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1680845</wp:posOffset>
            </wp:positionV>
            <wp:extent cx="6997700" cy="977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9779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1106170</wp:posOffset>
            </wp:positionV>
            <wp:extent cx="151765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right="4960"/>
        <w:spacing w:after="0" w:line="283" w:lineRule="auto"/>
        <w:rPr>
          <w:sz w:val="20"/>
          <w:szCs w:val="20"/>
          <w:color w:val="auto"/>
        </w:rPr>
      </w:pPr>
      <w:r>
        <w:rPr>
          <w:rFonts w:ascii="Arial" w:cs="Arial" w:eastAsia="Arial" w:hAnsi="Arial"/>
          <w:sz w:val="50"/>
          <w:szCs w:val="50"/>
          <w:b w:val="1"/>
          <w:bCs w:val="1"/>
          <w:color w:val="FFFFFF"/>
        </w:rPr>
        <w:t>Notice of 2018 Annual Meeting of Shareholders</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29"/>
          <w:szCs w:val="29"/>
          <w:b w:val="1"/>
          <w:bCs w:val="1"/>
          <w:color w:val="276092"/>
        </w:rPr>
        <w:t>Wednesday, May 16, 2018</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8:00 a.m., Eastern Daylight Time</w:t>
      </w:r>
    </w:p>
    <w:p>
      <w:pPr>
        <w:spacing w:after="0" w:line="40" w:lineRule="exact"/>
        <w:rPr>
          <w:sz w:val="20"/>
          <w:szCs w:val="20"/>
          <w:color w:val="auto"/>
        </w:rPr>
      </w:pPr>
    </w:p>
    <w:p>
      <w:pPr>
        <w:ind w:left="200" w:right="4900"/>
        <w:spacing w:after="0" w:line="325" w:lineRule="auto"/>
        <w:rPr>
          <w:sz w:val="20"/>
          <w:szCs w:val="20"/>
          <w:color w:val="auto"/>
        </w:rPr>
      </w:pPr>
      <w:r>
        <w:rPr>
          <w:rFonts w:ascii="Arial" w:cs="Arial" w:eastAsia="Arial" w:hAnsi="Arial"/>
          <w:sz w:val="21"/>
          <w:szCs w:val="21"/>
          <w:b w:val="1"/>
          <w:bCs w:val="1"/>
          <w:i w:val="1"/>
          <w:iCs w:val="1"/>
          <w:color w:val="auto"/>
        </w:rPr>
        <w:t>Northrop Grumman Corporation, Principal Executive Office 2980 Fairview Park Drive, Falls Church, Virginia 22042</w:t>
      </w:r>
    </w:p>
    <w:p>
      <w:pPr>
        <w:spacing w:after="0" w:line="147"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The 2018 Annual Meeting of Shareholders (Annual Meeting) of Northrop Grumman Corporation (Company) will be held on Wednesday, May 16, 2018 at 8:00 a.m., Eastern Daylight Time, at our principal executive office located at 2980 Fairview Park Drive, Falls Church, Virginia 22042.</w:t>
      </w:r>
    </w:p>
    <w:p>
      <w:pPr>
        <w:spacing w:after="0" w:line="176"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Shareholders of record at the close of business on March 20, 2018 are entitled to vote at the Annual Meeting. The following items are on the agenda:</w:t>
      </w:r>
    </w:p>
    <w:p>
      <w:pPr>
        <w:spacing w:after="0" w:line="75" w:lineRule="exact"/>
        <w:rPr>
          <w:sz w:val="20"/>
          <w:szCs w:val="20"/>
          <w:color w:val="auto"/>
        </w:rPr>
      </w:pPr>
    </w:p>
    <w:p>
      <w:pPr>
        <w:ind w:left="1620" w:right="140" w:hanging="768"/>
        <w:spacing w:after="0" w:line="24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the 12 nominees named in the accompanying Proxy Statement as directors to hold office until the 2019 Annual Meeting;</w:t>
      </w:r>
    </w:p>
    <w:p>
      <w:pPr>
        <w:spacing w:after="0" w:line="75" w:lineRule="exact"/>
        <w:rPr>
          <w:rFonts w:ascii="Arial" w:cs="Arial" w:eastAsia="Arial" w:hAnsi="Arial"/>
          <w:sz w:val="18"/>
          <w:szCs w:val="18"/>
          <w:color w:val="auto"/>
        </w:rPr>
      </w:pPr>
    </w:p>
    <w:p>
      <w:pPr>
        <w:ind w:left="1620" w:hanging="76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on an advisory basis, the compensation of our named executive officers;</w:t>
      </w:r>
    </w:p>
    <w:p>
      <w:pPr>
        <w:spacing w:after="0" w:line="90" w:lineRule="exact"/>
        <w:rPr>
          <w:rFonts w:ascii="Arial" w:cs="Arial" w:eastAsia="Arial" w:hAnsi="Arial"/>
          <w:sz w:val="18"/>
          <w:szCs w:val="18"/>
          <w:color w:val="auto"/>
        </w:rPr>
      </w:pPr>
    </w:p>
    <w:p>
      <w:pPr>
        <w:ind w:left="1620" w:right="940" w:hanging="768"/>
        <w:spacing w:after="0" w:line="246"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our independent auditor for the year ending December 31, 2018;</w:t>
      </w:r>
    </w:p>
    <w:p>
      <w:pPr>
        <w:spacing w:after="0" w:line="75" w:lineRule="exact"/>
        <w:rPr>
          <w:rFonts w:ascii="Arial" w:cs="Arial" w:eastAsia="Arial" w:hAnsi="Arial"/>
          <w:sz w:val="18"/>
          <w:szCs w:val="18"/>
          <w:color w:val="auto"/>
        </w:rPr>
      </w:pPr>
    </w:p>
    <w:p>
      <w:pPr>
        <w:ind w:left="1620" w:hanging="76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shareholder proposal to modify the ownership threshold for shareholders to call a special meeting; and</w:t>
      </w:r>
    </w:p>
    <w:p>
      <w:pPr>
        <w:spacing w:after="0" w:line="90" w:lineRule="exact"/>
        <w:rPr>
          <w:rFonts w:ascii="Arial" w:cs="Arial" w:eastAsia="Arial" w:hAnsi="Arial"/>
          <w:sz w:val="18"/>
          <w:szCs w:val="18"/>
          <w:color w:val="auto"/>
        </w:rPr>
      </w:pPr>
    </w:p>
    <w:p>
      <w:pPr>
        <w:ind w:left="1620" w:hanging="76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 or postponement thereof.</w:t>
      </w:r>
    </w:p>
    <w:p>
      <w:pPr>
        <w:spacing w:after="0" w:line="77" w:lineRule="exact"/>
        <w:rPr>
          <w:sz w:val="20"/>
          <w:szCs w:val="20"/>
          <w:color w:val="auto"/>
        </w:rPr>
      </w:pPr>
    </w:p>
    <w:p>
      <w:pPr>
        <w:jc w:val="both"/>
        <w:ind w:left="200" w:right="380"/>
        <w:spacing w:after="0"/>
        <w:rPr>
          <w:sz w:val="20"/>
          <w:szCs w:val="20"/>
          <w:color w:val="auto"/>
        </w:rPr>
      </w:pPr>
      <w:r>
        <w:rPr>
          <w:rFonts w:ascii="Arial" w:cs="Arial" w:eastAsia="Arial" w:hAnsi="Arial"/>
          <w:sz w:val="18"/>
          <w:szCs w:val="18"/>
          <w:color w:val="auto"/>
        </w:rPr>
        <w:t>All shareholders are invited to attend the Annual Meeting. To be admitted you will need proof of stock ownership and a form of photo identification. If your broker holds your shares in “street name,” you will also need proof of beneficial ownership of Northrop Grumman common stock.</w:t>
      </w:r>
    </w:p>
    <w:p>
      <w:pPr>
        <w:spacing w:after="0" w:line="95"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We encourage all shareholders to vote on the matters described in the accompanying Proxy Statement. Please see the section entitled “Questions and Answers About the Annual Meeting” on page 69 for information about voting over the internet, by telephone or mobile device, by mailing a proxy or voting instruction card or by attending in person at the Annual Meeting.</w:t>
      </w:r>
    </w:p>
    <w:p>
      <w:pPr>
        <w:spacing w:after="0" w:line="122"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143510</wp:posOffset>
            </wp:positionV>
            <wp:extent cx="1363345"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633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Jennifer C. McGarey</w:t>
      </w:r>
    </w:p>
    <w:p>
      <w:pPr>
        <w:ind w:left="6920"/>
        <w:spacing w:after="0"/>
        <w:rPr>
          <w:sz w:val="20"/>
          <w:szCs w:val="20"/>
          <w:color w:val="auto"/>
        </w:rPr>
      </w:pPr>
      <w:r>
        <w:rPr>
          <w:rFonts w:ascii="Arial" w:cs="Arial" w:eastAsia="Arial" w:hAnsi="Arial"/>
          <w:sz w:val="18"/>
          <w:szCs w:val="18"/>
          <w:i w:val="1"/>
          <w:iCs w:val="1"/>
          <w:color w:val="auto"/>
        </w:rPr>
        <w:t>Corporate Vice President and Secretary</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March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97790</wp:posOffset>
            </wp:positionV>
            <wp:extent cx="686943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9430" cy="531495"/>
                    </a:xfrm>
                    <a:prstGeom prst="rect">
                      <a:avLst/>
                    </a:prstGeom>
                    <a:noFill/>
                  </pic:spPr>
                </pic:pic>
              </a:graphicData>
            </a:graphic>
          </wp:anchor>
        </w:drawing>
      </w:r>
    </w:p>
    <w:p>
      <w:pPr>
        <w:spacing w:after="0" w:line="173" w:lineRule="exact"/>
        <w:rPr>
          <w:sz w:val="20"/>
          <w:szCs w:val="20"/>
          <w:color w:val="auto"/>
        </w:rPr>
      </w:pPr>
    </w:p>
    <w:p>
      <w:pPr>
        <w:ind w:left="500" w:right="20"/>
        <w:spacing w:after="0" w:line="241" w:lineRule="auto"/>
        <w:rPr>
          <w:sz w:val="20"/>
          <w:szCs w:val="20"/>
          <w:color w:val="auto"/>
        </w:rPr>
      </w:pPr>
      <w:r>
        <w:rPr>
          <w:rFonts w:ascii="Arial" w:cs="Arial" w:eastAsia="Arial" w:hAnsi="Arial"/>
          <w:sz w:val="20"/>
          <w:szCs w:val="20"/>
          <w:b w:val="1"/>
          <w:bCs w:val="1"/>
          <w:color w:val="auto"/>
        </w:rPr>
        <w:t xml:space="preserve">Important Notice Regarding the Availability of Proxy Materials for the Shareholders Meeting to be held on May 16, 2018: The Proxy Statement for the 2018 Annual Meeting of Shareholders and the Annual Report for the year ended December 31, 2017 are available at: </w:t>
      </w:r>
      <w:r>
        <w:rPr>
          <w:rFonts w:ascii="Arial" w:cs="Arial" w:eastAsia="Arial" w:hAnsi="Arial"/>
          <w:sz w:val="20"/>
          <w:szCs w:val="20"/>
          <w:b w:val="1"/>
          <w:bCs w:val="1"/>
          <w:i w:val="1"/>
          <w:iCs w:val="1"/>
          <w:color w:val="auto"/>
        </w:rPr>
        <w:t>www.edocumentview.com/noc</w:t>
      </w:r>
      <w:r>
        <w:rPr>
          <w:rFonts w:ascii="Arial" w:cs="Arial" w:eastAsia="Arial" w:hAnsi="Arial"/>
          <w:sz w:val="20"/>
          <w:szCs w:val="20"/>
          <w:b w:val="1"/>
          <w:bCs w:val="1"/>
          <w:color w:val="auto"/>
        </w:rPr>
        <w:t>.</w:t>
      </w:r>
    </w:p>
    <w:p>
      <w:pPr>
        <w:sectPr>
          <w:pgSz w:w="11900" w:h="16838" w:orient="portrait"/>
          <w:cols w:equalWidth="0" w:num="1">
            <w:col w:w="11180"/>
          </w:cols>
          <w:pgMar w:left="240" w:top="459" w:right="479" w:bottom="1440" w:gutter="0" w:footer="0" w:header="0"/>
        </w:sectPr>
      </w:pPr>
    </w:p>
    <w:p>
      <w:pPr>
        <w:spacing w:after="0" w:line="252" w:lineRule="exact"/>
        <w:rPr>
          <w:sz w:val="20"/>
          <w:szCs w:val="20"/>
          <w:color w:val="auto"/>
        </w:rPr>
      </w:pPr>
    </w:p>
    <w:p>
      <w:pPr>
        <w:ind w:left="53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8"/>
          <w:szCs w:val="18"/>
          <w:color w:val="000000"/>
        </w:rPr>
        <w:t>|</w:t>
      </w:r>
    </w:p>
    <w:p>
      <w:pPr>
        <w:sectPr>
          <w:pgSz w:w="11900" w:h="16838" w:orient="portrait"/>
          <w:cols w:equalWidth="0" w:num="1">
            <w:col w:w="11180"/>
          </w:cols>
          <w:pgMar w:left="240" w:top="459" w:right="4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3257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73"/>
        </w:trPr>
        <w:tc>
          <w:tcPr>
            <w:tcW w:w="20" w:type="dxa"/>
            <w:vAlign w:val="bottom"/>
          </w:tcPr>
          <w:p>
            <w:pPr>
              <w:spacing w:after="0"/>
              <w:rPr>
                <w:sz w:val="23"/>
                <w:szCs w:val="23"/>
                <w:color w:val="auto"/>
              </w:rPr>
            </w:pPr>
          </w:p>
        </w:tc>
        <w:tc>
          <w:tcPr>
            <w:tcW w:w="10140" w:type="dxa"/>
            <w:vAlign w:val="bottom"/>
            <w:gridSpan w:val="34"/>
          </w:tcPr>
          <w:p>
            <w:pPr>
              <w:ind w:left="100"/>
              <w:spacing w:after="0"/>
              <w:rPr>
                <w:rFonts w:ascii="Arial" w:cs="Arial" w:eastAsia="Arial" w:hAnsi="Arial"/>
                <w:sz w:val="22"/>
                <w:szCs w:val="22"/>
                <w:b w:val="1"/>
                <w:bCs w:val="1"/>
                <w:color w:val="0000EE"/>
              </w:rPr>
            </w:pPr>
            <w:hyperlink w:anchor="page7">
              <w:r>
                <w:rPr>
                  <w:rFonts w:ascii="Arial" w:cs="Arial" w:eastAsia="Arial" w:hAnsi="Arial"/>
                  <w:sz w:val="22"/>
                  <w:szCs w:val="22"/>
                  <w:b w:val="1"/>
                  <w:bCs w:val="1"/>
                  <w:color w:val="0000EE"/>
                </w:rPr>
                <w:t>PROXY STATEMENT SUMMARY</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7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Borders>
              <w:bottom w:val="single" w:sz="8" w:color="0000EE"/>
            </w:tcBorders>
          </w:tcPr>
          <w:p>
            <w:pPr>
              <w:spacing w:after="0"/>
              <w:rPr>
                <w:sz w:val="24"/>
                <w:szCs w:val="24"/>
                <w:color w:val="auto"/>
              </w:rPr>
            </w:pPr>
          </w:p>
        </w:tc>
        <w:tc>
          <w:tcPr>
            <w:tcW w:w="4700" w:type="dxa"/>
            <w:vAlign w:val="bottom"/>
            <w:tcBorders>
              <w:bottom w:val="single" w:sz="8" w:color="0000EE"/>
            </w:tcBorders>
            <w:gridSpan w:val="25"/>
          </w:tcPr>
          <w:p>
            <w:pPr>
              <w:ind w:left="40"/>
              <w:spacing w:after="0"/>
              <w:rPr>
                <w:rFonts w:ascii="Arial" w:cs="Arial" w:eastAsia="Arial" w:hAnsi="Arial"/>
                <w:sz w:val="22"/>
                <w:szCs w:val="22"/>
                <w:b w:val="1"/>
                <w:bCs w:val="1"/>
                <w:color w:val="0000EE"/>
                <w:w w:val="97"/>
              </w:rPr>
            </w:pPr>
            <w:hyperlink w:anchor="page12">
              <w:r>
                <w:rPr>
                  <w:rFonts w:ascii="Arial" w:cs="Arial" w:eastAsia="Arial" w:hAnsi="Arial"/>
                  <w:sz w:val="22"/>
                  <w:szCs w:val="22"/>
                  <w:b w:val="1"/>
                  <w:bCs w:val="1"/>
                  <w:color w:val="0000EE"/>
                  <w:w w:val="97"/>
                </w:rPr>
                <w:t>PROPOSAL ONE: ELECTION OF DIRECTORS</w:t>
              </w:r>
            </w:hyperlink>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gridSpan w:val="3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2018 Nominees for Director</w:t>
              </w:r>
            </w:hyperlink>
          </w:p>
        </w:tc>
        <w:tc>
          <w:tcPr>
            <w:tcW w:w="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61"/>
        </w:trPr>
        <w:tc>
          <w:tcPr>
            <w:tcW w:w="20" w:type="dxa"/>
            <w:vAlign w:val="bottom"/>
            <w:tcBorders>
              <w:bottom w:val="single" w:sz="8" w:color="0000EE"/>
            </w:tcBorders>
          </w:tcPr>
          <w:p>
            <w:pPr>
              <w:spacing w:after="0"/>
              <w:rPr>
                <w:sz w:val="24"/>
                <w:szCs w:val="24"/>
                <w:color w:val="auto"/>
              </w:rPr>
            </w:pPr>
          </w:p>
        </w:tc>
        <w:tc>
          <w:tcPr>
            <w:tcW w:w="3020" w:type="dxa"/>
            <w:vAlign w:val="bottom"/>
            <w:tcBorders>
              <w:bottom w:val="single" w:sz="8" w:color="0000EE"/>
            </w:tcBorders>
            <w:gridSpan w:val="13"/>
          </w:tcPr>
          <w:p>
            <w:pPr>
              <w:ind w:left="40"/>
              <w:spacing w:after="0"/>
              <w:rPr>
                <w:rFonts w:ascii="Arial" w:cs="Arial" w:eastAsia="Arial" w:hAnsi="Arial"/>
                <w:sz w:val="22"/>
                <w:szCs w:val="22"/>
                <w:b w:val="1"/>
                <w:bCs w:val="1"/>
                <w:color w:val="0000EE"/>
                <w:w w:val="97"/>
              </w:rPr>
            </w:pPr>
            <w:hyperlink w:anchor="page19">
              <w:r>
                <w:rPr>
                  <w:rFonts w:ascii="Arial" w:cs="Arial" w:eastAsia="Arial" w:hAnsi="Arial"/>
                  <w:sz w:val="22"/>
                  <w:szCs w:val="22"/>
                  <w:b w:val="1"/>
                  <w:bCs w:val="1"/>
                  <w:color w:val="0000EE"/>
                  <w:w w:val="97"/>
                </w:rPr>
                <w:t>CORPORATE GOVERNANCE</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Overview</w:t>
              </w:r>
            </w:hyperlink>
          </w:p>
        </w:tc>
        <w:tc>
          <w:tcPr>
            <w:tcW w:w="9240" w:type="dxa"/>
            <w:vAlign w:val="bottom"/>
            <w:gridSpan w:val="32"/>
          </w:tcPr>
          <w:p>
            <w:pPr>
              <w:spacing w:after="0"/>
              <w:rPr>
                <w:sz w:val="18"/>
                <w:szCs w:val="18"/>
                <w:color w:val="auto"/>
              </w:rPr>
            </w:pPr>
          </w:p>
        </w:tc>
        <w:tc>
          <w:tcPr>
            <w:tcW w:w="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Role of the Board</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Board Leadership Structure</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Committees of the Board of Directors</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Board Meetings and Executive Sessions</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Borders>
              <w:top w:val="single" w:sz="8" w:color="0000EE"/>
            </w:tcBorders>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Meeting Attendance</w:t>
              </w:r>
            </w:hyperlink>
          </w:p>
        </w:tc>
        <w:tc>
          <w:tcPr>
            <w:tcW w:w="6780" w:type="dxa"/>
            <w:vAlign w:val="bottom"/>
            <w:gridSpan w:val="18"/>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Director Independence</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Director Election Process</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Board Composition and Director Nominations</w:t>
              </w:r>
            </w:hyperlink>
          </w:p>
        </w:tc>
        <w:tc>
          <w:tcPr>
            <w:tcW w:w="6380" w:type="dxa"/>
            <w:vAlign w:val="bottom"/>
            <w:gridSpan w:val="13"/>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Director Qualifications</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Director Orientation and Continuing Education</w:t>
              </w:r>
            </w:hyperlink>
          </w:p>
        </w:tc>
        <w:tc>
          <w:tcPr>
            <w:tcW w:w="6320" w:type="dxa"/>
            <w:vAlign w:val="bottom"/>
            <w:gridSpan w:val="12"/>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23"/>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Board Membership and External Relationships</w:t>
              </w:r>
            </w:hyperlink>
          </w:p>
        </w:tc>
        <w:tc>
          <w:tcPr>
            <w:tcW w:w="6280" w:type="dxa"/>
            <w:vAlign w:val="bottom"/>
            <w:gridSpan w:val="10"/>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Effect of Failure to Receive the Required Vote or Obtain and Retain Security Clearance</w:t>
              </w:r>
            </w:hyperlink>
          </w:p>
        </w:tc>
        <w:tc>
          <w:tcPr>
            <w:tcW w:w="3060" w:type="dxa"/>
            <w:vAlign w:val="bottom"/>
            <w:gridSpan w:val="4"/>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Board and Committee Self-Evaluation</w:t>
              </w:r>
            </w:hyperlink>
          </w:p>
        </w:tc>
        <w:tc>
          <w:tcPr>
            <w:tcW w:w="6980" w:type="dxa"/>
            <w:vAlign w:val="bottom"/>
            <w:gridSpan w:val="19"/>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Succession Planning</w:t>
              </w:r>
            </w:hyperlink>
          </w:p>
        </w:tc>
        <w:tc>
          <w:tcPr>
            <w:tcW w:w="8320" w:type="dxa"/>
            <w:vAlign w:val="bottom"/>
            <w:gridSpan w:val="29"/>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Departure and Election of Directors</w:t>
              </w:r>
            </w:hyperlink>
          </w:p>
        </w:tc>
        <w:tc>
          <w:tcPr>
            <w:tcW w:w="7180" w:type="dxa"/>
            <w:vAlign w:val="bottom"/>
            <w:gridSpan w:val="22"/>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Communications with the Board of Directors</w:t>
              </w:r>
            </w:hyperlink>
          </w:p>
        </w:tc>
        <w:tc>
          <w:tcPr>
            <w:tcW w:w="6480" w:type="dxa"/>
            <w:vAlign w:val="bottom"/>
            <w:gridSpan w:val="14"/>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Corporate Responsibility and Sustainability</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61"/>
        </w:trPr>
        <w:tc>
          <w:tcPr>
            <w:tcW w:w="20" w:type="dxa"/>
            <w:vAlign w:val="bottom"/>
            <w:tcBorders>
              <w:bottom w:val="single" w:sz="8" w:color="0000EE"/>
            </w:tcBorders>
          </w:tcPr>
          <w:p>
            <w:pPr>
              <w:spacing w:after="0"/>
              <w:rPr>
                <w:sz w:val="24"/>
                <w:szCs w:val="24"/>
                <w:color w:val="auto"/>
              </w:rPr>
            </w:pPr>
          </w:p>
        </w:tc>
        <w:tc>
          <w:tcPr>
            <w:tcW w:w="3480" w:type="dxa"/>
            <w:vAlign w:val="bottom"/>
            <w:tcBorders>
              <w:bottom w:val="single" w:sz="8" w:color="0000EE"/>
            </w:tcBorders>
            <w:gridSpan w:val="18"/>
          </w:tcPr>
          <w:p>
            <w:pPr>
              <w:ind w:left="40"/>
              <w:spacing w:after="0"/>
              <w:rPr>
                <w:rFonts w:ascii="Arial" w:cs="Arial" w:eastAsia="Arial" w:hAnsi="Arial"/>
                <w:sz w:val="22"/>
                <w:szCs w:val="22"/>
                <w:b w:val="1"/>
                <w:bCs w:val="1"/>
                <w:color w:val="0000EE"/>
                <w:w w:val="97"/>
              </w:rPr>
            </w:pPr>
            <w:hyperlink w:anchor="page29">
              <w:r>
                <w:rPr>
                  <w:rFonts w:ascii="Arial" w:cs="Arial" w:eastAsia="Arial" w:hAnsi="Arial"/>
                  <w:sz w:val="22"/>
                  <w:szCs w:val="22"/>
                  <w:b w:val="1"/>
                  <w:bCs w:val="1"/>
                  <w:color w:val="0000EE"/>
                  <w:w w:val="97"/>
                </w:rPr>
                <w:t>COMPENSATION OF DIRECTORS</w:t>
              </w:r>
            </w:hyperlink>
          </w:p>
        </w:tc>
        <w:tc>
          <w:tcPr>
            <w:tcW w:w="80" w:type="dxa"/>
            <w:vAlign w:val="bottom"/>
          </w:tcPr>
          <w:p>
            <w:pPr>
              <w:spacing w:after="0"/>
              <w:rPr>
                <w:sz w:val="24"/>
                <w:szCs w:val="24"/>
                <w:color w:val="auto"/>
              </w:rPr>
            </w:pPr>
          </w:p>
        </w:tc>
        <w:tc>
          <w:tcPr>
            <w:tcW w:w="280" w:type="dxa"/>
            <w:vAlign w:val="bottom"/>
            <w:gridSpan w:val="4"/>
          </w:tcPr>
          <w:p>
            <w:pPr>
              <w:spacing w:after="0"/>
              <w:rPr>
                <w:sz w:val="24"/>
                <w:szCs w:val="24"/>
                <w:color w:val="auto"/>
              </w:rPr>
            </w:pPr>
          </w:p>
        </w:tc>
        <w:tc>
          <w:tcPr>
            <w:tcW w:w="10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Stock Ownership Requirements and Anti-Hedging and Pledging Policy</w:t>
              </w:r>
            </w:hyperlink>
          </w:p>
        </w:tc>
        <w:tc>
          <w:tcPr>
            <w:tcW w:w="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23</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2017 Director Compensation</w:t>
              </w:r>
            </w:hyperlink>
          </w:p>
        </w:tc>
        <w:tc>
          <w:tcPr>
            <w:tcW w:w="3300" w:type="dxa"/>
            <w:vAlign w:val="bottom"/>
            <w:tcBorders>
              <w:top w:val="single" w:sz="8" w:color="0000EE"/>
            </w:tcBorders>
            <w:gridSpan w:val="19"/>
          </w:tcPr>
          <w:p>
            <w:pPr>
              <w:spacing w:after="0"/>
              <w:rPr>
                <w:sz w:val="24"/>
                <w:szCs w:val="24"/>
                <w:color w:val="auto"/>
              </w:rPr>
            </w:pPr>
          </w:p>
        </w:tc>
        <w:tc>
          <w:tcPr>
            <w:tcW w:w="4400" w:type="dxa"/>
            <w:vAlign w:val="bottom"/>
            <w:gridSpan w:val="5"/>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561"/>
        </w:trPr>
        <w:tc>
          <w:tcPr>
            <w:tcW w:w="20" w:type="dxa"/>
            <w:vAlign w:val="bottom"/>
            <w:tcBorders>
              <w:bottom w:val="single" w:sz="8" w:color="0000EE"/>
            </w:tcBorders>
          </w:tcPr>
          <w:p>
            <w:pPr>
              <w:spacing w:after="0"/>
              <w:rPr>
                <w:sz w:val="24"/>
                <w:szCs w:val="24"/>
                <w:color w:val="auto"/>
              </w:rPr>
            </w:pPr>
          </w:p>
        </w:tc>
        <w:tc>
          <w:tcPr>
            <w:tcW w:w="7320" w:type="dxa"/>
            <w:vAlign w:val="bottom"/>
            <w:tcBorders>
              <w:bottom w:val="single" w:sz="8" w:color="0000EE"/>
            </w:tcBorders>
            <w:gridSpan w:val="32"/>
          </w:tcPr>
          <w:p>
            <w:pPr>
              <w:ind w:left="40"/>
              <w:spacing w:after="0"/>
              <w:rPr>
                <w:rFonts w:ascii="Arial" w:cs="Arial" w:eastAsia="Arial" w:hAnsi="Arial"/>
                <w:sz w:val="22"/>
                <w:szCs w:val="22"/>
                <w:b w:val="1"/>
                <w:bCs w:val="1"/>
                <w:color w:val="0000EE"/>
                <w:w w:val="97"/>
              </w:rPr>
            </w:pPr>
            <w:hyperlink w:anchor="page32">
              <w:r>
                <w:rPr>
                  <w:rFonts w:ascii="Arial" w:cs="Arial" w:eastAsia="Arial" w:hAnsi="Arial"/>
                  <w:sz w:val="22"/>
                  <w:szCs w:val="22"/>
                  <w:b w:val="1"/>
                  <w:bCs w:val="1"/>
                  <w:color w:val="0000EE"/>
                  <w:w w:val="97"/>
                </w:rPr>
                <w:t>TRANSACTIONS WITH RELATED PERSONS AND CONTROL PERSONS</w:t>
              </w:r>
            </w:hyperlink>
          </w:p>
        </w:tc>
        <w:tc>
          <w:tcPr>
            <w:tcW w:w="2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Related Person Transactions</w:t>
              </w:r>
            </w:hyperlink>
          </w:p>
        </w:tc>
        <w:tc>
          <w:tcPr>
            <w:tcW w:w="7680" w:type="dxa"/>
            <w:vAlign w:val="bottom"/>
            <w:gridSpan w:val="23"/>
          </w:tcPr>
          <w:p>
            <w:pPr>
              <w:spacing w:after="0"/>
              <w:rPr>
                <w:sz w:val="18"/>
                <w:szCs w:val="18"/>
                <w:color w:val="auto"/>
              </w:rPr>
            </w:pPr>
          </w:p>
        </w:tc>
        <w:tc>
          <w:tcPr>
            <w:tcW w:w="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26</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0" w:type="dxa"/>
            <w:vAlign w:val="bottom"/>
            <w:gridSpan w:val="3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Compensation Committee Interlocks and Insider Participation</w:t>
              </w:r>
            </w:hyperlink>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tcBorders>
              <w:top w:val="single" w:sz="8" w:color="0000EE"/>
            </w:tcBorders>
            <w:gridSpan w:val="2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Indemnification Agreements</w:t>
              </w:r>
            </w:hyperlink>
          </w:p>
        </w:tc>
        <w:tc>
          <w:tcPr>
            <w:tcW w:w="5120" w:type="dxa"/>
            <w:vAlign w:val="bottom"/>
            <w:gridSpan w:val="7"/>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61"/>
        </w:trPr>
        <w:tc>
          <w:tcPr>
            <w:tcW w:w="20" w:type="dxa"/>
            <w:vAlign w:val="bottom"/>
            <w:tcBorders>
              <w:bottom w:val="single" w:sz="8" w:color="0000EE"/>
            </w:tcBorders>
          </w:tcPr>
          <w:p>
            <w:pPr>
              <w:spacing w:after="0"/>
              <w:rPr>
                <w:sz w:val="24"/>
                <w:szCs w:val="24"/>
                <w:color w:val="auto"/>
              </w:rPr>
            </w:pPr>
          </w:p>
        </w:tc>
        <w:tc>
          <w:tcPr>
            <w:tcW w:w="7180" w:type="dxa"/>
            <w:vAlign w:val="bottom"/>
            <w:tcBorders>
              <w:bottom w:val="single" w:sz="8" w:color="0000EE"/>
            </w:tcBorders>
            <w:gridSpan w:val="31"/>
          </w:tcPr>
          <w:p>
            <w:pPr>
              <w:ind w:left="40"/>
              <w:spacing w:after="0"/>
              <w:rPr>
                <w:rFonts w:ascii="Arial" w:cs="Arial" w:eastAsia="Arial" w:hAnsi="Arial"/>
                <w:sz w:val="22"/>
                <w:szCs w:val="22"/>
                <w:b w:val="1"/>
                <w:bCs w:val="1"/>
                <w:color w:val="0000EE"/>
                <w:w w:val="98"/>
              </w:rPr>
            </w:pPr>
            <w:hyperlink w:anchor="page33">
              <w:r>
                <w:rPr>
                  <w:rFonts w:ascii="Arial" w:cs="Arial" w:eastAsia="Arial" w:hAnsi="Arial"/>
                  <w:sz w:val="22"/>
                  <w:szCs w:val="22"/>
                  <w:b w:val="1"/>
                  <w:bCs w:val="1"/>
                  <w:color w:val="0000EE"/>
                  <w:w w:val="98"/>
                </w:rPr>
                <w:t>SECTION 16(a) BENEFICIAL OWNERSHIP REPORTING COMPLIANCE</w:t>
              </w:r>
            </w:hyperlink>
          </w:p>
        </w:tc>
        <w:tc>
          <w:tcPr>
            <w:tcW w:w="23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20"/>
        </w:trPr>
        <w:tc>
          <w:tcPr>
            <w:tcW w:w="20" w:type="dxa"/>
            <w:vAlign w:val="bottom"/>
            <w:tcBorders>
              <w:bottom w:val="single" w:sz="8" w:color="0000EE"/>
            </w:tcBorders>
          </w:tcPr>
          <w:p>
            <w:pPr>
              <w:spacing w:after="0"/>
              <w:rPr>
                <w:sz w:val="24"/>
                <w:szCs w:val="24"/>
                <w:color w:val="auto"/>
              </w:rPr>
            </w:pPr>
          </w:p>
        </w:tc>
        <w:tc>
          <w:tcPr>
            <w:tcW w:w="5080" w:type="dxa"/>
            <w:vAlign w:val="bottom"/>
            <w:tcBorders>
              <w:bottom w:val="single" w:sz="8" w:color="0000EE"/>
            </w:tcBorders>
            <w:gridSpan w:val="28"/>
          </w:tcPr>
          <w:p>
            <w:pPr>
              <w:ind w:left="40"/>
              <w:spacing w:after="0"/>
              <w:rPr>
                <w:rFonts w:ascii="Arial" w:cs="Arial" w:eastAsia="Arial" w:hAnsi="Arial"/>
                <w:sz w:val="22"/>
                <w:szCs w:val="22"/>
                <w:b w:val="1"/>
                <w:bCs w:val="1"/>
                <w:color w:val="0000EE"/>
                <w:w w:val="97"/>
              </w:rPr>
            </w:pPr>
            <w:hyperlink w:anchor="page34">
              <w:r>
                <w:rPr>
                  <w:rFonts w:ascii="Arial" w:cs="Arial" w:eastAsia="Arial" w:hAnsi="Arial"/>
                  <w:sz w:val="22"/>
                  <w:szCs w:val="22"/>
                  <w:b w:val="1"/>
                  <w:bCs w:val="1"/>
                  <w:color w:val="0000EE"/>
                  <w:w w:val="97"/>
                </w:rPr>
                <w:t>VOTING SECURITIES AND PRINCIPAL HOLDERS</w:t>
              </w:r>
            </w:hyperlink>
          </w:p>
        </w:tc>
        <w:tc>
          <w:tcPr>
            <w:tcW w:w="4480" w:type="dxa"/>
            <w:vAlign w:val="bottom"/>
            <w:gridSpan w:val="5"/>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Stock Ownership of Certain Beneficial Owners</w:t>
              </w:r>
            </w:hyperlink>
          </w:p>
        </w:tc>
        <w:tc>
          <w:tcPr>
            <w:tcW w:w="6300" w:type="dxa"/>
            <w:vAlign w:val="bottom"/>
            <w:gridSpan w:val="11"/>
          </w:tcPr>
          <w:p>
            <w:pPr>
              <w:spacing w:after="0"/>
              <w:rPr>
                <w:sz w:val="18"/>
                <w:szCs w:val="18"/>
                <w:color w:val="auto"/>
              </w:rPr>
            </w:pPr>
          </w:p>
        </w:tc>
        <w:tc>
          <w:tcPr>
            <w:tcW w:w="8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28</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tcBorders>
              <w:bottom w:val="single" w:sz="8" w:color="0000EE"/>
            </w:tcBorders>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Stock Ownership of Officers and Directors</w:t>
              </w:r>
            </w:hyperlink>
          </w:p>
        </w:tc>
        <w:tc>
          <w:tcPr>
            <w:tcW w:w="6580" w:type="dxa"/>
            <w:vAlign w:val="bottom"/>
            <w:gridSpan w:val="15"/>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561"/>
        </w:trPr>
        <w:tc>
          <w:tcPr>
            <w:tcW w:w="20" w:type="dxa"/>
            <w:vAlign w:val="bottom"/>
            <w:tcBorders>
              <w:bottom w:val="single" w:sz="8" w:color="0000EE"/>
            </w:tcBorders>
          </w:tcPr>
          <w:p>
            <w:pPr>
              <w:spacing w:after="0"/>
              <w:rPr>
                <w:sz w:val="24"/>
                <w:szCs w:val="24"/>
                <w:color w:val="auto"/>
              </w:rPr>
            </w:pPr>
          </w:p>
        </w:tc>
        <w:tc>
          <w:tcPr>
            <w:tcW w:w="4880" w:type="dxa"/>
            <w:vAlign w:val="bottom"/>
            <w:tcBorders>
              <w:bottom w:val="single" w:sz="8" w:color="0000EE"/>
            </w:tcBorders>
            <w:gridSpan w:val="26"/>
          </w:tcPr>
          <w:p>
            <w:pPr>
              <w:ind w:left="40"/>
              <w:spacing w:after="0"/>
              <w:rPr>
                <w:rFonts w:ascii="Arial" w:cs="Arial" w:eastAsia="Arial" w:hAnsi="Arial"/>
                <w:sz w:val="22"/>
                <w:szCs w:val="22"/>
                <w:b w:val="1"/>
                <w:bCs w:val="1"/>
                <w:color w:val="0000EE"/>
                <w:w w:val="97"/>
              </w:rPr>
            </w:pPr>
            <w:hyperlink w:anchor="page36">
              <w:r>
                <w:rPr>
                  <w:rFonts w:ascii="Arial" w:cs="Arial" w:eastAsia="Arial" w:hAnsi="Arial"/>
                  <w:sz w:val="22"/>
                  <w:szCs w:val="22"/>
                  <w:b w:val="1"/>
                  <w:bCs w:val="1"/>
                  <w:color w:val="0000EE"/>
                  <w:w w:val="97"/>
                </w:rPr>
                <w:t>EQUITY COMPENSATION PLAN INFORMATION</w:t>
              </w:r>
            </w:hyperlink>
          </w:p>
        </w:tc>
        <w:tc>
          <w:tcPr>
            <w:tcW w:w="468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20"/>
        </w:trPr>
        <w:tc>
          <w:tcPr>
            <w:tcW w:w="20" w:type="dxa"/>
            <w:vAlign w:val="bottom"/>
            <w:tcBorders>
              <w:bottom w:val="single" w:sz="8" w:color="0000EE"/>
            </w:tcBorders>
          </w:tcPr>
          <w:p>
            <w:pPr>
              <w:spacing w:after="0"/>
              <w:rPr>
                <w:sz w:val="24"/>
                <w:szCs w:val="24"/>
                <w:color w:val="auto"/>
              </w:rPr>
            </w:pPr>
          </w:p>
        </w:tc>
        <w:tc>
          <w:tcPr>
            <w:tcW w:w="9560" w:type="dxa"/>
            <w:vAlign w:val="bottom"/>
            <w:tcBorders>
              <w:bottom w:val="single" w:sz="8" w:color="0000EE"/>
            </w:tcBorders>
            <w:gridSpan w:val="33"/>
          </w:tcPr>
          <w:p>
            <w:pPr>
              <w:ind w:left="40"/>
              <w:spacing w:after="0"/>
              <w:rPr>
                <w:rFonts w:ascii="Arial" w:cs="Arial" w:eastAsia="Arial" w:hAnsi="Arial"/>
                <w:sz w:val="22"/>
                <w:szCs w:val="22"/>
                <w:b w:val="1"/>
                <w:bCs w:val="1"/>
                <w:color w:val="0000EE"/>
                <w:w w:val="97"/>
              </w:rPr>
            </w:pPr>
            <w:hyperlink w:anchor="page37">
              <w:r>
                <w:rPr>
                  <w:rFonts w:ascii="Arial" w:cs="Arial" w:eastAsia="Arial" w:hAnsi="Arial"/>
                  <w:sz w:val="22"/>
                  <w:szCs w:val="22"/>
                  <w:b w:val="1"/>
                  <w:bCs w:val="1"/>
                  <w:color w:val="0000EE"/>
                  <w:w w:val="97"/>
                </w:rPr>
                <w:t>PROPOSAL TWO: ADVISORY VOTE ON COMPENSATION OF NAMED EXECUTIVE OFFICERS</w:t>
              </w:r>
            </w:hyperlink>
          </w:p>
        </w:tc>
        <w:tc>
          <w:tcPr>
            <w:tcW w:w="5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534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i</w:t>
      </w:r>
    </w:p>
    <w:p>
      <w:pPr>
        <w:sectPr>
          <w:pgSz w:w="11900" w:h="16838" w:orient="portrait"/>
          <w:cols w:equalWidth="0" w:num="1">
            <w:col w:w="11240"/>
          </w:cols>
          <w:pgMar w:left="240" w:top="459" w:right="419" w:bottom="23"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73"/>
        </w:trPr>
        <w:tc>
          <w:tcPr>
            <w:tcW w:w="20" w:type="dxa"/>
            <w:vAlign w:val="bottom"/>
          </w:tcPr>
          <w:p>
            <w:pPr>
              <w:spacing w:after="0"/>
              <w:rPr>
                <w:sz w:val="23"/>
                <w:szCs w:val="23"/>
                <w:color w:val="auto"/>
              </w:rPr>
            </w:pPr>
          </w:p>
        </w:tc>
        <w:tc>
          <w:tcPr>
            <w:tcW w:w="9640" w:type="dxa"/>
            <w:vAlign w:val="bottom"/>
            <w:gridSpan w:val="34"/>
          </w:tcPr>
          <w:p>
            <w:pPr>
              <w:ind w:left="100"/>
              <w:spacing w:after="0"/>
              <w:rPr>
                <w:rFonts w:ascii="Arial" w:cs="Arial" w:eastAsia="Arial" w:hAnsi="Arial"/>
                <w:sz w:val="22"/>
                <w:szCs w:val="22"/>
                <w:b w:val="1"/>
                <w:bCs w:val="1"/>
                <w:color w:val="0000EE"/>
              </w:rPr>
            </w:pPr>
            <w:hyperlink w:anchor="page38">
              <w:r>
                <w:rPr>
                  <w:rFonts w:ascii="Arial" w:cs="Arial" w:eastAsia="Arial" w:hAnsi="Arial"/>
                  <w:sz w:val="22"/>
                  <w:szCs w:val="22"/>
                  <w:b w:val="1"/>
                  <w:bCs w:val="1"/>
                  <w:color w:val="0000EE"/>
                </w:rPr>
                <w:t>EXECUTIVE COMPENSATION</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Borders>
              <w:bottom w:val="single" w:sz="8" w:color="0000EE"/>
            </w:tcBorders>
            <w:gridSpan w:val="23"/>
          </w:tcPr>
          <w:p>
            <w:pPr>
              <w:spacing w:after="0" w:line="196"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Compensation Discussion and Analysis</w:t>
              </w:r>
            </w:hyperlink>
          </w:p>
        </w:tc>
        <w:tc>
          <w:tcPr>
            <w:tcW w:w="6340" w:type="dxa"/>
            <w:vAlign w:val="bottom"/>
            <w:gridSpan w:val="10"/>
          </w:tcPr>
          <w:p>
            <w:pPr>
              <w:spacing w:after="0"/>
              <w:rPr>
                <w:sz w:val="18"/>
                <w:szCs w:val="18"/>
                <w:color w:val="auto"/>
              </w:rPr>
            </w:pPr>
          </w:p>
        </w:tc>
        <w:tc>
          <w:tcPr>
            <w:tcW w:w="13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32</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3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Executive Summary</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Borders>
              <w:top w:val="single" w:sz="8" w:color="0000EE"/>
            </w:tcBorders>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Key Principles</w:t>
              </w:r>
            </w:hyperlink>
          </w:p>
        </w:tc>
        <w:tc>
          <w:tcPr>
            <w:tcW w:w="7520" w:type="dxa"/>
            <w:vAlign w:val="bottom"/>
            <w:gridSpan w:val="23"/>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3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Key Components of Our Programs</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Compensation Committee Report</w:t>
              </w:r>
            </w:hyperlink>
          </w:p>
        </w:tc>
        <w:tc>
          <w:tcPr>
            <w:tcW w:w="6820" w:type="dxa"/>
            <w:vAlign w:val="bottom"/>
            <w:gridSpan w:val="17"/>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Compensation Tables</w:t>
              </w:r>
            </w:hyperlink>
          </w:p>
        </w:tc>
        <w:tc>
          <w:tcPr>
            <w:tcW w:w="7740" w:type="dxa"/>
            <w:vAlign w:val="bottom"/>
            <w:gridSpan w:val="27"/>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Summary Compensation Table</w:t>
              </w:r>
            </w:hyperlink>
          </w:p>
        </w:tc>
        <w:tc>
          <w:tcPr>
            <w:tcW w:w="6640" w:type="dxa"/>
            <w:vAlign w:val="bottom"/>
            <w:gridSpan w:val="15"/>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Grants of Plan-Based Awards Table</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40" w:type="dxa"/>
            <w:vAlign w:val="bottom"/>
            <w:tcBorders>
              <w:top w:val="single" w:sz="8" w:color="0000EE"/>
            </w:tcBorders>
            <w:gridSpan w:val="2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Outstanding Equity Awards Table</w:t>
              </w:r>
            </w:hyperlink>
          </w:p>
        </w:tc>
        <w:tc>
          <w:tcPr>
            <w:tcW w:w="6280" w:type="dxa"/>
            <w:vAlign w:val="bottom"/>
            <w:gridSpan w:val="9"/>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61">
              <w:r>
                <w:rPr>
                  <w:rFonts w:ascii="Arial" w:cs="Arial" w:eastAsia="Arial" w:hAnsi="Arial"/>
                  <w:sz w:val="18"/>
                  <w:szCs w:val="18"/>
                  <w:color w:val="0000EE"/>
                  <w:w w:val="97"/>
                </w:rPr>
                <w:t>Stock Vested Table</w:t>
              </w:r>
            </w:hyperlink>
          </w:p>
        </w:tc>
        <w:tc>
          <w:tcPr>
            <w:tcW w:w="1100" w:type="dxa"/>
            <w:vAlign w:val="bottom"/>
            <w:tcBorders>
              <w:top w:val="single" w:sz="8" w:color="0000EE"/>
            </w:tcBorders>
            <w:gridSpan w:val="12"/>
          </w:tcPr>
          <w:p>
            <w:pPr>
              <w:spacing w:after="0"/>
              <w:rPr>
                <w:sz w:val="24"/>
                <w:szCs w:val="24"/>
                <w:color w:val="auto"/>
              </w:rPr>
            </w:pPr>
          </w:p>
        </w:tc>
        <w:tc>
          <w:tcPr>
            <w:tcW w:w="6480" w:type="dxa"/>
            <w:vAlign w:val="bottom"/>
            <w:gridSpan w:val="12"/>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Pension Benefits</w:t>
              </w:r>
            </w:hyperlink>
          </w:p>
        </w:tc>
        <w:tc>
          <w:tcPr>
            <w:tcW w:w="7760" w:type="dxa"/>
            <w:vAlign w:val="bottom"/>
            <w:gridSpan w:val="28"/>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3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Nonqualified Deferred Compensation Table</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3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CEO Pay Ratio</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68">
              <w:r>
                <w:rPr>
                  <w:rFonts w:ascii="Arial" w:cs="Arial" w:eastAsia="Arial" w:hAnsi="Arial"/>
                  <w:sz w:val="18"/>
                  <w:szCs w:val="18"/>
                  <w:color w:val="0000EE"/>
                  <w:w w:val="98"/>
                </w:rPr>
                <w:t>Termination Payments and Benefits</w:t>
              </w:r>
            </w:hyperlink>
          </w:p>
        </w:tc>
        <w:tc>
          <w:tcPr>
            <w:tcW w:w="6660" w:type="dxa"/>
            <w:vAlign w:val="bottom"/>
            <w:gridSpan w:val="16"/>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Termination Payment Table</w:t>
              </w:r>
            </w:hyperlink>
          </w:p>
        </w:tc>
        <w:tc>
          <w:tcPr>
            <w:tcW w:w="6940" w:type="dxa"/>
            <w:vAlign w:val="bottom"/>
            <w:gridSpan w:val="18"/>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561"/>
        </w:trPr>
        <w:tc>
          <w:tcPr>
            <w:tcW w:w="20" w:type="dxa"/>
            <w:vAlign w:val="bottom"/>
          </w:tcPr>
          <w:p>
            <w:pPr>
              <w:spacing w:after="0"/>
              <w:rPr>
                <w:sz w:val="24"/>
                <w:szCs w:val="24"/>
                <w:color w:val="auto"/>
              </w:rPr>
            </w:pPr>
          </w:p>
        </w:tc>
        <w:tc>
          <w:tcPr>
            <w:tcW w:w="8660" w:type="dxa"/>
            <w:vAlign w:val="bottom"/>
            <w:tcBorders>
              <w:bottom w:val="single" w:sz="8" w:color="0000EE"/>
            </w:tcBorders>
            <w:gridSpan w:val="33"/>
          </w:tcPr>
          <w:p>
            <w:pPr>
              <w:ind w:left="40"/>
              <w:spacing w:after="0"/>
              <w:rPr>
                <w:rFonts w:ascii="Arial" w:cs="Arial" w:eastAsia="Arial" w:hAnsi="Arial"/>
                <w:sz w:val="22"/>
                <w:szCs w:val="22"/>
                <w:b w:val="1"/>
                <w:bCs w:val="1"/>
                <w:color w:val="0000EE"/>
                <w:w w:val="97"/>
              </w:rPr>
            </w:pPr>
            <w:hyperlink w:anchor="page70">
              <w:r>
                <w:rPr>
                  <w:rFonts w:ascii="Arial" w:cs="Arial" w:eastAsia="Arial" w:hAnsi="Arial"/>
                  <w:sz w:val="22"/>
                  <w:szCs w:val="22"/>
                  <w:b w:val="1"/>
                  <w:bCs w:val="1"/>
                  <w:color w:val="0000EE"/>
                  <w:w w:val="97"/>
                </w:rPr>
                <w:t>PROPOSAL THREE: RATIFICATION OF APPOINTMENT OF INDEPENDENT AUDITOR</w:t>
              </w:r>
            </w:hyperlink>
          </w:p>
        </w:tc>
        <w:tc>
          <w:tcPr>
            <w:tcW w:w="98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Audit Fees and All Other Fees</w:t>
              </w:r>
            </w:hyperlink>
          </w:p>
        </w:tc>
        <w:tc>
          <w:tcPr>
            <w:tcW w:w="7080" w:type="dxa"/>
            <w:vAlign w:val="bottom"/>
            <w:gridSpan w:val="19"/>
          </w:tcPr>
          <w:p>
            <w:pPr>
              <w:spacing w:after="0"/>
              <w:rPr>
                <w:sz w:val="18"/>
                <w:szCs w:val="18"/>
                <w:color w:val="auto"/>
              </w:rPr>
            </w:pPr>
          </w:p>
        </w:tc>
        <w:tc>
          <w:tcPr>
            <w:tcW w:w="13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64</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70">
              <w:r>
                <w:rPr>
                  <w:rFonts w:ascii="Arial" w:cs="Arial" w:eastAsia="Arial" w:hAnsi="Arial"/>
                  <w:sz w:val="18"/>
                  <w:szCs w:val="18"/>
                  <w:color w:val="0000EE"/>
                  <w:w w:val="99"/>
                </w:rPr>
                <w:t>Policy on Audit Committee Pre-Approval of Audit and Permissible Non-Audit Services</w:t>
              </w:r>
            </w:hyperlink>
          </w:p>
        </w:tc>
        <w:tc>
          <w:tcPr>
            <w:tcW w:w="2700" w:type="dxa"/>
            <w:vAlign w:val="bottom"/>
            <w:gridSpan w:val="2"/>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561"/>
        </w:trPr>
        <w:tc>
          <w:tcPr>
            <w:tcW w:w="20" w:type="dxa"/>
            <w:vAlign w:val="bottom"/>
          </w:tcPr>
          <w:p>
            <w:pPr>
              <w:spacing w:after="0"/>
              <w:rPr>
                <w:sz w:val="24"/>
                <w:szCs w:val="24"/>
                <w:color w:val="auto"/>
              </w:rPr>
            </w:pPr>
          </w:p>
        </w:tc>
        <w:tc>
          <w:tcPr>
            <w:tcW w:w="3020" w:type="dxa"/>
            <w:vAlign w:val="bottom"/>
            <w:tcBorders>
              <w:bottom w:val="single" w:sz="8" w:color="0000EE"/>
            </w:tcBorders>
            <w:gridSpan w:val="20"/>
          </w:tcPr>
          <w:p>
            <w:pPr>
              <w:ind w:left="40"/>
              <w:spacing w:after="0"/>
              <w:rPr>
                <w:rFonts w:ascii="Arial" w:cs="Arial" w:eastAsia="Arial" w:hAnsi="Arial"/>
                <w:sz w:val="22"/>
                <w:szCs w:val="22"/>
                <w:b w:val="1"/>
                <w:bCs w:val="1"/>
                <w:color w:val="0000EE"/>
                <w:w w:val="97"/>
              </w:rPr>
            </w:pPr>
            <w:hyperlink w:anchor="page72">
              <w:r>
                <w:rPr>
                  <w:rFonts w:ascii="Arial" w:cs="Arial" w:eastAsia="Arial" w:hAnsi="Arial"/>
                  <w:sz w:val="22"/>
                  <w:szCs w:val="22"/>
                  <w:b w:val="1"/>
                  <w:bCs w:val="1"/>
                  <w:color w:val="0000EE"/>
                  <w:w w:val="97"/>
                </w:rPr>
                <w:t>AUDIT COMMITTEE REPORT</w:t>
              </w:r>
            </w:hyperlink>
          </w:p>
        </w:tc>
        <w:tc>
          <w:tcPr>
            <w:tcW w:w="12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3"/>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5000" w:type="dxa"/>
            <w:vAlign w:val="bottom"/>
            <w:tcBorders>
              <w:bottom w:val="single" w:sz="8" w:color="0000EE"/>
            </w:tcBorders>
            <w:gridSpan w:val="28"/>
          </w:tcPr>
          <w:p>
            <w:pPr>
              <w:ind w:left="40"/>
              <w:spacing w:after="0"/>
              <w:rPr>
                <w:rFonts w:ascii="Arial" w:cs="Arial" w:eastAsia="Arial" w:hAnsi="Arial"/>
                <w:sz w:val="22"/>
                <w:szCs w:val="22"/>
                <w:b w:val="1"/>
                <w:bCs w:val="1"/>
                <w:color w:val="0000EE"/>
                <w:w w:val="97"/>
              </w:rPr>
            </w:pPr>
            <w:hyperlink w:anchor="page73">
              <w:r>
                <w:rPr>
                  <w:rFonts w:ascii="Arial" w:cs="Arial" w:eastAsia="Arial" w:hAnsi="Arial"/>
                  <w:sz w:val="22"/>
                  <w:szCs w:val="22"/>
                  <w:b w:val="1"/>
                  <w:bCs w:val="1"/>
                  <w:color w:val="0000EE"/>
                  <w:w w:val="97"/>
                </w:rPr>
                <w:t>PROPOSAL FOUR: SHAREHOLDER PROPOSAL</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00" w:type="dxa"/>
            <w:vAlign w:val="bottom"/>
            <w:gridSpan w:val="3"/>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6340" w:type="dxa"/>
            <w:vAlign w:val="bottom"/>
            <w:tcBorders>
              <w:bottom w:val="single" w:sz="8" w:color="0000EE"/>
            </w:tcBorders>
            <w:gridSpan w:val="31"/>
          </w:tcPr>
          <w:p>
            <w:pPr>
              <w:ind w:left="40"/>
              <w:spacing w:after="0"/>
              <w:rPr>
                <w:rFonts w:ascii="Arial" w:cs="Arial" w:eastAsia="Arial" w:hAnsi="Arial"/>
                <w:sz w:val="22"/>
                <w:szCs w:val="22"/>
                <w:b w:val="1"/>
                <w:bCs w:val="1"/>
                <w:color w:val="0000EE"/>
                <w:w w:val="97"/>
              </w:rPr>
            </w:pPr>
            <w:hyperlink w:anchor="page75">
              <w:r>
                <w:rPr>
                  <w:rFonts w:ascii="Arial" w:cs="Arial" w:eastAsia="Arial" w:hAnsi="Arial"/>
                  <w:sz w:val="22"/>
                  <w:szCs w:val="22"/>
                  <w:b w:val="1"/>
                  <w:bCs w:val="1"/>
                  <w:color w:val="0000EE"/>
                  <w:w w:val="97"/>
                </w:rPr>
                <w:t>QUESTIONS AND ANSWERS ABOUT THE ANNUAL MEETING</w:t>
              </w:r>
            </w:hyperlink>
          </w:p>
        </w:tc>
        <w:tc>
          <w:tcPr>
            <w:tcW w:w="3300" w:type="dxa"/>
            <w:vAlign w:val="bottom"/>
            <w:gridSpan w:val="3"/>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20"/>
        </w:trPr>
        <w:tc>
          <w:tcPr>
            <w:tcW w:w="20" w:type="dxa"/>
            <w:vAlign w:val="bottom"/>
          </w:tcPr>
          <w:p>
            <w:pPr>
              <w:spacing w:after="0"/>
              <w:rPr>
                <w:sz w:val="24"/>
                <w:szCs w:val="24"/>
                <w:color w:val="auto"/>
              </w:rPr>
            </w:pPr>
          </w:p>
        </w:tc>
        <w:tc>
          <w:tcPr>
            <w:tcW w:w="1920" w:type="dxa"/>
            <w:vAlign w:val="bottom"/>
            <w:tcBorders>
              <w:bottom w:val="single" w:sz="8" w:color="0000EE"/>
            </w:tcBorders>
            <w:gridSpan w:val="8"/>
          </w:tcPr>
          <w:p>
            <w:pPr>
              <w:ind w:left="40"/>
              <w:spacing w:after="0"/>
              <w:rPr>
                <w:rFonts w:ascii="Arial" w:cs="Arial" w:eastAsia="Arial" w:hAnsi="Arial"/>
                <w:sz w:val="22"/>
                <w:szCs w:val="22"/>
                <w:b w:val="1"/>
                <w:bCs w:val="1"/>
                <w:color w:val="0000EE"/>
                <w:w w:val="97"/>
              </w:rPr>
            </w:pPr>
            <w:hyperlink w:anchor="page78">
              <w:r>
                <w:rPr>
                  <w:rFonts w:ascii="Arial" w:cs="Arial" w:eastAsia="Arial" w:hAnsi="Arial"/>
                  <w:sz w:val="22"/>
                  <w:szCs w:val="22"/>
                  <w:b w:val="1"/>
                  <w:bCs w:val="1"/>
                  <w:color w:val="0000EE"/>
                  <w:w w:val="97"/>
                </w:rPr>
                <w:t>MISCELLANEOUS</w:t>
              </w:r>
            </w:hyperlink>
          </w:p>
        </w:tc>
        <w:tc>
          <w:tcPr>
            <w:tcW w:w="1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13"/>
          </w:tcPr>
          <w:p>
            <w:pPr>
              <w:spacing w:after="0"/>
              <w:rPr>
                <w:sz w:val="24"/>
                <w:szCs w:val="24"/>
                <w:color w:val="auto"/>
              </w:rPr>
            </w:pPr>
          </w:p>
        </w:tc>
        <w:tc>
          <w:tcPr>
            <w:tcW w:w="17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4"/>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34"/>
        </w:trPr>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500" w:type="dxa"/>
            <w:vAlign w:val="bottom"/>
            <w:gridSpan w:val="33"/>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Voting on Other Matters</w:t>
              </w:r>
            </w:hyperlink>
          </w:p>
        </w:tc>
        <w:tc>
          <w:tcPr>
            <w:tcW w:w="13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72</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33"/>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Shareholder Proposals for the 2019 Annual Meeting</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60" w:type="dxa"/>
            <w:vAlign w:val="bottom"/>
            <w:gridSpan w:val="13"/>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Shareholder Nominations for Director Election at the 2019 Annual Meeting</w:t>
              </w:r>
            </w:hyperlink>
          </w:p>
        </w:tc>
        <w:tc>
          <w:tcPr>
            <w:tcW w:w="3580" w:type="dxa"/>
            <w:vAlign w:val="bottom"/>
            <w:gridSpan w:val="4"/>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Householding Information</w:t>
              </w:r>
            </w:hyperlink>
          </w:p>
        </w:tc>
        <w:tc>
          <w:tcPr>
            <w:tcW w:w="7440" w:type="dxa"/>
            <w:vAlign w:val="bottom"/>
            <w:gridSpan w:val="21"/>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Cost of Soliciting Proxies</w:t>
              </w:r>
            </w:hyperlink>
          </w:p>
        </w:tc>
        <w:tc>
          <w:tcPr>
            <w:tcW w:w="7500" w:type="dxa"/>
            <w:vAlign w:val="bottom"/>
            <w:gridSpan w:val="22"/>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3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Available Information</w:t>
              </w:r>
            </w:hyperlink>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3720" w:type="dxa"/>
            <w:vAlign w:val="bottom"/>
            <w:gridSpan w:val="15"/>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Incorporation by Reference</w:t>
              </w:r>
            </w:hyperlink>
          </w:p>
        </w:tc>
        <w:tc>
          <w:tcPr>
            <w:tcW w:w="7320" w:type="dxa"/>
            <w:vAlign w:val="bottom"/>
            <w:gridSpan w:val="20"/>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34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Annual Report</w:t>
              </w:r>
            </w:hyperlink>
          </w:p>
        </w:tc>
        <w:tc>
          <w:tcPr>
            <w:tcW w:w="8280" w:type="dxa"/>
            <w:vAlign w:val="bottom"/>
            <w:gridSpan w:val="31"/>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561"/>
        </w:trPr>
        <w:tc>
          <w:tcPr>
            <w:tcW w:w="20" w:type="dxa"/>
            <w:vAlign w:val="bottom"/>
          </w:tcPr>
          <w:p>
            <w:pPr>
              <w:spacing w:after="0"/>
              <w:rPr>
                <w:sz w:val="24"/>
                <w:szCs w:val="24"/>
                <w:color w:val="auto"/>
              </w:rPr>
            </w:pPr>
          </w:p>
        </w:tc>
        <w:tc>
          <w:tcPr>
            <w:tcW w:w="6040" w:type="dxa"/>
            <w:vAlign w:val="bottom"/>
            <w:tcBorders>
              <w:bottom w:val="single" w:sz="8" w:color="0000EE"/>
            </w:tcBorders>
            <w:gridSpan w:val="29"/>
          </w:tcPr>
          <w:p>
            <w:pPr>
              <w:spacing w:after="0"/>
              <w:rPr>
                <w:rFonts w:ascii="Arial" w:cs="Arial" w:eastAsia="Arial" w:hAnsi="Arial"/>
                <w:sz w:val="22"/>
                <w:szCs w:val="22"/>
                <w:b w:val="1"/>
                <w:bCs w:val="1"/>
                <w:color w:val="0000EE"/>
                <w:w w:val="97"/>
              </w:rPr>
            </w:pPr>
            <w:hyperlink w:anchor="page80">
              <w:r>
                <w:rPr>
                  <w:rFonts w:ascii="Arial" w:cs="Arial" w:eastAsia="Arial" w:hAnsi="Arial"/>
                  <w:sz w:val="22"/>
                  <w:szCs w:val="22"/>
                  <w:b w:val="1"/>
                  <w:bCs w:val="1"/>
                  <w:color w:val="0000EE"/>
                  <w:w w:val="97"/>
                </w:rPr>
                <w:t>APPENDIX A - USE OF NON-GAAP FINANCIAL MEASURES</w:t>
              </w:r>
            </w:hyperlink>
          </w:p>
        </w:tc>
        <w:tc>
          <w:tcPr>
            <w:tcW w:w="3600" w:type="dxa"/>
            <w:vAlign w:val="bottom"/>
            <w:gridSpan w:val="5"/>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A-1</w:t>
            </w:r>
          </w:p>
        </w:tc>
      </w:tr>
      <w:tr>
        <w:trPr>
          <w:trHeight w:val="34"/>
        </w:trPr>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76"/>
        </w:trPr>
        <w:tc>
          <w:tcPr>
            <w:tcW w:w="9660" w:type="dxa"/>
            <w:vAlign w:val="bottom"/>
            <w:gridSpan w:val="35"/>
          </w:tcPr>
          <w:p>
            <w:pPr>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14"/>
                <w:szCs w:val="14"/>
                <w:color w:val="276092"/>
              </w:rPr>
              <w:t>NOTICE OF 2018 ANNUAL MEETING OF SHAREHOLDERS AND PROXY STATEMENT</w:t>
            </w:r>
          </w:p>
        </w:tc>
        <w:tc>
          <w:tcPr>
            <w:tcW w:w="1380" w:type="dxa"/>
            <w:vAlign w:val="bottom"/>
          </w:tcPr>
          <w:p>
            <w:pPr>
              <w:spacing w:after="0"/>
              <w:rPr>
                <w:sz w:val="24"/>
                <w:szCs w:val="24"/>
                <w:color w:val="auto"/>
              </w:rPr>
            </w:pPr>
          </w:p>
        </w:tc>
      </w:tr>
    </w:tbl>
    <w:p>
      <w:pPr>
        <w:sectPr>
          <w:pgSz w:w="11900" w:h="16838" w:orient="portrait"/>
          <w:cols w:equalWidth="0" w:num="1">
            <w:col w:w="11240"/>
          </w:cols>
          <w:pgMar w:left="240" w:top="459" w:right="419" w:bottom="1153"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summary highlights information contained elsewhere in this Proxy Statement, reflecting business, compensation and corporate governance highlights. For additional information about these topics, please refer to the discussions contained in this Proxy Statement and in our Annual Report on Form 10-K for the year ended December 31, 2017 (2017 Form 10-K) filed with the United States (U.S.) Securities and Exchange Commission (SEC) on January 29, 2018. This Proxy Statement contains certain non-GAAP (accounting principles generally accepted in the United States of America) financial measures, which are identified with asterisks. For more information, including definitions, reconciliations to the most directly comparable GAAP measure and why we believe these measures may be useful to investors, see “Appendix A - Use of Non-GAAP Financial Measures.” We intend to mail a Notice of Internet Availability of Proxy Materials to shareholders of record and to make this Proxy Statement and accompanying materials available on the internet on or about March 30, 2018.</w:t>
      </w:r>
    </w:p>
    <w:p>
      <w:pPr>
        <w:spacing w:after="0" w:line="32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Performance Highlights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Our focus on performance, portfolio and capital deployment continues to strengthen our foundation for long-term profitable growth and create value for our shareholders, customers and employees.</w:t>
      </w:r>
    </w:p>
    <w:p>
      <w:pPr>
        <w:spacing w:after="0" w:line="89"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2017 was another year of strong performance for our company. All three of our sectors generated excellent results that contributed to a 5% sales increase and an 11.5% segment operating margin rate*. Excluding the impacts of 2017 tax reform and the related discretionary contribution we made to our pension plans, diluted EPS grew by 9% to $ 13.28*. As a result of our strong performance our 2017 total shareholder return (TSR) was 33.9% versus 21.8% for the S&amp;P 500, the ninth consecutive year that our TSR has outperformed the S&amp;P 500.</w:t>
      </w:r>
    </w:p>
    <w:p>
      <w:pPr>
        <w:spacing w:after="0" w:line="95"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operations continued to generate strong cash flow. Before our discretionary pension contribution, cash provided by operations totaled $2.9 billion and free cash flow* totaled more than $2 billion. Our strong cash generation enabled us to continue deploying cash for the benefit of our customers, shareholders and employees. In 2017 our capital expenditures totaled $928 million and we invested $639 million in R&amp;D. Our capital expenditures continue to be elevated as we invest to strengthen the foundation for long-term profitable growth and drive affordability for our customers. In addition to these investments in our business, we also reached an agreement to acquire Orbital ATK, which will enhance our position in the space, missile and missile defense market domains.</w:t>
      </w:r>
    </w:p>
    <w:p>
      <w:pPr>
        <w:spacing w:after="0" w:line="124"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We continued to return cash to shareholders. 2017 share repurchases totaled $393 million, and dividends totaled $689 million, including an 11% increase in May, our 14th consecutive annual increase.</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345"/>
        </w:trPr>
        <w:tc>
          <w:tcPr>
            <w:tcW w:w="1500" w:type="dxa"/>
            <w:vAlign w:val="bottom"/>
            <w:shd w:val="clear" w:color="auto" w:fill="BECFDE"/>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shd w:val="clear" w:color="auto" w:fill="BECFDE"/>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shd w:val="clear" w:color="auto" w:fill="BECFDE"/>
          </w:tcPr>
          <w:p>
            <w:pPr>
              <w:jc w:val="center"/>
              <w:spacing w:after="0"/>
              <w:rPr>
                <w:sz w:val="20"/>
                <w:szCs w:val="20"/>
                <w:color w:val="auto"/>
              </w:rPr>
            </w:pPr>
            <w:r>
              <w:rPr>
                <w:rFonts w:ascii="Arial" w:cs="Arial" w:eastAsia="Arial" w:hAnsi="Arial"/>
                <w:sz w:val="22"/>
                <w:szCs w:val="22"/>
                <w:b w:val="1"/>
                <w:bCs w:val="1"/>
                <w:color w:val="276092"/>
                <w:w w:val="98"/>
              </w:rPr>
              <w:t>$689 million</w:t>
            </w:r>
          </w:p>
        </w:tc>
        <w:tc>
          <w:tcPr>
            <w:tcW w:w="360" w:type="dxa"/>
            <w:vAlign w:val="bottom"/>
          </w:tcPr>
          <w:p>
            <w:pPr>
              <w:spacing w:after="0"/>
              <w:rPr>
                <w:sz w:val="24"/>
                <w:szCs w:val="24"/>
                <w:color w:val="auto"/>
              </w:rPr>
            </w:pPr>
          </w:p>
        </w:tc>
        <w:tc>
          <w:tcPr>
            <w:tcW w:w="1760" w:type="dxa"/>
            <w:vAlign w:val="bottom"/>
            <w:shd w:val="clear" w:color="auto" w:fill="BECFDE"/>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shd w:val="clear" w:color="auto" w:fill="BECFD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00" w:type="dxa"/>
            <w:vAlign w:val="bottom"/>
            <w:shd w:val="clear" w:color="auto" w:fill="BECFDE"/>
          </w:tcPr>
          <w:p>
            <w:pPr>
              <w:spacing w:after="0"/>
              <w:rPr>
                <w:sz w:val="23"/>
                <w:szCs w:val="23"/>
                <w:color w:val="auto"/>
              </w:rPr>
            </w:pPr>
          </w:p>
        </w:tc>
        <w:tc>
          <w:tcPr>
            <w:tcW w:w="340" w:type="dxa"/>
            <w:vAlign w:val="bottom"/>
          </w:tcPr>
          <w:p>
            <w:pPr>
              <w:spacing w:after="0"/>
              <w:rPr>
                <w:sz w:val="23"/>
                <w:szCs w:val="23"/>
                <w:color w:val="auto"/>
              </w:rPr>
            </w:pPr>
          </w:p>
        </w:tc>
        <w:tc>
          <w:tcPr>
            <w:tcW w:w="202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8"/>
              </w:rPr>
              <w:t xml:space="preserve">5% </w:t>
            </w:r>
            <w:r>
              <w:rPr>
                <w:rFonts w:ascii="Arial" w:cs="Arial" w:eastAsia="Arial" w:hAnsi="Arial"/>
                <w:sz w:val="22"/>
                <w:szCs w:val="22"/>
                <w:color w:val="000000"/>
                <w:w w:val="98"/>
              </w:rPr>
              <w:t>Sales increase</w:t>
            </w:r>
          </w:p>
        </w:tc>
        <w:tc>
          <w:tcPr>
            <w:tcW w:w="380" w:type="dxa"/>
            <w:vAlign w:val="bottom"/>
          </w:tcPr>
          <w:p>
            <w:pPr>
              <w:spacing w:after="0"/>
              <w:rPr>
                <w:sz w:val="23"/>
                <w:szCs w:val="23"/>
                <w:color w:val="auto"/>
              </w:rPr>
            </w:pPr>
          </w:p>
        </w:tc>
        <w:tc>
          <w:tcPr>
            <w:tcW w:w="1840" w:type="dxa"/>
            <w:vAlign w:val="bottom"/>
            <w:shd w:val="clear" w:color="auto" w:fill="BECFDE"/>
          </w:tcPr>
          <w:p>
            <w:pPr>
              <w:jc w:val="center"/>
              <w:spacing w:after="0"/>
              <w:rPr>
                <w:sz w:val="20"/>
                <w:szCs w:val="20"/>
                <w:color w:val="auto"/>
              </w:rPr>
            </w:pPr>
            <w:r>
              <w:rPr>
                <w:rFonts w:ascii="Arial" w:cs="Arial" w:eastAsia="Arial" w:hAnsi="Arial"/>
                <w:sz w:val="22"/>
                <w:szCs w:val="22"/>
                <w:color w:val="auto"/>
                <w:w w:val="98"/>
              </w:rPr>
              <w:t>paid in dividends</w:t>
            </w:r>
          </w:p>
        </w:tc>
        <w:tc>
          <w:tcPr>
            <w:tcW w:w="360" w:type="dxa"/>
            <w:vAlign w:val="bottom"/>
          </w:tcPr>
          <w:p>
            <w:pPr>
              <w:spacing w:after="0"/>
              <w:rPr>
                <w:sz w:val="23"/>
                <w:szCs w:val="23"/>
                <w:color w:val="auto"/>
              </w:rPr>
            </w:pPr>
          </w:p>
        </w:tc>
        <w:tc>
          <w:tcPr>
            <w:tcW w:w="176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8"/>
              </w:rPr>
              <w:t>3% reduction in</w:t>
            </w:r>
          </w:p>
        </w:tc>
        <w:tc>
          <w:tcPr>
            <w:tcW w:w="380" w:type="dxa"/>
            <w:vAlign w:val="bottom"/>
          </w:tcPr>
          <w:p>
            <w:pPr>
              <w:spacing w:after="0"/>
              <w:rPr>
                <w:sz w:val="23"/>
                <w:szCs w:val="23"/>
                <w:color w:val="auto"/>
              </w:rPr>
            </w:pPr>
          </w:p>
        </w:tc>
        <w:tc>
          <w:tcPr>
            <w:tcW w:w="1860" w:type="dxa"/>
            <w:vAlign w:val="bottom"/>
            <w:shd w:val="clear" w:color="auto" w:fill="BECFDE"/>
          </w:tcPr>
          <w:p>
            <w:pPr>
              <w:jc w:val="center"/>
              <w:spacing w:after="0"/>
              <w:rPr>
                <w:sz w:val="20"/>
                <w:szCs w:val="20"/>
                <w:color w:val="auto"/>
              </w:rPr>
            </w:pPr>
            <w:r>
              <w:rPr>
                <w:rFonts w:ascii="Arial" w:cs="Arial" w:eastAsia="Arial" w:hAnsi="Arial"/>
                <w:sz w:val="22"/>
                <w:szCs w:val="22"/>
                <w:color w:val="auto"/>
                <w:w w:val="97"/>
              </w:rPr>
              <w:t>Capital spending</w:t>
            </w:r>
          </w:p>
        </w:tc>
        <w:tc>
          <w:tcPr>
            <w:tcW w:w="0" w:type="dxa"/>
            <w:vAlign w:val="bottom"/>
          </w:tcPr>
          <w:p>
            <w:pPr>
              <w:spacing w:after="0"/>
              <w:rPr>
                <w:sz w:val="1"/>
                <w:szCs w:val="1"/>
                <w:color w:val="auto"/>
              </w:rPr>
            </w:pPr>
          </w:p>
        </w:tc>
      </w:tr>
      <w:tr>
        <w:trPr>
          <w:trHeight w:val="122"/>
        </w:trPr>
        <w:tc>
          <w:tcPr>
            <w:tcW w:w="1500" w:type="dxa"/>
            <w:vAlign w:val="bottom"/>
            <w:shd w:val="clear" w:color="auto" w:fill="BECFDE"/>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vMerge w:val="continue"/>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shd w:val="clear" w:color="auto" w:fill="BECFDE"/>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vMerge w:val="continue"/>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8"/>
              </w:rPr>
              <w:t xml:space="preserve">of </w:t>
            </w:r>
            <w:r>
              <w:rPr>
                <w:rFonts w:ascii="Arial" w:cs="Arial" w:eastAsia="Arial" w:hAnsi="Arial"/>
                <w:sz w:val="22"/>
                <w:szCs w:val="22"/>
                <w:b w:val="1"/>
                <w:bCs w:val="1"/>
                <w:color w:val="276092"/>
                <w:w w:val="98"/>
              </w:rPr>
              <w:t>$928 million</w:t>
            </w:r>
          </w:p>
        </w:tc>
        <w:tc>
          <w:tcPr>
            <w:tcW w:w="0" w:type="dxa"/>
            <w:vAlign w:val="bottom"/>
          </w:tcPr>
          <w:p>
            <w:pPr>
              <w:spacing w:after="0"/>
              <w:rPr>
                <w:sz w:val="1"/>
                <w:szCs w:val="1"/>
                <w:color w:val="auto"/>
              </w:rPr>
            </w:pPr>
          </w:p>
        </w:tc>
      </w:tr>
      <w:tr>
        <w:trPr>
          <w:trHeight w:val="164"/>
        </w:trPr>
        <w:tc>
          <w:tcPr>
            <w:tcW w:w="150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7"/>
              </w:rPr>
              <w:t>33.9% Total</w:t>
            </w:r>
          </w:p>
        </w:tc>
        <w:tc>
          <w:tcPr>
            <w:tcW w:w="340" w:type="dxa"/>
            <w:vAlign w:val="bottom"/>
          </w:tcPr>
          <w:p>
            <w:pPr>
              <w:spacing w:after="0"/>
              <w:rPr>
                <w:sz w:val="14"/>
                <w:szCs w:val="14"/>
                <w:color w:val="auto"/>
              </w:rPr>
            </w:pPr>
          </w:p>
        </w:tc>
        <w:tc>
          <w:tcPr>
            <w:tcW w:w="202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8"/>
              </w:rPr>
              <w:t xml:space="preserve">to </w:t>
            </w:r>
            <w:r>
              <w:rPr>
                <w:rFonts w:ascii="Arial" w:cs="Arial" w:eastAsia="Arial" w:hAnsi="Arial"/>
                <w:sz w:val="22"/>
                <w:szCs w:val="22"/>
                <w:b w:val="1"/>
                <w:bCs w:val="1"/>
                <w:color w:val="276092"/>
                <w:w w:val="98"/>
              </w:rPr>
              <w:t>$25.8 billion</w:t>
            </w:r>
          </w:p>
        </w:tc>
        <w:tc>
          <w:tcPr>
            <w:tcW w:w="380" w:type="dxa"/>
            <w:vAlign w:val="bottom"/>
          </w:tcPr>
          <w:p>
            <w:pPr>
              <w:spacing w:after="0"/>
              <w:rPr>
                <w:sz w:val="14"/>
                <w:szCs w:val="14"/>
                <w:color w:val="auto"/>
              </w:rPr>
            </w:pPr>
          </w:p>
        </w:tc>
        <w:tc>
          <w:tcPr>
            <w:tcW w:w="184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8"/>
              </w:rPr>
              <w:t xml:space="preserve">11% </w:t>
            </w:r>
            <w:r>
              <w:rPr>
                <w:rFonts w:ascii="Arial" w:cs="Arial" w:eastAsia="Arial" w:hAnsi="Arial"/>
                <w:sz w:val="22"/>
                <w:szCs w:val="22"/>
                <w:color w:val="000000"/>
                <w:w w:val="98"/>
              </w:rPr>
              <w:t>quarterly</w:t>
            </w:r>
          </w:p>
        </w:tc>
        <w:tc>
          <w:tcPr>
            <w:tcW w:w="360" w:type="dxa"/>
            <w:vAlign w:val="bottom"/>
          </w:tcPr>
          <w:p>
            <w:pPr>
              <w:spacing w:after="0"/>
              <w:rPr>
                <w:sz w:val="14"/>
                <w:szCs w:val="14"/>
                <w:color w:val="auto"/>
              </w:rPr>
            </w:pPr>
          </w:p>
        </w:tc>
        <w:tc>
          <w:tcPr>
            <w:tcW w:w="176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7"/>
              </w:rPr>
              <w:t>weighted</w:t>
            </w:r>
          </w:p>
        </w:tc>
        <w:tc>
          <w:tcPr>
            <w:tcW w:w="380" w:type="dxa"/>
            <w:vAlign w:val="bottom"/>
          </w:tcPr>
          <w:p>
            <w:pPr>
              <w:spacing w:after="0"/>
              <w:rPr>
                <w:sz w:val="14"/>
                <w:szCs w:val="14"/>
                <w:color w:val="auto"/>
              </w:rPr>
            </w:pPr>
          </w:p>
        </w:tc>
        <w:tc>
          <w:tcPr>
            <w:tcW w:w="1860" w:type="dxa"/>
            <w:vAlign w:val="bottom"/>
            <w:vMerge w:val="continue"/>
            <w:shd w:val="clear" w:color="auto" w:fill="BECFD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500" w:type="dxa"/>
            <w:vAlign w:val="bottom"/>
            <w:vMerge w:val="continue"/>
            <w:shd w:val="clear" w:color="auto" w:fill="BECFDE"/>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vMerge w:val="continue"/>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vMerge w:val="continue"/>
            <w:shd w:val="clear" w:color="auto" w:fill="BECFDE"/>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vMerge w:val="continue"/>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shd w:val="clear" w:color="auto" w:fill="BECFD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500" w:type="dxa"/>
            <w:vAlign w:val="bottom"/>
            <w:shd w:val="clear" w:color="auto" w:fill="BECFDE"/>
          </w:tcPr>
          <w:p>
            <w:pPr>
              <w:jc w:val="center"/>
              <w:spacing w:after="0" w:line="210" w:lineRule="exact"/>
              <w:rPr>
                <w:sz w:val="20"/>
                <w:szCs w:val="20"/>
                <w:color w:val="auto"/>
              </w:rPr>
            </w:pPr>
            <w:r>
              <w:rPr>
                <w:rFonts w:ascii="Arial" w:cs="Arial" w:eastAsia="Arial" w:hAnsi="Arial"/>
                <w:sz w:val="22"/>
                <w:szCs w:val="22"/>
                <w:b w:val="1"/>
                <w:bCs w:val="1"/>
                <w:color w:val="276092"/>
                <w:w w:val="98"/>
              </w:rPr>
              <w:t>Shareholder</w:t>
            </w:r>
          </w:p>
        </w:tc>
        <w:tc>
          <w:tcPr>
            <w:tcW w:w="340" w:type="dxa"/>
            <w:vAlign w:val="bottom"/>
          </w:tcPr>
          <w:p>
            <w:pPr>
              <w:spacing w:after="0"/>
              <w:rPr>
                <w:sz w:val="18"/>
                <w:szCs w:val="18"/>
                <w:color w:val="auto"/>
              </w:rPr>
            </w:pPr>
          </w:p>
        </w:tc>
        <w:tc>
          <w:tcPr>
            <w:tcW w:w="2020" w:type="dxa"/>
            <w:vAlign w:val="bottom"/>
            <w:shd w:val="clear" w:color="auto" w:fill="BECFDE"/>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7"/>
              </w:rPr>
              <w:t>dividend</w:t>
            </w:r>
          </w:p>
        </w:tc>
        <w:tc>
          <w:tcPr>
            <w:tcW w:w="360" w:type="dxa"/>
            <w:vAlign w:val="bottom"/>
          </w:tcPr>
          <w:p>
            <w:pPr>
              <w:spacing w:after="0"/>
              <w:rPr>
                <w:sz w:val="18"/>
                <w:szCs w:val="18"/>
                <w:color w:val="auto"/>
              </w:rPr>
            </w:pPr>
          </w:p>
        </w:tc>
        <w:tc>
          <w:tcPr>
            <w:tcW w:w="1760" w:type="dxa"/>
            <w:vAlign w:val="bottom"/>
            <w:shd w:val="clear" w:color="auto" w:fill="BECFDE"/>
          </w:tcPr>
          <w:p>
            <w:pPr>
              <w:jc w:val="center"/>
              <w:spacing w:after="0" w:line="210" w:lineRule="exact"/>
              <w:rPr>
                <w:sz w:val="20"/>
                <w:szCs w:val="20"/>
                <w:color w:val="auto"/>
              </w:rPr>
            </w:pPr>
            <w:r>
              <w:rPr>
                <w:rFonts w:ascii="Arial" w:cs="Arial" w:eastAsia="Arial" w:hAnsi="Arial"/>
                <w:sz w:val="22"/>
                <w:szCs w:val="22"/>
                <w:color w:val="auto"/>
                <w:w w:val="98"/>
              </w:rPr>
              <w:t>average diluted</w:t>
            </w:r>
          </w:p>
        </w:tc>
        <w:tc>
          <w:tcPr>
            <w:tcW w:w="380" w:type="dxa"/>
            <w:vAlign w:val="bottom"/>
          </w:tcPr>
          <w:p>
            <w:pPr>
              <w:spacing w:after="0"/>
              <w:rPr>
                <w:sz w:val="18"/>
                <w:szCs w:val="18"/>
                <w:color w:val="auto"/>
              </w:rPr>
            </w:pPr>
          </w:p>
        </w:tc>
        <w:tc>
          <w:tcPr>
            <w:tcW w:w="186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8"/>
              </w:rPr>
              <w:t>Internal R&amp;D</w:t>
            </w:r>
          </w:p>
        </w:tc>
        <w:tc>
          <w:tcPr>
            <w:tcW w:w="0" w:type="dxa"/>
            <w:vAlign w:val="bottom"/>
          </w:tcPr>
          <w:p>
            <w:pPr>
              <w:spacing w:after="0"/>
              <w:rPr>
                <w:sz w:val="1"/>
                <w:szCs w:val="1"/>
                <w:color w:val="auto"/>
              </w:rPr>
            </w:pPr>
          </w:p>
        </w:tc>
      </w:tr>
      <w:tr>
        <w:trPr>
          <w:trHeight w:val="87"/>
        </w:trPr>
        <w:tc>
          <w:tcPr>
            <w:tcW w:w="150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8"/>
              </w:rPr>
              <w:t>Return</w:t>
            </w:r>
          </w:p>
        </w:tc>
        <w:tc>
          <w:tcPr>
            <w:tcW w:w="340" w:type="dxa"/>
            <w:vAlign w:val="bottom"/>
          </w:tcPr>
          <w:p>
            <w:pPr>
              <w:spacing w:after="0"/>
              <w:rPr>
                <w:sz w:val="7"/>
                <w:szCs w:val="7"/>
                <w:color w:val="auto"/>
              </w:rPr>
            </w:pPr>
          </w:p>
        </w:tc>
        <w:tc>
          <w:tcPr>
            <w:tcW w:w="202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6"/>
              </w:rPr>
              <w:t>Total backlog of</w:t>
            </w:r>
          </w:p>
        </w:tc>
        <w:tc>
          <w:tcPr>
            <w:tcW w:w="380" w:type="dxa"/>
            <w:vAlign w:val="bottom"/>
          </w:tcPr>
          <w:p>
            <w:pPr>
              <w:spacing w:after="0"/>
              <w:rPr>
                <w:sz w:val="7"/>
                <w:szCs w:val="7"/>
                <w:color w:val="auto"/>
              </w:rPr>
            </w:pPr>
          </w:p>
        </w:tc>
        <w:tc>
          <w:tcPr>
            <w:tcW w:w="1840" w:type="dxa"/>
            <w:vAlign w:val="bottom"/>
            <w:vMerge w:val="continue"/>
            <w:shd w:val="clear" w:color="auto" w:fill="BECFDE"/>
          </w:tcPr>
          <w:p>
            <w:pPr>
              <w:spacing w:after="0"/>
              <w:rPr>
                <w:sz w:val="7"/>
                <w:szCs w:val="7"/>
                <w:color w:val="auto"/>
              </w:rPr>
            </w:pPr>
          </w:p>
        </w:tc>
        <w:tc>
          <w:tcPr>
            <w:tcW w:w="360" w:type="dxa"/>
            <w:vAlign w:val="bottom"/>
          </w:tcPr>
          <w:p>
            <w:pPr>
              <w:spacing w:after="0"/>
              <w:rPr>
                <w:sz w:val="7"/>
                <w:szCs w:val="7"/>
                <w:color w:val="auto"/>
              </w:rPr>
            </w:pPr>
          </w:p>
        </w:tc>
        <w:tc>
          <w:tcPr>
            <w:tcW w:w="176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9"/>
              </w:rPr>
              <w:t>shares</w:t>
            </w:r>
          </w:p>
        </w:tc>
        <w:tc>
          <w:tcPr>
            <w:tcW w:w="380" w:type="dxa"/>
            <w:vAlign w:val="bottom"/>
          </w:tcPr>
          <w:p>
            <w:pPr>
              <w:spacing w:after="0"/>
              <w:rPr>
                <w:sz w:val="7"/>
                <w:szCs w:val="7"/>
                <w:color w:val="auto"/>
              </w:rPr>
            </w:pPr>
          </w:p>
        </w:tc>
        <w:tc>
          <w:tcPr>
            <w:tcW w:w="186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00" w:type="dxa"/>
            <w:vAlign w:val="bottom"/>
            <w:vMerge w:val="continue"/>
            <w:shd w:val="clear" w:color="auto" w:fill="BECFDE"/>
          </w:tcPr>
          <w:p>
            <w:pPr>
              <w:spacing w:after="0"/>
              <w:rPr>
                <w:sz w:val="21"/>
                <w:szCs w:val="21"/>
                <w:color w:val="auto"/>
              </w:rPr>
            </w:pPr>
          </w:p>
        </w:tc>
        <w:tc>
          <w:tcPr>
            <w:tcW w:w="340" w:type="dxa"/>
            <w:vAlign w:val="bottom"/>
          </w:tcPr>
          <w:p>
            <w:pPr>
              <w:spacing w:after="0"/>
              <w:rPr>
                <w:sz w:val="21"/>
                <w:szCs w:val="21"/>
                <w:color w:val="auto"/>
              </w:rPr>
            </w:pPr>
          </w:p>
        </w:tc>
        <w:tc>
          <w:tcPr>
            <w:tcW w:w="2020" w:type="dxa"/>
            <w:vAlign w:val="bottom"/>
            <w:vMerge w:val="continue"/>
            <w:shd w:val="clear" w:color="auto" w:fill="BECFDE"/>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shd w:val="clear" w:color="auto" w:fill="BECFDE"/>
          </w:tcPr>
          <w:p>
            <w:pPr>
              <w:jc w:val="center"/>
              <w:spacing w:after="0" w:line="243" w:lineRule="exact"/>
              <w:rPr>
                <w:sz w:val="20"/>
                <w:szCs w:val="20"/>
                <w:color w:val="auto"/>
              </w:rPr>
            </w:pPr>
            <w:r>
              <w:rPr>
                <w:rFonts w:ascii="Arial" w:cs="Arial" w:eastAsia="Arial" w:hAnsi="Arial"/>
                <w:sz w:val="22"/>
                <w:szCs w:val="22"/>
                <w:color w:val="auto"/>
                <w:w w:val="98"/>
              </w:rPr>
              <w:t xml:space="preserve">increase, </w:t>
            </w:r>
            <w:r>
              <w:rPr>
                <w:rFonts w:ascii="Arial" w:cs="Arial" w:eastAsia="Arial" w:hAnsi="Arial"/>
                <w:sz w:val="22"/>
                <w:szCs w:val="22"/>
                <w:b w:val="1"/>
                <w:bCs w:val="1"/>
                <w:color w:val="276092"/>
                <w:w w:val="98"/>
              </w:rPr>
              <w:t>14th</w:t>
            </w:r>
          </w:p>
        </w:tc>
        <w:tc>
          <w:tcPr>
            <w:tcW w:w="360" w:type="dxa"/>
            <w:vAlign w:val="bottom"/>
          </w:tcPr>
          <w:p>
            <w:pPr>
              <w:spacing w:after="0"/>
              <w:rPr>
                <w:sz w:val="21"/>
                <w:szCs w:val="21"/>
                <w:color w:val="auto"/>
              </w:rPr>
            </w:pPr>
          </w:p>
        </w:tc>
        <w:tc>
          <w:tcPr>
            <w:tcW w:w="1760" w:type="dxa"/>
            <w:vAlign w:val="bottom"/>
            <w:vMerge w:val="continue"/>
            <w:shd w:val="clear" w:color="auto" w:fill="BECFDE"/>
          </w:tcPr>
          <w:p>
            <w:pPr>
              <w:spacing w:after="0"/>
              <w:rPr>
                <w:sz w:val="21"/>
                <w:szCs w:val="21"/>
                <w:color w:val="auto"/>
              </w:rPr>
            </w:pPr>
          </w:p>
        </w:tc>
        <w:tc>
          <w:tcPr>
            <w:tcW w:w="380" w:type="dxa"/>
            <w:vAlign w:val="bottom"/>
          </w:tcPr>
          <w:p>
            <w:pPr>
              <w:spacing w:after="0"/>
              <w:rPr>
                <w:sz w:val="21"/>
                <w:szCs w:val="21"/>
                <w:color w:val="auto"/>
              </w:rPr>
            </w:pPr>
          </w:p>
        </w:tc>
        <w:tc>
          <w:tcPr>
            <w:tcW w:w="1860" w:type="dxa"/>
            <w:vAlign w:val="bottom"/>
            <w:shd w:val="clear" w:color="auto" w:fill="BECFDE"/>
          </w:tcPr>
          <w:p>
            <w:pPr>
              <w:jc w:val="center"/>
              <w:spacing w:after="0" w:line="243" w:lineRule="exact"/>
              <w:rPr>
                <w:sz w:val="20"/>
                <w:szCs w:val="20"/>
                <w:color w:val="auto"/>
              </w:rPr>
            </w:pPr>
            <w:r>
              <w:rPr>
                <w:rFonts w:ascii="Arial" w:cs="Arial" w:eastAsia="Arial" w:hAnsi="Arial"/>
                <w:sz w:val="22"/>
                <w:szCs w:val="22"/>
                <w:color w:val="auto"/>
                <w:w w:val="98"/>
              </w:rPr>
              <w:t>spending of</w:t>
            </w:r>
          </w:p>
        </w:tc>
        <w:tc>
          <w:tcPr>
            <w:tcW w:w="0" w:type="dxa"/>
            <w:vAlign w:val="bottom"/>
          </w:tcPr>
          <w:p>
            <w:pPr>
              <w:spacing w:after="0"/>
              <w:rPr>
                <w:sz w:val="1"/>
                <w:szCs w:val="1"/>
                <w:color w:val="auto"/>
              </w:rPr>
            </w:pPr>
          </w:p>
        </w:tc>
      </w:tr>
      <w:tr>
        <w:trPr>
          <w:trHeight w:val="237"/>
        </w:trPr>
        <w:tc>
          <w:tcPr>
            <w:tcW w:w="1500" w:type="dxa"/>
            <w:vAlign w:val="bottom"/>
            <w:shd w:val="clear" w:color="auto" w:fill="BECFDE"/>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shd w:val="clear" w:color="auto" w:fill="BECFDE"/>
          </w:tcPr>
          <w:p>
            <w:pPr>
              <w:jc w:val="center"/>
              <w:spacing w:after="0" w:line="237" w:lineRule="exact"/>
              <w:rPr>
                <w:sz w:val="20"/>
                <w:szCs w:val="20"/>
                <w:color w:val="auto"/>
              </w:rPr>
            </w:pPr>
            <w:r>
              <w:rPr>
                <w:rFonts w:ascii="Arial" w:cs="Arial" w:eastAsia="Arial" w:hAnsi="Arial"/>
                <w:sz w:val="22"/>
                <w:szCs w:val="22"/>
                <w:color w:val="auto"/>
                <w:w w:val="98"/>
              </w:rPr>
              <w:t>$42.9 billion</w:t>
            </w:r>
          </w:p>
        </w:tc>
        <w:tc>
          <w:tcPr>
            <w:tcW w:w="380" w:type="dxa"/>
            <w:vAlign w:val="bottom"/>
          </w:tcPr>
          <w:p>
            <w:pPr>
              <w:spacing w:after="0"/>
              <w:rPr>
                <w:sz w:val="20"/>
                <w:szCs w:val="20"/>
                <w:color w:val="auto"/>
              </w:rPr>
            </w:pPr>
          </w:p>
        </w:tc>
        <w:tc>
          <w:tcPr>
            <w:tcW w:w="1840" w:type="dxa"/>
            <w:vAlign w:val="bottom"/>
            <w:shd w:val="clear" w:color="auto" w:fill="BECFDE"/>
          </w:tcPr>
          <w:p>
            <w:pPr>
              <w:jc w:val="center"/>
              <w:spacing w:after="0" w:line="237" w:lineRule="exact"/>
              <w:rPr>
                <w:sz w:val="20"/>
                <w:szCs w:val="20"/>
                <w:color w:val="auto"/>
              </w:rPr>
            </w:pPr>
            <w:r>
              <w:rPr>
                <w:rFonts w:ascii="Arial" w:cs="Arial" w:eastAsia="Arial" w:hAnsi="Arial"/>
                <w:sz w:val="22"/>
                <w:szCs w:val="22"/>
                <w:color w:val="auto"/>
                <w:w w:val="98"/>
              </w:rPr>
              <w:t>consecutive</w:t>
            </w:r>
          </w:p>
        </w:tc>
        <w:tc>
          <w:tcPr>
            <w:tcW w:w="360" w:type="dxa"/>
            <w:vAlign w:val="bottom"/>
          </w:tcPr>
          <w:p>
            <w:pPr>
              <w:spacing w:after="0"/>
              <w:rPr>
                <w:sz w:val="20"/>
                <w:szCs w:val="20"/>
                <w:color w:val="auto"/>
              </w:rPr>
            </w:pPr>
          </w:p>
        </w:tc>
        <w:tc>
          <w:tcPr>
            <w:tcW w:w="1760" w:type="dxa"/>
            <w:vAlign w:val="bottom"/>
            <w:shd w:val="clear" w:color="auto" w:fill="BECFDE"/>
          </w:tcPr>
          <w:p>
            <w:pPr>
              <w:jc w:val="center"/>
              <w:spacing w:after="0" w:line="237" w:lineRule="exact"/>
              <w:rPr>
                <w:sz w:val="20"/>
                <w:szCs w:val="20"/>
                <w:color w:val="auto"/>
              </w:rPr>
            </w:pPr>
            <w:r>
              <w:rPr>
                <w:rFonts w:ascii="Arial" w:cs="Arial" w:eastAsia="Arial" w:hAnsi="Arial"/>
                <w:sz w:val="22"/>
                <w:szCs w:val="22"/>
                <w:color w:val="auto"/>
                <w:w w:val="98"/>
              </w:rPr>
              <w:t>outstanding</w:t>
            </w:r>
          </w:p>
        </w:tc>
        <w:tc>
          <w:tcPr>
            <w:tcW w:w="380" w:type="dxa"/>
            <w:vAlign w:val="bottom"/>
          </w:tcPr>
          <w:p>
            <w:pPr>
              <w:spacing w:after="0"/>
              <w:rPr>
                <w:sz w:val="20"/>
                <w:szCs w:val="20"/>
                <w:color w:val="auto"/>
              </w:rPr>
            </w:pPr>
          </w:p>
        </w:tc>
        <w:tc>
          <w:tcPr>
            <w:tcW w:w="1860" w:type="dxa"/>
            <w:vAlign w:val="bottom"/>
            <w:shd w:val="clear" w:color="auto" w:fill="BECFDE"/>
          </w:tcPr>
          <w:p>
            <w:pPr>
              <w:jc w:val="center"/>
              <w:spacing w:after="0" w:line="237" w:lineRule="exact"/>
              <w:rPr>
                <w:sz w:val="20"/>
                <w:szCs w:val="20"/>
                <w:color w:val="auto"/>
              </w:rPr>
            </w:pPr>
            <w:r>
              <w:rPr>
                <w:rFonts w:ascii="Arial" w:cs="Arial" w:eastAsia="Arial" w:hAnsi="Arial"/>
                <w:sz w:val="22"/>
                <w:szCs w:val="22"/>
                <w:b w:val="1"/>
                <w:bCs w:val="1"/>
                <w:color w:val="276092"/>
                <w:w w:val="98"/>
              </w:rPr>
              <w:t>$639 million</w:t>
            </w:r>
          </w:p>
        </w:tc>
        <w:tc>
          <w:tcPr>
            <w:tcW w:w="0" w:type="dxa"/>
            <w:vAlign w:val="bottom"/>
          </w:tcPr>
          <w:p>
            <w:pPr>
              <w:spacing w:after="0"/>
              <w:rPr>
                <w:sz w:val="1"/>
                <w:szCs w:val="1"/>
                <w:color w:val="auto"/>
              </w:rPr>
            </w:pPr>
          </w:p>
        </w:tc>
      </w:tr>
      <w:tr>
        <w:trPr>
          <w:trHeight w:val="260"/>
        </w:trPr>
        <w:tc>
          <w:tcPr>
            <w:tcW w:w="1500" w:type="dxa"/>
            <w:vAlign w:val="bottom"/>
            <w:shd w:val="clear" w:color="auto" w:fill="BECFDE"/>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shd w:val="clear" w:color="auto" w:fill="BECFDE"/>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shd w:val="clear" w:color="auto" w:fill="BECFDE"/>
          </w:tcPr>
          <w:p>
            <w:pPr>
              <w:jc w:val="center"/>
              <w:spacing w:after="0"/>
              <w:rPr>
                <w:sz w:val="20"/>
                <w:szCs w:val="20"/>
                <w:color w:val="auto"/>
              </w:rPr>
            </w:pPr>
            <w:r>
              <w:rPr>
                <w:rFonts w:ascii="Arial" w:cs="Arial" w:eastAsia="Arial" w:hAnsi="Arial"/>
                <w:sz w:val="22"/>
                <w:szCs w:val="22"/>
                <w:color w:val="auto"/>
                <w:w w:val="97"/>
              </w:rPr>
              <w:t>annual increase</w:t>
            </w:r>
          </w:p>
        </w:tc>
        <w:tc>
          <w:tcPr>
            <w:tcW w:w="360" w:type="dxa"/>
            <w:vAlign w:val="bottom"/>
          </w:tcPr>
          <w:p>
            <w:pPr>
              <w:spacing w:after="0"/>
              <w:rPr>
                <w:sz w:val="22"/>
                <w:szCs w:val="22"/>
                <w:color w:val="auto"/>
              </w:rPr>
            </w:pPr>
          </w:p>
        </w:tc>
        <w:tc>
          <w:tcPr>
            <w:tcW w:w="1760" w:type="dxa"/>
            <w:vAlign w:val="bottom"/>
            <w:shd w:val="clear" w:color="auto" w:fill="BECFDE"/>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shd w:val="clear" w:color="auto" w:fill="BECFDE"/>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500" w:type="dxa"/>
            <w:vAlign w:val="bottom"/>
            <w:shd w:val="clear" w:color="auto" w:fill="BECFDE"/>
          </w:tcPr>
          <w:p>
            <w:pPr>
              <w:spacing w:after="0"/>
              <w:rPr>
                <w:sz w:val="10"/>
                <w:szCs w:val="10"/>
                <w:color w:val="auto"/>
              </w:rPr>
            </w:pPr>
          </w:p>
        </w:tc>
        <w:tc>
          <w:tcPr>
            <w:tcW w:w="340" w:type="dxa"/>
            <w:vAlign w:val="bottom"/>
          </w:tcPr>
          <w:p>
            <w:pPr>
              <w:spacing w:after="0"/>
              <w:rPr>
                <w:sz w:val="10"/>
                <w:szCs w:val="10"/>
                <w:color w:val="auto"/>
              </w:rPr>
            </w:pPr>
          </w:p>
        </w:tc>
        <w:tc>
          <w:tcPr>
            <w:tcW w:w="2020" w:type="dxa"/>
            <w:vAlign w:val="bottom"/>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shd w:val="clear" w:color="auto" w:fill="BECFDE"/>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shd w:val="clear" w:color="auto" w:fill="BECFDE"/>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shd w:val="clear" w:color="auto" w:fill="BECFDE"/>
          </w:tcPr>
          <w:p>
            <w:pPr>
              <w:spacing w:after="0"/>
              <w:rPr>
                <w:sz w:val="10"/>
                <w:szCs w:val="1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This metric is a non-GAAP financial measure. For more information, see “Appendix A - Use of Non-GAAP Financial Measures.”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Executive Compensation Highlights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35"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We are committed to performance-based executive compensation programs that align with shareholders’ interests and our strategy of investing for and delivering long-term profitable growth. In 2017, we refined the metrics and weightings of our annual and long-term incentives to continue to drive strong performance, while ensuring we invest for long-term profitable growth and maintain alignment with shareholders’ interests.</w:t>
      </w:r>
    </w:p>
    <w:p>
      <w:pPr>
        <w:spacing w:after="0" w:line="9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While we sustained strong financial performance in 2017, our 2017 Annual Incentive Plan (AIP) payout declined to 131%, from 160% in 2016. Our Long-Term Incentive Plan (LTIP) payout is 150% compared to 148% in 2016 for named executive officers (NEOs). We ranked in the 89th percentile for three-year TSR performance relative to the 2015 Performance Peer Group identified on page 38 and ranked in the 96th percentile for three-year TSR performance relative to the S&amp;P Industrials. Following are some governance principles of our 2017 executive compensation programs:</w:t>
      </w:r>
    </w:p>
    <w:p>
      <w:pPr>
        <w:spacing w:after="0" w:line="310"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194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6"/>
              </w:rPr>
              <w:t xml:space="preserve">70% </w:t>
            </w:r>
            <w:r>
              <w:rPr>
                <w:rFonts w:ascii="Arial" w:cs="Arial" w:eastAsia="Arial" w:hAnsi="Arial"/>
                <w:sz w:val="22"/>
                <w:szCs w:val="22"/>
                <w:color w:val="000000"/>
                <w:w w:val="96"/>
              </w:rPr>
              <w:t>of Annual</w:t>
            </w:r>
          </w:p>
        </w:tc>
        <w:tc>
          <w:tcPr>
            <w:tcW w:w="140" w:type="dxa"/>
            <w:vAlign w:val="bottom"/>
          </w:tcPr>
          <w:p>
            <w:pPr>
              <w:spacing w:after="0"/>
              <w:rPr>
                <w:sz w:val="21"/>
                <w:szCs w:val="21"/>
                <w:color w:val="auto"/>
              </w:rPr>
            </w:pPr>
          </w:p>
        </w:tc>
        <w:tc>
          <w:tcPr>
            <w:tcW w:w="2080" w:type="dxa"/>
            <w:vAlign w:val="bottom"/>
            <w:shd w:val="clear" w:color="auto" w:fill="BECFDE"/>
          </w:tcPr>
          <w:p>
            <w:pPr>
              <w:jc w:val="center"/>
              <w:spacing w:after="0"/>
              <w:rPr>
                <w:sz w:val="20"/>
                <w:szCs w:val="20"/>
                <w:color w:val="auto"/>
              </w:rPr>
            </w:pPr>
            <w:r>
              <w:rPr>
                <w:rFonts w:ascii="Arial" w:cs="Arial" w:eastAsia="Arial" w:hAnsi="Arial"/>
                <w:sz w:val="22"/>
                <w:szCs w:val="22"/>
                <w:b w:val="1"/>
                <w:bCs w:val="1"/>
                <w:color w:val="276092"/>
              </w:rPr>
              <w:t>Stock</w:t>
            </w:r>
          </w:p>
        </w:tc>
        <w:tc>
          <w:tcPr>
            <w:tcW w:w="140" w:type="dxa"/>
            <w:vAlign w:val="bottom"/>
          </w:tcPr>
          <w:p>
            <w:pPr>
              <w:spacing w:after="0"/>
              <w:rPr>
                <w:sz w:val="21"/>
                <w:szCs w:val="21"/>
                <w:color w:val="auto"/>
              </w:rPr>
            </w:pPr>
          </w:p>
        </w:tc>
        <w:tc>
          <w:tcPr>
            <w:tcW w:w="210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8"/>
              </w:rPr>
              <w:t>3-Year</w:t>
            </w:r>
          </w:p>
        </w:tc>
        <w:tc>
          <w:tcPr>
            <w:tcW w:w="160" w:type="dxa"/>
            <w:vAlign w:val="bottom"/>
          </w:tcPr>
          <w:p>
            <w:pPr>
              <w:spacing w:after="0"/>
              <w:rPr>
                <w:sz w:val="21"/>
                <w:szCs w:val="21"/>
                <w:color w:val="auto"/>
              </w:rPr>
            </w:pPr>
          </w:p>
        </w:tc>
        <w:tc>
          <w:tcPr>
            <w:tcW w:w="1880" w:type="dxa"/>
            <w:vAlign w:val="bottom"/>
            <w:shd w:val="clear" w:color="auto" w:fill="BECFDE"/>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shd w:val="clear" w:color="auto" w:fill="BECFDE"/>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8"/>
              </w:rPr>
              <w:t>Ownership</w:t>
            </w:r>
          </w:p>
        </w:tc>
        <w:tc>
          <w:tcPr>
            <w:tcW w:w="140" w:type="dxa"/>
            <w:vAlign w:val="bottom"/>
          </w:tcPr>
          <w:p>
            <w:pPr>
              <w:spacing w:after="0"/>
              <w:rPr>
                <w:sz w:val="10"/>
                <w:szCs w:val="10"/>
                <w:color w:val="auto"/>
              </w:rPr>
            </w:pPr>
          </w:p>
        </w:tc>
        <w:tc>
          <w:tcPr>
            <w:tcW w:w="210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9"/>
              </w:rPr>
              <w:t>Recoupment</w:t>
            </w:r>
          </w:p>
        </w:tc>
        <w:tc>
          <w:tcPr>
            <w:tcW w:w="160" w:type="dxa"/>
            <w:vAlign w:val="bottom"/>
          </w:tcPr>
          <w:p>
            <w:pPr>
              <w:spacing w:after="0"/>
              <w:rPr>
                <w:sz w:val="10"/>
                <w:szCs w:val="10"/>
                <w:color w:val="auto"/>
              </w:rPr>
            </w:pPr>
          </w:p>
        </w:tc>
        <w:tc>
          <w:tcPr>
            <w:tcW w:w="18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8"/>
              </w:rPr>
              <w:t xml:space="preserve">No </w:t>
            </w:r>
            <w:r>
              <w:rPr>
                <w:rFonts w:ascii="Arial" w:cs="Arial" w:eastAsia="Arial" w:hAnsi="Arial"/>
                <w:sz w:val="22"/>
                <w:szCs w:val="22"/>
                <w:color w:val="000000"/>
                <w:w w:val="98"/>
              </w:rPr>
              <w:t>Individual</w:t>
            </w:r>
          </w:p>
        </w:tc>
        <w:tc>
          <w:tcPr>
            <w:tcW w:w="0" w:type="dxa"/>
            <w:vAlign w:val="bottom"/>
          </w:tcPr>
          <w:p>
            <w:pPr>
              <w:spacing w:after="0"/>
              <w:rPr>
                <w:sz w:val="1"/>
                <w:szCs w:val="1"/>
                <w:color w:val="auto"/>
              </w:rPr>
            </w:pPr>
          </w:p>
        </w:tc>
      </w:tr>
      <w:tr>
        <w:trPr>
          <w:trHeight w:val="122"/>
        </w:trPr>
        <w:tc>
          <w:tcPr>
            <w:tcW w:w="19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6"/>
              </w:rPr>
              <w:t>LTIP Equity</w:t>
            </w:r>
          </w:p>
        </w:tc>
        <w:tc>
          <w:tcPr>
            <w:tcW w:w="140" w:type="dxa"/>
            <w:vAlign w:val="bottom"/>
          </w:tcPr>
          <w:p>
            <w:pPr>
              <w:spacing w:after="0"/>
              <w:rPr>
                <w:sz w:val="10"/>
                <w:szCs w:val="10"/>
                <w:color w:val="auto"/>
              </w:rPr>
            </w:pPr>
          </w:p>
        </w:tc>
        <w:tc>
          <w:tcPr>
            <w:tcW w:w="208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8"/>
              </w:rPr>
              <w:t>Mandatory</w:t>
            </w:r>
          </w:p>
        </w:tc>
        <w:tc>
          <w:tcPr>
            <w:tcW w:w="160" w:type="dxa"/>
            <w:vAlign w:val="bottom"/>
          </w:tcPr>
          <w:p>
            <w:pPr>
              <w:spacing w:after="0"/>
              <w:rPr>
                <w:sz w:val="10"/>
                <w:szCs w:val="10"/>
                <w:color w:val="auto"/>
              </w:rPr>
            </w:pPr>
          </w:p>
        </w:tc>
        <w:tc>
          <w:tcPr>
            <w:tcW w:w="188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vMerge w:val="continue"/>
            <w:shd w:val="clear" w:color="auto" w:fill="BECFD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7"/>
              </w:rPr>
              <w:t>Guidelines for</w:t>
            </w:r>
          </w:p>
        </w:tc>
        <w:tc>
          <w:tcPr>
            <w:tcW w:w="140" w:type="dxa"/>
            <w:vAlign w:val="bottom"/>
          </w:tcPr>
          <w:p>
            <w:pPr>
              <w:spacing w:after="0"/>
              <w:rPr>
                <w:sz w:val="10"/>
                <w:szCs w:val="10"/>
                <w:color w:val="auto"/>
              </w:rPr>
            </w:pPr>
          </w:p>
        </w:tc>
        <w:tc>
          <w:tcPr>
            <w:tcW w:w="210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8"/>
              </w:rPr>
              <w:t>Policy</w:t>
            </w:r>
          </w:p>
        </w:tc>
        <w:tc>
          <w:tcPr>
            <w:tcW w:w="160" w:type="dxa"/>
            <w:vAlign w:val="bottom"/>
          </w:tcPr>
          <w:p>
            <w:pPr>
              <w:spacing w:after="0"/>
              <w:rPr>
                <w:sz w:val="10"/>
                <w:szCs w:val="10"/>
                <w:color w:val="auto"/>
              </w:rPr>
            </w:pPr>
          </w:p>
        </w:tc>
        <w:tc>
          <w:tcPr>
            <w:tcW w:w="18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7"/>
              </w:rPr>
              <w:t>Change in</w:t>
            </w:r>
          </w:p>
        </w:tc>
        <w:tc>
          <w:tcPr>
            <w:tcW w:w="0" w:type="dxa"/>
            <w:vAlign w:val="bottom"/>
          </w:tcPr>
          <w:p>
            <w:pPr>
              <w:spacing w:after="0"/>
              <w:rPr>
                <w:sz w:val="1"/>
                <w:szCs w:val="1"/>
                <w:color w:val="auto"/>
              </w:rPr>
            </w:pPr>
          </w:p>
        </w:tc>
      </w:tr>
      <w:tr>
        <w:trPr>
          <w:trHeight w:val="122"/>
        </w:trPr>
        <w:tc>
          <w:tcPr>
            <w:tcW w:w="19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8"/>
              </w:rPr>
              <w:t>Grant</w:t>
            </w:r>
          </w:p>
        </w:tc>
        <w:tc>
          <w:tcPr>
            <w:tcW w:w="140" w:type="dxa"/>
            <w:vAlign w:val="bottom"/>
          </w:tcPr>
          <w:p>
            <w:pPr>
              <w:spacing w:after="0"/>
              <w:rPr>
                <w:sz w:val="10"/>
                <w:szCs w:val="10"/>
                <w:color w:val="auto"/>
              </w:rPr>
            </w:pPr>
          </w:p>
        </w:tc>
        <w:tc>
          <w:tcPr>
            <w:tcW w:w="208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8"/>
              </w:rPr>
              <w:t>Holding Period</w:t>
            </w:r>
          </w:p>
        </w:tc>
        <w:tc>
          <w:tcPr>
            <w:tcW w:w="160" w:type="dxa"/>
            <w:vAlign w:val="bottom"/>
          </w:tcPr>
          <w:p>
            <w:pPr>
              <w:spacing w:after="0"/>
              <w:rPr>
                <w:sz w:val="10"/>
                <w:szCs w:val="10"/>
                <w:color w:val="auto"/>
              </w:rPr>
            </w:pPr>
          </w:p>
        </w:tc>
        <w:tc>
          <w:tcPr>
            <w:tcW w:w="188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vMerge w:val="continue"/>
            <w:shd w:val="clear" w:color="auto" w:fill="BECFD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7"/>
              </w:rPr>
              <w:t>All Officers:</w:t>
            </w:r>
          </w:p>
        </w:tc>
        <w:tc>
          <w:tcPr>
            <w:tcW w:w="140" w:type="dxa"/>
            <w:vAlign w:val="bottom"/>
          </w:tcPr>
          <w:p>
            <w:pPr>
              <w:spacing w:after="0"/>
              <w:rPr>
                <w:sz w:val="10"/>
                <w:szCs w:val="10"/>
                <w:color w:val="auto"/>
              </w:rPr>
            </w:pPr>
          </w:p>
        </w:tc>
        <w:tc>
          <w:tcPr>
            <w:tcW w:w="210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7"/>
              </w:rPr>
              <w:t>on Incentive</w:t>
            </w:r>
          </w:p>
        </w:tc>
        <w:tc>
          <w:tcPr>
            <w:tcW w:w="160" w:type="dxa"/>
            <w:vAlign w:val="bottom"/>
          </w:tcPr>
          <w:p>
            <w:pPr>
              <w:spacing w:after="0"/>
              <w:rPr>
                <w:sz w:val="10"/>
                <w:szCs w:val="10"/>
                <w:color w:val="auto"/>
              </w:rPr>
            </w:pPr>
          </w:p>
        </w:tc>
        <w:tc>
          <w:tcPr>
            <w:tcW w:w="18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9"/>
              </w:rPr>
              <w:t>Control</w:t>
            </w:r>
          </w:p>
        </w:tc>
        <w:tc>
          <w:tcPr>
            <w:tcW w:w="0" w:type="dxa"/>
            <w:vAlign w:val="bottom"/>
          </w:tcPr>
          <w:p>
            <w:pPr>
              <w:spacing w:after="0"/>
              <w:rPr>
                <w:sz w:val="1"/>
                <w:szCs w:val="1"/>
                <w:color w:val="auto"/>
              </w:rPr>
            </w:pPr>
          </w:p>
        </w:tc>
      </w:tr>
      <w:tr>
        <w:trPr>
          <w:trHeight w:val="122"/>
        </w:trPr>
        <w:tc>
          <w:tcPr>
            <w:tcW w:w="19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7"/>
              </w:rPr>
              <w:t>Performance-</w:t>
            </w:r>
          </w:p>
        </w:tc>
        <w:tc>
          <w:tcPr>
            <w:tcW w:w="140" w:type="dxa"/>
            <w:vAlign w:val="bottom"/>
          </w:tcPr>
          <w:p>
            <w:pPr>
              <w:spacing w:after="0"/>
              <w:rPr>
                <w:sz w:val="10"/>
                <w:szCs w:val="10"/>
                <w:color w:val="auto"/>
              </w:rPr>
            </w:pPr>
          </w:p>
        </w:tc>
        <w:tc>
          <w:tcPr>
            <w:tcW w:w="208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7"/>
              </w:rPr>
              <w:t>for 50% of</w:t>
            </w:r>
          </w:p>
        </w:tc>
        <w:tc>
          <w:tcPr>
            <w:tcW w:w="160" w:type="dxa"/>
            <w:vAlign w:val="bottom"/>
          </w:tcPr>
          <w:p>
            <w:pPr>
              <w:spacing w:after="0"/>
              <w:rPr>
                <w:sz w:val="10"/>
                <w:szCs w:val="10"/>
                <w:color w:val="auto"/>
              </w:rPr>
            </w:pPr>
          </w:p>
        </w:tc>
        <w:tc>
          <w:tcPr>
            <w:tcW w:w="188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vMerge w:val="continue"/>
            <w:shd w:val="clear" w:color="auto" w:fill="BECFD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b w:val="1"/>
                <w:bCs w:val="1"/>
                <w:color w:val="276092"/>
                <w:w w:val="97"/>
              </w:rPr>
              <w:t>CEO 7x</w:t>
            </w:r>
          </w:p>
        </w:tc>
        <w:tc>
          <w:tcPr>
            <w:tcW w:w="140" w:type="dxa"/>
            <w:vAlign w:val="bottom"/>
          </w:tcPr>
          <w:p>
            <w:pPr>
              <w:spacing w:after="0"/>
              <w:rPr>
                <w:sz w:val="10"/>
                <w:szCs w:val="10"/>
                <w:color w:val="auto"/>
              </w:rPr>
            </w:pPr>
          </w:p>
        </w:tc>
        <w:tc>
          <w:tcPr>
            <w:tcW w:w="210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rPr>
              <w:t>Payouts</w:t>
            </w:r>
          </w:p>
        </w:tc>
        <w:tc>
          <w:tcPr>
            <w:tcW w:w="160" w:type="dxa"/>
            <w:vAlign w:val="bottom"/>
          </w:tcPr>
          <w:p>
            <w:pPr>
              <w:spacing w:after="0"/>
              <w:rPr>
                <w:sz w:val="10"/>
                <w:szCs w:val="10"/>
                <w:color w:val="auto"/>
              </w:rPr>
            </w:pPr>
          </w:p>
        </w:tc>
        <w:tc>
          <w:tcPr>
            <w:tcW w:w="1840" w:type="dxa"/>
            <w:vAlign w:val="bottom"/>
            <w:vMerge w:val="restart"/>
            <w:shd w:val="clear" w:color="auto" w:fill="BECFDE"/>
          </w:tcPr>
          <w:p>
            <w:pPr>
              <w:jc w:val="center"/>
              <w:spacing w:after="0" w:line="243" w:lineRule="exact"/>
              <w:rPr>
                <w:sz w:val="20"/>
                <w:szCs w:val="20"/>
                <w:color w:val="auto"/>
              </w:rPr>
            </w:pPr>
            <w:r>
              <w:rPr>
                <w:rFonts w:ascii="Arial" w:cs="Arial" w:eastAsia="Arial" w:hAnsi="Arial"/>
                <w:sz w:val="22"/>
                <w:szCs w:val="22"/>
                <w:color w:val="auto"/>
                <w:w w:val="99"/>
              </w:rPr>
              <w:t>Agreements</w:t>
            </w:r>
          </w:p>
        </w:tc>
        <w:tc>
          <w:tcPr>
            <w:tcW w:w="0" w:type="dxa"/>
            <w:vAlign w:val="bottom"/>
          </w:tcPr>
          <w:p>
            <w:pPr>
              <w:spacing w:after="0"/>
              <w:rPr>
                <w:sz w:val="1"/>
                <w:szCs w:val="1"/>
                <w:color w:val="auto"/>
              </w:rPr>
            </w:pPr>
          </w:p>
        </w:tc>
      </w:tr>
      <w:tr>
        <w:trPr>
          <w:trHeight w:val="122"/>
        </w:trPr>
        <w:tc>
          <w:tcPr>
            <w:tcW w:w="194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9"/>
              </w:rPr>
              <w:t>Based</w:t>
            </w:r>
          </w:p>
        </w:tc>
        <w:tc>
          <w:tcPr>
            <w:tcW w:w="140" w:type="dxa"/>
            <w:vAlign w:val="bottom"/>
          </w:tcPr>
          <w:p>
            <w:pPr>
              <w:spacing w:after="0"/>
              <w:rPr>
                <w:sz w:val="10"/>
                <w:szCs w:val="10"/>
                <w:color w:val="auto"/>
              </w:rPr>
            </w:pPr>
          </w:p>
        </w:tc>
        <w:tc>
          <w:tcPr>
            <w:tcW w:w="208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vMerge w:val="restart"/>
            <w:shd w:val="clear" w:color="auto" w:fill="BECFDE"/>
          </w:tcPr>
          <w:p>
            <w:pPr>
              <w:jc w:val="center"/>
              <w:spacing w:after="0"/>
              <w:rPr>
                <w:sz w:val="20"/>
                <w:szCs w:val="20"/>
                <w:color w:val="auto"/>
              </w:rPr>
            </w:pPr>
            <w:r>
              <w:rPr>
                <w:rFonts w:ascii="Arial" w:cs="Arial" w:eastAsia="Arial" w:hAnsi="Arial"/>
                <w:sz w:val="22"/>
                <w:szCs w:val="22"/>
                <w:color w:val="auto"/>
                <w:w w:val="96"/>
              </w:rPr>
              <w:t>Vested Shares</w:t>
            </w:r>
          </w:p>
        </w:tc>
        <w:tc>
          <w:tcPr>
            <w:tcW w:w="160" w:type="dxa"/>
            <w:vAlign w:val="bottom"/>
          </w:tcPr>
          <w:p>
            <w:pPr>
              <w:spacing w:after="0"/>
              <w:rPr>
                <w:sz w:val="10"/>
                <w:szCs w:val="10"/>
                <w:color w:val="auto"/>
              </w:rPr>
            </w:pPr>
          </w:p>
        </w:tc>
        <w:tc>
          <w:tcPr>
            <w:tcW w:w="1880" w:type="dxa"/>
            <w:vAlign w:val="bottom"/>
            <w:vMerge w:val="continue"/>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vMerge w:val="continue"/>
            <w:shd w:val="clear" w:color="auto" w:fill="BECFD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40" w:type="dxa"/>
            <w:vAlign w:val="bottom"/>
            <w:vMerge w:val="continue"/>
            <w:shd w:val="clear" w:color="auto" w:fill="BECFD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vMerge w:val="restart"/>
            <w:shd w:val="clear" w:color="auto" w:fill="BECFDE"/>
          </w:tcPr>
          <w:p>
            <w:pPr>
              <w:jc w:val="center"/>
              <w:spacing w:after="0"/>
              <w:rPr>
                <w:sz w:val="20"/>
                <w:szCs w:val="20"/>
                <w:color w:val="auto"/>
              </w:rPr>
            </w:pPr>
            <w:r>
              <w:rPr>
                <w:rFonts w:ascii="Arial" w:cs="Arial" w:eastAsia="Arial" w:hAnsi="Arial"/>
                <w:sz w:val="22"/>
                <w:szCs w:val="22"/>
                <w:b w:val="1"/>
                <w:bCs w:val="1"/>
                <w:color w:val="276092"/>
                <w:w w:val="97"/>
              </w:rPr>
              <w:t>Other NEOs 3x</w:t>
            </w:r>
          </w:p>
        </w:tc>
        <w:tc>
          <w:tcPr>
            <w:tcW w:w="140" w:type="dxa"/>
            <w:vAlign w:val="bottom"/>
          </w:tcPr>
          <w:p>
            <w:pPr>
              <w:spacing w:after="0"/>
              <w:rPr>
                <w:sz w:val="14"/>
                <w:szCs w:val="14"/>
                <w:color w:val="auto"/>
              </w:rPr>
            </w:pPr>
          </w:p>
        </w:tc>
        <w:tc>
          <w:tcPr>
            <w:tcW w:w="2100" w:type="dxa"/>
            <w:vAlign w:val="bottom"/>
            <w:vMerge w:val="continue"/>
            <w:shd w:val="clear" w:color="auto" w:fill="BECFDE"/>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shd w:val="clear" w:color="auto" w:fill="BECFDE"/>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shd w:val="clear" w:color="auto" w:fill="BECFD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940" w:type="dxa"/>
            <w:vAlign w:val="bottom"/>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vMerge w:val="continue"/>
            <w:shd w:val="clear" w:color="auto" w:fill="BECFDE"/>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shd w:val="clear" w:color="auto" w:fill="BECFD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shd w:val="clear" w:color="auto" w:fill="BECFDE"/>
          </w:tcPr>
          <w:p>
            <w:pPr>
              <w:spacing w:after="0"/>
              <w:rPr>
                <w:sz w:val="10"/>
                <w:szCs w:val="10"/>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Nominees (pages 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Borders>
              <w:top w:val="single" w:sz="8" w:color="auto"/>
            </w:tcBorders>
            <w:shd w:val="clear" w:color="auto" w:fill="276092"/>
          </w:tcPr>
          <w:p>
            <w:pPr>
              <w:spacing w:after="0"/>
              <w:rPr>
                <w:sz w:val="17"/>
                <w:szCs w:val="17"/>
                <w:color w:val="auto"/>
              </w:rPr>
            </w:pPr>
          </w:p>
        </w:tc>
        <w:tc>
          <w:tcPr>
            <w:tcW w:w="600" w:type="dxa"/>
            <w:vAlign w:val="bottom"/>
            <w:tcBorders>
              <w:top w:val="single" w:sz="8" w:color="auto"/>
            </w:tcBorders>
            <w:shd w:val="clear" w:color="auto" w:fill="276092"/>
          </w:tcPr>
          <w:p>
            <w:pPr>
              <w:spacing w:after="0"/>
              <w:rPr>
                <w:sz w:val="17"/>
                <w:szCs w:val="17"/>
                <w:color w:val="auto"/>
              </w:rPr>
            </w:pPr>
          </w:p>
        </w:tc>
        <w:tc>
          <w:tcPr>
            <w:tcW w:w="760" w:type="dxa"/>
            <w:vAlign w:val="bottom"/>
            <w:tcBorders>
              <w:top w:val="single" w:sz="8" w:color="auto"/>
            </w:tcBorders>
            <w:shd w:val="clear" w:color="auto" w:fill="276092"/>
          </w:tcPr>
          <w:p>
            <w:pPr>
              <w:spacing w:after="0"/>
              <w:rPr>
                <w:sz w:val="17"/>
                <w:szCs w:val="17"/>
                <w:color w:val="auto"/>
              </w:rPr>
            </w:pPr>
          </w:p>
        </w:tc>
        <w:tc>
          <w:tcPr>
            <w:tcW w:w="640" w:type="dxa"/>
            <w:vAlign w:val="bottom"/>
            <w:tcBorders>
              <w:top w:val="single" w:sz="8" w:color="auto"/>
            </w:tcBorders>
            <w:shd w:val="clear" w:color="auto" w:fill="276092"/>
          </w:tcPr>
          <w:p>
            <w:pPr>
              <w:spacing w:after="0"/>
              <w:rPr>
                <w:sz w:val="17"/>
                <w:szCs w:val="17"/>
                <w:color w:val="auto"/>
              </w:rPr>
            </w:pPr>
          </w:p>
        </w:tc>
        <w:tc>
          <w:tcPr>
            <w:tcW w:w="3790" w:type="dxa"/>
            <w:vAlign w:val="bottom"/>
            <w:tcBorders>
              <w:top w:val="single" w:sz="8" w:color="auto"/>
            </w:tcBorders>
            <w:shd w:val="clear" w:color="auto" w:fill="276092"/>
          </w:tcPr>
          <w:p>
            <w:pPr>
              <w:spacing w:after="0"/>
              <w:rPr>
                <w:sz w:val="17"/>
                <w:szCs w:val="17"/>
                <w:color w:val="auto"/>
              </w:rPr>
            </w:pPr>
          </w:p>
        </w:tc>
        <w:tc>
          <w:tcPr>
            <w:tcW w:w="530" w:type="dxa"/>
            <w:vAlign w:val="bottom"/>
            <w:tcBorders>
              <w:top w:val="single" w:sz="8" w:color="auto"/>
            </w:tcBorders>
            <w:shd w:val="clear" w:color="auto" w:fill="276092"/>
          </w:tcPr>
          <w:p>
            <w:pPr>
              <w:spacing w:after="0"/>
              <w:rPr>
                <w:sz w:val="17"/>
                <w:szCs w:val="17"/>
                <w:color w:val="auto"/>
              </w:rPr>
            </w:pPr>
          </w:p>
        </w:tc>
        <w:tc>
          <w:tcPr>
            <w:tcW w:w="580" w:type="dxa"/>
            <w:vAlign w:val="bottom"/>
            <w:tcBorders>
              <w:top w:val="single" w:sz="8" w:color="auto"/>
            </w:tcBorders>
            <w:shd w:val="clear" w:color="auto" w:fill="276092"/>
          </w:tcPr>
          <w:p>
            <w:pPr>
              <w:spacing w:after="0"/>
              <w:rPr>
                <w:sz w:val="17"/>
                <w:szCs w:val="17"/>
                <w:color w:val="auto"/>
              </w:rPr>
            </w:pPr>
          </w:p>
        </w:tc>
        <w:tc>
          <w:tcPr>
            <w:tcW w:w="420" w:type="dxa"/>
            <w:vAlign w:val="bottom"/>
            <w:tcBorders>
              <w:top w:val="single" w:sz="8" w:color="auto"/>
            </w:tcBorders>
            <w:shd w:val="clear" w:color="auto" w:fill="276092"/>
          </w:tcPr>
          <w:p>
            <w:pPr>
              <w:spacing w:after="0"/>
              <w:rPr>
                <w:sz w:val="17"/>
                <w:szCs w:val="17"/>
                <w:color w:val="auto"/>
              </w:rPr>
            </w:pPr>
          </w:p>
        </w:tc>
        <w:tc>
          <w:tcPr>
            <w:tcW w:w="600" w:type="dxa"/>
            <w:vAlign w:val="bottom"/>
            <w:tcBorders>
              <w:top w:val="single" w:sz="8" w:color="auto"/>
            </w:tcBorders>
            <w:shd w:val="clear" w:color="auto" w:fill="276092"/>
          </w:tcPr>
          <w:p>
            <w:pPr>
              <w:spacing w:after="0"/>
              <w:rPr>
                <w:sz w:val="17"/>
                <w:szCs w:val="17"/>
                <w:color w:val="auto"/>
              </w:rPr>
            </w:pPr>
          </w:p>
        </w:tc>
        <w:tc>
          <w:tcPr>
            <w:tcW w:w="1040" w:type="dxa"/>
            <w:vAlign w:val="bottom"/>
            <w:tcBorders>
              <w:top w:val="single" w:sz="8" w:color="auto"/>
              <w:right w:val="single" w:sz="8" w:color="auto"/>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Other Public</w:t>
            </w: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276092"/>
          </w:tcPr>
          <w:p>
            <w:pPr>
              <w:spacing w:after="0"/>
              <w:rPr>
                <w:sz w:val="18"/>
                <w:szCs w:val="18"/>
                <w:color w:val="auto"/>
              </w:rPr>
            </w:pPr>
          </w:p>
        </w:tc>
        <w:tc>
          <w:tcPr>
            <w:tcW w:w="600" w:type="dxa"/>
            <w:vAlign w:val="bottom"/>
            <w:shd w:val="clear" w:color="auto" w:fill="276092"/>
          </w:tcPr>
          <w:p>
            <w:pPr>
              <w:spacing w:after="0"/>
              <w:rPr>
                <w:sz w:val="18"/>
                <w:szCs w:val="18"/>
                <w:color w:val="auto"/>
              </w:rPr>
            </w:pPr>
          </w:p>
        </w:tc>
        <w:tc>
          <w:tcPr>
            <w:tcW w:w="76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Director</w:t>
            </w:r>
          </w:p>
        </w:tc>
        <w:tc>
          <w:tcPr>
            <w:tcW w:w="640" w:type="dxa"/>
            <w:vAlign w:val="bottom"/>
            <w:shd w:val="clear" w:color="auto" w:fill="276092"/>
          </w:tcPr>
          <w:p>
            <w:pPr>
              <w:spacing w:after="0"/>
              <w:rPr>
                <w:sz w:val="18"/>
                <w:szCs w:val="18"/>
                <w:color w:val="auto"/>
              </w:rPr>
            </w:pPr>
          </w:p>
        </w:tc>
        <w:tc>
          <w:tcPr>
            <w:tcW w:w="3790" w:type="dxa"/>
            <w:vAlign w:val="bottom"/>
            <w:shd w:val="clear" w:color="auto" w:fill="276092"/>
          </w:tcPr>
          <w:p>
            <w:pPr>
              <w:spacing w:after="0"/>
              <w:rPr>
                <w:sz w:val="18"/>
                <w:szCs w:val="18"/>
                <w:color w:val="auto"/>
              </w:rPr>
            </w:pPr>
          </w:p>
        </w:tc>
        <w:tc>
          <w:tcPr>
            <w:tcW w:w="2130" w:type="dxa"/>
            <w:vAlign w:val="bottom"/>
            <w:gridSpan w:val="4"/>
            <w:shd w:val="clear" w:color="auto" w:fill="276092"/>
          </w:tcPr>
          <w:p>
            <w:pPr>
              <w:ind w:left="110"/>
              <w:spacing w:after="0"/>
              <w:rPr>
                <w:sz w:val="20"/>
                <w:szCs w:val="20"/>
                <w:color w:val="auto"/>
              </w:rPr>
            </w:pPr>
            <w:r>
              <w:rPr>
                <w:rFonts w:ascii="Arial" w:cs="Arial" w:eastAsia="Arial" w:hAnsi="Arial"/>
                <w:sz w:val="16"/>
                <w:szCs w:val="16"/>
                <w:b w:val="1"/>
                <w:bCs w:val="1"/>
                <w:color w:val="FFFFFF"/>
              </w:rPr>
              <w:t>Committee Memberships</w:t>
            </w:r>
          </w:p>
        </w:tc>
        <w:tc>
          <w:tcPr>
            <w:tcW w:w="1040" w:type="dxa"/>
            <w:vAlign w:val="bottom"/>
            <w:tcBorders>
              <w:right w:val="single" w:sz="8" w:color="auto"/>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Company</w:t>
            </w:r>
          </w:p>
        </w:tc>
      </w:tr>
      <w:tr>
        <w:trPr>
          <w:trHeight w:val="250"/>
        </w:trPr>
        <w:tc>
          <w:tcPr>
            <w:tcW w:w="140" w:type="dxa"/>
            <w:vAlign w:val="bottom"/>
            <w:tcBorders>
              <w:right w:val="single" w:sz="8" w:color="auto"/>
            </w:tcBorders>
          </w:tcPr>
          <w:p>
            <w:pPr>
              <w:spacing w:after="0"/>
              <w:rPr>
                <w:sz w:val="21"/>
                <w:szCs w:val="21"/>
                <w:color w:val="auto"/>
              </w:rPr>
            </w:pPr>
          </w:p>
        </w:tc>
        <w:tc>
          <w:tcPr>
            <w:tcW w:w="1820" w:type="dxa"/>
            <w:vAlign w:val="bottom"/>
            <w:tcBorders>
              <w:bottom w:val="single" w:sz="8" w:color="276092"/>
            </w:tcBorders>
            <w:shd w:val="clear" w:color="auto" w:fill="276092"/>
          </w:tcPr>
          <w:p>
            <w:pPr>
              <w:ind w:left="180"/>
              <w:spacing w:after="0"/>
              <w:rPr>
                <w:sz w:val="20"/>
                <w:szCs w:val="20"/>
                <w:color w:val="auto"/>
              </w:rPr>
            </w:pPr>
            <w:r>
              <w:rPr>
                <w:rFonts w:ascii="Arial" w:cs="Arial" w:eastAsia="Arial" w:hAnsi="Arial"/>
                <w:sz w:val="16"/>
                <w:szCs w:val="16"/>
                <w:b w:val="1"/>
                <w:bCs w:val="1"/>
                <w:color w:val="FFFFFF"/>
              </w:rPr>
              <w:t>Name</w:t>
            </w:r>
          </w:p>
        </w:tc>
        <w:tc>
          <w:tcPr>
            <w:tcW w:w="1360" w:type="dxa"/>
            <w:vAlign w:val="bottom"/>
            <w:tcBorders>
              <w:bottom w:val="single" w:sz="8" w:color="276092"/>
            </w:tcBorders>
            <w:gridSpan w:val="2"/>
            <w:shd w:val="clear" w:color="auto" w:fill="276092"/>
          </w:tcPr>
          <w:p>
            <w:pPr>
              <w:ind w:left="40"/>
              <w:spacing w:after="0"/>
              <w:rPr>
                <w:sz w:val="20"/>
                <w:szCs w:val="20"/>
                <w:color w:val="auto"/>
              </w:rPr>
            </w:pPr>
            <w:r>
              <w:rPr>
                <w:rFonts w:ascii="Arial" w:cs="Arial" w:eastAsia="Arial" w:hAnsi="Arial"/>
                <w:sz w:val="16"/>
                <w:szCs w:val="16"/>
                <w:b w:val="1"/>
                <w:bCs w:val="1"/>
                <w:color w:val="FFFFFF"/>
              </w:rPr>
              <w:t>Age (1) since</w:t>
            </w:r>
          </w:p>
        </w:tc>
        <w:tc>
          <w:tcPr>
            <w:tcW w:w="4430" w:type="dxa"/>
            <w:vAlign w:val="bottom"/>
            <w:tcBorders>
              <w:bottom w:val="single" w:sz="8" w:color="276092"/>
            </w:tcBorders>
            <w:gridSpan w:val="2"/>
            <w:shd w:val="clear" w:color="auto" w:fill="276092"/>
          </w:tcPr>
          <w:p>
            <w:pPr>
              <w:ind w:left="40"/>
              <w:spacing w:after="0"/>
              <w:rPr>
                <w:sz w:val="20"/>
                <w:szCs w:val="20"/>
                <w:color w:val="auto"/>
              </w:rPr>
            </w:pPr>
            <w:r>
              <w:rPr>
                <w:rFonts w:ascii="Arial" w:cs="Arial" w:eastAsia="Arial" w:hAnsi="Arial"/>
                <w:sz w:val="16"/>
                <w:szCs w:val="16"/>
                <w:b w:val="1"/>
                <w:bCs w:val="1"/>
                <w:color w:val="FFFFFF"/>
              </w:rPr>
              <w:t>Professional Background</w:t>
            </w:r>
          </w:p>
        </w:tc>
        <w:tc>
          <w:tcPr>
            <w:tcW w:w="530" w:type="dxa"/>
            <w:vAlign w:val="bottom"/>
            <w:tcBorders>
              <w:bottom w:val="single" w:sz="8" w:color="276092"/>
            </w:tcBorders>
            <w:shd w:val="clear" w:color="auto" w:fill="276092"/>
          </w:tcPr>
          <w:p>
            <w:pPr>
              <w:jc w:val="center"/>
              <w:spacing w:after="0"/>
              <w:rPr>
                <w:sz w:val="20"/>
                <w:szCs w:val="20"/>
                <w:color w:val="auto"/>
              </w:rPr>
            </w:pPr>
            <w:r>
              <w:rPr>
                <w:rFonts w:ascii="Arial" w:cs="Arial" w:eastAsia="Arial" w:hAnsi="Arial"/>
                <w:sz w:val="16"/>
                <w:szCs w:val="16"/>
                <w:b w:val="1"/>
                <w:bCs w:val="1"/>
                <w:color w:val="FFFFFF"/>
                <w:w w:val="97"/>
              </w:rPr>
              <w:t>Audit</w:t>
            </w:r>
          </w:p>
        </w:tc>
        <w:tc>
          <w:tcPr>
            <w:tcW w:w="580" w:type="dxa"/>
            <w:vAlign w:val="bottom"/>
            <w:tcBorders>
              <w:bottom w:val="single" w:sz="8" w:color="276092"/>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Comp</w:t>
            </w:r>
          </w:p>
        </w:tc>
        <w:tc>
          <w:tcPr>
            <w:tcW w:w="420" w:type="dxa"/>
            <w:vAlign w:val="bottom"/>
            <w:tcBorders>
              <w:bottom w:val="single" w:sz="8" w:color="276092"/>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Gov</w:t>
            </w:r>
          </w:p>
        </w:tc>
        <w:tc>
          <w:tcPr>
            <w:tcW w:w="600" w:type="dxa"/>
            <w:vAlign w:val="bottom"/>
            <w:tcBorders>
              <w:bottom w:val="single" w:sz="8" w:color="276092"/>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Policy</w:t>
            </w:r>
          </w:p>
        </w:tc>
        <w:tc>
          <w:tcPr>
            <w:tcW w:w="1040" w:type="dxa"/>
            <w:vAlign w:val="bottom"/>
            <w:tcBorders>
              <w:bottom w:val="single" w:sz="8" w:color="276092"/>
              <w:right w:val="single" w:sz="8" w:color="auto"/>
            </w:tcBorders>
            <w:shd w:val="clear" w:color="auto" w:fill="276092"/>
          </w:tcPr>
          <w:p>
            <w:pPr>
              <w:jc w:val="center"/>
              <w:spacing w:after="0"/>
              <w:rPr>
                <w:sz w:val="20"/>
                <w:szCs w:val="20"/>
                <w:color w:val="auto"/>
              </w:rPr>
            </w:pPr>
            <w:r>
              <w:rPr>
                <w:rFonts w:ascii="Arial" w:cs="Arial" w:eastAsia="Arial" w:hAnsi="Arial"/>
                <w:sz w:val="16"/>
                <w:szCs w:val="16"/>
                <w:b w:val="1"/>
                <w:bCs w:val="1"/>
                <w:color w:val="FFFFFF"/>
              </w:rPr>
              <w:t>Boards</w:t>
            </w:r>
          </w:p>
        </w:tc>
      </w:tr>
      <w:tr>
        <w:trPr>
          <w:trHeight w:val="216"/>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Wesley G. Bush</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56</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2009</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Chairman and CEO, Northrop Grumman Corporation</w:t>
            </w:r>
          </w:p>
        </w:tc>
        <w:tc>
          <w:tcPr>
            <w:tcW w:w="53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w:t>
            </w:r>
          </w:p>
        </w:tc>
        <w:tc>
          <w:tcPr>
            <w:tcW w:w="42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w:t>
            </w:r>
          </w:p>
        </w:tc>
        <w:tc>
          <w:tcPr>
            <w:tcW w:w="60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1</w:t>
            </w: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Marianne C. Brown</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760" w:type="dxa"/>
            <w:vAlign w:val="bottom"/>
          </w:tcPr>
          <w:p>
            <w:pPr>
              <w:jc w:val="center"/>
              <w:spacing w:after="0"/>
              <w:rPr>
                <w:sz w:val="20"/>
                <w:szCs w:val="20"/>
                <w:color w:val="auto"/>
              </w:rPr>
            </w:pPr>
            <w:r>
              <w:rPr>
                <w:rFonts w:ascii="Arial" w:cs="Arial" w:eastAsia="Arial" w:hAnsi="Arial"/>
                <w:sz w:val="16"/>
                <w:szCs w:val="16"/>
                <w:color w:val="auto"/>
              </w:rPr>
              <w:t>2015</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Co-Chief Operating Officer, Global Financial Solutions,</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Fidelity National Information Services, Inc.</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Donald E. Felsinger</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70</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2007</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Lead Independent Director, Northrop Grumman Corporation;</w:t>
            </w:r>
          </w:p>
        </w:tc>
        <w:tc>
          <w:tcPr>
            <w:tcW w:w="530" w:type="dxa"/>
            <w:vAlign w:val="bottom"/>
            <w:shd w:val="clear" w:color="auto" w:fill="BECFDE"/>
          </w:tcPr>
          <w:p>
            <w:pPr>
              <w:spacing w:after="0"/>
              <w:rPr>
                <w:sz w:val="18"/>
                <w:szCs w:val="18"/>
                <w:color w:val="auto"/>
              </w:rPr>
            </w:pPr>
          </w:p>
        </w:tc>
        <w:tc>
          <w:tcPr>
            <w:tcW w:w="580" w:type="dxa"/>
            <w:vAlign w:val="bottom"/>
            <w:shd w:val="clear" w:color="auto" w:fill="BECFDE"/>
          </w:tcPr>
          <w:p>
            <w:pPr>
              <w:spacing w:after="0"/>
              <w:rPr>
                <w:sz w:val="18"/>
                <w:szCs w:val="18"/>
                <w:color w:val="auto"/>
              </w:rPr>
            </w:pPr>
          </w:p>
        </w:tc>
        <w:tc>
          <w:tcPr>
            <w:tcW w:w="420" w:type="dxa"/>
            <w:vAlign w:val="bottom"/>
            <w:shd w:val="clear" w:color="auto" w:fill="BECFDE"/>
          </w:tcPr>
          <w:p>
            <w:pPr>
              <w:spacing w:after="0"/>
              <w:rPr>
                <w:sz w:val="18"/>
                <w:szCs w:val="18"/>
                <w:color w:val="auto"/>
              </w:rPr>
            </w:pPr>
          </w:p>
        </w:tc>
        <w:tc>
          <w:tcPr>
            <w:tcW w:w="600" w:type="dxa"/>
            <w:vAlign w:val="bottom"/>
            <w:shd w:val="clear" w:color="auto" w:fill="BECFDE"/>
          </w:tcPr>
          <w:p>
            <w:pPr>
              <w:spacing w:after="0"/>
              <w:rPr>
                <w:sz w:val="18"/>
                <w:szCs w:val="18"/>
                <w:color w:val="auto"/>
              </w:rPr>
            </w:pP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2</w:t>
            </w:r>
          </w:p>
        </w:tc>
      </w:tr>
      <w:tr>
        <w:trPr>
          <w:trHeight w:val="201"/>
        </w:trPr>
        <w:tc>
          <w:tcPr>
            <w:tcW w:w="140" w:type="dxa"/>
            <w:vAlign w:val="bottom"/>
            <w:tcBorders>
              <w:right w:val="single" w:sz="8" w:color="auto"/>
            </w:tcBorders>
          </w:tcPr>
          <w:p>
            <w:pPr>
              <w:spacing w:after="0"/>
              <w:rPr>
                <w:sz w:val="17"/>
                <w:szCs w:val="17"/>
                <w:color w:val="auto"/>
              </w:rPr>
            </w:pPr>
          </w:p>
        </w:tc>
        <w:tc>
          <w:tcPr>
            <w:tcW w:w="18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760" w:type="dxa"/>
            <w:vAlign w:val="bottom"/>
            <w:shd w:val="clear" w:color="auto" w:fill="BECFDE"/>
          </w:tcPr>
          <w:p>
            <w:pPr>
              <w:spacing w:after="0"/>
              <w:rPr>
                <w:sz w:val="17"/>
                <w:szCs w:val="17"/>
                <w:color w:val="auto"/>
              </w:rPr>
            </w:pP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Former Chairman and CEO, Sempra Energy</w:t>
            </w:r>
          </w:p>
        </w:tc>
        <w:tc>
          <w:tcPr>
            <w:tcW w:w="530" w:type="dxa"/>
            <w:vAlign w:val="bottom"/>
            <w:shd w:val="clear" w:color="auto" w:fill="BECFDE"/>
          </w:tcPr>
          <w:p>
            <w:pPr>
              <w:spacing w:after="0"/>
              <w:rPr>
                <w:sz w:val="17"/>
                <w:szCs w:val="17"/>
                <w:color w:val="auto"/>
              </w:rPr>
            </w:pPr>
          </w:p>
        </w:tc>
        <w:tc>
          <w:tcPr>
            <w:tcW w:w="580" w:type="dxa"/>
            <w:vAlign w:val="bottom"/>
            <w:shd w:val="clear" w:color="auto" w:fill="BECFDE"/>
          </w:tcPr>
          <w:p>
            <w:pPr>
              <w:spacing w:after="0"/>
              <w:rPr>
                <w:sz w:val="17"/>
                <w:szCs w:val="17"/>
                <w:color w:val="auto"/>
              </w:rPr>
            </w:pPr>
          </w:p>
        </w:tc>
        <w:tc>
          <w:tcPr>
            <w:tcW w:w="4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1040" w:type="dxa"/>
            <w:vAlign w:val="bottom"/>
            <w:tcBorders>
              <w:right w:val="single" w:sz="8" w:color="auto"/>
            </w:tcBorders>
            <w:shd w:val="clear" w:color="auto" w:fill="BECFDE"/>
          </w:tcPr>
          <w:p>
            <w:pPr>
              <w:spacing w:after="0"/>
              <w:rPr>
                <w:sz w:val="17"/>
                <w:szCs w:val="17"/>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Ann M. Fudge</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66</w:t>
            </w:r>
          </w:p>
        </w:tc>
        <w:tc>
          <w:tcPr>
            <w:tcW w:w="760" w:type="dxa"/>
            <w:vAlign w:val="bottom"/>
          </w:tcPr>
          <w:p>
            <w:pPr>
              <w:jc w:val="center"/>
              <w:spacing w:after="0"/>
              <w:rPr>
                <w:sz w:val="20"/>
                <w:szCs w:val="20"/>
                <w:color w:val="auto"/>
              </w:rPr>
            </w:pPr>
            <w:r>
              <w:rPr>
                <w:rFonts w:ascii="Arial" w:cs="Arial" w:eastAsia="Arial" w:hAnsi="Arial"/>
                <w:sz w:val="16"/>
                <w:szCs w:val="16"/>
                <w:color w:val="auto"/>
              </w:rPr>
              <w:t>2016</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Former Chairman and Chief Executive Officer, Young &amp;</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Rubicam Brands</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Bruce S. Gordon</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72</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2008</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Former President, Retail Markets Group, Verizon</w:t>
            </w:r>
          </w:p>
        </w:tc>
        <w:tc>
          <w:tcPr>
            <w:tcW w:w="530" w:type="dxa"/>
            <w:vAlign w:val="bottom"/>
            <w:shd w:val="clear" w:color="auto" w:fill="BECFDE"/>
          </w:tcPr>
          <w:p>
            <w:pPr>
              <w:spacing w:after="0"/>
              <w:rPr>
                <w:sz w:val="18"/>
                <w:szCs w:val="18"/>
                <w:color w:val="auto"/>
              </w:rPr>
            </w:pPr>
          </w:p>
        </w:tc>
        <w:tc>
          <w:tcPr>
            <w:tcW w:w="580" w:type="dxa"/>
            <w:vAlign w:val="bottom"/>
            <w:shd w:val="clear" w:color="auto" w:fill="BECFDE"/>
          </w:tcPr>
          <w:p>
            <w:pPr>
              <w:spacing w:after="0"/>
              <w:rPr>
                <w:sz w:val="18"/>
                <w:szCs w:val="18"/>
                <w:color w:val="auto"/>
              </w:rPr>
            </w:pPr>
          </w:p>
        </w:tc>
        <w:tc>
          <w:tcPr>
            <w:tcW w:w="420" w:type="dxa"/>
            <w:vAlign w:val="bottom"/>
            <w:shd w:val="clear" w:color="auto" w:fill="BECFDE"/>
          </w:tcPr>
          <w:p>
            <w:pPr>
              <w:spacing w:after="0"/>
              <w:rPr>
                <w:sz w:val="18"/>
                <w:szCs w:val="18"/>
                <w:color w:val="auto"/>
              </w:rPr>
            </w:pPr>
          </w:p>
        </w:tc>
        <w:tc>
          <w:tcPr>
            <w:tcW w:w="600" w:type="dxa"/>
            <w:vAlign w:val="bottom"/>
            <w:shd w:val="clear" w:color="auto" w:fill="BECFDE"/>
          </w:tcPr>
          <w:p>
            <w:pPr>
              <w:spacing w:after="0"/>
              <w:rPr>
                <w:sz w:val="18"/>
                <w:szCs w:val="18"/>
                <w:color w:val="auto"/>
              </w:rPr>
            </w:pP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1</w:t>
            </w:r>
          </w:p>
        </w:tc>
      </w:tr>
      <w:tr>
        <w:trPr>
          <w:trHeight w:val="201"/>
        </w:trPr>
        <w:tc>
          <w:tcPr>
            <w:tcW w:w="140" w:type="dxa"/>
            <w:vAlign w:val="bottom"/>
            <w:tcBorders>
              <w:right w:val="single" w:sz="8" w:color="auto"/>
            </w:tcBorders>
          </w:tcPr>
          <w:p>
            <w:pPr>
              <w:spacing w:after="0"/>
              <w:rPr>
                <w:sz w:val="17"/>
                <w:szCs w:val="17"/>
                <w:color w:val="auto"/>
              </w:rPr>
            </w:pPr>
          </w:p>
        </w:tc>
        <w:tc>
          <w:tcPr>
            <w:tcW w:w="18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760" w:type="dxa"/>
            <w:vAlign w:val="bottom"/>
            <w:shd w:val="clear" w:color="auto" w:fill="BECFDE"/>
          </w:tcPr>
          <w:p>
            <w:pPr>
              <w:spacing w:after="0"/>
              <w:rPr>
                <w:sz w:val="17"/>
                <w:szCs w:val="17"/>
                <w:color w:val="auto"/>
              </w:rPr>
            </w:pP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Communications Inc.; Former President and CEO, NAACP</w:t>
            </w:r>
          </w:p>
        </w:tc>
        <w:tc>
          <w:tcPr>
            <w:tcW w:w="530" w:type="dxa"/>
            <w:vAlign w:val="bottom"/>
            <w:shd w:val="clear" w:color="auto" w:fill="BECFDE"/>
          </w:tcPr>
          <w:p>
            <w:pPr>
              <w:spacing w:after="0"/>
              <w:rPr>
                <w:sz w:val="17"/>
                <w:szCs w:val="17"/>
                <w:color w:val="auto"/>
              </w:rPr>
            </w:pPr>
          </w:p>
        </w:tc>
        <w:tc>
          <w:tcPr>
            <w:tcW w:w="580" w:type="dxa"/>
            <w:vAlign w:val="bottom"/>
            <w:shd w:val="clear" w:color="auto" w:fill="BECFDE"/>
          </w:tcPr>
          <w:p>
            <w:pPr>
              <w:spacing w:after="0"/>
              <w:rPr>
                <w:sz w:val="17"/>
                <w:szCs w:val="17"/>
                <w:color w:val="auto"/>
              </w:rPr>
            </w:pPr>
          </w:p>
        </w:tc>
        <w:tc>
          <w:tcPr>
            <w:tcW w:w="4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1040" w:type="dxa"/>
            <w:vAlign w:val="bottom"/>
            <w:tcBorders>
              <w:right w:val="single" w:sz="8" w:color="auto"/>
            </w:tcBorders>
            <w:shd w:val="clear" w:color="auto" w:fill="BECFDE"/>
          </w:tcPr>
          <w:p>
            <w:pPr>
              <w:spacing w:after="0"/>
              <w:rPr>
                <w:sz w:val="17"/>
                <w:szCs w:val="17"/>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William H. Hernandez</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760" w:type="dxa"/>
            <w:vAlign w:val="bottom"/>
          </w:tcPr>
          <w:p>
            <w:pPr>
              <w:jc w:val="center"/>
              <w:spacing w:after="0"/>
              <w:rPr>
                <w:sz w:val="20"/>
                <w:szCs w:val="20"/>
                <w:color w:val="auto"/>
              </w:rPr>
            </w:pPr>
            <w:r>
              <w:rPr>
                <w:rFonts w:ascii="Arial" w:cs="Arial" w:eastAsia="Arial" w:hAnsi="Arial"/>
                <w:sz w:val="16"/>
                <w:szCs w:val="16"/>
                <w:color w:val="auto"/>
              </w:rPr>
              <w:t>2013</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Former Senior Vice President and CFO, PPG Industries,</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Inc.</w:t>
            </w:r>
          </w:p>
        </w:tc>
        <w:tc>
          <w:tcPr>
            <w:tcW w:w="3790" w:type="dxa"/>
            <w:vAlign w:val="bottom"/>
          </w:tcPr>
          <w:p>
            <w:pPr>
              <w:spacing w:after="0"/>
              <w:rPr>
                <w:sz w:val="17"/>
                <w:szCs w:val="17"/>
                <w:color w:val="auto"/>
              </w:rPr>
            </w:pP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Madeleine A. Kleiner</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66</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2008</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Former Executive Vice President and General Counsel,</w:t>
            </w:r>
          </w:p>
        </w:tc>
        <w:tc>
          <w:tcPr>
            <w:tcW w:w="530" w:type="dxa"/>
            <w:vAlign w:val="bottom"/>
            <w:shd w:val="clear" w:color="auto" w:fill="BECFDE"/>
          </w:tcPr>
          <w:p>
            <w:pPr>
              <w:spacing w:after="0"/>
              <w:rPr>
                <w:sz w:val="18"/>
                <w:szCs w:val="18"/>
                <w:color w:val="auto"/>
              </w:rPr>
            </w:pPr>
          </w:p>
        </w:tc>
        <w:tc>
          <w:tcPr>
            <w:tcW w:w="580" w:type="dxa"/>
            <w:vAlign w:val="bottom"/>
            <w:shd w:val="clear" w:color="auto" w:fill="BECFDE"/>
          </w:tcPr>
          <w:p>
            <w:pPr>
              <w:spacing w:after="0"/>
              <w:rPr>
                <w:sz w:val="18"/>
                <w:szCs w:val="18"/>
                <w:color w:val="auto"/>
              </w:rPr>
            </w:pPr>
          </w:p>
        </w:tc>
        <w:tc>
          <w:tcPr>
            <w:tcW w:w="420" w:type="dxa"/>
            <w:vAlign w:val="bottom"/>
            <w:shd w:val="clear" w:color="auto" w:fill="BECFDE"/>
          </w:tcPr>
          <w:p>
            <w:pPr>
              <w:spacing w:after="0"/>
              <w:rPr>
                <w:sz w:val="18"/>
                <w:szCs w:val="18"/>
                <w:color w:val="auto"/>
              </w:rPr>
            </w:pPr>
          </w:p>
        </w:tc>
        <w:tc>
          <w:tcPr>
            <w:tcW w:w="600" w:type="dxa"/>
            <w:vAlign w:val="bottom"/>
            <w:shd w:val="clear" w:color="auto" w:fill="BECFDE"/>
          </w:tcPr>
          <w:p>
            <w:pPr>
              <w:spacing w:after="0"/>
              <w:rPr>
                <w:sz w:val="18"/>
                <w:szCs w:val="18"/>
                <w:color w:val="auto"/>
              </w:rPr>
            </w:pP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1</w:t>
            </w:r>
          </w:p>
        </w:tc>
      </w:tr>
      <w:tr>
        <w:trPr>
          <w:trHeight w:val="201"/>
        </w:trPr>
        <w:tc>
          <w:tcPr>
            <w:tcW w:w="140" w:type="dxa"/>
            <w:vAlign w:val="bottom"/>
            <w:tcBorders>
              <w:right w:val="single" w:sz="8" w:color="auto"/>
            </w:tcBorders>
          </w:tcPr>
          <w:p>
            <w:pPr>
              <w:spacing w:after="0"/>
              <w:rPr>
                <w:sz w:val="17"/>
                <w:szCs w:val="17"/>
                <w:color w:val="auto"/>
              </w:rPr>
            </w:pPr>
          </w:p>
        </w:tc>
        <w:tc>
          <w:tcPr>
            <w:tcW w:w="18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760" w:type="dxa"/>
            <w:vAlign w:val="bottom"/>
            <w:shd w:val="clear" w:color="auto" w:fill="BECFDE"/>
          </w:tcPr>
          <w:p>
            <w:pPr>
              <w:spacing w:after="0"/>
              <w:rPr>
                <w:sz w:val="17"/>
                <w:szCs w:val="17"/>
                <w:color w:val="auto"/>
              </w:rPr>
            </w:pP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Hilton Hotels Corporation</w:t>
            </w:r>
          </w:p>
        </w:tc>
        <w:tc>
          <w:tcPr>
            <w:tcW w:w="530" w:type="dxa"/>
            <w:vAlign w:val="bottom"/>
            <w:shd w:val="clear" w:color="auto" w:fill="BECFDE"/>
          </w:tcPr>
          <w:p>
            <w:pPr>
              <w:spacing w:after="0"/>
              <w:rPr>
                <w:sz w:val="17"/>
                <w:szCs w:val="17"/>
                <w:color w:val="auto"/>
              </w:rPr>
            </w:pPr>
          </w:p>
        </w:tc>
        <w:tc>
          <w:tcPr>
            <w:tcW w:w="580" w:type="dxa"/>
            <w:vAlign w:val="bottom"/>
            <w:shd w:val="clear" w:color="auto" w:fill="BECFDE"/>
          </w:tcPr>
          <w:p>
            <w:pPr>
              <w:spacing w:after="0"/>
              <w:rPr>
                <w:sz w:val="17"/>
                <w:szCs w:val="17"/>
                <w:color w:val="auto"/>
              </w:rPr>
            </w:pPr>
          </w:p>
        </w:tc>
        <w:tc>
          <w:tcPr>
            <w:tcW w:w="4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1040" w:type="dxa"/>
            <w:vAlign w:val="bottom"/>
            <w:tcBorders>
              <w:right w:val="single" w:sz="8" w:color="auto"/>
            </w:tcBorders>
            <w:shd w:val="clear" w:color="auto" w:fill="BECFDE"/>
          </w:tcPr>
          <w:p>
            <w:pPr>
              <w:spacing w:after="0"/>
              <w:rPr>
                <w:sz w:val="17"/>
                <w:szCs w:val="17"/>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Karl J. Krapek</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760" w:type="dxa"/>
            <w:vAlign w:val="bottom"/>
          </w:tcPr>
          <w:p>
            <w:pPr>
              <w:jc w:val="center"/>
              <w:spacing w:after="0"/>
              <w:rPr>
                <w:sz w:val="20"/>
                <w:szCs w:val="20"/>
                <w:color w:val="auto"/>
              </w:rPr>
            </w:pPr>
            <w:r>
              <w:rPr>
                <w:rFonts w:ascii="Arial" w:cs="Arial" w:eastAsia="Arial" w:hAnsi="Arial"/>
                <w:sz w:val="16"/>
                <w:szCs w:val="16"/>
                <w:color w:val="auto"/>
              </w:rPr>
              <w:t>2008</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Former President and COO, United Technologies</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Corporation</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Gary Roughead</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66</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2012</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Retired Admiral, United States Navy and Former Chief of</w:t>
            </w:r>
          </w:p>
        </w:tc>
        <w:tc>
          <w:tcPr>
            <w:tcW w:w="530" w:type="dxa"/>
            <w:vAlign w:val="bottom"/>
            <w:shd w:val="clear" w:color="auto" w:fill="BECFDE"/>
          </w:tcPr>
          <w:p>
            <w:pPr>
              <w:spacing w:after="0"/>
              <w:rPr>
                <w:sz w:val="18"/>
                <w:szCs w:val="18"/>
                <w:color w:val="auto"/>
              </w:rPr>
            </w:pPr>
          </w:p>
        </w:tc>
        <w:tc>
          <w:tcPr>
            <w:tcW w:w="580" w:type="dxa"/>
            <w:vAlign w:val="bottom"/>
            <w:shd w:val="clear" w:color="auto" w:fill="BECFDE"/>
          </w:tcPr>
          <w:p>
            <w:pPr>
              <w:spacing w:after="0"/>
              <w:rPr>
                <w:sz w:val="18"/>
                <w:szCs w:val="18"/>
                <w:color w:val="auto"/>
              </w:rPr>
            </w:pPr>
          </w:p>
        </w:tc>
        <w:tc>
          <w:tcPr>
            <w:tcW w:w="420" w:type="dxa"/>
            <w:vAlign w:val="bottom"/>
            <w:shd w:val="clear" w:color="auto" w:fill="BECFDE"/>
          </w:tcPr>
          <w:p>
            <w:pPr>
              <w:spacing w:after="0"/>
              <w:rPr>
                <w:sz w:val="18"/>
                <w:szCs w:val="18"/>
                <w:color w:val="auto"/>
              </w:rPr>
            </w:pPr>
          </w:p>
        </w:tc>
        <w:tc>
          <w:tcPr>
            <w:tcW w:w="600" w:type="dxa"/>
            <w:vAlign w:val="bottom"/>
            <w:shd w:val="clear" w:color="auto" w:fill="BECFDE"/>
          </w:tcPr>
          <w:p>
            <w:pPr>
              <w:spacing w:after="0"/>
              <w:rPr>
                <w:sz w:val="18"/>
                <w:szCs w:val="18"/>
                <w:color w:val="auto"/>
              </w:rPr>
            </w:pP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w:t>
            </w:r>
          </w:p>
        </w:tc>
      </w:tr>
      <w:tr>
        <w:trPr>
          <w:trHeight w:val="201"/>
        </w:trPr>
        <w:tc>
          <w:tcPr>
            <w:tcW w:w="140" w:type="dxa"/>
            <w:vAlign w:val="bottom"/>
            <w:tcBorders>
              <w:right w:val="single" w:sz="8" w:color="auto"/>
            </w:tcBorders>
          </w:tcPr>
          <w:p>
            <w:pPr>
              <w:spacing w:after="0"/>
              <w:rPr>
                <w:sz w:val="17"/>
                <w:szCs w:val="17"/>
                <w:color w:val="auto"/>
              </w:rPr>
            </w:pPr>
          </w:p>
        </w:tc>
        <w:tc>
          <w:tcPr>
            <w:tcW w:w="18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760" w:type="dxa"/>
            <w:vAlign w:val="bottom"/>
            <w:shd w:val="clear" w:color="auto" w:fill="BECFDE"/>
          </w:tcPr>
          <w:p>
            <w:pPr>
              <w:spacing w:after="0"/>
              <w:rPr>
                <w:sz w:val="17"/>
                <w:szCs w:val="17"/>
                <w:color w:val="auto"/>
              </w:rPr>
            </w:pP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Naval Operations</w:t>
            </w:r>
          </w:p>
        </w:tc>
        <w:tc>
          <w:tcPr>
            <w:tcW w:w="530" w:type="dxa"/>
            <w:vAlign w:val="bottom"/>
            <w:shd w:val="clear" w:color="auto" w:fill="BECFDE"/>
          </w:tcPr>
          <w:p>
            <w:pPr>
              <w:spacing w:after="0"/>
              <w:rPr>
                <w:sz w:val="17"/>
                <w:szCs w:val="17"/>
                <w:color w:val="auto"/>
              </w:rPr>
            </w:pPr>
          </w:p>
        </w:tc>
        <w:tc>
          <w:tcPr>
            <w:tcW w:w="580" w:type="dxa"/>
            <w:vAlign w:val="bottom"/>
            <w:shd w:val="clear" w:color="auto" w:fill="BECFDE"/>
          </w:tcPr>
          <w:p>
            <w:pPr>
              <w:spacing w:after="0"/>
              <w:rPr>
                <w:sz w:val="17"/>
                <w:szCs w:val="17"/>
                <w:color w:val="auto"/>
              </w:rPr>
            </w:pPr>
          </w:p>
        </w:tc>
        <w:tc>
          <w:tcPr>
            <w:tcW w:w="4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1040" w:type="dxa"/>
            <w:vAlign w:val="bottom"/>
            <w:tcBorders>
              <w:right w:val="single" w:sz="8" w:color="auto"/>
            </w:tcBorders>
            <w:shd w:val="clear" w:color="auto" w:fill="BECFDE"/>
          </w:tcPr>
          <w:p>
            <w:pPr>
              <w:spacing w:after="0"/>
              <w:rPr>
                <w:sz w:val="17"/>
                <w:szCs w:val="17"/>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Thomas M. Schoewe</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760" w:type="dxa"/>
            <w:vAlign w:val="bottom"/>
          </w:tcPr>
          <w:p>
            <w:pPr>
              <w:jc w:val="center"/>
              <w:spacing w:after="0"/>
              <w:rPr>
                <w:sz w:val="20"/>
                <w:szCs w:val="20"/>
                <w:color w:val="auto"/>
              </w:rPr>
            </w:pPr>
            <w:r>
              <w:rPr>
                <w:rFonts w:ascii="Arial" w:cs="Arial" w:eastAsia="Arial" w:hAnsi="Arial"/>
                <w:sz w:val="16"/>
                <w:szCs w:val="16"/>
                <w:color w:val="auto"/>
              </w:rPr>
              <w:t>2011</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Former Executive Vice President and CFO, Wal-Mart</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w:t>
            </w: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Stores, Inc.</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07"/>
        </w:trPr>
        <w:tc>
          <w:tcPr>
            <w:tcW w:w="140" w:type="dxa"/>
            <w:vAlign w:val="bottom"/>
            <w:tcBorders>
              <w:right w:val="single" w:sz="8" w:color="auto"/>
            </w:tcBorders>
          </w:tcPr>
          <w:p>
            <w:pPr>
              <w:spacing w:after="0"/>
              <w:rPr>
                <w:sz w:val="18"/>
                <w:szCs w:val="18"/>
                <w:color w:val="auto"/>
              </w:rPr>
            </w:pPr>
          </w:p>
        </w:tc>
        <w:tc>
          <w:tcPr>
            <w:tcW w:w="1820" w:type="dxa"/>
            <w:vAlign w:val="bottom"/>
            <w:shd w:val="clear" w:color="auto" w:fill="BECFDE"/>
          </w:tcPr>
          <w:p>
            <w:pPr>
              <w:ind w:left="180"/>
              <w:spacing w:after="0"/>
              <w:rPr>
                <w:sz w:val="20"/>
                <w:szCs w:val="20"/>
                <w:color w:val="auto"/>
              </w:rPr>
            </w:pPr>
            <w:r>
              <w:rPr>
                <w:rFonts w:ascii="Arial" w:cs="Arial" w:eastAsia="Arial" w:hAnsi="Arial"/>
                <w:sz w:val="16"/>
                <w:szCs w:val="16"/>
                <w:color w:val="auto"/>
              </w:rPr>
              <w:t>James S. Turley</w:t>
            </w:r>
          </w:p>
        </w:tc>
        <w:tc>
          <w:tcPr>
            <w:tcW w:w="600" w:type="dxa"/>
            <w:vAlign w:val="bottom"/>
            <w:shd w:val="clear" w:color="auto" w:fill="BECFDE"/>
          </w:tcPr>
          <w:p>
            <w:pPr>
              <w:jc w:val="right"/>
              <w:ind w:right="99"/>
              <w:spacing w:after="0"/>
              <w:rPr>
                <w:sz w:val="20"/>
                <w:szCs w:val="20"/>
                <w:color w:val="auto"/>
              </w:rPr>
            </w:pPr>
            <w:r>
              <w:rPr>
                <w:rFonts w:ascii="Arial" w:cs="Arial" w:eastAsia="Arial" w:hAnsi="Arial"/>
                <w:sz w:val="16"/>
                <w:szCs w:val="16"/>
                <w:color w:val="auto"/>
              </w:rPr>
              <w:t>62</w:t>
            </w:r>
          </w:p>
        </w:tc>
        <w:tc>
          <w:tcPr>
            <w:tcW w:w="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2015</w:t>
            </w:r>
          </w:p>
        </w:tc>
        <w:tc>
          <w:tcPr>
            <w:tcW w:w="4430" w:type="dxa"/>
            <w:vAlign w:val="bottom"/>
            <w:gridSpan w:val="2"/>
            <w:shd w:val="clear" w:color="auto" w:fill="BECFDE"/>
          </w:tcPr>
          <w:p>
            <w:pPr>
              <w:ind w:left="40"/>
              <w:spacing w:after="0"/>
              <w:rPr>
                <w:sz w:val="20"/>
                <w:szCs w:val="20"/>
                <w:color w:val="auto"/>
              </w:rPr>
            </w:pPr>
            <w:r>
              <w:rPr>
                <w:rFonts w:ascii="Arial" w:cs="Arial" w:eastAsia="Arial" w:hAnsi="Arial"/>
                <w:sz w:val="16"/>
                <w:szCs w:val="16"/>
                <w:color w:val="auto"/>
              </w:rPr>
              <w:t>Former Chairman and Chief Executive Officer, Ernst &amp;</w:t>
            </w:r>
          </w:p>
        </w:tc>
        <w:tc>
          <w:tcPr>
            <w:tcW w:w="530" w:type="dxa"/>
            <w:vAlign w:val="bottom"/>
            <w:shd w:val="clear" w:color="auto" w:fill="BECFDE"/>
          </w:tcPr>
          <w:p>
            <w:pPr>
              <w:spacing w:after="0"/>
              <w:rPr>
                <w:sz w:val="18"/>
                <w:szCs w:val="18"/>
                <w:color w:val="auto"/>
              </w:rPr>
            </w:pPr>
          </w:p>
        </w:tc>
        <w:tc>
          <w:tcPr>
            <w:tcW w:w="580" w:type="dxa"/>
            <w:vAlign w:val="bottom"/>
            <w:shd w:val="clear" w:color="auto" w:fill="BECFDE"/>
          </w:tcPr>
          <w:p>
            <w:pPr>
              <w:spacing w:after="0"/>
              <w:rPr>
                <w:sz w:val="18"/>
                <w:szCs w:val="18"/>
                <w:color w:val="auto"/>
              </w:rPr>
            </w:pPr>
          </w:p>
        </w:tc>
        <w:tc>
          <w:tcPr>
            <w:tcW w:w="420" w:type="dxa"/>
            <w:vAlign w:val="bottom"/>
            <w:shd w:val="clear" w:color="auto" w:fill="BECFDE"/>
          </w:tcPr>
          <w:p>
            <w:pPr>
              <w:spacing w:after="0"/>
              <w:rPr>
                <w:sz w:val="18"/>
                <w:szCs w:val="18"/>
                <w:color w:val="auto"/>
              </w:rPr>
            </w:pPr>
          </w:p>
        </w:tc>
        <w:tc>
          <w:tcPr>
            <w:tcW w:w="600" w:type="dxa"/>
            <w:vAlign w:val="bottom"/>
            <w:shd w:val="clear" w:color="auto" w:fill="BECFDE"/>
          </w:tcPr>
          <w:p>
            <w:pPr>
              <w:spacing w:after="0"/>
              <w:rPr>
                <w:sz w:val="18"/>
                <w:szCs w:val="18"/>
                <w:color w:val="auto"/>
              </w:rPr>
            </w:pPr>
          </w:p>
        </w:tc>
        <w:tc>
          <w:tcPr>
            <w:tcW w:w="1040" w:type="dxa"/>
            <w:vAlign w:val="bottom"/>
            <w:tcBorders>
              <w:right w:val="single" w:sz="8" w:color="auto"/>
            </w:tcBorders>
            <w:shd w:val="clear" w:color="auto" w:fill="BECFDE"/>
          </w:tcPr>
          <w:p>
            <w:pPr>
              <w:jc w:val="center"/>
              <w:spacing w:after="0"/>
              <w:rPr>
                <w:sz w:val="20"/>
                <w:szCs w:val="20"/>
                <w:color w:val="auto"/>
              </w:rPr>
            </w:pPr>
            <w:r>
              <w:rPr>
                <w:rFonts w:ascii="Arial" w:cs="Arial" w:eastAsia="Arial" w:hAnsi="Arial"/>
                <w:sz w:val="16"/>
                <w:szCs w:val="16"/>
                <w:color w:val="auto"/>
              </w:rPr>
              <w:t>3</w:t>
            </w:r>
          </w:p>
        </w:tc>
      </w:tr>
      <w:tr>
        <w:trPr>
          <w:trHeight w:val="201"/>
        </w:trPr>
        <w:tc>
          <w:tcPr>
            <w:tcW w:w="140" w:type="dxa"/>
            <w:vAlign w:val="bottom"/>
            <w:tcBorders>
              <w:right w:val="single" w:sz="8" w:color="auto"/>
            </w:tcBorders>
          </w:tcPr>
          <w:p>
            <w:pPr>
              <w:spacing w:after="0"/>
              <w:rPr>
                <w:sz w:val="17"/>
                <w:szCs w:val="17"/>
                <w:color w:val="auto"/>
              </w:rPr>
            </w:pPr>
          </w:p>
        </w:tc>
        <w:tc>
          <w:tcPr>
            <w:tcW w:w="18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760" w:type="dxa"/>
            <w:vAlign w:val="bottom"/>
            <w:shd w:val="clear" w:color="auto" w:fill="BECFDE"/>
          </w:tcPr>
          <w:p>
            <w:pPr>
              <w:spacing w:after="0"/>
              <w:rPr>
                <w:sz w:val="17"/>
                <w:szCs w:val="17"/>
                <w:color w:val="auto"/>
              </w:rPr>
            </w:pPr>
          </w:p>
        </w:tc>
        <w:tc>
          <w:tcPr>
            <w:tcW w:w="640" w:type="dxa"/>
            <w:vAlign w:val="bottom"/>
            <w:shd w:val="clear" w:color="auto" w:fill="BECFDE"/>
          </w:tcPr>
          <w:p>
            <w:pPr>
              <w:ind w:left="40"/>
              <w:spacing w:after="0"/>
              <w:rPr>
                <w:sz w:val="20"/>
                <w:szCs w:val="20"/>
                <w:color w:val="auto"/>
              </w:rPr>
            </w:pPr>
            <w:r>
              <w:rPr>
                <w:rFonts w:ascii="Arial" w:cs="Arial" w:eastAsia="Arial" w:hAnsi="Arial"/>
                <w:sz w:val="16"/>
                <w:szCs w:val="16"/>
                <w:color w:val="auto"/>
              </w:rPr>
              <w:t>Young</w:t>
            </w:r>
          </w:p>
        </w:tc>
        <w:tc>
          <w:tcPr>
            <w:tcW w:w="3790" w:type="dxa"/>
            <w:vAlign w:val="bottom"/>
            <w:shd w:val="clear" w:color="auto" w:fill="BECFDE"/>
          </w:tcPr>
          <w:p>
            <w:pPr>
              <w:spacing w:after="0"/>
              <w:rPr>
                <w:sz w:val="17"/>
                <w:szCs w:val="17"/>
                <w:color w:val="auto"/>
              </w:rPr>
            </w:pPr>
          </w:p>
        </w:tc>
        <w:tc>
          <w:tcPr>
            <w:tcW w:w="530" w:type="dxa"/>
            <w:vAlign w:val="bottom"/>
            <w:shd w:val="clear" w:color="auto" w:fill="BECFDE"/>
          </w:tcPr>
          <w:p>
            <w:pPr>
              <w:spacing w:after="0"/>
              <w:rPr>
                <w:sz w:val="17"/>
                <w:szCs w:val="17"/>
                <w:color w:val="auto"/>
              </w:rPr>
            </w:pPr>
          </w:p>
        </w:tc>
        <w:tc>
          <w:tcPr>
            <w:tcW w:w="580" w:type="dxa"/>
            <w:vAlign w:val="bottom"/>
            <w:shd w:val="clear" w:color="auto" w:fill="BECFDE"/>
          </w:tcPr>
          <w:p>
            <w:pPr>
              <w:spacing w:after="0"/>
              <w:rPr>
                <w:sz w:val="17"/>
                <w:szCs w:val="17"/>
                <w:color w:val="auto"/>
              </w:rPr>
            </w:pPr>
          </w:p>
        </w:tc>
        <w:tc>
          <w:tcPr>
            <w:tcW w:w="420" w:type="dxa"/>
            <w:vAlign w:val="bottom"/>
            <w:shd w:val="clear" w:color="auto" w:fill="BECFDE"/>
          </w:tcPr>
          <w:p>
            <w:pPr>
              <w:spacing w:after="0"/>
              <w:rPr>
                <w:sz w:val="17"/>
                <w:szCs w:val="17"/>
                <w:color w:val="auto"/>
              </w:rPr>
            </w:pPr>
          </w:p>
        </w:tc>
        <w:tc>
          <w:tcPr>
            <w:tcW w:w="600" w:type="dxa"/>
            <w:vAlign w:val="bottom"/>
            <w:shd w:val="clear" w:color="auto" w:fill="BECFDE"/>
          </w:tcPr>
          <w:p>
            <w:pPr>
              <w:spacing w:after="0"/>
              <w:rPr>
                <w:sz w:val="17"/>
                <w:szCs w:val="17"/>
                <w:color w:val="auto"/>
              </w:rPr>
            </w:pPr>
          </w:p>
        </w:tc>
        <w:tc>
          <w:tcPr>
            <w:tcW w:w="1040" w:type="dxa"/>
            <w:vAlign w:val="bottom"/>
            <w:tcBorders>
              <w:right w:val="single" w:sz="8" w:color="auto"/>
            </w:tcBorders>
            <w:shd w:val="clear" w:color="auto" w:fill="BECFDE"/>
          </w:tcPr>
          <w:p>
            <w:pPr>
              <w:spacing w:after="0"/>
              <w:rPr>
                <w:sz w:val="17"/>
                <w:szCs w:val="17"/>
                <w:color w:val="auto"/>
              </w:rPr>
            </w:pPr>
          </w:p>
        </w:tc>
      </w:tr>
      <w:tr>
        <w:trPr>
          <w:trHeight w:val="204"/>
        </w:trPr>
        <w:tc>
          <w:tcPr>
            <w:tcW w:w="140" w:type="dxa"/>
            <w:vAlign w:val="bottom"/>
            <w:tcBorders>
              <w:right w:val="single" w:sz="8" w:color="auto"/>
            </w:tcBorders>
          </w:tcPr>
          <w:p>
            <w:pPr>
              <w:spacing w:after="0"/>
              <w:rPr>
                <w:sz w:val="17"/>
                <w:szCs w:val="17"/>
                <w:color w:val="auto"/>
              </w:rPr>
            </w:pPr>
          </w:p>
        </w:tc>
        <w:tc>
          <w:tcPr>
            <w:tcW w:w="1820" w:type="dxa"/>
            <w:vAlign w:val="bottom"/>
          </w:tcPr>
          <w:p>
            <w:pPr>
              <w:ind w:left="180"/>
              <w:spacing w:after="0"/>
              <w:rPr>
                <w:sz w:val="20"/>
                <w:szCs w:val="20"/>
                <w:color w:val="auto"/>
              </w:rPr>
            </w:pPr>
            <w:r>
              <w:rPr>
                <w:rFonts w:ascii="Arial" w:cs="Arial" w:eastAsia="Arial" w:hAnsi="Arial"/>
                <w:sz w:val="16"/>
                <w:szCs w:val="16"/>
                <w:color w:val="auto"/>
              </w:rPr>
              <w:t>Mark A. Welsh III</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760" w:type="dxa"/>
            <w:vAlign w:val="bottom"/>
          </w:tcPr>
          <w:p>
            <w:pPr>
              <w:jc w:val="center"/>
              <w:spacing w:after="0"/>
              <w:rPr>
                <w:sz w:val="20"/>
                <w:szCs w:val="20"/>
                <w:color w:val="auto"/>
              </w:rPr>
            </w:pPr>
            <w:r>
              <w:rPr>
                <w:rFonts w:ascii="Arial" w:cs="Arial" w:eastAsia="Arial" w:hAnsi="Arial"/>
                <w:sz w:val="16"/>
                <w:szCs w:val="16"/>
                <w:color w:val="auto"/>
              </w:rPr>
              <w:t>2016</w:t>
            </w: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Dean of the Bush School of Government and Public Service,</w:t>
            </w:r>
          </w:p>
        </w:tc>
        <w:tc>
          <w:tcPr>
            <w:tcW w:w="53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140" w:type="dxa"/>
            <w:vAlign w:val="bottom"/>
            <w:tcBorders>
              <w:right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30" w:type="dxa"/>
            <w:vAlign w:val="bottom"/>
            <w:gridSpan w:val="2"/>
          </w:tcPr>
          <w:p>
            <w:pPr>
              <w:ind w:left="40"/>
              <w:spacing w:after="0"/>
              <w:rPr>
                <w:sz w:val="20"/>
                <w:szCs w:val="20"/>
                <w:color w:val="auto"/>
              </w:rPr>
            </w:pPr>
            <w:r>
              <w:rPr>
                <w:rFonts w:ascii="Arial" w:cs="Arial" w:eastAsia="Arial" w:hAnsi="Arial"/>
                <w:sz w:val="16"/>
                <w:szCs w:val="16"/>
                <w:color w:val="auto"/>
              </w:rPr>
              <w:t>Texas A&amp;M University; Retired General, United States Air</w:t>
            </w:r>
          </w:p>
        </w:tc>
        <w:tc>
          <w:tcPr>
            <w:tcW w:w="53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r>
      <w:tr>
        <w:trPr>
          <w:trHeight w:val="198"/>
        </w:trPr>
        <w:tc>
          <w:tcPr>
            <w:tcW w:w="140" w:type="dxa"/>
            <w:vAlign w:val="bottom"/>
            <w:tcBorders>
              <w:right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3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Force and Former Chief of Staff, United States Air Force</w:t>
            </w:r>
          </w:p>
        </w:tc>
        <w:tc>
          <w:tcPr>
            <w:tcW w:w="53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577"/>
        </w:trPr>
        <w:tc>
          <w:tcPr>
            <w:tcW w:w="2560" w:type="dxa"/>
            <w:vAlign w:val="bottom"/>
            <w:gridSpan w:val="3"/>
          </w:tcPr>
          <w:p>
            <w:pPr>
              <w:jc w:val="right"/>
              <w:ind w:right="19"/>
              <w:spacing w:after="0"/>
              <w:rPr>
                <w:sz w:val="20"/>
                <w:szCs w:val="20"/>
                <w:color w:val="auto"/>
              </w:rPr>
            </w:pPr>
            <w:r>
              <w:rPr>
                <w:rFonts w:ascii="Arial" w:cs="Arial" w:eastAsia="Arial" w:hAnsi="Arial"/>
                <w:sz w:val="18"/>
                <w:szCs w:val="18"/>
                <w:color w:val="auto"/>
              </w:rPr>
              <w:t>(1)  Age as of March 30, 2018.</w:t>
            </w: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 Chair</w:t>
            </w:r>
          </w:p>
        </w:tc>
        <w:tc>
          <w:tcPr>
            <w:tcW w:w="3790" w:type="dxa"/>
            <w:vAlign w:val="bottom"/>
          </w:tcPr>
          <w:p>
            <w:pPr>
              <w:ind w:left="160"/>
              <w:spacing w:after="0"/>
              <w:rPr>
                <w:sz w:val="20"/>
                <w:szCs w:val="20"/>
                <w:color w:val="auto"/>
              </w:rPr>
            </w:pPr>
            <w:r>
              <w:rPr>
                <w:rFonts w:ascii="Arial" w:cs="Arial" w:eastAsia="Arial" w:hAnsi="Arial"/>
                <w:sz w:val="18"/>
                <w:szCs w:val="18"/>
                <w:color w:val="auto"/>
              </w:rPr>
              <w:t>= Member</w:t>
            </w:r>
          </w:p>
        </w:tc>
        <w:tc>
          <w:tcPr>
            <w:tcW w:w="53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-3283585</wp:posOffset>
            </wp:positionV>
            <wp:extent cx="10287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-3283585</wp:posOffset>
            </wp:positionV>
            <wp:extent cx="10287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-3026410</wp:posOffset>
            </wp:positionV>
            <wp:extent cx="10287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-3026410</wp:posOffset>
            </wp:positionV>
            <wp:extent cx="10287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-2769235</wp:posOffset>
            </wp:positionV>
            <wp:extent cx="10287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-2769235</wp:posOffset>
            </wp:positionV>
            <wp:extent cx="10287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-2512060</wp:posOffset>
            </wp:positionV>
            <wp:extent cx="10287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-2512060</wp:posOffset>
            </wp:positionV>
            <wp:extent cx="10287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-2254885</wp:posOffset>
            </wp:positionV>
            <wp:extent cx="10287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-2254885</wp:posOffset>
            </wp:positionV>
            <wp:extent cx="10287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-1997710</wp:posOffset>
            </wp:positionV>
            <wp:extent cx="10287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-1997710</wp:posOffset>
            </wp:positionV>
            <wp:extent cx="10287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-1740535</wp:posOffset>
            </wp:positionV>
            <wp:extent cx="10287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-1740535</wp:posOffset>
            </wp:positionV>
            <wp:extent cx="10287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-1482725</wp:posOffset>
            </wp:positionV>
            <wp:extent cx="10287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-1482725</wp:posOffset>
            </wp:positionV>
            <wp:extent cx="10287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-1225550</wp:posOffset>
            </wp:positionV>
            <wp:extent cx="10287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-1225550</wp:posOffset>
            </wp:positionV>
            <wp:extent cx="10287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-968375</wp:posOffset>
            </wp:positionV>
            <wp:extent cx="10287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-968375</wp:posOffset>
            </wp:positionV>
            <wp:extent cx="10287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-711200</wp:posOffset>
            </wp:positionV>
            <wp:extent cx="10287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-711200</wp:posOffset>
            </wp:positionV>
            <wp:extent cx="10287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-213995</wp:posOffset>
            </wp:positionV>
            <wp:extent cx="10287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-213995</wp:posOffset>
            </wp:positionV>
            <wp:extent cx="10287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74" w:lineRule="exact"/>
        <w:rPr>
          <w:sz w:val="20"/>
          <w:szCs w:val="20"/>
          <w:color w:val="auto"/>
        </w:rPr>
      </w:pPr>
    </w:p>
    <w:p>
      <w:pPr>
        <w:ind w:left="200" w:right="500"/>
        <w:spacing w:after="0" w:line="246" w:lineRule="auto"/>
        <w:rPr>
          <w:sz w:val="20"/>
          <w:szCs w:val="20"/>
          <w:color w:val="auto"/>
        </w:rPr>
      </w:pPr>
      <w:r>
        <w:rPr>
          <w:rFonts w:ascii="Arial" w:cs="Arial" w:eastAsia="Arial" w:hAnsi="Arial"/>
          <w:sz w:val="18"/>
          <w:szCs w:val="18"/>
          <w:color w:val="auto"/>
        </w:rPr>
        <w:t>In accordance with our retirement policy, Victor H. Fazio, a director who served during 2017, will not stand for re-election at the 2018 Annual Meeting as he will have attained his 75th birthday prior to the Annual Meeting.</w:t>
      </w:r>
    </w:p>
    <w:p>
      <w:pPr>
        <w:spacing w:after="0" w:line="127" w:lineRule="exact"/>
        <w:rPr>
          <w:sz w:val="20"/>
          <w:szCs w:val="20"/>
          <w:color w:val="auto"/>
        </w:rPr>
      </w:pPr>
    </w:p>
    <w:p>
      <w:pPr>
        <w:ind w:left="360" w:hanging="156"/>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Nominee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charts below reflect the tenure, independence and broad experience of our board nominees.</w:t>
      </w:r>
    </w:p>
    <w:p>
      <w:pPr>
        <w:spacing w:after="0" w:line="331" w:lineRule="exact"/>
        <w:rPr>
          <w:sz w:val="20"/>
          <w:szCs w:val="20"/>
          <w:color w:val="auto"/>
        </w:rPr>
      </w:pPr>
    </w:p>
    <w:p>
      <w:pPr>
        <w:jc w:val="right"/>
        <w:ind w:right="1200"/>
        <w:spacing w:after="0"/>
        <w:tabs>
          <w:tab w:leader="none" w:pos="2700" w:val="left"/>
        </w:tabs>
        <w:rPr>
          <w:sz w:val="20"/>
          <w:szCs w:val="20"/>
          <w:color w:val="auto"/>
        </w:rPr>
      </w:pPr>
      <w:r>
        <w:rPr>
          <w:rFonts w:ascii="Arial" w:cs="Arial" w:eastAsia="Arial" w:hAnsi="Arial"/>
          <w:sz w:val="25"/>
          <w:szCs w:val="25"/>
          <w:b w:val="1"/>
          <w:bCs w:val="1"/>
          <w:color w:val="auto"/>
        </w:rPr>
        <w:t>Director Tenure</w:t>
      </w:r>
      <w:r>
        <w:rPr>
          <w:sz w:val="20"/>
          <w:szCs w:val="20"/>
          <w:color w:val="auto"/>
        </w:rPr>
        <w:tab/>
      </w: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265430</wp:posOffset>
            </wp:positionV>
            <wp:extent cx="2298065" cy="21183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98065" cy="211836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497205</wp:posOffset>
            </wp:positionV>
            <wp:extent cx="2135505" cy="1852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35505" cy="185229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2709545</wp:posOffset>
            </wp:positionV>
            <wp:extent cx="656018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601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Director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342900</wp:posOffset>
            </wp:positionV>
            <wp:extent cx="5111115" cy="2169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11115" cy="216979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2829560</wp:posOffset>
            </wp:positionV>
            <wp:extent cx="3361690" cy="334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1690" cy="3346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Governance Highlights (pages 13-22)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9"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We are committed to high standards of corporate governance and have a robust corporate governance program intended to promote the long-term success of our Company. Some highlights of our corporate governance practices are listed below.</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FFFFFF"/>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-1511300</wp:posOffset>
            </wp:positionV>
            <wp:extent cx="1123315" cy="3215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23315" cy="3215640"/>
                    </a:xfrm>
                    <a:prstGeom prst="rect">
                      <a:avLst/>
                    </a:prstGeom>
                    <a:noFill/>
                  </pic:spPr>
                </pic:pic>
              </a:graphicData>
            </a:graphic>
          </wp:anchor>
        </w:drawing>
      </w:r>
    </w:p>
    <w:p>
      <w:pPr>
        <w:ind w:left="400"/>
        <w:spacing w:after="0"/>
        <w:rPr>
          <w:sz w:val="20"/>
          <w:szCs w:val="20"/>
          <w:color w:val="auto"/>
        </w:rPr>
      </w:pPr>
      <w:r>
        <w:rPr>
          <w:rFonts w:ascii="Arial" w:cs="Arial" w:eastAsia="Arial" w:hAnsi="Arial"/>
          <w:sz w:val="22"/>
          <w:szCs w:val="22"/>
          <w:b w:val="1"/>
          <w:bCs w:val="1"/>
          <w:color w:val="FFFFFF"/>
        </w:rPr>
        <w:t>Structure and</w:t>
      </w:r>
    </w:p>
    <w:p>
      <w:pPr>
        <w:ind w:left="480"/>
        <w:spacing w:after="0"/>
        <w:rPr>
          <w:sz w:val="20"/>
          <w:szCs w:val="20"/>
          <w:color w:val="auto"/>
        </w:rPr>
      </w:pPr>
      <w:r>
        <w:rPr>
          <w:rFonts w:ascii="Arial" w:cs="Arial" w:eastAsia="Arial" w:hAnsi="Arial"/>
          <w:sz w:val="22"/>
          <w:szCs w:val="22"/>
          <w:b w:val="1"/>
          <w:bCs w:val="1"/>
          <w:color w:val="FFFFFF"/>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1481455</wp:posOffset>
            </wp:positionV>
            <wp:extent cx="1123315" cy="771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33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FFFFFF"/>
        </w:rPr>
        <w:t>Shareholder</w:t>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FFFFFF"/>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1123315" cy="19723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2331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60"/>
        <w:spacing w:after="0"/>
        <w:rPr>
          <w:sz w:val="20"/>
          <w:szCs w:val="20"/>
          <w:color w:val="auto"/>
        </w:rPr>
      </w:pPr>
      <w:r>
        <w:rPr>
          <w:rFonts w:ascii="Arial" w:cs="Arial" w:eastAsia="Arial" w:hAnsi="Arial"/>
          <w:sz w:val="22"/>
          <w:szCs w:val="22"/>
          <w:b w:val="1"/>
          <w:bCs w:val="1"/>
          <w:color w:val="FFFFFF"/>
        </w:rPr>
        <w:t>Corporate</w:t>
      </w:r>
    </w:p>
    <w:p>
      <w:pPr>
        <w:spacing w:after="0" w:line="16"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FFFFFF"/>
        </w:rPr>
        <w:t>Responsibility</w:t>
      </w:r>
    </w:p>
    <w:p>
      <w:pPr>
        <w:jc w:val="center"/>
        <w:ind w:left="360"/>
        <w:spacing w:after="0" w:line="232" w:lineRule="auto"/>
        <w:rPr>
          <w:sz w:val="20"/>
          <w:szCs w:val="20"/>
          <w:color w:val="auto"/>
        </w:rPr>
      </w:pPr>
      <w:r>
        <w:rPr>
          <w:rFonts w:ascii="Arial" w:cs="Arial" w:eastAsia="Arial" w:hAnsi="Arial"/>
          <w:sz w:val="22"/>
          <w:szCs w:val="22"/>
          <w:b w:val="1"/>
          <w:bCs w:val="1"/>
          <w:color w:val="FFFFFF"/>
        </w:rPr>
        <w:t>and</w:t>
      </w:r>
    </w:p>
    <w:p>
      <w:pPr>
        <w:jc w:val="center"/>
        <w:ind w:left="360"/>
        <w:spacing w:after="0"/>
        <w:rPr>
          <w:sz w:val="20"/>
          <w:szCs w:val="20"/>
          <w:color w:val="auto"/>
        </w:rPr>
      </w:pPr>
      <w:r>
        <w:rPr>
          <w:rFonts w:ascii="Arial" w:cs="Arial" w:eastAsia="Arial" w:hAnsi="Arial"/>
          <w:sz w:val="22"/>
          <w:szCs w:val="22"/>
          <w:b w:val="1"/>
          <w:bCs w:val="1"/>
          <w:color w:val="FFFFFF"/>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786765</wp:posOffset>
            </wp:positionV>
            <wp:extent cx="1123315" cy="771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233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FFFFFF"/>
        </w:rPr>
        <w:t>Stock</w:t>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FFFFFF"/>
        </w:rPr>
        <w:t>Ownership</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The Board is approximately </w:t>
      </w:r>
      <w:r>
        <w:rPr>
          <w:rFonts w:ascii="Arial" w:cs="Arial" w:eastAsia="Arial" w:hAnsi="Arial"/>
          <w:sz w:val="18"/>
          <w:szCs w:val="18"/>
          <w:b w:val="1"/>
          <w:bCs w:val="1"/>
          <w:color w:val="auto"/>
        </w:rPr>
        <w:t>92% independent</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242" w:right="860" w:hanging="242"/>
        <w:spacing w:after="0" w:line="287"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Each of the Audit, Compensation, Governance and Policy </w:t>
      </w:r>
      <w:r>
        <w:rPr>
          <w:rFonts w:ascii="Arial" w:cs="Arial" w:eastAsia="Arial" w:hAnsi="Arial"/>
          <w:sz w:val="18"/>
          <w:szCs w:val="18"/>
          <w:b w:val="1"/>
          <w:bCs w:val="1"/>
          <w:color w:val="auto"/>
        </w:rPr>
        <w:t>Committees is comprised entirely of</w:t>
      </w:r>
      <w:r>
        <w:rPr>
          <w:rFonts w:ascii="Arial" w:cs="Arial" w:eastAsia="Arial" w:hAnsi="Arial"/>
          <w:sz w:val="18"/>
          <w:szCs w:val="18"/>
          <w:color w:val="auto"/>
        </w:rPr>
        <w:t xml:space="preserve"> </w:t>
      </w:r>
      <w:r>
        <w:rPr>
          <w:rFonts w:ascii="Arial" w:cs="Arial" w:eastAsia="Arial" w:hAnsi="Arial"/>
          <w:sz w:val="18"/>
          <w:szCs w:val="18"/>
          <w:b w:val="1"/>
          <w:bCs w:val="1"/>
          <w:color w:val="auto"/>
        </w:rPr>
        <w:t>independent directors</w:t>
      </w:r>
      <w:r>
        <w:rPr>
          <w:rFonts w:ascii="Arial" w:cs="Arial" w:eastAsia="Arial" w:hAnsi="Arial"/>
          <w:sz w:val="18"/>
          <w:szCs w:val="18"/>
          <w:color w:val="auto"/>
        </w:rPr>
        <w:t>.</w:t>
      </w:r>
    </w:p>
    <w:p>
      <w:pPr>
        <w:spacing w:after="0" w:line="45" w:lineRule="exact"/>
        <w:rPr>
          <w:rFonts w:ascii="MS PGothic" w:cs="MS PGothic" w:eastAsia="MS PGothic" w:hAnsi="MS PGothic"/>
          <w:sz w:val="18"/>
          <w:szCs w:val="18"/>
          <w:color w:val="auto"/>
        </w:rPr>
      </w:pPr>
    </w:p>
    <w:p>
      <w:pPr>
        <w:ind w:left="242" w:right="460" w:hanging="242"/>
        <w:spacing w:after="0" w:line="287"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Our policy </w:t>
      </w:r>
      <w:r>
        <w:rPr>
          <w:rFonts w:ascii="Arial" w:cs="Arial" w:eastAsia="Arial" w:hAnsi="Arial"/>
          <w:sz w:val="18"/>
          <w:szCs w:val="18"/>
          <w:b w:val="1"/>
          <w:bCs w:val="1"/>
          <w:color w:val="auto"/>
        </w:rPr>
        <w:t>limits the number of boards</w:t>
      </w:r>
      <w:r>
        <w:rPr>
          <w:rFonts w:ascii="Arial" w:cs="Arial" w:eastAsia="Arial" w:hAnsi="Arial"/>
          <w:sz w:val="18"/>
          <w:szCs w:val="18"/>
          <w:color w:val="auto"/>
        </w:rPr>
        <w:t xml:space="preserve"> on which our directors serve (no more than three other public company boards without special approval) to </w:t>
      </w:r>
      <w:r>
        <w:rPr>
          <w:rFonts w:ascii="Arial" w:cs="Arial" w:eastAsia="Arial" w:hAnsi="Arial"/>
          <w:sz w:val="18"/>
          <w:szCs w:val="18"/>
          <w:b w:val="1"/>
          <w:bCs w:val="1"/>
          <w:color w:val="auto"/>
        </w:rPr>
        <w:t>avoid overboarding</w:t>
      </w:r>
      <w:r>
        <w:rPr>
          <w:rFonts w:ascii="Arial" w:cs="Arial" w:eastAsia="Arial" w:hAnsi="Arial"/>
          <w:sz w:val="18"/>
          <w:szCs w:val="18"/>
          <w:color w:val="auto"/>
        </w:rPr>
        <w:t>.</w:t>
      </w:r>
    </w:p>
    <w:p>
      <w:pPr>
        <w:spacing w:after="0" w:line="45" w:lineRule="exact"/>
        <w:rPr>
          <w:rFonts w:ascii="MS PGothic" w:cs="MS PGothic" w:eastAsia="MS PGothic" w:hAnsi="MS PGothic"/>
          <w:sz w:val="18"/>
          <w:szCs w:val="18"/>
          <w:color w:val="auto"/>
        </w:rPr>
      </w:pPr>
    </w:p>
    <w:p>
      <w:pPr>
        <w:ind w:left="242" w:right="900" w:hanging="242"/>
        <w:spacing w:after="0" w:line="287" w:lineRule="auto"/>
        <w:tabs>
          <w:tab w:leader="none" w:pos="203"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The independent directors </w:t>
      </w:r>
      <w:r>
        <w:rPr>
          <w:rFonts w:ascii="Arial" w:cs="Arial" w:eastAsia="Arial" w:hAnsi="Arial"/>
          <w:sz w:val="18"/>
          <w:szCs w:val="18"/>
          <w:b w:val="1"/>
          <w:bCs w:val="1"/>
          <w:color w:val="auto"/>
        </w:rPr>
        <w:t>regularly hold both executive sessions</w:t>
      </w:r>
      <w:r>
        <w:rPr>
          <w:rFonts w:ascii="Arial" w:cs="Arial" w:eastAsia="Arial" w:hAnsi="Arial"/>
          <w:sz w:val="18"/>
          <w:szCs w:val="18"/>
          <w:color w:val="auto"/>
        </w:rPr>
        <w:t xml:space="preserve"> led by our Chairperson </w:t>
      </w:r>
      <w:r>
        <w:rPr>
          <w:rFonts w:ascii="Arial" w:cs="Arial" w:eastAsia="Arial" w:hAnsi="Arial"/>
          <w:sz w:val="18"/>
          <w:szCs w:val="18"/>
          <w:b w:val="1"/>
          <w:b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independent sessions </w:t>
      </w:r>
      <w:r>
        <w:rPr>
          <w:rFonts w:ascii="Arial" w:cs="Arial" w:eastAsia="Arial" w:hAnsi="Arial"/>
          <w:sz w:val="18"/>
          <w:szCs w:val="18"/>
          <w:color w:val="auto"/>
        </w:rPr>
        <w:t>led by our Lead Independent Director.</w:t>
      </w:r>
    </w:p>
    <w:p>
      <w:pPr>
        <w:spacing w:after="0" w:line="45" w:lineRule="exact"/>
        <w:rPr>
          <w:rFonts w:ascii="MS PGothic" w:cs="MS PGothic" w:eastAsia="MS PGothic" w:hAnsi="MS PGothic"/>
          <w:sz w:val="18"/>
          <w:szCs w:val="18"/>
          <w:color w:val="auto"/>
        </w:rPr>
      </w:pPr>
    </w:p>
    <w:p>
      <w:pPr>
        <w:ind w:left="242" w:right="200" w:hanging="242"/>
        <w:spacing w:after="0" w:line="261"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appointed annually by the independent directors, is empowered </w:t>
      </w:r>
      <w:r>
        <w:rPr>
          <w:rFonts w:ascii="Arial" w:cs="Arial" w:eastAsia="Arial" w:hAnsi="Arial"/>
          <w:sz w:val="18"/>
          <w:szCs w:val="18"/>
          <w:b w:val="1"/>
          <w:bCs w:val="1"/>
          <w:color w:val="auto"/>
        </w:rPr>
        <w:t>with 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robust set of responsibilities </w:t>
      </w:r>
      <w:r>
        <w:rPr>
          <w:rFonts w:ascii="Arial" w:cs="Arial" w:eastAsia="Arial" w:hAnsi="Arial"/>
          <w:sz w:val="18"/>
          <w:szCs w:val="18"/>
          <w:color w:val="auto"/>
        </w:rPr>
        <w:t>and provides additional independent oversight of senior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Board leadership.</w:t>
      </w:r>
    </w:p>
    <w:p>
      <w:pPr>
        <w:spacing w:after="0" w:line="67" w:lineRule="exact"/>
        <w:rPr>
          <w:rFonts w:ascii="MS PGothic" w:cs="MS PGothic" w:eastAsia="MS PGothic" w:hAnsi="MS PGothic"/>
          <w:sz w:val="18"/>
          <w:szCs w:val="18"/>
          <w:color w:val="auto"/>
        </w:rPr>
      </w:pPr>
    </w:p>
    <w:p>
      <w:pPr>
        <w:ind w:left="242" w:right="260" w:hanging="242"/>
        <w:spacing w:after="0" w:line="287" w:lineRule="auto"/>
        <w:tabs>
          <w:tab w:leader="none" w:pos="19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All directors are </w:t>
      </w:r>
      <w:r>
        <w:rPr>
          <w:rFonts w:ascii="Arial" w:cs="Arial" w:eastAsia="Arial" w:hAnsi="Arial"/>
          <w:sz w:val="18"/>
          <w:szCs w:val="18"/>
          <w:b w:val="1"/>
          <w:bCs w:val="1"/>
          <w:color w:val="auto"/>
        </w:rPr>
        <w:t>elected annually</w:t>
      </w:r>
      <w:r>
        <w:rPr>
          <w:rFonts w:ascii="Arial" w:cs="Arial" w:eastAsia="Arial" w:hAnsi="Arial"/>
          <w:sz w:val="18"/>
          <w:szCs w:val="18"/>
          <w:color w:val="auto"/>
        </w:rPr>
        <w:t xml:space="preserve"> based on a </w:t>
      </w:r>
      <w:r>
        <w:rPr>
          <w:rFonts w:ascii="Arial" w:cs="Arial" w:eastAsia="Arial" w:hAnsi="Arial"/>
          <w:sz w:val="18"/>
          <w:szCs w:val="18"/>
          <w:b w:val="1"/>
          <w:bCs w:val="1"/>
          <w:color w:val="auto"/>
        </w:rPr>
        <w:t>majority voting standard</w:t>
      </w:r>
      <w:r>
        <w:rPr>
          <w:rFonts w:ascii="Arial" w:cs="Arial" w:eastAsia="Arial" w:hAnsi="Arial"/>
          <w:sz w:val="18"/>
          <w:szCs w:val="18"/>
          <w:color w:val="auto"/>
        </w:rPr>
        <w:t xml:space="preserve"> in uncontested elections, with a </w:t>
      </w:r>
      <w:r>
        <w:rPr>
          <w:rFonts w:ascii="Arial" w:cs="Arial" w:eastAsia="Arial" w:hAnsi="Arial"/>
          <w:sz w:val="18"/>
          <w:szCs w:val="18"/>
          <w:b w:val="1"/>
          <w:bCs w:val="1"/>
          <w:color w:val="auto"/>
        </w:rPr>
        <w:t xml:space="preserve">director resignation policy </w:t>
      </w:r>
      <w:r>
        <w:rPr>
          <w:rFonts w:ascii="Arial" w:cs="Arial" w:eastAsia="Arial" w:hAnsi="Arial"/>
          <w:sz w:val="18"/>
          <w:szCs w:val="18"/>
          <w:color w:val="auto"/>
        </w:rPr>
        <w:t>if a director fails to receive a majority of votes cast “for” his or her election.</w:t>
      </w:r>
    </w:p>
    <w:p>
      <w:pPr>
        <w:spacing w:after="0" w:line="67" w:lineRule="exact"/>
        <w:rPr>
          <w:rFonts w:ascii="MS PGothic" w:cs="MS PGothic" w:eastAsia="MS PGothic" w:hAnsi="MS PGothic"/>
          <w:sz w:val="18"/>
          <w:szCs w:val="18"/>
          <w:color w:val="auto"/>
        </w:rPr>
      </w:pPr>
    </w:p>
    <w:p>
      <w:pPr>
        <w:ind w:left="242" w:right="220" w:hanging="242"/>
        <w:spacing w:after="0" w:line="262" w:lineRule="auto"/>
        <w:tabs>
          <w:tab w:leader="none" w:pos="203"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The Board nominees reflect a balanced mix of directors with deep Company and industry knowledge, and fresh and diverse perspectives, with an </w:t>
      </w:r>
      <w:r>
        <w:rPr>
          <w:rFonts w:ascii="Arial" w:cs="Arial" w:eastAsia="Arial" w:hAnsi="Arial"/>
          <w:sz w:val="18"/>
          <w:szCs w:val="18"/>
          <w:b w:val="1"/>
          <w:bCs w:val="1"/>
          <w:color w:val="auto"/>
        </w:rPr>
        <w:t>average director tenure of 6.5 years</w:t>
      </w:r>
      <w:r>
        <w:rPr>
          <w:rFonts w:ascii="Arial" w:cs="Arial" w:eastAsia="Arial" w:hAnsi="Arial"/>
          <w:sz w:val="18"/>
          <w:szCs w:val="18"/>
          <w:color w:val="auto"/>
        </w:rPr>
        <w:t>.</w:t>
      </w:r>
    </w:p>
    <w:p>
      <w:pPr>
        <w:spacing w:after="0" w:line="66" w:lineRule="exact"/>
        <w:rPr>
          <w:rFonts w:ascii="MS PGothic" w:cs="MS PGothic" w:eastAsia="MS PGothic" w:hAnsi="MS PGothic"/>
          <w:sz w:val="18"/>
          <w:szCs w:val="18"/>
          <w:color w:val="auto"/>
        </w:rPr>
      </w:pPr>
    </w:p>
    <w:p>
      <w:pPr>
        <w:ind w:left="242" w:right="160" w:hanging="242"/>
        <w:spacing w:after="0" w:line="283" w:lineRule="auto"/>
        <w:tabs>
          <w:tab w:leader="none" w:pos="203"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The Board and each Committee annually conduct a </w:t>
      </w:r>
      <w:r>
        <w:rPr>
          <w:rFonts w:ascii="Arial" w:cs="Arial" w:eastAsia="Arial" w:hAnsi="Arial"/>
          <w:sz w:val="17"/>
          <w:szCs w:val="17"/>
          <w:b w:val="1"/>
          <w:bCs w:val="1"/>
          <w:color w:val="auto"/>
        </w:rPr>
        <w:t>thorough self-assessment process focused on</w:t>
      </w:r>
      <w:r>
        <w:rPr>
          <w:rFonts w:ascii="Arial" w:cs="Arial" w:eastAsia="Arial" w:hAnsi="Arial"/>
          <w:sz w:val="17"/>
          <w:szCs w:val="17"/>
          <w:color w:val="auto"/>
        </w:rPr>
        <w:t xml:space="preserve"> </w:t>
      </w:r>
      <w:r>
        <w:rPr>
          <w:rFonts w:ascii="Arial" w:cs="Arial" w:eastAsia="Arial" w:hAnsi="Arial"/>
          <w:sz w:val="17"/>
          <w:szCs w:val="17"/>
          <w:b w:val="1"/>
          <w:bCs w:val="1"/>
          <w:color w:val="auto"/>
        </w:rPr>
        <w:t>Board or Committee performance, respectively</w:t>
      </w:r>
      <w:r>
        <w:rPr>
          <w:rFonts w:ascii="Arial" w:cs="Arial" w:eastAsia="Arial" w:hAnsi="Arial"/>
          <w:sz w:val="17"/>
          <w:szCs w:val="17"/>
          <w:color w:val="auto"/>
        </w:rPr>
        <w:t>. In addition, each director completes an</w:t>
      </w:r>
      <w:r>
        <w:rPr>
          <w:rFonts w:ascii="Arial" w:cs="Arial" w:eastAsia="Arial" w:hAnsi="Arial"/>
          <w:sz w:val="17"/>
          <w:szCs w:val="17"/>
          <w:b w:val="1"/>
          <w:bCs w:val="1"/>
          <w:color w:val="auto"/>
        </w:rPr>
        <w:t xml:space="preserve"> individual director evaluation </w:t>
      </w:r>
      <w:r>
        <w:rPr>
          <w:rFonts w:ascii="Arial" w:cs="Arial" w:eastAsia="Arial" w:hAnsi="Arial"/>
          <w:sz w:val="17"/>
          <w:szCs w:val="17"/>
          <w:color w:val="auto"/>
        </w:rPr>
        <w:t>for each of the other directors and receives feedback on his or her own performance.</w:t>
      </w:r>
    </w:p>
    <w:p>
      <w:pPr>
        <w:spacing w:after="0" w:line="51" w:lineRule="exact"/>
        <w:rPr>
          <w:rFonts w:ascii="MS PGothic" w:cs="MS PGothic" w:eastAsia="MS PGothic" w:hAnsi="MS PGothic"/>
          <w:sz w:val="17"/>
          <w:szCs w:val="17"/>
          <w:color w:val="auto"/>
        </w:rPr>
      </w:pPr>
    </w:p>
    <w:p>
      <w:pPr>
        <w:ind w:left="242" w:right="220" w:hanging="242"/>
        <w:spacing w:after="0" w:line="287"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Wehave a </w:t>
      </w:r>
      <w:r>
        <w:rPr>
          <w:rFonts w:ascii="Arial" w:cs="Arial" w:eastAsia="Arial" w:hAnsi="Arial"/>
          <w:sz w:val="18"/>
          <w:szCs w:val="18"/>
          <w:b w:val="1"/>
          <w:bCs w:val="1"/>
          <w:color w:val="auto"/>
        </w:rPr>
        <w:t>director retirement policy</w:t>
      </w:r>
      <w:r>
        <w:rPr>
          <w:rFonts w:ascii="Arial" w:cs="Arial" w:eastAsia="Arial" w:hAnsi="Arial"/>
          <w:sz w:val="18"/>
          <w:szCs w:val="18"/>
          <w:color w:val="auto"/>
        </w:rPr>
        <w:t xml:space="preserve"> for directors that reach the age of 75 and are </w:t>
      </w:r>
      <w:r>
        <w:rPr>
          <w:rFonts w:ascii="Arial" w:cs="Arial" w:eastAsia="Arial" w:hAnsi="Arial"/>
          <w:sz w:val="18"/>
          <w:szCs w:val="18"/>
          <w:b w:val="1"/>
          <w:bCs w:val="1"/>
          <w:color w:val="auto"/>
        </w:rPr>
        <w:t>committed to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refreshment</w:t>
      </w:r>
      <w:r>
        <w:rPr>
          <w:rFonts w:ascii="Arial" w:cs="Arial" w:eastAsia="Arial" w:hAnsi="Arial"/>
          <w:sz w:val="18"/>
          <w:szCs w:val="18"/>
          <w:color w:val="auto"/>
        </w:rPr>
        <w:t>, with the addition of</w:t>
      </w:r>
      <w:r>
        <w:rPr>
          <w:rFonts w:ascii="Arial" w:cs="Arial" w:eastAsia="Arial" w:hAnsi="Arial"/>
          <w:sz w:val="18"/>
          <w:szCs w:val="18"/>
          <w:b w:val="1"/>
          <w:bCs w:val="1"/>
          <w:color w:val="auto"/>
        </w:rPr>
        <w:t xml:space="preserve"> five new directors to the Board in the last five years</w:t>
      </w:r>
      <w:r>
        <w:rPr>
          <w:rFonts w:ascii="Arial" w:cs="Arial" w:eastAsia="Arial" w:hAnsi="Arial"/>
          <w:sz w:val="18"/>
          <w:szCs w:val="18"/>
          <w:color w:val="auto"/>
        </w:rPr>
        <w:t>.</w:t>
      </w:r>
    </w:p>
    <w:p>
      <w:pPr>
        <w:spacing w:after="0" w:line="207" w:lineRule="exact"/>
        <w:rPr>
          <w:rFonts w:ascii="MS PGothic" w:cs="MS PGothic" w:eastAsia="MS PGothic" w:hAnsi="MS PGothic"/>
          <w:sz w:val="18"/>
          <w:szCs w:val="18"/>
          <w:color w:val="auto"/>
        </w:rPr>
      </w:pPr>
    </w:p>
    <w:p>
      <w:pPr>
        <w:ind w:left="242" w:right="100" w:hanging="242"/>
        <w:spacing w:after="0" w:line="287" w:lineRule="auto"/>
        <w:tabs>
          <w:tab w:leader="none" w:pos="203"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The Board has adopted a </w:t>
      </w:r>
      <w:r>
        <w:rPr>
          <w:rFonts w:ascii="Arial" w:cs="Arial" w:eastAsia="Arial" w:hAnsi="Arial"/>
          <w:sz w:val="18"/>
          <w:szCs w:val="18"/>
          <w:b w:val="1"/>
          <w:bCs w:val="1"/>
          <w:color w:val="auto"/>
        </w:rPr>
        <w:t>robust proxy access bylaw provision,</w:t>
      </w:r>
      <w:r>
        <w:rPr>
          <w:rFonts w:ascii="Arial" w:cs="Arial" w:eastAsia="Arial" w:hAnsi="Arial"/>
          <w:sz w:val="18"/>
          <w:szCs w:val="18"/>
          <w:color w:val="auto"/>
        </w:rPr>
        <w:t xml:space="preserve"> allowing eligible shareholders to include their own director nominees in the Company’s proxy materials.</w:t>
      </w:r>
    </w:p>
    <w:p>
      <w:pPr>
        <w:spacing w:after="0" w:line="45" w:lineRule="exact"/>
        <w:rPr>
          <w:rFonts w:ascii="MS PGothic" w:cs="MS PGothic" w:eastAsia="MS PGothic" w:hAnsi="MS PGothic"/>
          <w:sz w:val="18"/>
          <w:szCs w:val="18"/>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Shareholders holding at least 25% of our common stock have the </w:t>
      </w:r>
      <w:r>
        <w:rPr>
          <w:rFonts w:ascii="Arial" w:cs="Arial" w:eastAsia="Arial" w:hAnsi="Arial"/>
          <w:sz w:val="18"/>
          <w:szCs w:val="18"/>
          <w:b w:val="1"/>
          <w:bCs w:val="1"/>
          <w:color w:val="auto"/>
        </w:rPr>
        <w:t>right to call a special meeting</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Shareholders holding at least 25% of our common stock have the right to take </w:t>
      </w:r>
      <w:r>
        <w:rPr>
          <w:rFonts w:ascii="Arial" w:cs="Arial" w:eastAsia="Arial" w:hAnsi="Arial"/>
          <w:sz w:val="18"/>
          <w:szCs w:val="18"/>
          <w:b w:val="1"/>
          <w:bCs w:val="1"/>
          <w:color w:val="auto"/>
        </w:rPr>
        <w:t>action by written consent.</w:t>
      </w:r>
    </w:p>
    <w:p>
      <w:pPr>
        <w:spacing w:after="0" w:line="292" w:lineRule="exact"/>
        <w:rPr>
          <w:rFonts w:ascii="MS PGothic" w:cs="MS PGothic" w:eastAsia="MS PGothic" w:hAnsi="MS PGothic"/>
          <w:sz w:val="18"/>
          <w:szCs w:val="18"/>
          <w:color w:val="auto"/>
        </w:rPr>
      </w:pPr>
    </w:p>
    <w:p>
      <w:pPr>
        <w:ind w:left="242" w:hanging="242"/>
        <w:spacing w:after="0" w:line="316" w:lineRule="auto"/>
        <w:tabs>
          <w:tab w:leader="none" w:pos="206"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a </w:t>
      </w:r>
      <w:r>
        <w:rPr>
          <w:rFonts w:ascii="Arial" w:cs="Arial" w:eastAsia="Arial" w:hAnsi="Arial"/>
          <w:sz w:val="17"/>
          <w:szCs w:val="17"/>
          <w:b w:val="1"/>
          <w:bCs w:val="1"/>
          <w:color w:val="auto"/>
        </w:rPr>
        <w:t>strong ethics program</w:t>
      </w:r>
      <w:r>
        <w:rPr>
          <w:rFonts w:ascii="Arial" w:cs="Arial" w:eastAsia="Arial" w:hAnsi="Arial"/>
          <w:sz w:val="17"/>
          <w:szCs w:val="17"/>
          <w:color w:val="auto"/>
        </w:rPr>
        <w:t xml:space="preserve"> with standards of business conduct that help guide and promote good governance, responsible business practices and the highest standards of integrity throughout the Company.</w:t>
      </w:r>
    </w:p>
    <w:p>
      <w:pPr>
        <w:spacing w:after="0" w:line="25" w:lineRule="exact"/>
        <w:rPr>
          <w:rFonts w:ascii="MS PGothic" w:cs="MS PGothic" w:eastAsia="MS PGothic" w:hAnsi="MS PGothic"/>
          <w:sz w:val="17"/>
          <w:szCs w:val="17"/>
          <w:color w:val="auto"/>
        </w:rPr>
      </w:pPr>
    </w:p>
    <w:p>
      <w:pPr>
        <w:jc w:val="both"/>
        <w:ind w:left="242" w:right="280" w:hanging="242"/>
        <w:spacing w:after="0" w:line="261"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 publish an </w:t>
      </w:r>
      <w:r>
        <w:rPr>
          <w:rFonts w:ascii="Arial" w:cs="Arial" w:eastAsia="Arial" w:hAnsi="Arial"/>
          <w:sz w:val="18"/>
          <w:szCs w:val="18"/>
          <w:b w:val="1"/>
          <w:bCs w:val="1"/>
          <w:color w:val="auto"/>
        </w:rPr>
        <w:t>annual corporate responsibility report</w:t>
      </w:r>
      <w:r>
        <w:rPr>
          <w:rFonts w:ascii="Arial" w:cs="Arial" w:eastAsia="Arial" w:hAnsi="Arial"/>
          <w:sz w:val="18"/>
          <w:szCs w:val="18"/>
          <w:color w:val="auto"/>
        </w:rPr>
        <w:t xml:space="preserve"> highlighting aspects of our social, environmental and governance performance and </w:t>
      </w:r>
      <w:r>
        <w:rPr>
          <w:rFonts w:ascii="Arial" w:cs="Arial" w:eastAsia="Arial" w:hAnsi="Arial"/>
          <w:sz w:val="18"/>
          <w:szCs w:val="18"/>
          <w:b w:val="1"/>
          <w:bCs w:val="1"/>
          <w:color w:val="auto"/>
        </w:rPr>
        <w:t>engage an independent external review panel</w:t>
      </w:r>
      <w:r>
        <w:rPr>
          <w:rFonts w:ascii="Arial" w:cs="Arial" w:eastAsia="Arial" w:hAnsi="Arial"/>
          <w:sz w:val="18"/>
          <w:szCs w:val="18"/>
          <w:color w:val="auto"/>
        </w:rPr>
        <w:t xml:space="preserve"> to provide feedback and advice on our report.</w:t>
      </w:r>
    </w:p>
    <w:p>
      <w:pPr>
        <w:spacing w:after="0" w:line="67" w:lineRule="exact"/>
        <w:rPr>
          <w:rFonts w:ascii="MS PGothic" w:cs="MS PGothic" w:eastAsia="MS PGothic" w:hAnsi="MS PGothic"/>
          <w:sz w:val="18"/>
          <w:szCs w:val="18"/>
          <w:color w:val="auto"/>
        </w:rPr>
      </w:pPr>
    </w:p>
    <w:p>
      <w:pPr>
        <w:ind w:left="242" w:right="200" w:hanging="242"/>
        <w:spacing w:after="0" w:line="283" w:lineRule="auto"/>
        <w:tabs>
          <w:tab w:leader="none" w:pos="206"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w:t>
      </w:r>
      <w:r>
        <w:rPr>
          <w:rFonts w:ascii="Arial" w:cs="Arial" w:eastAsia="Arial" w:hAnsi="Arial"/>
          <w:sz w:val="17"/>
          <w:szCs w:val="17"/>
          <w:b w:val="1"/>
          <w:bCs w:val="1"/>
          <w:color w:val="auto"/>
        </w:rPr>
        <w:t>integrate environmental sustainability</w:t>
      </w:r>
      <w:r>
        <w:rPr>
          <w:rFonts w:ascii="Arial" w:cs="Arial" w:eastAsia="Arial" w:hAnsi="Arial"/>
          <w:sz w:val="17"/>
          <w:szCs w:val="17"/>
          <w:color w:val="auto"/>
        </w:rPr>
        <w:t xml:space="preserve"> into our organizational culture, minimizing our environmental footprint and driving affordability. Our executive officers are accountable for achieving environmental sustainability goals, which are </w:t>
      </w:r>
      <w:r>
        <w:rPr>
          <w:rFonts w:ascii="Arial" w:cs="Arial" w:eastAsia="Arial" w:hAnsi="Arial"/>
          <w:sz w:val="17"/>
          <w:szCs w:val="17"/>
          <w:b w:val="1"/>
          <w:bCs w:val="1"/>
          <w:color w:val="auto"/>
        </w:rPr>
        <w:t>one of our six non-financial corporate performance metrics</w:t>
      </w:r>
      <w:r>
        <w:rPr>
          <w:rFonts w:ascii="Arial" w:cs="Arial" w:eastAsia="Arial" w:hAnsi="Arial"/>
          <w:sz w:val="17"/>
          <w:szCs w:val="17"/>
          <w:color w:val="auto"/>
        </w:rPr>
        <w:t>.</w:t>
      </w:r>
    </w:p>
    <w:p>
      <w:pPr>
        <w:spacing w:after="0" w:line="51" w:lineRule="exact"/>
        <w:rPr>
          <w:rFonts w:ascii="MS PGothic" w:cs="MS PGothic" w:eastAsia="MS PGothic" w:hAnsi="MS PGothic"/>
          <w:sz w:val="17"/>
          <w:szCs w:val="17"/>
          <w:color w:val="auto"/>
        </w:rPr>
      </w:pPr>
    </w:p>
    <w:p>
      <w:pPr>
        <w:ind w:left="242" w:right="400" w:hanging="242"/>
        <w:spacing w:after="0" w:line="287"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 disclose our </w:t>
      </w:r>
      <w:r>
        <w:rPr>
          <w:rFonts w:ascii="Arial" w:cs="Arial" w:eastAsia="Arial" w:hAnsi="Arial"/>
          <w:sz w:val="18"/>
          <w:szCs w:val="18"/>
          <w:b w:val="1"/>
          <w:bCs w:val="1"/>
          <w:color w:val="auto"/>
        </w:rPr>
        <w:t>political contributions policy and various trade association memberships on our</w:t>
      </w:r>
      <w:r>
        <w:rPr>
          <w:rFonts w:ascii="Arial" w:cs="Arial" w:eastAsia="Arial" w:hAnsi="Arial"/>
          <w:sz w:val="18"/>
          <w:szCs w:val="18"/>
          <w:color w:val="auto"/>
        </w:rPr>
        <w:t xml:space="preserve"> </w:t>
      </w:r>
      <w:r>
        <w:rPr>
          <w:rFonts w:ascii="Arial" w:cs="Arial" w:eastAsia="Arial" w:hAnsi="Arial"/>
          <w:sz w:val="18"/>
          <w:szCs w:val="18"/>
          <w:b w:val="1"/>
          <w:bCs w:val="1"/>
          <w:color w:val="auto"/>
        </w:rPr>
        <w:t>website</w:t>
      </w:r>
      <w:r>
        <w:rPr>
          <w:rFonts w:ascii="Arial" w:cs="Arial" w:eastAsia="Arial" w:hAnsi="Arial"/>
          <w:sz w:val="18"/>
          <w:szCs w:val="18"/>
          <w:color w:val="auto"/>
        </w:rPr>
        <w:t>.</w:t>
      </w:r>
    </w:p>
    <w:p>
      <w:pPr>
        <w:spacing w:after="0" w:line="45" w:lineRule="exact"/>
        <w:rPr>
          <w:rFonts w:ascii="MS PGothic" w:cs="MS PGothic" w:eastAsia="MS PGothic" w:hAnsi="MS PGothic"/>
          <w:sz w:val="18"/>
          <w:szCs w:val="18"/>
          <w:color w:val="auto"/>
        </w:rPr>
      </w:pPr>
    </w:p>
    <w:p>
      <w:pPr>
        <w:ind w:left="242" w:right="220" w:hanging="242"/>
        <w:spacing w:after="0" w:line="287" w:lineRule="auto"/>
        <w:tabs>
          <w:tab w:leader="none" w:pos="20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 have a robust </w:t>
      </w:r>
      <w:r>
        <w:rPr>
          <w:rFonts w:ascii="Arial" w:cs="Arial" w:eastAsia="Arial" w:hAnsi="Arial"/>
          <w:sz w:val="18"/>
          <w:szCs w:val="18"/>
          <w:b w:val="1"/>
          <w:bCs w:val="1"/>
          <w:color w:val="auto"/>
        </w:rPr>
        <w:t>recoupment policy</w:t>
      </w:r>
      <w:r>
        <w:rPr>
          <w:rFonts w:ascii="Arial" w:cs="Arial" w:eastAsia="Arial" w:hAnsi="Arial"/>
          <w:sz w:val="18"/>
          <w:szCs w:val="18"/>
          <w:color w:val="auto"/>
        </w:rPr>
        <w:t xml:space="preserve"> which provides the Board of Directors with the ability to recoup the incentive compensation of elected officers under certain circumstances.</w:t>
      </w:r>
    </w:p>
    <w:p>
      <w:pPr>
        <w:spacing w:after="0" w:line="207" w:lineRule="exact"/>
        <w:rPr>
          <w:rFonts w:ascii="MS PGothic" w:cs="MS PGothic" w:eastAsia="MS PGothic" w:hAnsi="MS PGothic"/>
          <w:sz w:val="18"/>
          <w:szCs w:val="18"/>
          <w:color w:val="auto"/>
        </w:rPr>
      </w:pPr>
    </w:p>
    <w:p>
      <w:pPr>
        <w:ind w:left="242" w:right="120" w:hanging="242"/>
        <w:spacing w:after="0" w:line="316" w:lineRule="auto"/>
        <w:tabs>
          <w:tab w:leader="none" w:pos="206"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 xml:space="preserve">We have stock ownership guidelines of </w:t>
      </w:r>
      <w:r>
        <w:rPr>
          <w:rFonts w:ascii="Arial" w:cs="Arial" w:eastAsia="Arial" w:hAnsi="Arial"/>
          <w:sz w:val="17"/>
          <w:szCs w:val="17"/>
          <w:b w:val="1"/>
          <w:bCs w:val="1"/>
          <w:color w:val="auto"/>
        </w:rPr>
        <w:t>7x base salary for the CEO</w:t>
      </w:r>
      <w:r>
        <w:rPr>
          <w:rFonts w:ascii="Arial" w:cs="Arial" w:eastAsia="Arial" w:hAnsi="Arial"/>
          <w:sz w:val="17"/>
          <w:szCs w:val="17"/>
          <w:color w:val="auto"/>
        </w:rPr>
        <w:t xml:space="preserve"> and </w:t>
      </w:r>
      <w:r>
        <w:rPr>
          <w:rFonts w:ascii="Arial" w:cs="Arial" w:eastAsia="Arial" w:hAnsi="Arial"/>
          <w:sz w:val="17"/>
          <w:szCs w:val="17"/>
          <w:b w:val="1"/>
          <w:bCs w:val="1"/>
          <w:color w:val="auto"/>
        </w:rPr>
        <w:t>3x base salary for other named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executive officers, </w:t>
      </w:r>
      <w:r>
        <w:rPr>
          <w:rFonts w:ascii="Arial" w:cs="Arial" w:eastAsia="Arial" w:hAnsi="Arial"/>
          <w:sz w:val="17"/>
          <w:szCs w:val="17"/>
          <w:color w:val="auto"/>
        </w:rPr>
        <w:t>as well as</w:t>
      </w:r>
      <w:r>
        <w:rPr>
          <w:rFonts w:ascii="Arial" w:cs="Arial" w:eastAsia="Arial" w:hAnsi="Arial"/>
          <w:sz w:val="17"/>
          <w:szCs w:val="17"/>
          <w:b w:val="1"/>
          <w:bCs w:val="1"/>
          <w:color w:val="auto"/>
        </w:rPr>
        <w:t xml:space="preserve"> stock holding requirements of three years </w:t>
      </w:r>
      <w:r>
        <w:rPr>
          <w:rFonts w:ascii="Arial" w:cs="Arial" w:eastAsia="Arial" w:hAnsi="Arial"/>
          <w:sz w:val="17"/>
          <w:szCs w:val="17"/>
          <w:color w:val="auto"/>
        </w:rPr>
        <w:t>from the vesting date.</w:t>
      </w:r>
    </w:p>
    <w:p>
      <w:pPr>
        <w:spacing w:after="0" w:line="25" w:lineRule="exact"/>
        <w:rPr>
          <w:rFonts w:ascii="MS PGothic" w:cs="MS PGothic" w:eastAsia="MS PGothic" w:hAnsi="MS PGothic"/>
          <w:sz w:val="17"/>
          <w:szCs w:val="17"/>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 have stock ownership guidelines of </w:t>
      </w:r>
      <w:r>
        <w:rPr>
          <w:rFonts w:ascii="Arial" w:cs="Arial" w:eastAsia="Arial" w:hAnsi="Arial"/>
          <w:sz w:val="18"/>
          <w:szCs w:val="18"/>
          <w:b w:val="1"/>
          <w:bCs w:val="1"/>
          <w:color w:val="auto"/>
        </w:rPr>
        <w:t>5x the annual cash retainer for our non-employee directors</w:t>
      </w:r>
      <w:r>
        <w:rPr>
          <w:rFonts w:ascii="Arial" w:cs="Arial" w:eastAsia="Arial" w:hAnsi="Arial"/>
          <w:sz w:val="18"/>
          <w:szCs w:val="18"/>
          <w:color w:val="auto"/>
        </w:rPr>
        <w:t>.</w:t>
      </w:r>
    </w:p>
    <w:p>
      <w:pPr>
        <w:spacing w:after="0" w:line="130" w:lineRule="exact"/>
        <w:rPr>
          <w:rFonts w:ascii="MS PGothic" w:cs="MS PGothic" w:eastAsia="MS PGothic" w:hAnsi="MS PGothic"/>
          <w:sz w:val="18"/>
          <w:szCs w:val="18"/>
          <w:color w:val="auto"/>
        </w:rPr>
      </w:pPr>
    </w:p>
    <w:p>
      <w:pPr>
        <w:ind w:left="202" w:hanging="202"/>
        <w:spacing w:after="0"/>
        <w:tabs>
          <w:tab w:leader="none" w:pos="20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prohibit hedging and pledging</w:t>
      </w:r>
      <w:r>
        <w:rPr>
          <w:rFonts w:ascii="Arial" w:cs="Arial" w:eastAsia="Arial" w:hAnsi="Arial"/>
          <w:sz w:val="18"/>
          <w:szCs w:val="18"/>
          <w:color w:val="auto"/>
        </w:rPr>
        <w:t xml:space="preserve"> of our common stock by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-6959600</wp:posOffset>
            </wp:positionV>
            <wp:extent cx="5728335" cy="7040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28335" cy="7040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538"/>
            <w:col w:w="8802"/>
          </w:cols>
          <w:pgMar w:left="240" w:top="459" w:right="479" w:bottom="1440" w:gutter="0" w:footer="0" w:header="0"/>
          <w:type w:val="continuous"/>
        </w:sectPr>
      </w:pPr>
    </w:p>
    <w:p>
      <w:pPr>
        <w:spacing w:after="0" w:line="71" w:lineRule="exact"/>
        <w:rPr>
          <w:sz w:val="20"/>
          <w:szCs w:val="20"/>
          <w:color w:val="auto"/>
        </w:rPr>
      </w:pPr>
    </w:p>
    <w:p>
      <w:pPr>
        <w:ind w:left="360" w:hanging="156"/>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80"/>
          </w:cols>
          <w:pgMar w:left="240" w:top="459"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9"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We regularly engage with our shareholders to understand their perspectives on our Company, including our strategies, performance, issues of governance and corporate responsibility, and executive compensation. This ongoing dialogue, in which both members of management and directors participate, has helped inform the Board’s decision-making and ensure our interests remain well-aligned with those of our shareholders.</w:t>
      </w:r>
    </w:p>
    <w:p>
      <w:pPr>
        <w:spacing w:after="0" w:line="9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Since our 2017 annual meeting, we have offered to engage on governance-related topics with shareholders representing approximately 60% of our outstanding shares. We have met with shareholders representing more than 30% of our outstanding shares to learn their perspectives on the Company and governance-related topics. While a number of our shareholders did not request meetings, we believe it is a best practice to offer engagement to shareholders representing a majority of our shares outstanding. These efforts are in addition to normal course outreach conducted by our Investor Relations team and members of senior management with portfolio managers and analysts, which are primarily focused on strategy and Company performance. We also meet with shareholders at investor conferences held throughout the year.</w:t>
      </w:r>
    </w:p>
    <w:p>
      <w:pPr>
        <w:spacing w:after="0" w:line="95"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The Company has a substantial record of adopting provisions or modifying practices with the benefit of, and to reflect, shareholder input. Examples include provisions regarding proxy access, the right of shareholders to call a special meeting and the right of shareholders to act by written consent, as well as the use of full value shares and performance-based long-term incentives for our executives.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May 16, 2018, 8:00 a.m., Eastern Daylight Time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You can vote if you were a shareholder of record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close of business on March 20, 2018.</w:t>
      </w:r>
    </w:p>
    <w:p>
      <w:pPr>
        <w:spacing w:after="0" w:line="7" w:lineRule="exact"/>
        <w:rPr>
          <w:sz w:val="20"/>
          <w:szCs w:val="20"/>
          <w:color w:val="auto"/>
        </w:rPr>
      </w:pPr>
    </w:p>
    <w:p>
      <w:pPr>
        <w:sectPr>
          <w:pgSz w:w="11900" w:h="16838" w:orient="portrait"/>
          <w:cols w:equalWidth="0" w:num="3">
            <w:col w:w="680" w:space="60"/>
            <w:col w:w="4600" w:space="720"/>
            <w:col w:w="5180"/>
          </w:cols>
          <w:pgMar w:left="240" w:top="459" w:right="419" w:bottom="1440" w:gutter="0" w:footer="0" w:header="0"/>
          <w:type w:val="continuous"/>
        </w:sectPr>
      </w:pPr>
    </w:p>
    <w:p>
      <w:pPr>
        <w:ind w:left="240"/>
        <w:spacing w:after="0"/>
        <w:rPr>
          <w:sz w:val="20"/>
          <w:szCs w:val="20"/>
          <w:color w:val="auto"/>
        </w:rPr>
      </w:pPr>
      <w:r>
        <w:rPr>
          <w:rFonts w:ascii="Arial" w:cs="Arial" w:eastAsia="Arial" w:hAnsi="Arial"/>
          <w:sz w:val="16"/>
          <w:szCs w:val="16"/>
          <w:b w:val="1"/>
          <w:bCs w:val="1"/>
          <w:color w:val="auto"/>
        </w:rPr>
        <w:t xml:space="preserve">Place: </w:t>
      </w:r>
      <w:r>
        <w:rPr>
          <w:rFonts w:ascii="Arial" w:cs="Arial" w:eastAsia="Arial" w:hAnsi="Arial"/>
          <w:sz w:val="16"/>
          <w:szCs w:val="16"/>
          <w:color w:val="auto"/>
        </w:rPr>
        <w:t>Northrop Grumman Corporation</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2980 Fairview Park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Admission: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identification.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need proof of stock ownership and a form of photo</w:t>
      </w:r>
    </w:p>
    <w:p>
      <w:pPr>
        <w:spacing w:after="0" w:line="200" w:lineRule="exact"/>
        <w:rPr>
          <w:sz w:val="20"/>
          <w:szCs w:val="20"/>
          <w:color w:val="auto"/>
        </w:rPr>
      </w:pPr>
    </w:p>
    <w:p>
      <w:pPr>
        <w:sectPr>
          <w:pgSz w:w="11900" w:h="16838" w:orient="portrait"/>
          <w:cols w:equalWidth="0" w:num="3">
            <w:col w:w="5340" w:space="720"/>
            <w:col w:w="940" w:space="20"/>
            <w:col w:w="4220"/>
          </w:cols>
          <w:pgMar w:left="240" w:top="459" w:right="41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Falls Church, Virginia 22042</w:t>
      </w:r>
    </w:p>
    <w:p>
      <w:pPr>
        <w:sectPr>
          <w:pgSz w:w="11900" w:h="16838" w:orient="portrait"/>
          <w:cols w:equalWidth="0" w:num="1">
            <w:col w:w="11240"/>
          </w:cols>
          <w:pgMar w:left="240" w:top="459" w:right="419" w:bottom="1440" w:gutter="0" w:footer="0" w:header="0"/>
          <w:type w:val="continuous"/>
        </w:sect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7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7"/>
        </w:trPr>
        <w:tc>
          <w:tcPr>
            <w:tcW w:w="7220" w:type="dxa"/>
            <w:vAlign w:val="bottom"/>
            <w:tcBorders>
              <w:bottom w:val="single" w:sz="8" w:color="276092"/>
            </w:tcBorders>
          </w:tcPr>
          <w:p>
            <w:pPr>
              <w:spacing w:after="0"/>
              <w:rPr>
                <w:sz w:val="18"/>
                <w:szCs w:val="18"/>
                <w:color w:val="auto"/>
              </w:rPr>
            </w:pPr>
          </w:p>
        </w:tc>
        <w:tc>
          <w:tcPr>
            <w:tcW w:w="2740" w:type="dxa"/>
            <w:vAlign w:val="bottom"/>
            <w:tcBorders>
              <w:bottom w:val="single" w:sz="8" w:color="276092"/>
            </w:tcBorders>
          </w:tcPr>
          <w:p>
            <w:pPr>
              <w:jc w:val="right"/>
              <w:ind w:right="59"/>
              <w:spacing w:after="0"/>
              <w:rPr>
                <w:sz w:val="20"/>
                <w:szCs w:val="20"/>
                <w:color w:val="auto"/>
              </w:rPr>
            </w:pPr>
            <w:r>
              <w:rPr>
                <w:rFonts w:ascii="Arial" w:cs="Arial" w:eastAsia="Arial" w:hAnsi="Arial"/>
                <w:sz w:val="16"/>
                <w:szCs w:val="16"/>
                <w:b w:val="1"/>
                <w:bCs w:val="1"/>
                <w:color w:val="auto"/>
              </w:rPr>
              <w:t>Board Vote Recommendation</w:t>
            </w:r>
          </w:p>
        </w:tc>
        <w:tc>
          <w:tcPr>
            <w:tcW w:w="1060" w:type="dxa"/>
            <w:vAlign w:val="bottom"/>
            <w:tcBorders>
              <w:bottom w:val="single" w:sz="8" w:color="276092"/>
            </w:tcBorders>
          </w:tcPr>
          <w:p>
            <w:pPr>
              <w:jc w:val="right"/>
              <w:ind w:right="79"/>
              <w:spacing w:after="0"/>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284"/>
        </w:trPr>
        <w:tc>
          <w:tcPr>
            <w:tcW w:w="7220" w:type="dxa"/>
            <w:vAlign w:val="bottom"/>
            <w:tcBorders>
              <w:bottom w:val="single" w:sz="8" w:color="BECFDE"/>
            </w:tcBorders>
            <w:shd w:val="clear" w:color="auto" w:fill="BECFDE"/>
          </w:tcPr>
          <w:p>
            <w:pPr>
              <w:ind w:left="40"/>
              <w:spacing w:after="0"/>
              <w:rPr>
                <w:sz w:val="20"/>
                <w:szCs w:val="20"/>
                <w:color w:val="auto"/>
              </w:rPr>
            </w:pPr>
            <w:r>
              <w:rPr>
                <w:rFonts w:ascii="Arial" w:cs="Arial" w:eastAsia="Arial" w:hAnsi="Arial"/>
                <w:sz w:val="16"/>
                <w:szCs w:val="16"/>
                <w:color w:val="auto"/>
              </w:rPr>
              <w:t>Proposal One: Election of Directors</w:t>
            </w:r>
          </w:p>
        </w:tc>
        <w:tc>
          <w:tcPr>
            <w:tcW w:w="2740" w:type="dxa"/>
            <w:vAlign w:val="bottom"/>
            <w:tcBorders>
              <w:bottom w:val="single" w:sz="8" w:color="BECFDE"/>
            </w:tcBorders>
            <w:shd w:val="clear" w:color="auto" w:fill="BECFDE"/>
          </w:tcPr>
          <w:p>
            <w:pPr>
              <w:jc w:val="right"/>
              <w:ind w:right="59"/>
              <w:spacing w:after="0"/>
              <w:rPr>
                <w:sz w:val="20"/>
                <w:szCs w:val="20"/>
                <w:color w:val="auto"/>
              </w:rPr>
            </w:pPr>
            <w:r>
              <w:rPr>
                <w:rFonts w:ascii="Arial" w:cs="Arial" w:eastAsia="Arial" w:hAnsi="Arial"/>
                <w:sz w:val="16"/>
                <w:szCs w:val="16"/>
                <w:b w:val="1"/>
                <w:bCs w:val="1"/>
                <w:color w:val="276092"/>
              </w:rPr>
              <w:t xml:space="preserve">FOR </w:t>
            </w:r>
            <w:r>
              <w:rPr>
                <w:rFonts w:ascii="Arial" w:cs="Arial" w:eastAsia="Arial" w:hAnsi="Arial"/>
                <w:sz w:val="16"/>
                <w:szCs w:val="16"/>
                <w:color w:val="000000"/>
              </w:rPr>
              <w:t>each Director Nominee</w:t>
            </w:r>
          </w:p>
        </w:tc>
        <w:tc>
          <w:tcPr>
            <w:tcW w:w="1060" w:type="dxa"/>
            <w:vAlign w:val="bottom"/>
            <w:tcBorders>
              <w:bottom w:val="single" w:sz="8" w:color="BECFDE"/>
            </w:tcBorders>
            <w:shd w:val="clear" w:color="auto" w:fill="BECFDE"/>
          </w:tcPr>
          <w:p>
            <w:pPr>
              <w:jc w:val="right"/>
              <w:ind w:right="7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7220" w:type="dxa"/>
            <w:vAlign w:val="bottom"/>
          </w:tcPr>
          <w:p>
            <w:pPr>
              <w:ind w:left="40"/>
              <w:spacing w:after="0"/>
              <w:rPr>
                <w:sz w:val="20"/>
                <w:szCs w:val="20"/>
                <w:color w:val="auto"/>
              </w:rPr>
            </w:pPr>
            <w:r>
              <w:rPr>
                <w:rFonts w:ascii="Arial" w:cs="Arial" w:eastAsia="Arial" w:hAnsi="Arial"/>
                <w:sz w:val="16"/>
                <w:szCs w:val="16"/>
                <w:color w:val="auto"/>
              </w:rPr>
              <w:t>Proposal Two: Advisory Vote on Compensation of Named Executive Officers</w:t>
            </w:r>
          </w:p>
        </w:tc>
        <w:tc>
          <w:tcPr>
            <w:tcW w:w="2740" w:type="dxa"/>
            <w:vAlign w:val="bottom"/>
          </w:tcPr>
          <w:p>
            <w:pPr>
              <w:jc w:val="right"/>
              <w:ind w:right="59"/>
              <w:spacing w:after="0"/>
              <w:rPr>
                <w:sz w:val="20"/>
                <w:szCs w:val="20"/>
                <w:color w:val="auto"/>
              </w:rPr>
            </w:pPr>
            <w:r>
              <w:rPr>
                <w:rFonts w:ascii="Arial" w:cs="Arial" w:eastAsia="Arial" w:hAnsi="Arial"/>
                <w:sz w:val="16"/>
                <w:szCs w:val="16"/>
                <w:b w:val="1"/>
                <w:bCs w:val="1"/>
                <w:color w:val="276092"/>
              </w:rPr>
              <w:t>FOR</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69"/>
        </w:trPr>
        <w:tc>
          <w:tcPr>
            <w:tcW w:w="72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7220" w:type="dxa"/>
            <w:vAlign w:val="bottom"/>
            <w:tcBorders>
              <w:bottom w:val="single" w:sz="8" w:color="BECFDE"/>
            </w:tcBorders>
            <w:shd w:val="clear" w:color="auto" w:fill="BECFDE"/>
          </w:tcPr>
          <w:p>
            <w:pPr>
              <w:ind w:left="40"/>
              <w:spacing w:after="0"/>
              <w:rPr>
                <w:sz w:val="20"/>
                <w:szCs w:val="20"/>
                <w:color w:val="auto"/>
              </w:rPr>
            </w:pPr>
            <w:r>
              <w:rPr>
                <w:rFonts w:ascii="Arial" w:cs="Arial" w:eastAsia="Arial" w:hAnsi="Arial"/>
                <w:sz w:val="16"/>
                <w:szCs w:val="16"/>
                <w:color w:val="auto"/>
              </w:rPr>
              <w:t>Proposal Three: Ratification of Appointment of Independent Auditor</w:t>
            </w:r>
          </w:p>
        </w:tc>
        <w:tc>
          <w:tcPr>
            <w:tcW w:w="2740" w:type="dxa"/>
            <w:vAlign w:val="bottom"/>
            <w:tcBorders>
              <w:bottom w:val="single" w:sz="8" w:color="BECFDE"/>
            </w:tcBorders>
            <w:shd w:val="clear" w:color="auto" w:fill="BECFDE"/>
          </w:tcPr>
          <w:p>
            <w:pPr>
              <w:jc w:val="right"/>
              <w:ind w:right="59"/>
              <w:spacing w:after="0"/>
              <w:rPr>
                <w:sz w:val="20"/>
                <w:szCs w:val="20"/>
                <w:color w:val="auto"/>
              </w:rPr>
            </w:pPr>
            <w:r>
              <w:rPr>
                <w:rFonts w:ascii="Arial" w:cs="Arial" w:eastAsia="Arial" w:hAnsi="Arial"/>
                <w:sz w:val="16"/>
                <w:szCs w:val="16"/>
                <w:b w:val="1"/>
                <w:bCs w:val="1"/>
                <w:color w:val="276092"/>
              </w:rPr>
              <w:t>FOR</w:t>
            </w:r>
          </w:p>
        </w:tc>
        <w:tc>
          <w:tcPr>
            <w:tcW w:w="1060" w:type="dxa"/>
            <w:vAlign w:val="bottom"/>
            <w:tcBorders>
              <w:bottom w:val="single" w:sz="8" w:color="BECFDE"/>
            </w:tcBorders>
            <w:shd w:val="clear" w:color="auto" w:fill="BECFDE"/>
          </w:tcPr>
          <w:p>
            <w:pPr>
              <w:jc w:val="right"/>
              <w:ind w:right="7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4"/>
        </w:trPr>
        <w:tc>
          <w:tcPr>
            <w:tcW w:w="7220" w:type="dxa"/>
            <w:vAlign w:val="bottom"/>
          </w:tcPr>
          <w:p>
            <w:pPr>
              <w:ind w:left="40"/>
              <w:spacing w:after="0"/>
              <w:rPr>
                <w:sz w:val="20"/>
                <w:szCs w:val="20"/>
                <w:color w:val="auto"/>
              </w:rPr>
            </w:pPr>
            <w:r>
              <w:rPr>
                <w:rFonts w:ascii="Arial" w:cs="Arial" w:eastAsia="Arial" w:hAnsi="Arial"/>
                <w:sz w:val="16"/>
                <w:szCs w:val="16"/>
                <w:color w:val="auto"/>
              </w:rPr>
              <w:t>Proposal Four: Shareholder Proposal to Modify Ownership Threshold for Shareholders to Call a</w:t>
            </w:r>
          </w:p>
        </w:tc>
        <w:tc>
          <w:tcPr>
            <w:tcW w:w="27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276092"/>
              </w:rPr>
              <w:t>AGAINST</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40"/>
              <w:spacing w:after="0"/>
              <w:rPr>
                <w:sz w:val="20"/>
                <w:szCs w:val="20"/>
                <w:color w:val="auto"/>
              </w:rPr>
            </w:pPr>
            <w:r>
              <w:rPr>
                <w:rFonts w:ascii="Arial" w:cs="Arial" w:eastAsia="Arial" w:hAnsi="Arial"/>
                <w:sz w:val="16"/>
                <w:szCs w:val="16"/>
                <w:color w:val="auto"/>
              </w:rPr>
              <w:t>Special Meeting</w:t>
            </w:r>
          </w:p>
        </w:tc>
        <w:tc>
          <w:tcPr>
            <w:tcW w:w="2740" w:type="dxa"/>
            <w:vAlign w:val="bottom"/>
            <w:vMerge w:val="continue"/>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2018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Our Board has nominated 12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If any nominee becomes unavailable for election to the Board, an event which is not anticipated, the proxyholders will have full discretion and authority to vote, or refrain from voting, for any other nominee in accordance with their judgment.</w:t>
      </w:r>
    </w:p>
    <w:p>
      <w:pPr>
        <w:spacing w:after="0" w:line="97"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The following pages contain biographical and other information about each of the nominees. In addition, we have provided information regarding some of the particular experiences, qualifications, attributes and skills that led the Board to conclude that each nominee should serve as a director.</w:t>
      </w:r>
    </w:p>
    <w:p>
      <w:pPr>
        <w:spacing w:after="0" w:line="95"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Unless instructed otherwise, the proxyholders will vote the proxies received by them “FOR” the election of the director nominees listed below.</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WESLEY G. BUSH,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1003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1003300"/>
                    </a:xfrm>
                    <a:prstGeom prst="rect">
                      <a:avLst/>
                    </a:prstGeom>
                    <a:noFill/>
                  </pic:spPr>
                </pic:pic>
              </a:graphicData>
            </a:graphic>
          </wp:anchor>
        </w:drawing>
      </w:r>
    </w:p>
    <w:p>
      <w:pPr>
        <w:spacing w:after="0" w:line="65"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Chairman and Chief Executive Officer, Northrop Grumman Corporation.</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i w:val="1"/>
          <w:iCs w:val="1"/>
          <w:color w:val="auto"/>
        </w:rPr>
        <w:t>Director since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506730</wp:posOffset>
            </wp:positionV>
            <wp:extent cx="6997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right="40"/>
        <w:spacing w:after="0" w:line="252" w:lineRule="auto"/>
        <w:rPr>
          <w:sz w:val="20"/>
          <w:szCs w:val="20"/>
          <w:color w:val="auto"/>
        </w:rPr>
      </w:pPr>
      <w:r>
        <w:rPr>
          <w:rFonts w:ascii="Arial" w:cs="Arial" w:eastAsia="Arial" w:hAnsi="Arial"/>
          <w:sz w:val="17"/>
          <w:szCs w:val="17"/>
          <w:color w:val="auto"/>
        </w:rPr>
        <w:t>Mr. Wesley G. Bush has served as Chief Executive Officer of the Company since January 2010. He was elected to the Board of Directors in 2009 and elected Chairman of the Board of Directors in July 2011. Mr. Bush served as Chief Executive Officer and President of the Company from January 2010 through December 31, 2017, as President and Chief Operating Officer of the Company from March 2007 through December 2009, as President and Chief Financial Officer from May 2006 through March 2007, and as Corporate Vice President and Chief Financial Officer from March 2005 to May 2006. Following the acquisition of TRW Inc. (TRW) by the Company, he was named Corporate Vice President and President of the Space Technology sector. Mr. Bush joined TRW in 1987 and during his career with that company held various leadership positions, including President and CEO of TRW Aeronautical Systems. He is a director of Norfolk Southern Corporation. He serves on the boards of several non-profit organizations, including the Aerospace Industries Association, the Business-Higher Education Forum, Conservation International, INOVA Health Systems, the Naval Academy Foundation and the USO.</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80" w:hanging="222"/>
        <w:spacing w:after="0"/>
        <w:tabs>
          <w:tab w:leader="none" w:pos="480" w:val="left"/>
        </w:tabs>
        <w:numPr>
          <w:ilvl w:val="0"/>
          <w:numId w:val="8"/>
        </w:numPr>
        <w:rPr>
          <w:rFonts w:ascii="Arial" w:cs="Arial" w:eastAsia="Arial" w:hAnsi="Arial"/>
          <w:sz w:val="18"/>
          <w:szCs w:val="18"/>
          <w:color w:val="276092"/>
        </w:rPr>
      </w:pPr>
      <w:r>
        <w:rPr>
          <w:rFonts w:ascii="Arial" w:cs="Arial" w:eastAsia="Arial" w:hAnsi="Arial"/>
          <w:sz w:val="18"/>
          <w:szCs w:val="18"/>
          <w:color w:val="auto"/>
        </w:rPr>
        <w:t>Significant business experience with over 35 years in the aerospace and defense industry</w:t>
      </w:r>
    </w:p>
    <w:p>
      <w:pPr>
        <w:spacing w:after="0" w:line="130" w:lineRule="exact"/>
        <w:rPr>
          <w:rFonts w:ascii="Arial" w:cs="Arial" w:eastAsia="Arial" w:hAnsi="Arial"/>
          <w:sz w:val="18"/>
          <w:szCs w:val="18"/>
          <w:color w:val="276092"/>
        </w:rPr>
      </w:pPr>
    </w:p>
    <w:p>
      <w:pPr>
        <w:ind w:left="500" w:hanging="242"/>
        <w:spacing w:after="0" w:line="262" w:lineRule="auto"/>
        <w:tabs>
          <w:tab w:leader="none" w:pos="473" w:val="left"/>
        </w:tabs>
        <w:numPr>
          <w:ilvl w:val="0"/>
          <w:numId w:val="8"/>
        </w:numPr>
        <w:rPr>
          <w:rFonts w:ascii="Arial" w:cs="Arial" w:eastAsia="Arial" w:hAnsi="Arial"/>
          <w:sz w:val="18"/>
          <w:szCs w:val="18"/>
          <w:color w:val="276092"/>
        </w:rPr>
      </w:pPr>
      <w:r>
        <w:rPr>
          <w:rFonts w:ascii="Arial" w:cs="Arial" w:eastAsia="Arial" w:hAnsi="Arial"/>
          <w:sz w:val="18"/>
          <w:szCs w:val="18"/>
          <w:color w:val="auto"/>
        </w:rPr>
        <w:t>Prior leadership positions within Northrop Grumman (including as President, Chief Operating Officer, Chief Financial Officer and Sector President)</w:t>
      </w:r>
    </w:p>
    <w:p>
      <w:pPr>
        <w:spacing w:after="0" w:line="88" w:lineRule="exact"/>
        <w:rPr>
          <w:rFonts w:ascii="Arial" w:cs="Arial" w:eastAsia="Arial" w:hAnsi="Arial"/>
          <w:sz w:val="18"/>
          <w:szCs w:val="18"/>
          <w:color w:val="276092"/>
        </w:rPr>
      </w:pPr>
    </w:p>
    <w:p>
      <w:pPr>
        <w:ind w:left="480" w:hanging="222"/>
        <w:spacing w:after="0"/>
        <w:tabs>
          <w:tab w:leader="none" w:pos="480" w:val="left"/>
        </w:tabs>
        <w:numPr>
          <w:ilvl w:val="0"/>
          <w:numId w:val="8"/>
        </w:numPr>
        <w:rPr>
          <w:rFonts w:ascii="Arial" w:cs="Arial" w:eastAsia="Arial" w:hAnsi="Arial"/>
          <w:sz w:val="18"/>
          <w:szCs w:val="18"/>
          <w:color w:val="276092"/>
        </w:rPr>
      </w:pPr>
      <w:r>
        <w:rPr>
          <w:rFonts w:ascii="Arial" w:cs="Arial" w:eastAsia="Arial" w:hAnsi="Arial"/>
          <w:sz w:val="18"/>
          <w:szCs w:val="18"/>
          <w:color w:val="auto"/>
        </w:rPr>
        <w:t>Extensive international business experience</w:t>
      </w:r>
    </w:p>
    <w:p>
      <w:pPr>
        <w:spacing w:after="0" w:line="130" w:lineRule="exact"/>
        <w:rPr>
          <w:rFonts w:ascii="Arial" w:cs="Arial" w:eastAsia="Arial" w:hAnsi="Arial"/>
          <w:sz w:val="18"/>
          <w:szCs w:val="18"/>
          <w:color w:val="276092"/>
        </w:rPr>
      </w:pPr>
    </w:p>
    <w:p>
      <w:pPr>
        <w:ind w:left="480" w:hanging="222"/>
        <w:spacing w:after="0"/>
        <w:tabs>
          <w:tab w:leader="none" w:pos="480" w:val="left"/>
        </w:tabs>
        <w:numPr>
          <w:ilvl w:val="0"/>
          <w:numId w:val="8"/>
        </w:numPr>
        <w:rPr>
          <w:rFonts w:ascii="Arial" w:cs="Arial" w:eastAsia="Arial" w:hAnsi="Arial"/>
          <w:sz w:val="18"/>
          <w:szCs w:val="18"/>
          <w:color w:val="276092"/>
        </w:rPr>
      </w:pPr>
      <w:r>
        <w:rPr>
          <w:rFonts w:ascii="Arial" w:cs="Arial" w:eastAsia="Arial" w:hAnsi="Arial"/>
          <w:sz w:val="18"/>
          <w:szCs w:val="18"/>
          <w:color w:val="auto"/>
        </w:rPr>
        <w:t>Extensive leadership roles in community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ind w:left="360" w:hanging="156"/>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MARIANNE C. BROWN,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300"/>
        <w:spacing w:after="0" w:line="267" w:lineRule="auto"/>
        <w:rPr>
          <w:sz w:val="20"/>
          <w:szCs w:val="20"/>
          <w:color w:val="auto"/>
        </w:rPr>
      </w:pPr>
      <w:r>
        <w:rPr>
          <w:rFonts w:ascii="Arial" w:cs="Arial" w:eastAsia="Arial" w:hAnsi="Arial"/>
          <w:sz w:val="18"/>
          <w:szCs w:val="18"/>
          <w:i w:val="1"/>
          <w:iCs w:val="1"/>
          <w:color w:val="auto"/>
        </w:rPr>
        <w:t>Co-Chief Operating Officer, Global Financial Solutions, Fidelity National Information Services, Inc., a financial services technology solutions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-288290</wp:posOffset>
            </wp:positionV>
            <wp:extent cx="617220" cy="823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2015</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Audit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Ms. Marianne C. Brown has served as Co-Chief Operating Officer, Global Financial Solutions, of Fidelity National Information Services, Inc. since January 2018. Prior to that, Ms. Brown served as Chief Operating Officer, Institutional and Wholesale Business of Fidelity National Information Services since December 2015, when it acquired SunGard Financial Systems. Ms. Brown was Chief Operating Officer of SunGard Financial Systems, a software and IT services provider, from February 2014 to November 2015. Prior to that,</w:t>
      </w:r>
    </w:p>
    <w:p>
      <w:pPr>
        <w:spacing w:after="0" w:line="2" w:lineRule="exact"/>
        <w:rPr>
          <w:sz w:val="20"/>
          <w:szCs w:val="20"/>
          <w:color w:val="auto"/>
        </w:rPr>
      </w:pPr>
    </w:p>
    <w:p>
      <w:pPr>
        <w:ind w:left="260" w:right="20"/>
        <w:spacing w:after="0" w:line="238" w:lineRule="auto"/>
        <w:rPr>
          <w:sz w:val="20"/>
          <w:szCs w:val="20"/>
          <w:color w:val="auto"/>
        </w:rPr>
      </w:pPr>
      <w:r>
        <w:rPr>
          <w:rFonts w:ascii="Arial" w:cs="Arial" w:eastAsia="Arial" w:hAnsi="Arial"/>
          <w:sz w:val="18"/>
          <w:szCs w:val="18"/>
          <w:color w:val="auto"/>
        </w:rPr>
        <w:t>Ms. Brown was the CEO and president of Omgeo, a global financial services technology company, from March 2006 to February 2014. Before joining Omgeo, she was the CEO of the Securities Industry Automation Corporation. Ms. Brown began her career at Automatic Data Processing (ADP) and progressed through a series of positions of increasing responsibility culminating in her role as general manager of ADP’s Brokerage Processing Services business, which was subsequently spun off to become Broadridge Financial Solutions. Ms. Brown is a Senior Advisor to Pro Mujer.</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40" w:hanging="182"/>
        <w:spacing w:after="0"/>
        <w:tabs>
          <w:tab w:leader="none" w:pos="440" w:val="left"/>
        </w:tabs>
        <w:numPr>
          <w:ilvl w:val="0"/>
          <w:numId w:val="10"/>
        </w:numPr>
        <w:rPr>
          <w:rFonts w:ascii="Arial" w:cs="Arial" w:eastAsia="Arial" w:hAnsi="Arial"/>
          <w:sz w:val="18"/>
          <w:szCs w:val="18"/>
          <w:color w:val="276092"/>
        </w:rPr>
      </w:pPr>
      <w:r>
        <w:rPr>
          <w:rFonts w:ascii="Arial" w:cs="Arial" w:eastAsia="Arial" w:hAnsi="Arial"/>
          <w:sz w:val="18"/>
          <w:szCs w:val="18"/>
          <w:color w:val="auto"/>
        </w:rPr>
        <w:t>Substantial business experience as Chief Operating Officer and as a former Chief Executive Officer</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0"/>
        </w:numPr>
        <w:rPr>
          <w:rFonts w:ascii="Arial" w:cs="Arial" w:eastAsia="Arial" w:hAnsi="Arial"/>
          <w:sz w:val="18"/>
          <w:szCs w:val="18"/>
          <w:color w:val="276092"/>
        </w:rPr>
      </w:pPr>
      <w:r>
        <w:rPr>
          <w:rFonts w:ascii="Arial" w:cs="Arial" w:eastAsia="Arial" w:hAnsi="Arial"/>
          <w:sz w:val="18"/>
          <w:szCs w:val="18"/>
          <w:color w:val="auto"/>
        </w:rPr>
        <w:t>Significant experience in IT goods and services and business management</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0"/>
        </w:numPr>
        <w:rPr>
          <w:rFonts w:ascii="Arial" w:cs="Arial" w:eastAsia="Arial" w:hAnsi="Arial"/>
          <w:sz w:val="18"/>
          <w:szCs w:val="18"/>
          <w:color w:val="276092"/>
        </w:rPr>
      </w:pPr>
      <w:r>
        <w:rPr>
          <w:rFonts w:ascii="Arial" w:cs="Arial" w:eastAsia="Arial" w:hAnsi="Arial"/>
          <w:sz w:val="18"/>
          <w:szCs w:val="18"/>
          <w:color w:val="auto"/>
        </w:rPr>
        <w:t>Community and philanthropic leader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DONALD E. FELSINGER,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Lead Independent Director of the Board of Directors,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17220" cy="823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Former Chairman and Chief Executive Officer, Sempra Energy, an energy services holding company.</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2007</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172085</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5" w:lineRule="exact"/>
        <w:rPr>
          <w:sz w:val="20"/>
          <w:szCs w:val="20"/>
          <w:color w:val="auto"/>
        </w:rPr>
      </w:pPr>
    </w:p>
    <w:p>
      <w:pPr>
        <w:ind w:left="260" w:right="160"/>
        <w:spacing w:after="0" w:line="236" w:lineRule="auto"/>
        <w:rPr>
          <w:sz w:val="20"/>
          <w:szCs w:val="20"/>
          <w:color w:val="auto"/>
        </w:rPr>
      </w:pPr>
      <w:r>
        <w:rPr>
          <w:rFonts w:ascii="Arial" w:cs="Arial" w:eastAsia="Arial" w:hAnsi="Arial"/>
          <w:sz w:val="18"/>
          <w:szCs w:val="18"/>
          <w:color w:val="auto"/>
        </w:rPr>
        <w:t>Mr. Donald E. Felsinger is the former Chairman and Chief Executive Officer of Sempra Energy. From July 2011 through his retirement in November 2012, he served as Executive Chairman of the Board of Directors of Sempra Energy, and from February 2006 through June 2011, he was Sempra’s Chairman and CEO. Prior to that, Mr. Felsinger was President and Chief Operating Officer of Sempra Energy from January 2005 to February 2006 and a member of the Board of Directors. From 1998 through 2004, he was Group President and Chief Executive Officer of Sempra Global. Prior to the merger that formed Sempra Energy, he served as President and Chief Operating Officer of Enova Corporation, the parent company of San Diego Gas &amp; Electric (SDG&amp;E). Prior positions included President and Chief Executive Officer of SDG&amp;E, Executive Vice President of Enova Corporation and Executive Vice President of SDG&amp;E. Mr. Felsinger serves on the boards of Archer-Daniels-Midland (Lead Independent Director) and Gannett Co., Inc.</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hanging="242"/>
        <w:spacing w:after="0" w:line="262" w:lineRule="auto"/>
        <w:tabs>
          <w:tab w:leader="none" w:pos="430" w:val="left"/>
        </w:tabs>
        <w:numPr>
          <w:ilvl w:val="0"/>
          <w:numId w:val="11"/>
        </w:numPr>
        <w:rPr>
          <w:rFonts w:ascii="Arial" w:cs="Arial" w:eastAsia="Arial" w:hAnsi="Arial"/>
          <w:sz w:val="18"/>
          <w:szCs w:val="18"/>
          <w:color w:val="276092"/>
        </w:rPr>
      </w:pPr>
      <w:r>
        <w:rPr>
          <w:rFonts w:ascii="Arial" w:cs="Arial" w:eastAsia="Arial" w:hAnsi="Arial"/>
          <w:sz w:val="18"/>
          <w:szCs w:val="18"/>
          <w:color w:val="auto"/>
        </w:rPr>
        <w:t>Extensive business experience as Chief Executive Officer, a board member and Chairman of other Fortune 500 companies in regulated industries</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1"/>
        </w:numPr>
        <w:rPr>
          <w:rFonts w:ascii="Arial" w:cs="Arial" w:eastAsia="Arial" w:hAnsi="Arial"/>
          <w:sz w:val="18"/>
          <w:szCs w:val="18"/>
          <w:color w:val="276092"/>
        </w:rPr>
      </w:pPr>
      <w:r>
        <w:rPr>
          <w:rFonts w:ascii="Arial" w:cs="Arial" w:eastAsia="Arial" w:hAnsi="Arial"/>
          <w:sz w:val="18"/>
          <w:szCs w:val="18"/>
          <w:color w:val="auto"/>
        </w:rPr>
        <w:t>Significant experience in corporate governance and strategy, and as Lead Independent Director of a Fortune 250 company</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1"/>
        </w:numPr>
        <w:rPr>
          <w:rFonts w:ascii="Arial" w:cs="Arial" w:eastAsia="Arial" w:hAnsi="Arial"/>
          <w:sz w:val="18"/>
          <w:szCs w:val="18"/>
          <w:color w:val="276092"/>
        </w:rPr>
      </w:pPr>
      <w:r>
        <w:rPr>
          <w:rFonts w:ascii="Arial" w:cs="Arial" w:eastAsia="Arial" w:hAnsi="Arial"/>
          <w:sz w:val="18"/>
          <w:szCs w:val="18"/>
          <w:color w:val="auto"/>
        </w:rPr>
        <w:t>In-depth knowledge of executive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7</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ANN M. FUDGE,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1029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1029335"/>
                    </a:xfrm>
                    <a:prstGeom prst="rect">
                      <a:avLst/>
                    </a:prstGeom>
                    <a:noFill/>
                  </pic:spPr>
                </pic:pic>
              </a:graphicData>
            </a:graphic>
          </wp:anchor>
        </w:drawing>
      </w:r>
    </w:p>
    <w:p>
      <w:pPr>
        <w:spacing w:after="0" w:line="8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Former Chairman and Chief Executive Officer, Young &amp; Rubicam Brands, a marketing communications company.</w:t>
      </w:r>
    </w:p>
    <w:p>
      <w:pPr>
        <w:spacing w:after="0" w:line="59"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2016</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Audit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6997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right="220"/>
        <w:spacing w:after="0" w:line="234" w:lineRule="auto"/>
        <w:rPr>
          <w:sz w:val="20"/>
          <w:szCs w:val="20"/>
          <w:color w:val="auto"/>
        </w:rPr>
      </w:pPr>
      <w:r>
        <w:rPr>
          <w:rFonts w:ascii="Arial" w:cs="Arial" w:eastAsia="Arial" w:hAnsi="Arial"/>
          <w:sz w:val="18"/>
          <w:szCs w:val="18"/>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 From 1977 to 1986,</w:t>
      </w:r>
    </w:p>
    <w:p>
      <w:pPr>
        <w:spacing w:after="0" w:line="2" w:lineRule="exact"/>
        <w:rPr>
          <w:sz w:val="20"/>
          <w:szCs w:val="20"/>
          <w:color w:val="auto"/>
        </w:rPr>
      </w:pPr>
    </w:p>
    <w:p>
      <w:pPr>
        <w:ind w:left="260" w:right="140"/>
        <w:spacing w:after="0" w:line="239" w:lineRule="auto"/>
        <w:rPr>
          <w:sz w:val="20"/>
          <w:szCs w:val="20"/>
          <w:color w:val="auto"/>
        </w:rPr>
      </w:pPr>
      <w:r>
        <w:rPr>
          <w:rFonts w:ascii="Arial" w:cs="Arial" w:eastAsia="Arial" w:hAnsi="Arial"/>
          <w:sz w:val="18"/>
          <w:szCs w:val="18"/>
          <w:color w:val="auto"/>
        </w:rPr>
        <w:t>Ms. Fudge held a variety of marketing positions at General Mills. She is a director of Unilever NV and Novartis AG, and served as a director of General Electric Company and Infosys Limited during the last five years. Ms. Fudge also serves as a trustee of WGBH Public Media and the Brookings Institution. Ms. Fudge also serves on the Advisory Board of the Smithsonian Museum of African American History and Culture, and as Chair of the U.S. Programs Advisory Panel of the Gates Foundation.</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40" w:hanging="182"/>
        <w:spacing w:after="0"/>
        <w:tabs>
          <w:tab w:leader="none" w:pos="440" w:val="left"/>
        </w:tabs>
        <w:numPr>
          <w:ilvl w:val="0"/>
          <w:numId w:val="12"/>
        </w:numPr>
        <w:rPr>
          <w:rFonts w:ascii="Arial" w:cs="Arial" w:eastAsia="Arial" w:hAnsi="Arial"/>
          <w:sz w:val="18"/>
          <w:szCs w:val="18"/>
          <w:color w:val="276092"/>
        </w:rPr>
      </w:pPr>
      <w:r>
        <w:rPr>
          <w:rFonts w:ascii="Arial" w:cs="Arial" w:eastAsia="Arial" w:hAnsi="Arial"/>
          <w:sz w:val="18"/>
          <w:szCs w:val="18"/>
          <w:color w:val="auto"/>
        </w:rPr>
        <w:t>Extensive business experience as former Chief Executive Officer and former president of leading consumer products business units</w:t>
      </w:r>
    </w:p>
    <w:p>
      <w:pPr>
        <w:spacing w:after="0" w:line="130" w:lineRule="exact"/>
        <w:rPr>
          <w:rFonts w:ascii="Arial" w:cs="Arial" w:eastAsia="Arial" w:hAnsi="Arial"/>
          <w:sz w:val="18"/>
          <w:szCs w:val="18"/>
          <w:color w:val="276092"/>
        </w:rPr>
      </w:pPr>
    </w:p>
    <w:p>
      <w:pPr>
        <w:ind w:left="500" w:right="340" w:hanging="242"/>
        <w:spacing w:after="0" w:line="262" w:lineRule="auto"/>
        <w:tabs>
          <w:tab w:leader="none" w:pos="430" w:val="left"/>
        </w:tabs>
        <w:numPr>
          <w:ilvl w:val="0"/>
          <w:numId w:val="12"/>
        </w:numPr>
        <w:rPr>
          <w:rFonts w:ascii="Arial" w:cs="Arial" w:eastAsia="Arial" w:hAnsi="Arial"/>
          <w:sz w:val="18"/>
          <w:szCs w:val="18"/>
          <w:color w:val="276092"/>
        </w:rPr>
      </w:pPr>
      <w:r>
        <w:rPr>
          <w:rFonts w:ascii="Arial" w:cs="Arial" w:eastAsia="Arial" w:hAnsi="Arial"/>
          <w:sz w:val="18"/>
          <w:szCs w:val="18"/>
          <w:color w:val="auto"/>
        </w:rPr>
        <w:t>Substantial international experience through service as an executive and director of a large multinational company and a director of other large multinational companies</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2"/>
        </w:numPr>
        <w:rPr>
          <w:rFonts w:ascii="Arial" w:cs="Arial" w:eastAsia="Arial" w:hAnsi="Arial"/>
          <w:sz w:val="18"/>
          <w:szCs w:val="18"/>
          <w:color w:val="276092"/>
        </w:rPr>
      </w:pPr>
      <w:r>
        <w:rPr>
          <w:rFonts w:ascii="Arial" w:cs="Arial" w:eastAsia="Arial" w:hAnsi="Arial"/>
          <w:sz w:val="18"/>
          <w:szCs w:val="18"/>
          <w:color w:val="auto"/>
        </w:rPr>
        <w:t>Significant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BRUCE S. GORDON,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400"/>
        <w:spacing w:after="0" w:line="267" w:lineRule="auto"/>
        <w:rPr>
          <w:sz w:val="20"/>
          <w:szCs w:val="20"/>
          <w:color w:val="auto"/>
        </w:rPr>
      </w:pPr>
      <w:r>
        <w:rPr>
          <w:rFonts w:ascii="Arial" w:cs="Arial" w:eastAsia="Arial" w:hAnsi="Arial"/>
          <w:sz w:val="18"/>
          <w:szCs w:val="18"/>
          <w:i w:val="1"/>
          <w:iCs w:val="1"/>
          <w:color w:val="auto"/>
        </w:rPr>
        <w:t>Former President, Retail Markets Group, Verizon Communications Inc., a telecommunications company, and Former President &amp; CEO, NAACP.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-288290</wp:posOffset>
            </wp:positionV>
            <wp:extent cx="617220" cy="823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2008</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Compensation Committee and Policy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line="237" w:lineRule="auto"/>
        <w:rPr>
          <w:sz w:val="20"/>
          <w:szCs w:val="20"/>
          <w:color w:val="auto"/>
        </w:rPr>
      </w:pPr>
      <w:r>
        <w:rPr>
          <w:rFonts w:ascii="Arial" w:cs="Arial" w:eastAsia="Arial" w:hAnsi="Arial"/>
          <w:sz w:val="18"/>
          <w:szCs w:val="18"/>
          <w:color w:val="auto"/>
        </w:rPr>
        <w:t>Mr. Bruce S. Gordon served as President and Chief Executive Officer of the National Association for the Advancement of Colored People from June 2005 to March 2007. In 2003, Mr. Gordon retired from Verizon Communications Inc., where he had served as President, Retail Markets Group since 2000. Prior to that, Mr. Gordon served as Group President of the Enterprise Business Unit, President of Consumer Services, Vice President of Marketing and Sales and Vice President of Sales for Bell Atlantic Corporation (Verizon’s predecessor). He is a member of the board of directors of the Newport Festival Foundation and a member of the Executive Leadership Council. Mr. Gordon is a director of CBS Corporation, and served as the Non-Executive Chair of The ADT Corporation during the last five years. He currently serves as a diversity consultant to several Fortune 500 companies.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40" w:hanging="182"/>
        <w:spacing w:after="0"/>
        <w:tabs>
          <w:tab w:leader="none" w:pos="440" w:val="left"/>
        </w:tabs>
        <w:numPr>
          <w:ilvl w:val="0"/>
          <w:numId w:val="13"/>
        </w:numPr>
        <w:rPr>
          <w:rFonts w:ascii="Arial" w:cs="Arial" w:eastAsia="Arial" w:hAnsi="Arial"/>
          <w:sz w:val="18"/>
          <w:szCs w:val="18"/>
          <w:color w:val="276092"/>
        </w:rPr>
      </w:pPr>
      <w:r>
        <w:rPr>
          <w:rFonts w:ascii="Arial" w:cs="Arial" w:eastAsia="Arial" w:hAnsi="Arial"/>
          <w:sz w:val="18"/>
          <w:szCs w:val="18"/>
          <w:color w:val="auto"/>
        </w:rPr>
        <w:t>Extensive leadership and business skills acquired from his experience with corporate and non-profit enterprises</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3"/>
        </w:numPr>
        <w:rPr>
          <w:rFonts w:ascii="Arial" w:cs="Arial" w:eastAsia="Arial" w:hAnsi="Arial"/>
          <w:sz w:val="18"/>
          <w:szCs w:val="18"/>
          <w:color w:val="276092"/>
        </w:rPr>
      </w:pPr>
      <w:r>
        <w:rPr>
          <w:rFonts w:ascii="Arial" w:cs="Arial" w:eastAsia="Arial" w:hAnsi="Arial"/>
          <w:sz w:val="18"/>
          <w:szCs w:val="18"/>
          <w:color w:val="auto"/>
        </w:rPr>
        <w:t>National leader on issues of diversity and inclusion</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3"/>
        </w:numPr>
        <w:rPr>
          <w:rFonts w:ascii="Arial" w:cs="Arial" w:eastAsia="Arial" w:hAnsi="Arial"/>
          <w:sz w:val="18"/>
          <w:szCs w:val="18"/>
          <w:color w:val="276092"/>
        </w:rPr>
      </w:pPr>
      <w:r>
        <w:rPr>
          <w:rFonts w:ascii="Arial" w:cs="Arial" w:eastAsia="Arial" w:hAnsi="Arial"/>
          <w:sz w:val="18"/>
          <w:szCs w:val="18"/>
          <w:color w:val="auto"/>
        </w:rPr>
        <w:t>Significant board experience, including as 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ind w:left="360" w:hanging="156"/>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WILLIAM H. HERNANDEZ,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10204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7700" cy="1020445"/>
                    </a:xfrm>
                    <a:prstGeom prst="rect">
                      <a:avLst/>
                    </a:prstGeom>
                    <a:noFill/>
                  </pic:spPr>
                </pic:pic>
              </a:graphicData>
            </a:graphic>
          </wp:anchor>
        </w:drawing>
      </w:r>
    </w:p>
    <w:p>
      <w:pPr>
        <w:spacing w:after="0" w:line="65" w:lineRule="exact"/>
        <w:rPr>
          <w:sz w:val="20"/>
          <w:szCs w:val="20"/>
          <w:color w:val="auto"/>
        </w:rPr>
      </w:pPr>
    </w:p>
    <w:p>
      <w:pPr>
        <w:ind w:left="1520" w:right="80"/>
        <w:spacing w:after="0" w:line="267" w:lineRule="auto"/>
        <w:rPr>
          <w:sz w:val="20"/>
          <w:szCs w:val="20"/>
          <w:color w:val="auto"/>
        </w:rPr>
      </w:pPr>
      <w:r>
        <w:rPr>
          <w:rFonts w:ascii="Arial" w:cs="Arial" w:eastAsia="Arial" w:hAnsi="Arial"/>
          <w:sz w:val="18"/>
          <w:szCs w:val="18"/>
          <w:i w:val="1"/>
          <w:iCs w:val="1"/>
          <w:color w:val="auto"/>
        </w:rPr>
        <w:t>Former Senior Vice President and Chief Financial Officer, PPG Industries, Inc., a manufacturer of chemical and industrial products.</w:t>
      </w:r>
    </w:p>
    <w:p>
      <w:pPr>
        <w:spacing w:after="0" w:line="26"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2013</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Audit Committee (Chair)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215265</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60" w:right="40"/>
        <w:spacing w:after="0" w:line="238" w:lineRule="auto"/>
        <w:rPr>
          <w:sz w:val="20"/>
          <w:szCs w:val="20"/>
          <w:color w:val="auto"/>
        </w:rPr>
      </w:pPr>
      <w:r>
        <w:rPr>
          <w:rFonts w:ascii="Arial" w:cs="Arial" w:eastAsia="Arial" w:hAnsi="Arial"/>
          <w:sz w:val="18"/>
          <w:szCs w:val="18"/>
          <w:color w:val="auto"/>
        </w:rPr>
        <w:t>Mr. William H. Hernandez served as Senior Vice President, Finance, and Chief Financial Officer of PPG Industries, Inc. (PPG), from 1995 until his retirement in 2009. Prior to that, he was PPG’s corporate controller from 1990 to 1994. Mr. Hernandez previously held a number of positions with Borg-Warner Corporation and Ford Motor Company. Mr. Hernandez is a certified management accountant and has taught finance and management courses at Marietta College. He is a member of the board of directors of Albemarle Corporation and USG Corporation and served as director of Black Box Corporation and Eastman Kodak during the last five years.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right="240" w:hanging="242"/>
        <w:spacing w:after="0" w:line="262" w:lineRule="auto"/>
        <w:tabs>
          <w:tab w:leader="none" w:pos="430" w:val="left"/>
        </w:tabs>
        <w:numPr>
          <w:ilvl w:val="0"/>
          <w:numId w:val="15"/>
        </w:numPr>
        <w:rPr>
          <w:rFonts w:ascii="Arial" w:cs="Arial" w:eastAsia="Arial" w:hAnsi="Arial"/>
          <w:sz w:val="18"/>
          <w:szCs w:val="18"/>
          <w:color w:val="276092"/>
        </w:rPr>
      </w:pPr>
      <w:r>
        <w:rPr>
          <w:rFonts w:ascii="Arial" w:cs="Arial" w:eastAsia="Arial" w:hAnsi="Arial"/>
          <w:sz w:val="18"/>
          <w:szCs w:val="18"/>
          <w:color w:val="auto"/>
        </w:rPr>
        <w:t>Extensive experience and expertise in areas of finance, accounting and business management acquired as Chief Financial Officer of PPG Industries</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5"/>
        </w:numPr>
        <w:rPr>
          <w:rFonts w:ascii="Arial" w:cs="Arial" w:eastAsia="Arial" w:hAnsi="Arial"/>
          <w:sz w:val="18"/>
          <w:szCs w:val="18"/>
          <w:color w:val="276092"/>
        </w:rPr>
      </w:pPr>
      <w:r>
        <w:rPr>
          <w:rFonts w:ascii="Arial" w:cs="Arial" w:eastAsia="Arial" w:hAnsi="Arial"/>
          <w:sz w:val="18"/>
          <w:szCs w:val="18"/>
          <w:color w:val="auto"/>
        </w:rPr>
        <w:t>Significant experience in areas of risk management</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5"/>
        </w:numPr>
        <w:rPr>
          <w:rFonts w:ascii="Arial" w:cs="Arial" w:eastAsia="Arial" w:hAnsi="Arial"/>
          <w:sz w:val="18"/>
          <w:szCs w:val="18"/>
          <w:color w:val="276092"/>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MADELEINE A. KLEINER,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900"/>
        <w:spacing w:after="0" w:line="328" w:lineRule="auto"/>
        <w:rPr>
          <w:sz w:val="20"/>
          <w:szCs w:val="20"/>
          <w:color w:val="auto"/>
        </w:rPr>
      </w:pPr>
      <w:r>
        <w:rPr>
          <w:rFonts w:ascii="Arial" w:cs="Arial" w:eastAsia="Arial" w:hAnsi="Arial"/>
          <w:sz w:val="18"/>
          <w:szCs w:val="18"/>
          <w:i w:val="1"/>
          <w:iCs w:val="1"/>
          <w:color w:val="auto"/>
        </w:rPr>
        <w:t>Former Executive Vice President and General Counsel, Hilton Hotels Corporation, a hotel and resort company. Director since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-354965</wp:posOffset>
            </wp:positionV>
            <wp:extent cx="617220" cy="823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i w:val="1"/>
          <w:iCs w:val="1"/>
          <w:color w:val="auto"/>
        </w:rPr>
        <w:t>Member of the Audit Committee and 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6997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right="40"/>
        <w:spacing w:after="0" w:line="237" w:lineRule="auto"/>
        <w:rPr>
          <w:sz w:val="20"/>
          <w:szCs w:val="20"/>
          <w:color w:val="auto"/>
        </w:rPr>
      </w:pPr>
      <w:r>
        <w:rPr>
          <w:rFonts w:ascii="Arial" w:cs="Arial" w:eastAsia="Arial" w:hAnsi="Arial"/>
          <w:sz w:val="18"/>
          <w:szCs w:val="18"/>
          <w:color w:val="auto"/>
        </w:rPr>
        <w:t>Ms. Madeleine A. Kleiner served as Executive Vice President, General Counsel and Corporate Secretary for Hilton Hotels Corporation from January 2001 until February 2008. From 1999 through 2001, she served as a director of a number of Merrill Lynch mutual funds operating under the Hotchkis and Wiley name. Ms. Kleiner served as Senior Executive Vice President, Chief Administrative Officer and General Counsel of H.F. Ahmanson &amp; Company and its subsidiary, Home Savings of America, until the company was acquired in 1998, and prior to that was a partner at the law firm of Gibson, Dunn and Crutcher where she advised corporations and their boards primarily in the areas of mergers and acquisitions, corporate governance and securities transactions and compliance. Ms. Kleiner currently serves on the board of directors of Jack in the Box Inc. Ms. Kleiner is a member of the board of the New Village Charter School.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40" w:hanging="182"/>
        <w:spacing w:after="0"/>
        <w:tabs>
          <w:tab w:leader="none" w:pos="440" w:val="left"/>
        </w:tabs>
        <w:numPr>
          <w:ilvl w:val="0"/>
          <w:numId w:val="16"/>
        </w:numPr>
        <w:rPr>
          <w:rFonts w:ascii="Arial" w:cs="Arial" w:eastAsia="Arial" w:hAnsi="Arial"/>
          <w:sz w:val="18"/>
          <w:szCs w:val="18"/>
          <w:color w:val="276092"/>
        </w:rPr>
      </w:pPr>
      <w:r>
        <w:rPr>
          <w:rFonts w:ascii="Arial" w:cs="Arial" w:eastAsia="Arial" w:hAnsi="Arial"/>
          <w:sz w:val="18"/>
          <w:szCs w:val="18"/>
          <w:color w:val="auto"/>
        </w:rPr>
        <w:t>Expertise in corporate governance, Sarbanes-Oxley controls, risk management, securities transactions and mergers and acquisitions</w:t>
      </w:r>
    </w:p>
    <w:p>
      <w:pPr>
        <w:spacing w:after="0" w:line="130" w:lineRule="exact"/>
        <w:rPr>
          <w:rFonts w:ascii="Arial" w:cs="Arial" w:eastAsia="Arial" w:hAnsi="Arial"/>
          <w:sz w:val="18"/>
          <w:szCs w:val="18"/>
          <w:color w:val="276092"/>
        </w:rPr>
      </w:pPr>
    </w:p>
    <w:p>
      <w:pPr>
        <w:ind w:left="500" w:right="340" w:hanging="242"/>
        <w:spacing w:after="0" w:line="262" w:lineRule="auto"/>
        <w:tabs>
          <w:tab w:leader="none" w:pos="430" w:val="left"/>
        </w:tabs>
        <w:numPr>
          <w:ilvl w:val="0"/>
          <w:numId w:val="16"/>
        </w:numPr>
        <w:rPr>
          <w:rFonts w:ascii="Arial" w:cs="Arial" w:eastAsia="Arial" w:hAnsi="Arial"/>
          <w:sz w:val="18"/>
          <w:szCs w:val="18"/>
          <w:color w:val="276092"/>
        </w:rPr>
      </w:pPr>
      <w:r>
        <w:rPr>
          <w:rFonts w:ascii="Arial" w:cs="Arial" w:eastAsia="Arial" w:hAnsi="Arial"/>
          <w:sz w:val="18"/>
          <w:szCs w:val="18"/>
          <w:color w:val="auto"/>
        </w:rPr>
        <w:t>Significant experience from past roles as general counsel for two public companies, outside counsel to numerous public companies and through service on another public company board</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6"/>
        </w:numPr>
        <w:rPr>
          <w:rFonts w:ascii="Arial" w:cs="Arial" w:eastAsia="Arial" w:hAnsi="Arial"/>
          <w:sz w:val="18"/>
          <w:szCs w:val="18"/>
          <w:color w:val="276092"/>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KARL J. KRAPEK,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340"/>
        <w:spacing w:after="0" w:line="267" w:lineRule="auto"/>
        <w:rPr>
          <w:sz w:val="20"/>
          <w:szCs w:val="20"/>
          <w:color w:val="auto"/>
        </w:rPr>
      </w:pPr>
      <w:r>
        <w:rPr>
          <w:rFonts w:ascii="Arial" w:cs="Arial" w:eastAsia="Arial" w:hAnsi="Arial"/>
          <w:sz w:val="18"/>
          <w:szCs w:val="18"/>
          <w:i w:val="1"/>
          <w:iCs w:val="1"/>
          <w:color w:val="auto"/>
        </w:rPr>
        <w:t>Former President and Chief Operating Officer, United Technologies Corporation, an aerospace and building systems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-288290</wp:posOffset>
            </wp:positionV>
            <wp:extent cx="617220" cy="823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2008</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Compensation Committee (Chair)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right="20"/>
        <w:spacing w:after="0" w:line="236" w:lineRule="auto"/>
        <w:rPr>
          <w:sz w:val="20"/>
          <w:szCs w:val="20"/>
          <w:color w:val="auto"/>
        </w:rPr>
      </w:pPr>
      <w:r>
        <w:rPr>
          <w:rFonts w:ascii="Arial" w:cs="Arial" w:eastAsia="Arial" w:hAnsi="Arial"/>
          <w:sz w:val="18"/>
          <w:szCs w:val="18"/>
          <w:color w:val="auto"/>
        </w:rPr>
        <w:t>Mr. Karl J. Krapek served as President and Chief Operating Officer of United Technologies Corporation from 1999 until his retirement in January 2002. At United Technologies Corporation, he served for 20 years in various leadership positions, including Executive Vice President and director in 1997, President and Chief Executive Officer of Pratt &amp; Whitney in 1992, Chairman, President and Chief Executive Officer of Carrier Corporation in 1990 and President of Otis Elevator Company in 1989. Prior to joining United Technologies Corporation, he was Manager of Car Assembly Operations for the Pontiac Motor Car Division of General Motors Corporation. In 2002, Mr. Krapek became a co-founder of The Keystone Companies, which develops residential and commercial real estate. He chairs the Strategic Planning Committee for the board of directors at Trinity Health of New England. Mr. Krapek is a director of Prudential Financial, Inc. and Pensare Acquistion Corp.</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440" w:hanging="182"/>
        <w:spacing w:after="0"/>
        <w:tabs>
          <w:tab w:leader="none" w:pos="440" w:val="left"/>
        </w:tabs>
        <w:numPr>
          <w:ilvl w:val="0"/>
          <w:numId w:val="17"/>
        </w:numPr>
        <w:rPr>
          <w:rFonts w:ascii="Arial" w:cs="Arial" w:eastAsia="Arial" w:hAnsi="Arial"/>
          <w:sz w:val="18"/>
          <w:szCs w:val="18"/>
          <w:color w:val="276092"/>
        </w:rPr>
      </w:pPr>
      <w:r>
        <w:rPr>
          <w:rFonts w:ascii="Arial" w:cs="Arial" w:eastAsia="Arial" w:hAnsi="Arial"/>
          <w:sz w:val="18"/>
          <w:szCs w:val="18"/>
          <w:color w:val="auto"/>
        </w:rPr>
        <w:t>Extensive industry experience and leadership skills</w:t>
      </w:r>
    </w:p>
    <w:p>
      <w:pPr>
        <w:spacing w:after="0" w:line="130" w:lineRule="exact"/>
        <w:rPr>
          <w:rFonts w:ascii="Arial" w:cs="Arial" w:eastAsia="Arial" w:hAnsi="Arial"/>
          <w:sz w:val="18"/>
          <w:szCs w:val="18"/>
          <w:color w:val="276092"/>
        </w:rPr>
      </w:pPr>
    </w:p>
    <w:p>
      <w:pPr>
        <w:ind w:left="500" w:right="400" w:hanging="242"/>
        <w:spacing w:after="0" w:line="262" w:lineRule="auto"/>
        <w:tabs>
          <w:tab w:leader="none" w:pos="430" w:val="left"/>
        </w:tabs>
        <w:numPr>
          <w:ilvl w:val="0"/>
          <w:numId w:val="17"/>
        </w:numPr>
        <w:rPr>
          <w:rFonts w:ascii="Arial" w:cs="Arial" w:eastAsia="Arial" w:hAnsi="Arial"/>
          <w:sz w:val="18"/>
          <w:szCs w:val="18"/>
          <w:color w:val="276092"/>
        </w:rPr>
      </w:pPr>
      <w:r>
        <w:rPr>
          <w:rFonts w:ascii="Arial" w:cs="Arial" w:eastAsia="Arial" w:hAnsi="Arial"/>
          <w:sz w:val="18"/>
          <w:szCs w:val="18"/>
          <w:color w:val="auto"/>
        </w:rPr>
        <w:t>Deep operational experience in aerospace and defense, domestic and international business operations and technology and lean manufacturing</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7"/>
        </w:numPr>
        <w:rPr>
          <w:rFonts w:ascii="Arial" w:cs="Arial" w:eastAsia="Arial" w:hAnsi="Arial"/>
          <w:sz w:val="18"/>
          <w:szCs w:val="18"/>
          <w:color w:val="276092"/>
        </w:rPr>
      </w:pPr>
      <w:r>
        <w:rPr>
          <w:rFonts w:ascii="Arial" w:cs="Arial" w:eastAsia="Arial" w:hAnsi="Arial"/>
          <w:sz w:val="18"/>
          <w:szCs w:val="18"/>
          <w:color w:val="auto"/>
        </w:rPr>
        <w:t>Significant public company board experience, including serving as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GARY ROUGHEAD,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Admiral, United States Navy (Ret.) and Former Chief of Naval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17220" cy="823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2012</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Compensation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line="236" w:lineRule="auto"/>
        <w:rPr>
          <w:sz w:val="20"/>
          <w:szCs w:val="20"/>
          <w:color w:val="auto"/>
        </w:rPr>
      </w:pPr>
      <w:r>
        <w:rPr>
          <w:rFonts w:ascii="Arial" w:cs="Arial" w:eastAsia="Arial" w:hAnsi="Arial"/>
          <w:sz w:val="18"/>
          <w:szCs w:val="18"/>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 He is a director of Maersk Lines, Ltd. He also serves as a trustee of the Dodge and Cox Funds. He is a director of the Center for a New American Security, and serves on the Board of Managers of the Johns Hopkins University Applied Physics Lab.</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right="580" w:hanging="242"/>
        <w:spacing w:after="0" w:line="262" w:lineRule="auto"/>
        <w:tabs>
          <w:tab w:leader="none" w:pos="430" w:val="left"/>
        </w:tabs>
        <w:numPr>
          <w:ilvl w:val="0"/>
          <w:numId w:val="18"/>
        </w:numPr>
        <w:rPr>
          <w:rFonts w:ascii="Arial" w:cs="Arial" w:eastAsia="Arial" w:hAnsi="Arial"/>
          <w:sz w:val="18"/>
          <w:szCs w:val="18"/>
          <w:color w:val="276092"/>
        </w:rPr>
      </w:pPr>
      <w:r>
        <w:rPr>
          <w:rFonts w:ascii="Arial" w:cs="Arial" w:eastAsia="Arial" w:hAnsi="Arial"/>
          <w:sz w:val="18"/>
          <w:szCs w:val="18"/>
          <w:color w:val="auto"/>
        </w:rPr>
        <w:t>Extensive career as a senior military officer with the United States Navy, including numerous operational commands, as well as leadership positions, most recently as the 29th Chief of Naval Operations</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18"/>
        </w:numPr>
        <w:rPr>
          <w:rFonts w:ascii="Arial" w:cs="Arial" w:eastAsia="Arial" w:hAnsi="Arial"/>
          <w:sz w:val="18"/>
          <w:szCs w:val="18"/>
          <w:color w:val="276092"/>
        </w:rPr>
      </w:pPr>
      <w:r>
        <w:rPr>
          <w:rFonts w:ascii="Arial" w:cs="Arial" w:eastAsia="Arial" w:hAnsi="Arial"/>
          <w:sz w:val="18"/>
          <w:szCs w:val="18"/>
          <w:color w:val="auto"/>
        </w:rPr>
        <w:t>Significant expertise in national security, information warfare, cyber operations and global security issues</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18"/>
        </w:numPr>
        <w:rPr>
          <w:rFonts w:ascii="Arial" w:cs="Arial" w:eastAsia="Arial" w:hAnsi="Arial"/>
          <w:sz w:val="18"/>
          <w:szCs w:val="18"/>
          <w:color w:val="276092"/>
        </w:rPr>
      </w:pPr>
      <w:r>
        <w:rPr>
          <w:rFonts w:ascii="Arial" w:cs="Arial" w:eastAsia="Arial" w:hAnsi="Arial"/>
          <w:sz w:val="18"/>
          <w:szCs w:val="18"/>
          <w:color w:val="auto"/>
        </w:rPr>
        <w:t>Broad experience in leadership and matters of global relations, particularly in the Pacific region, Europe and the Middle 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ind w:left="460" w:hanging="256"/>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20"/>
          </w:cols>
          <w:pgMar w:left="24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THOMAS M. SCHOEWE,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880"/>
        <w:spacing w:after="0" w:line="328" w:lineRule="auto"/>
        <w:rPr>
          <w:sz w:val="20"/>
          <w:szCs w:val="20"/>
          <w:color w:val="auto"/>
        </w:rPr>
      </w:pPr>
      <w:r>
        <w:rPr>
          <w:rFonts w:ascii="Arial" w:cs="Arial" w:eastAsia="Arial" w:hAnsi="Arial"/>
          <w:sz w:val="18"/>
          <w:szCs w:val="18"/>
          <w:i w:val="1"/>
          <w:iCs w:val="1"/>
          <w:color w:val="auto"/>
        </w:rPr>
        <w:t>Former Executive Vice President and Chief Financial Officer, Wal-Mart Stores, Inc., an operator of retail stores. Director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-354965</wp:posOffset>
            </wp:positionV>
            <wp:extent cx="617220" cy="823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i w:val="1"/>
          <w:iCs w:val="1"/>
          <w:color w:val="auto"/>
        </w:rPr>
        <w:t>Member of the Compensation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line="234" w:lineRule="auto"/>
        <w:rPr>
          <w:sz w:val="20"/>
          <w:szCs w:val="20"/>
          <w:color w:val="auto"/>
        </w:rPr>
      </w:pPr>
      <w:r>
        <w:rPr>
          <w:rFonts w:ascii="Arial" w:cs="Arial" w:eastAsia="Arial" w:hAnsi="Arial"/>
          <w:sz w:val="18"/>
          <w:szCs w:val="18"/>
          <w:color w:val="auto"/>
        </w:rPr>
        <w:t>Mr. Thomas M. Schoewe was Executive Vice President and Chief Financial Officer of Wal-Mart Stores Inc. from 2000 to 2011. Prior to his employment with Wal-Mart, he held several roles at the Black and Decker Corporation, including Senior Vice President and Chief Financial Officer from 1996 to 1999, Vice President and Chief Financial Officer from 1993 to 1999, Vice President of Finance from 1989 to 1993 and Vice President of Business Planning and Analysis from 1986 to 1989. Before joining Black and Decker, Mr. Schoewe worked for Beatrice Companies, where he was Chief Financial Officer and Controller of one of its subsidiaries, Beatrice Consumer Durables Inc.</w:t>
      </w:r>
    </w:p>
    <w:p>
      <w:pPr>
        <w:spacing w:after="0" w:line="4" w:lineRule="exact"/>
        <w:rPr>
          <w:sz w:val="20"/>
          <w:szCs w:val="20"/>
          <w:color w:val="auto"/>
        </w:rPr>
      </w:pPr>
    </w:p>
    <w:p>
      <w:pPr>
        <w:ind w:left="260" w:right="80"/>
        <w:spacing w:after="0" w:line="246" w:lineRule="auto"/>
        <w:rPr>
          <w:sz w:val="20"/>
          <w:szCs w:val="20"/>
          <w:color w:val="auto"/>
        </w:rPr>
      </w:pPr>
      <w:r>
        <w:rPr>
          <w:rFonts w:ascii="Arial" w:cs="Arial" w:eastAsia="Arial" w:hAnsi="Arial"/>
          <w:sz w:val="18"/>
          <w:szCs w:val="18"/>
          <w:color w:val="auto"/>
        </w:rPr>
        <w:t>Mr. Schoewe serves on the Boards of Directors of General Motors Corporation and Kohlberg Kravis Roberts and Company. Mr. Schoewe also serves on the board of the Ladies Professional Golf Association.</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right="460" w:hanging="242"/>
        <w:spacing w:after="0" w:line="262" w:lineRule="auto"/>
        <w:tabs>
          <w:tab w:leader="none" w:pos="430" w:val="left"/>
        </w:tabs>
        <w:numPr>
          <w:ilvl w:val="0"/>
          <w:numId w:val="20"/>
        </w:numPr>
        <w:rPr>
          <w:rFonts w:ascii="Arial" w:cs="Arial" w:eastAsia="Arial" w:hAnsi="Arial"/>
          <w:sz w:val="18"/>
          <w:szCs w:val="18"/>
          <w:color w:val="276092"/>
        </w:rPr>
      </w:pPr>
      <w:r>
        <w:rPr>
          <w:rFonts w:ascii="Arial" w:cs="Arial" w:eastAsia="Arial" w:hAnsi="Arial"/>
          <w:sz w:val="18"/>
          <w:szCs w:val="18"/>
          <w:color w:val="auto"/>
        </w:rPr>
        <w:t>Extensive financial experience acquired through positions held as the Chief Financial Officer of large public companies, as well as expertise in Sarbanes-Oxley controls, risk management and mergers and acquisitions</w:t>
      </w:r>
    </w:p>
    <w:p>
      <w:pPr>
        <w:spacing w:after="0" w:line="88" w:lineRule="exact"/>
        <w:rPr>
          <w:rFonts w:ascii="Arial" w:cs="Arial" w:eastAsia="Arial" w:hAnsi="Arial"/>
          <w:sz w:val="18"/>
          <w:szCs w:val="18"/>
          <w:color w:val="276092"/>
        </w:rPr>
      </w:pPr>
    </w:p>
    <w:p>
      <w:pPr>
        <w:ind w:left="500" w:right="720" w:hanging="242"/>
        <w:spacing w:after="0" w:line="262" w:lineRule="auto"/>
        <w:tabs>
          <w:tab w:leader="none" w:pos="430" w:val="left"/>
        </w:tabs>
        <w:numPr>
          <w:ilvl w:val="0"/>
          <w:numId w:val="20"/>
        </w:numPr>
        <w:rPr>
          <w:rFonts w:ascii="Arial" w:cs="Arial" w:eastAsia="Arial" w:hAnsi="Arial"/>
          <w:sz w:val="18"/>
          <w:szCs w:val="18"/>
          <w:color w:val="276092"/>
        </w:rPr>
      </w:pPr>
      <w:r>
        <w:rPr>
          <w:rFonts w:ascii="Arial" w:cs="Arial" w:eastAsia="Arial" w:hAnsi="Arial"/>
          <w:sz w:val="18"/>
          <w:szCs w:val="18"/>
          <w:color w:val="auto"/>
        </w:rPr>
        <w:t>Significant international experience through his service as an executive of large public companies with substantial international operations</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20"/>
        </w:numPr>
        <w:rPr>
          <w:rFonts w:ascii="Arial" w:cs="Arial" w:eastAsia="Arial" w:hAnsi="Arial"/>
          <w:sz w:val="18"/>
          <w:szCs w:val="18"/>
          <w:color w:val="276092"/>
        </w:rPr>
      </w:pPr>
      <w:r>
        <w:rPr>
          <w:rFonts w:ascii="Arial" w:cs="Arial" w:eastAsia="Arial" w:hAnsi="Arial"/>
          <w:sz w:val="18"/>
          <w:szCs w:val="18"/>
          <w:color w:val="auto"/>
        </w:rPr>
        <w:t>Experience at Wal-Mart and Black and Decker on large-scale transformational enterprise information technology implementations</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20"/>
        </w:numPr>
        <w:rPr>
          <w:rFonts w:ascii="Arial" w:cs="Arial" w:eastAsia="Arial" w:hAnsi="Arial"/>
          <w:sz w:val="18"/>
          <w:szCs w:val="18"/>
          <w:color w:val="276092"/>
        </w:rPr>
      </w:pPr>
      <w:r>
        <w:rPr>
          <w:rFonts w:ascii="Arial" w:cs="Arial" w:eastAsia="Arial" w:hAnsi="Arial"/>
          <w:sz w:val="18"/>
          <w:szCs w:val="18"/>
          <w:color w:val="auto"/>
        </w:rPr>
        <w:t>Extensive experience as a member of the audit and risk committees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JAMES S. TURLEY,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Former Chairman and Chief Executive Officer, Ernst &amp; Young, a professional services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-127635</wp:posOffset>
            </wp:positionV>
            <wp:extent cx="617220" cy="823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5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2015</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Audit Committee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352425</wp:posOffset>
            </wp:positionV>
            <wp:extent cx="6997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right="140"/>
        <w:spacing w:after="0" w:line="238" w:lineRule="auto"/>
        <w:rPr>
          <w:sz w:val="20"/>
          <w:szCs w:val="20"/>
          <w:color w:val="auto"/>
        </w:rPr>
      </w:pPr>
      <w:r>
        <w:rPr>
          <w:rFonts w:ascii="Arial" w:cs="Arial" w:eastAsia="Arial" w:hAnsi="Arial"/>
          <w:sz w:val="18"/>
          <w:szCs w:val="18"/>
          <w:color w:val="auto"/>
        </w:rPr>
        <w:t>Mr. James S. Turley served as Chairman and Chief Executive Officer of Ernst &amp; Young from 2001 until his retirement in 2013. Mr. Turley joined Ernst &amp; Young in 1977 and held various positions there until being named regional managing partner for the Upper Midwest in 1994, and for New York in 1998. He was named Deputy Chairman in 2000. He currently serves on the Boards of Directors of Citigroup, Emerson Electric Company and Intrexon Corporation. He also serves on the Board of Directors of the Boy Scouts of America. Mr. Turley is a board member of Kohler Co. and serves as Non-Executive Chair of Sita Capital Partners LLP.</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right="40" w:hanging="242"/>
        <w:spacing w:after="0" w:line="262" w:lineRule="auto"/>
        <w:tabs>
          <w:tab w:leader="none" w:pos="430" w:val="left"/>
        </w:tabs>
        <w:numPr>
          <w:ilvl w:val="0"/>
          <w:numId w:val="21"/>
        </w:numPr>
        <w:rPr>
          <w:rFonts w:ascii="Arial" w:cs="Arial" w:eastAsia="Arial" w:hAnsi="Arial"/>
          <w:sz w:val="18"/>
          <w:szCs w:val="18"/>
          <w:color w:val="276092"/>
        </w:rPr>
      </w:pPr>
      <w:r>
        <w:rPr>
          <w:rFonts w:ascii="Arial" w:cs="Arial" w:eastAsia="Arial" w:hAnsi="Arial"/>
          <w:sz w:val="18"/>
          <w:szCs w:val="18"/>
          <w:color w:val="auto"/>
        </w:rPr>
        <w:t>Extensive experience and expertise in areas of finance, accounting and business management acquired over 36-year career at Ernst &amp; Young, including serving as Chairman and Chief Executive Officer of Ernst &amp; Young</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21"/>
        </w:numPr>
        <w:rPr>
          <w:rFonts w:ascii="Arial" w:cs="Arial" w:eastAsia="Arial" w:hAnsi="Arial"/>
          <w:sz w:val="18"/>
          <w:szCs w:val="18"/>
          <w:color w:val="276092"/>
        </w:rPr>
      </w:pPr>
      <w:r>
        <w:rPr>
          <w:rFonts w:ascii="Arial" w:cs="Arial" w:eastAsia="Arial" w:hAnsi="Arial"/>
          <w:sz w:val="18"/>
          <w:szCs w:val="18"/>
          <w:color w:val="auto"/>
        </w:rPr>
        <w:t>Significant experience in areas of risk management</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21"/>
        </w:numPr>
        <w:rPr>
          <w:rFonts w:ascii="Arial" w:cs="Arial" w:eastAsia="Arial" w:hAnsi="Arial"/>
          <w:sz w:val="18"/>
          <w:szCs w:val="18"/>
          <w:color w:val="276092"/>
        </w:rPr>
      </w:pPr>
      <w:r>
        <w:rPr>
          <w:rFonts w:ascii="Arial" w:cs="Arial" w:eastAsia="Arial" w:hAnsi="Arial"/>
          <w:sz w:val="18"/>
          <w:szCs w:val="18"/>
          <w:color w:val="auto"/>
        </w:rPr>
        <w:t>Extensive experience as a member of the audit committee of other public companies</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21"/>
        </w:numPr>
        <w:rPr>
          <w:rFonts w:ascii="Arial" w:cs="Arial" w:eastAsia="Arial" w:hAnsi="Arial"/>
          <w:sz w:val="18"/>
          <w:szCs w:val="18"/>
          <w:color w:val="276092"/>
        </w:rPr>
      </w:pPr>
      <w:r>
        <w:rPr>
          <w:rFonts w:ascii="Arial" w:cs="Arial" w:eastAsia="Arial" w:hAnsi="Arial"/>
          <w:sz w:val="18"/>
          <w:szCs w:val="18"/>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ONE: ELECTION OF DIRECTORS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276092"/>
        </w:rPr>
        <w:t>MARK A. WELSH III,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14605</wp:posOffset>
            </wp:positionV>
            <wp:extent cx="6997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5" w:lineRule="exact"/>
        <w:rPr>
          <w:sz w:val="20"/>
          <w:szCs w:val="20"/>
          <w:color w:val="auto"/>
        </w:rPr>
      </w:pPr>
    </w:p>
    <w:p>
      <w:pPr>
        <w:ind w:left="1520" w:right="240"/>
        <w:spacing w:after="0" w:line="267" w:lineRule="auto"/>
        <w:rPr>
          <w:sz w:val="20"/>
          <w:szCs w:val="20"/>
          <w:color w:val="auto"/>
        </w:rPr>
      </w:pPr>
      <w:r>
        <w:rPr>
          <w:rFonts w:ascii="Arial" w:cs="Arial" w:eastAsia="Arial" w:hAnsi="Arial"/>
          <w:sz w:val="18"/>
          <w:szCs w:val="18"/>
          <w:i w:val="1"/>
          <w:iCs w:val="1"/>
          <w:color w:val="auto"/>
        </w:rPr>
        <w:t>Dean of the Bush School of Government and Public Service, Texas A&amp;M University; General, United States Air Force (Ret.); Former Chief of Staff, United States Air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-288290</wp:posOffset>
            </wp:positionV>
            <wp:extent cx="617220" cy="823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7220" cy="823595"/>
                    </a:xfrm>
                    <a:prstGeom prst="rect">
                      <a:avLst/>
                    </a:prstGeom>
                    <a:noFill/>
                  </pic:spPr>
                </pic:pic>
              </a:graphicData>
            </a:graphic>
          </wp:anchor>
        </w:drawing>
      </w:r>
    </w:p>
    <w:p>
      <w:pPr>
        <w:spacing w:after="0" w:line="6"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Director since 2016</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i w:val="1"/>
          <w:iCs w:val="1"/>
          <w:color w:val="auto"/>
        </w:rPr>
        <w:t>Member of the Audit Committee and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223520</wp:posOffset>
            </wp:positionV>
            <wp:extent cx="6997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60"/>
        <w:spacing w:after="0" w:line="237" w:lineRule="auto"/>
        <w:rPr>
          <w:sz w:val="20"/>
          <w:szCs w:val="20"/>
          <w:color w:val="auto"/>
        </w:rPr>
      </w:pPr>
      <w:r>
        <w:rPr>
          <w:rFonts w:ascii="Arial" w:cs="Arial" w:eastAsia="Arial" w:hAnsi="Arial"/>
          <w:sz w:val="18"/>
          <w:szCs w:val="18"/>
          <w:color w:val="auto"/>
        </w:rPr>
        <w:t>General Mark A. Welsh III was appointed as the new Dean of the Bush School of Government and Public Service effective August 15, 2016. Prior to his current position, General Welsh served as Chief of Staff of the United States Air Force, the senior uniformed Air Force officer responsible for the organization, training and equipping of active-duty,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 General Welsh is a member of the Board of Managers of Peak NanoSystems, LLC. He is also a director of the Air Force Association.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276092"/>
        </w:rPr>
        <w:t>Attributes, Skills and Qualifications</w:t>
      </w:r>
    </w:p>
    <w:p>
      <w:pPr>
        <w:spacing w:after="0" w:line="135" w:lineRule="exact"/>
        <w:rPr>
          <w:sz w:val="20"/>
          <w:szCs w:val="20"/>
          <w:color w:val="auto"/>
        </w:rPr>
      </w:pPr>
    </w:p>
    <w:p>
      <w:pPr>
        <w:ind w:left="500" w:right="280" w:hanging="242"/>
        <w:spacing w:after="0" w:line="262" w:lineRule="auto"/>
        <w:tabs>
          <w:tab w:leader="none" w:pos="430" w:val="left"/>
        </w:tabs>
        <w:numPr>
          <w:ilvl w:val="0"/>
          <w:numId w:val="22"/>
        </w:numPr>
        <w:rPr>
          <w:rFonts w:ascii="Arial" w:cs="Arial" w:eastAsia="Arial" w:hAnsi="Arial"/>
          <w:sz w:val="18"/>
          <w:szCs w:val="18"/>
          <w:color w:val="276092"/>
        </w:rPr>
      </w:pPr>
      <w:r>
        <w:rPr>
          <w:rFonts w:ascii="Arial" w:cs="Arial" w:eastAsia="Arial" w:hAnsi="Arial"/>
          <w:sz w:val="18"/>
          <w:szCs w:val="18"/>
          <w:color w:val="auto"/>
        </w:rPr>
        <w:t>Extensive career as a senior military officer and member of the Joint Chiefs of Staff, having held leadership positions at the highest levels of the United States Air Force</w:t>
      </w:r>
    </w:p>
    <w:p>
      <w:pPr>
        <w:spacing w:after="0" w:line="88" w:lineRule="exact"/>
        <w:rPr>
          <w:rFonts w:ascii="Arial" w:cs="Arial" w:eastAsia="Arial" w:hAnsi="Arial"/>
          <w:sz w:val="18"/>
          <w:szCs w:val="18"/>
          <w:color w:val="276092"/>
        </w:rPr>
      </w:pPr>
    </w:p>
    <w:p>
      <w:pPr>
        <w:ind w:left="440" w:hanging="182"/>
        <w:spacing w:after="0"/>
        <w:tabs>
          <w:tab w:leader="none" w:pos="440" w:val="left"/>
        </w:tabs>
        <w:numPr>
          <w:ilvl w:val="0"/>
          <w:numId w:val="22"/>
        </w:numPr>
        <w:rPr>
          <w:rFonts w:ascii="Arial" w:cs="Arial" w:eastAsia="Arial" w:hAnsi="Arial"/>
          <w:sz w:val="18"/>
          <w:szCs w:val="18"/>
          <w:color w:val="276092"/>
        </w:rPr>
      </w:pPr>
      <w:r>
        <w:rPr>
          <w:rFonts w:ascii="Arial" w:cs="Arial" w:eastAsia="Arial" w:hAnsi="Arial"/>
          <w:sz w:val="18"/>
          <w:szCs w:val="18"/>
          <w:color w:val="auto"/>
        </w:rPr>
        <w:t>Extensive experience and in-depth knowledge of issues related to global security and the intelligence community</w:t>
      </w:r>
    </w:p>
    <w:p>
      <w:pPr>
        <w:spacing w:after="0" w:line="130" w:lineRule="exact"/>
        <w:rPr>
          <w:rFonts w:ascii="Arial" w:cs="Arial" w:eastAsia="Arial" w:hAnsi="Arial"/>
          <w:sz w:val="18"/>
          <w:szCs w:val="18"/>
          <w:color w:val="276092"/>
        </w:rPr>
      </w:pPr>
    </w:p>
    <w:p>
      <w:pPr>
        <w:ind w:left="440" w:hanging="182"/>
        <w:spacing w:after="0"/>
        <w:tabs>
          <w:tab w:leader="none" w:pos="440" w:val="left"/>
        </w:tabs>
        <w:numPr>
          <w:ilvl w:val="0"/>
          <w:numId w:val="22"/>
        </w:numPr>
        <w:rPr>
          <w:rFonts w:ascii="Arial" w:cs="Arial" w:eastAsia="Arial" w:hAnsi="Arial"/>
          <w:sz w:val="18"/>
          <w:szCs w:val="18"/>
          <w:color w:val="276092"/>
        </w:rPr>
      </w:pPr>
      <w:r>
        <w:rPr>
          <w:rFonts w:ascii="Arial" w:cs="Arial" w:eastAsia="Arial" w:hAnsi="Arial"/>
          <w:sz w:val="18"/>
          <w:szCs w:val="18"/>
          <w:color w:val="auto"/>
        </w:rPr>
        <w:t>Broad leadership experience and international experience, particularly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109220</wp:posOffset>
            </wp:positionV>
            <wp:extent cx="6997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146685</wp:posOffset>
            </wp:positionV>
            <wp:extent cx="7014845" cy="3517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14845" cy="351790"/>
                    </a:xfrm>
                    <a:prstGeom prst="rect">
                      <a:avLst/>
                    </a:prstGeom>
                    <a:noFill/>
                  </pic:spPr>
                </pic:pic>
              </a:graphicData>
            </a:graphic>
          </wp:anchor>
        </w:drawing>
      </w: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276092"/>
        </w:rPr>
        <w:t>THE BOARD OF DIRECTORS UNANIMOUSLY RECOMMENDS THAT YOU VOTE</w:t>
      </w:r>
    </w:p>
    <w:p>
      <w:pPr>
        <w:jc w:val="center"/>
        <w:ind w:right="-419"/>
        <w:spacing w:after="0"/>
        <w:rPr>
          <w:sz w:val="20"/>
          <w:szCs w:val="20"/>
          <w:color w:val="auto"/>
        </w:rPr>
      </w:pPr>
      <w:r>
        <w:rPr>
          <w:rFonts w:ascii="Arial" w:cs="Arial" w:eastAsia="Arial" w:hAnsi="Arial"/>
          <w:sz w:val="22"/>
          <w:szCs w:val="22"/>
          <w:color w:val="276092"/>
        </w:rPr>
        <w:t>“FOR” THE 12 NOMINEES FOR DIRECTOR LISTED ABOVE.</w:t>
      </w:r>
    </w:p>
    <w:p>
      <w:pPr>
        <w:spacing w:after="0" w:line="182" w:lineRule="exact"/>
        <w:rPr>
          <w:sz w:val="20"/>
          <w:szCs w:val="20"/>
          <w:color w:val="auto"/>
        </w:rPr>
      </w:pPr>
    </w:p>
    <w:p>
      <w:pPr>
        <w:ind w:left="460" w:hanging="256"/>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00"/>
          </w:cols>
          <w:pgMar w:left="240" w:top="459" w:right="5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7006590" cy="10807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06590" cy="108077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left="560" w:right="400"/>
        <w:spacing w:after="0" w:line="234" w:lineRule="auto"/>
        <w:rPr>
          <w:sz w:val="20"/>
          <w:szCs w:val="20"/>
          <w:color w:val="auto"/>
        </w:rPr>
      </w:pPr>
      <w:r>
        <w:rPr>
          <w:rFonts w:ascii="Arial" w:cs="Arial" w:eastAsia="Arial" w:hAnsi="Arial"/>
          <w:sz w:val="22"/>
          <w:szCs w:val="22"/>
          <w:color w:val="276092"/>
        </w:rPr>
        <w:t>We are committed to maintaining high standards of corporate governance, consistent with our core values of sustainable performance, ethics and compliance. With strong oversight from the Board, our corporate governance regime is intended to promote the long-term success of our Company to benefit our shareholders, customers and employees.</w:t>
      </w:r>
    </w:p>
    <w:p>
      <w:pPr>
        <w:spacing w:after="0" w:line="81" w:lineRule="exact"/>
        <w:rPr>
          <w:sz w:val="20"/>
          <w:szCs w:val="20"/>
          <w:color w:val="auto"/>
        </w:rPr>
      </w:pPr>
    </w:p>
    <w:p>
      <w:pPr>
        <w:ind w:left="600"/>
        <w:spacing w:after="0"/>
        <w:rPr>
          <w:sz w:val="20"/>
          <w:szCs w:val="20"/>
          <w:color w:val="auto"/>
        </w:rPr>
      </w:pPr>
      <w:r>
        <w:rPr>
          <w:rFonts w:ascii="Arial" w:cs="Arial" w:eastAsia="Arial" w:hAnsi="Arial"/>
          <w:sz w:val="22"/>
          <w:szCs w:val="22"/>
          <w:color w:val="276092"/>
        </w:rPr>
        <w:t xml:space="preserve">Our Company has adopted </w:t>
      </w:r>
      <w:r>
        <w:rPr>
          <w:rFonts w:ascii="Arial" w:cs="Arial" w:eastAsia="Arial" w:hAnsi="Arial"/>
          <w:sz w:val="22"/>
          <w:szCs w:val="22"/>
          <w:b w:val="1"/>
          <w:bCs w:val="1"/>
          <w:color w:val="276092"/>
        </w:rPr>
        <w:t>Principles of Corporate Governance</w:t>
      </w:r>
      <w:r>
        <w:rPr>
          <w:rFonts w:ascii="Arial" w:cs="Arial" w:eastAsia="Arial" w:hAnsi="Arial"/>
          <w:sz w:val="22"/>
          <w:szCs w:val="22"/>
          <w:color w:val="276092"/>
        </w:rPr>
        <w:t xml:space="preserve"> and </w:t>
      </w:r>
      <w:r>
        <w:rPr>
          <w:rFonts w:ascii="Arial" w:cs="Arial" w:eastAsia="Arial" w:hAnsi="Arial"/>
          <w:sz w:val="22"/>
          <w:szCs w:val="22"/>
          <w:b w:val="1"/>
          <w:bCs w:val="1"/>
          <w:color w:val="276092"/>
        </w:rPr>
        <w:t>Standards of Business Conduct</w:t>
      </w:r>
      <w:r>
        <w:rPr>
          <w:rFonts w:ascii="Arial" w:cs="Arial" w:eastAsia="Arial" w:hAnsi="Arial"/>
          <w:sz w:val="22"/>
          <w:szCs w:val="22"/>
          <w:color w:val="276092"/>
        </w:rPr>
        <w:t xml:space="preserve"> to</w:t>
      </w:r>
    </w:p>
    <w:p>
      <w:pPr>
        <w:spacing w:after="0" w:line="16" w:lineRule="exact"/>
        <w:rPr>
          <w:sz w:val="20"/>
          <w:szCs w:val="20"/>
          <w:color w:val="auto"/>
        </w:rPr>
      </w:pPr>
    </w:p>
    <w:p>
      <w:pPr>
        <w:ind w:left="1360"/>
        <w:spacing w:after="0"/>
        <w:rPr>
          <w:sz w:val="20"/>
          <w:szCs w:val="20"/>
          <w:color w:val="auto"/>
        </w:rPr>
      </w:pPr>
      <w:r>
        <w:rPr>
          <w:rFonts w:ascii="Arial" w:cs="Arial" w:eastAsia="Arial" w:hAnsi="Arial"/>
          <w:sz w:val="22"/>
          <w:szCs w:val="22"/>
          <w:color w:val="276092"/>
        </w:rPr>
        <w:t>help guide and promote our good corporate governance and responsible business practices.</w:t>
      </w:r>
    </w:p>
    <w:p>
      <w:pPr>
        <w:spacing w:after="0" w:line="17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w:t>
      </w:r>
    </w:p>
    <w:p>
      <w:pPr>
        <w:spacing w:after="0" w:line="94"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Our Standards of Business Conduct reflect and reinforce our commitment to integrity and ethics in all we do. They apply to our directors, officers and all employees.</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 other things, our Standards of Business Conduct:</w:t>
      </w:r>
    </w:p>
    <w:p>
      <w:pPr>
        <w:spacing w:after="0" w:line="117"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require high ethical standards in all aspects of our business;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require strict adherence to all applicable laws and regulations;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reflect our commitment to maintaining a culture that values diversity and inclusion;</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reinforce the need for avoiding actual or apparent conflicts of interest and require the responsible use of Company resources;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reinforce our commitment to being a responsible corporate citizen;</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reflect our commitment to our work environment and the global communities where we live, work and serve;</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require the consistent production of quality results; and</w:t>
      </w:r>
    </w:p>
    <w:p>
      <w:pPr>
        <w:spacing w:after="0" w:line="130" w:lineRule="exact"/>
        <w:rPr>
          <w:rFonts w:ascii="Arial" w:cs="Arial" w:eastAsia="Arial" w:hAnsi="Arial"/>
          <w:sz w:val="18"/>
          <w:szCs w:val="18"/>
          <w:color w:val="276092"/>
        </w:rPr>
      </w:pPr>
    </w:p>
    <w:p>
      <w:pPr>
        <w:ind w:left="640" w:right="460" w:hanging="436"/>
        <w:spacing w:after="0" w:line="246" w:lineRule="auto"/>
        <w:tabs>
          <w:tab w:leader="none" w:pos="640" w:val="left"/>
        </w:tabs>
        <w:numPr>
          <w:ilvl w:val="0"/>
          <w:numId w:val="24"/>
        </w:numPr>
        <w:rPr>
          <w:rFonts w:ascii="Arial" w:cs="Arial" w:eastAsia="Arial" w:hAnsi="Arial"/>
          <w:sz w:val="18"/>
          <w:szCs w:val="18"/>
          <w:color w:val="276092"/>
        </w:rPr>
      </w:pPr>
      <w:r>
        <w:rPr>
          <w:rFonts w:ascii="Arial" w:cs="Arial" w:eastAsia="Arial" w:hAnsi="Arial"/>
          <w:sz w:val="18"/>
          <w:szCs w:val="18"/>
          <w:color w:val="auto"/>
        </w:rPr>
        <w:t>call upon all employees freely to seek guidance regarding business conduct and to raise any issues of concern (including on an anonymous basis).</w:t>
      </w:r>
    </w:p>
    <w:p>
      <w:pPr>
        <w:spacing w:after="0" w:line="89"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We report amendments to provisions of our Standards of Business Conduct on our website. We disclose in a Form 8-K waivers of the provisions of our Standards of Business Conduct that apply to our directors or our executive officers (that is, Corporate Vice Presidents who are members of the Corporate Policy Council and our Chief Accounting Officer). There were no waivers from any provisions of our Standards of Business Conduct or amendments applicable to any director or executive officer in 2017.</w:t>
      </w:r>
    </w:p>
    <w:p>
      <w:pPr>
        <w:spacing w:after="0" w:line="32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primary responsibility of our Board is to foster the long-term success of the Company, promoting the interests of our shareholders. Our directors exercise their business judgment in a manner they reasonably believe to be in the best interests of the Company and our shareholders and in a manner consistent with their fiduciary responsibilities. The responsibilities of the Board include, but are not limited to, the following:</w:t>
      </w:r>
    </w:p>
    <w:p>
      <w:pPr>
        <w:spacing w:after="0" w:line="107"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oversee our long-term business strategies, operations and performance;</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select the Chief Executive Officer and elect officers of the Company;</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oversee our risk management activities;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oversee senior executive succession planning;</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elect directors to fill vacant positions between Annual Meetings;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review and approve executive compensation;</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review and approve significant corporate actions;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5"/>
        </w:numPr>
        <w:rPr>
          <w:rFonts w:ascii="Arial" w:cs="Arial" w:eastAsia="Arial" w:hAnsi="Arial"/>
          <w:sz w:val="18"/>
          <w:szCs w:val="18"/>
          <w:color w:val="276092"/>
        </w:rPr>
      </w:pPr>
      <w:r>
        <w:rPr>
          <w:rFonts w:ascii="Arial" w:cs="Arial" w:eastAsia="Arial" w:hAnsi="Arial"/>
          <w:sz w:val="18"/>
          <w:szCs w:val="18"/>
          <w:color w:val="auto"/>
        </w:rPr>
        <w:t>oversee and evaluate management and Board performance;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276092"/>
        </w:rPr>
      </w:pPr>
      <w:r>
        <w:rPr>
          <w:rFonts w:ascii="Arial" w:cs="Arial" w:eastAsia="Arial" w:hAnsi="Arial"/>
          <w:sz w:val="18"/>
          <w:szCs w:val="18"/>
          <w:color w:val="auto"/>
        </w:rPr>
        <w:t>oversee our ethics and compliance programs;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6"/>
        </w:numPr>
        <w:rPr>
          <w:rFonts w:ascii="Arial" w:cs="Arial" w:eastAsia="Arial" w:hAnsi="Arial"/>
          <w:sz w:val="18"/>
          <w:szCs w:val="18"/>
          <w:color w:val="276092"/>
        </w:rPr>
      </w:pPr>
      <w:r>
        <w:rPr>
          <w:rFonts w:ascii="Arial" w:cs="Arial" w:eastAsia="Arial" w:hAnsi="Arial"/>
          <w:sz w:val="18"/>
          <w:szCs w:val="18"/>
          <w:color w:val="auto"/>
        </w:rPr>
        <w:t>ensure effective corporate governance practices; and</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6"/>
        </w:numPr>
        <w:rPr>
          <w:rFonts w:ascii="Arial" w:cs="Arial" w:eastAsia="Arial" w:hAnsi="Arial"/>
          <w:sz w:val="18"/>
          <w:szCs w:val="18"/>
          <w:color w:val="276092"/>
        </w:rPr>
      </w:pPr>
      <w:r>
        <w:rPr>
          <w:rFonts w:ascii="Arial" w:cs="Arial" w:eastAsia="Arial" w:hAnsi="Arial"/>
          <w:sz w:val="18"/>
          <w:szCs w:val="18"/>
          <w:color w:val="auto"/>
        </w:rPr>
        <w:t>provide advice to management.</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Board’s Role in Risk Oversight</w:t>
      </w:r>
    </w:p>
    <w:p>
      <w:pPr>
        <w:spacing w:after="0" w:line="121" w:lineRule="exact"/>
        <w:rPr>
          <w:sz w:val="20"/>
          <w:szCs w:val="20"/>
          <w:color w:val="auto"/>
        </w:rPr>
      </w:pPr>
    </w:p>
    <w:p>
      <w:pPr>
        <w:ind w:left="200" w:right="880"/>
        <w:spacing w:after="0" w:line="246" w:lineRule="auto"/>
        <w:rPr>
          <w:sz w:val="20"/>
          <w:szCs w:val="20"/>
          <w:color w:val="auto"/>
        </w:rPr>
      </w:pPr>
      <w:r>
        <w:rPr>
          <w:rFonts w:ascii="Arial" w:cs="Arial" w:eastAsia="Arial" w:hAnsi="Arial"/>
          <w:sz w:val="18"/>
          <w:szCs w:val="18"/>
          <w:color w:val="auto"/>
        </w:rPr>
        <w:t>As noted above, the Board is responsible for overseeing our risk management activities, among other duties. Each of our Board committees assists the Board in this role.</w:t>
      </w:r>
    </w:p>
    <w:p>
      <w:pPr>
        <w:spacing w:after="0" w:line="102" w:lineRule="exact"/>
        <w:rPr>
          <w:sz w:val="20"/>
          <w:szCs w:val="20"/>
          <w:color w:val="auto"/>
        </w:rPr>
      </w:pPr>
    </w:p>
    <w:p>
      <w:pPr>
        <w:ind w:left="640" w:right="320" w:hanging="436"/>
        <w:spacing w:after="0" w:line="237" w:lineRule="auto"/>
        <w:tabs>
          <w:tab w:leader="none" w:pos="640" w:val="left"/>
        </w:tabs>
        <w:numPr>
          <w:ilvl w:val="0"/>
          <w:numId w:val="27"/>
        </w:numPr>
        <w:rPr>
          <w:rFonts w:ascii="Arial" w:cs="Arial" w:eastAsia="Arial" w:hAnsi="Arial"/>
          <w:sz w:val="18"/>
          <w:szCs w:val="18"/>
          <w:color w:val="276092"/>
        </w:rPr>
      </w:pPr>
      <w:r>
        <w:rPr>
          <w:rFonts w:ascii="Arial" w:cs="Arial" w:eastAsia="Arial" w:hAnsi="Arial"/>
          <w:sz w:val="18"/>
          <w:szCs w:val="18"/>
          <w:color w:val="auto"/>
        </w:rPr>
        <w:t>The Audit Committee focuses on risks that could impact our financial performance. The Audit Committee periodically receives a report from the Chief Financial Officer and members of the Finance Department addressing our financial risk management processes, systems and internal controls, the nature of the material financial risks the Company faces and how the Company responds to and mitigates these risks. The Audit Committee periodically receives a report from our General Counsel on legal and other compliance risks and how the Company is addressing and mitigating those risks. The Audit Committee receives an annual report from our Chief Compliance Officer on the Company’s compliance program overall. The Audit Committee also receives quarterly reports from the Vice President, Global Corporate Responsibility on trends in ethics reporting.</w:t>
      </w:r>
    </w:p>
    <w:p>
      <w:pPr>
        <w:spacing w:after="0" w:line="108" w:lineRule="exact"/>
        <w:rPr>
          <w:rFonts w:ascii="Arial" w:cs="Arial" w:eastAsia="Arial" w:hAnsi="Arial"/>
          <w:sz w:val="18"/>
          <w:szCs w:val="18"/>
          <w:color w:val="276092"/>
        </w:rPr>
      </w:pPr>
    </w:p>
    <w:p>
      <w:pPr>
        <w:ind w:left="640" w:right="100" w:hanging="436"/>
        <w:spacing w:after="0" w:line="246" w:lineRule="auto"/>
        <w:tabs>
          <w:tab w:leader="none" w:pos="640" w:val="left"/>
        </w:tabs>
        <w:numPr>
          <w:ilvl w:val="0"/>
          <w:numId w:val="27"/>
        </w:numPr>
        <w:rPr>
          <w:rFonts w:ascii="Arial" w:cs="Arial" w:eastAsia="Arial" w:hAnsi="Arial"/>
          <w:sz w:val="18"/>
          <w:szCs w:val="18"/>
          <w:color w:val="276092"/>
        </w:rPr>
      </w:pPr>
      <w:r>
        <w:rPr>
          <w:rFonts w:ascii="Arial" w:cs="Arial" w:eastAsia="Arial" w:hAnsi="Arial"/>
          <w:sz w:val="18"/>
          <w:szCs w:val="18"/>
          <w:color w:val="auto"/>
        </w:rPr>
        <w:t>The Compensation Committee reviews at least annually a risk assessment of the Company’s compensation programs and, together with its independent compensation consultant, evaluates the mix of at-risk compensation linked to stock appreciation.</w:t>
      </w:r>
    </w:p>
    <w:p>
      <w:pPr>
        <w:spacing w:after="0" w:line="102" w:lineRule="exact"/>
        <w:rPr>
          <w:rFonts w:ascii="Arial" w:cs="Arial" w:eastAsia="Arial" w:hAnsi="Arial"/>
          <w:sz w:val="18"/>
          <w:szCs w:val="18"/>
          <w:color w:val="276092"/>
        </w:rPr>
      </w:pPr>
    </w:p>
    <w:p>
      <w:pPr>
        <w:ind w:left="640" w:right="220" w:hanging="436"/>
        <w:spacing w:after="0"/>
        <w:tabs>
          <w:tab w:leader="none" w:pos="640" w:val="left"/>
        </w:tabs>
        <w:numPr>
          <w:ilvl w:val="0"/>
          <w:numId w:val="27"/>
        </w:numPr>
        <w:rPr>
          <w:rFonts w:ascii="Arial" w:cs="Arial" w:eastAsia="Arial" w:hAnsi="Arial"/>
          <w:sz w:val="18"/>
          <w:szCs w:val="18"/>
          <w:color w:val="276092"/>
        </w:rPr>
      </w:pPr>
      <w:r>
        <w:rPr>
          <w:rFonts w:ascii="Arial" w:cs="Arial" w:eastAsia="Arial" w:hAnsi="Arial"/>
          <w:sz w:val="18"/>
          <w:szCs w:val="18"/>
          <w:color w:val="auto"/>
        </w:rPr>
        <w:t>The Policy Committee assists the Board in identifying and evaluating global security, political and budgetary issues and trends that could impact the Company’s business. The Policy Committee periodically receives a report from the Vice President, Global Corporate Responsibility on the Company’s ethics and corporate responsibility programs.</w:t>
      </w:r>
    </w:p>
    <w:p>
      <w:pPr>
        <w:spacing w:after="0" w:line="108" w:lineRule="exact"/>
        <w:rPr>
          <w:rFonts w:ascii="Arial" w:cs="Arial" w:eastAsia="Arial" w:hAnsi="Arial"/>
          <w:sz w:val="18"/>
          <w:szCs w:val="18"/>
          <w:color w:val="276092"/>
        </w:rPr>
      </w:pPr>
    </w:p>
    <w:p>
      <w:pPr>
        <w:ind w:left="640" w:right="120" w:hanging="436"/>
        <w:spacing w:after="0" w:line="246" w:lineRule="auto"/>
        <w:tabs>
          <w:tab w:leader="none" w:pos="640" w:val="left"/>
        </w:tabs>
        <w:numPr>
          <w:ilvl w:val="0"/>
          <w:numId w:val="27"/>
        </w:numPr>
        <w:rPr>
          <w:rFonts w:ascii="Arial" w:cs="Arial" w:eastAsia="Arial" w:hAnsi="Arial"/>
          <w:sz w:val="18"/>
          <w:szCs w:val="18"/>
          <w:color w:val="276092"/>
        </w:rPr>
      </w:pPr>
      <w:r>
        <w:rPr>
          <w:rFonts w:ascii="Arial" w:cs="Arial" w:eastAsia="Arial" w:hAnsi="Arial"/>
          <w:sz w:val="18"/>
          <w:szCs w:val="18"/>
          <w:color w:val="auto"/>
        </w:rPr>
        <w:t>The Governance Committee regularly reviews the Company’s corporate governance policies and practices, and considers issues of succession and composition of the Board, recommending proposed changes to the full Board for approval.</w:t>
      </w:r>
    </w:p>
    <w:p>
      <w:pPr>
        <w:spacing w:after="0" w:line="19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Board and its Committees provide oversight of the Company’s risk management processes, including the Enterprise Risk Management Council (ERMC). The ERMC is comprised of all members of the Corporate Policy Council, the Chief Accounting Officer, Chief Compliance Officer, Secretary, head of Internal Audit and Treasurer. The ERMC seeks to ensure that the Company has identified the most significant risks and implemented effective mitigation plans for each. The full Board has responsibility for oversight of cyber and other security risks, and receives periodic briefings from our Vice President and Chief Information Security Officer.</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Chairperson of the Board</w:t>
      </w:r>
    </w:p>
    <w:p>
      <w:pPr>
        <w:spacing w:after="0" w:line="12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Our Bylaws provide that our directors will designate a Chairperson of the Board from among its members. The Chairperson presides at all Board and shareholder meetings. The Chairperson interacts directly with all members of the Board and assists the Board to fulfill its responsibilities. The Principles of Corporate Governance provide that the Board believes it is in the best interests of the Company and the shareholders for the Board to have flexibility to determine the best director to serve as Chairperson of the Board at the time, based on consideration of all relevant factors. As discussed below, the Board believes that the appropriate leadership structure at this time is for Mr. Bush, our Chief Executive Officer, to serve as Chairman. Mr. Bush has served as Chairman since July 2011.</w:t>
      </w:r>
    </w:p>
    <w:p>
      <w:pPr>
        <w:spacing w:after="0" w:line="20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Board believes that having the Chief Executive Officer serve as Chairman best positions the Company to be innovative, compete successfully and advance shareholder interests in today’s environment. The Board believes that Mr. Bush’s deep understanding of the Company’s business, day-to-day operations, growth opportunities, challenges and risk management practices gained through various leadership positions enables him to provide strong and effective leadership to the Board and to ensure that the Board is informed of important issues facing the Company. The Board consists entirely of independent directors other than Mr. Bush and it continues to exercise a strong, independent oversight function, with fully independent Board Committees and a strong Lead Independent Director with clearly articulated responsibilities. The Board evaluates the leadership structure of the Board on an ongoing basis to ensure that it continues to best meet the needs of the Company.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Lead Independent Director</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the Chairperson is not independent, the independent directors will designate annually from among them a Lead Independent Director.</w:t>
      </w:r>
    </w:p>
    <w:p>
      <w:pPr>
        <w:ind w:left="200"/>
        <w:spacing w:after="0"/>
        <w:rPr>
          <w:sz w:val="20"/>
          <w:szCs w:val="20"/>
          <w:color w:val="auto"/>
        </w:rPr>
      </w:pPr>
      <w:r>
        <w:rPr>
          <w:rFonts w:ascii="Arial" w:cs="Arial" w:eastAsia="Arial" w:hAnsi="Arial"/>
          <w:sz w:val="18"/>
          <w:szCs w:val="18"/>
          <w:color w:val="auto"/>
        </w:rPr>
        <w:t>Following our 2017 Annual Meeting, the independent directors designated Mr. Felsinger as Lead Independent Director.</w:t>
      </w:r>
    </w:p>
    <w:p>
      <w:pPr>
        <w:spacing w:after="0" w:line="141" w:lineRule="exact"/>
        <w:rPr>
          <w:sz w:val="20"/>
          <w:szCs w:val="20"/>
          <w:color w:val="auto"/>
        </w:rPr>
      </w:pPr>
    </w:p>
    <w:p>
      <w:pPr>
        <w:ind w:left="460" w:hanging="256"/>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Our Principles of Corporate Governance set forth specific duties and responsibilities of the Lead Independent Director, which include the following:</w:t>
      </w:r>
    </w:p>
    <w:p>
      <w:pPr>
        <w:spacing w:after="0" w:line="102" w:lineRule="exact"/>
        <w:rPr>
          <w:sz w:val="20"/>
          <w:szCs w:val="20"/>
          <w:color w:val="auto"/>
        </w:rPr>
      </w:pPr>
    </w:p>
    <w:p>
      <w:pPr>
        <w:ind w:left="640" w:right="100" w:hanging="436"/>
        <w:spacing w:after="0" w:line="246" w:lineRule="auto"/>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preside at meetings of the Board at which the Chairperson is not present, including executive sessions of the independent directors, and advise the Chairperson and CEO on decisions reached and suggestions made;</w:t>
      </w:r>
    </w:p>
    <w:p>
      <w:pPr>
        <w:spacing w:after="0" w:line="102" w:lineRule="exact"/>
        <w:rPr>
          <w:rFonts w:ascii="Arial" w:cs="Arial" w:eastAsia="Arial" w:hAnsi="Arial"/>
          <w:sz w:val="18"/>
          <w:szCs w:val="18"/>
          <w:color w:val="276092"/>
        </w:rPr>
      </w:pPr>
    </w:p>
    <w:p>
      <w:pPr>
        <w:ind w:left="640" w:hanging="436"/>
        <w:spacing w:after="0"/>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advise the Chairperson on and approve meeting agendas and information sent to the Board;</w:t>
      </w:r>
    </w:p>
    <w:p>
      <w:pPr>
        <w:spacing w:after="0" w:line="130" w:lineRule="exact"/>
        <w:rPr>
          <w:rFonts w:ascii="Arial" w:cs="Arial" w:eastAsia="Arial" w:hAnsi="Arial"/>
          <w:sz w:val="18"/>
          <w:szCs w:val="18"/>
          <w:color w:val="276092"/>
        </w:rPr>
      </w:pPr>
    </w:p>
    <w:p>
      <w:pPr>
        <w:ind w:left="640" w:right="60" w:hanging="436"/>
        <w:spacing w:after="0" w:line="246" w:lineRule="auto"/>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advise the Chairperson on and approve the schedule of Board meetings, assuring there is sufficient time for discussion of all agenda items;</w:t>
      </w:r>
    </w:p>
    <w:p>
      <w:pPr>
        <w:spacing w:after="0" w:line="102" w:lineRule="exact"/>
        <w:rPr>
          <w:rFonts w:ascii="Arial" w:cs="Arial" w:eastAsia="Arial" w:hAnsi="Arial"/>
          <w:sz w:val="18"/>
          <w:szCs w:val="18"/>
          <w:color w:val="276092"/>
        </w:rPr>
      </w:pPr>
    </w:p>
    <w:p>
      <w:pPr>
        <w:ind w:left="640" w:right="120" w:hanging="436"/>
        <w:spacing w:after="0" w:line="246" w:lineRule="auto"/>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provide the Chairperson with input as to the preparation of Board and committee meeting agendas, taking into account the requests of the other Board and committee members;</w:t>
      </w:r>
    </w:p>
    <w:p>
      <w:pPr>
        <w:spacing w:after="0" w:line="102" w:lineRule="exact"/>
        <w:rPr>
          <w:rFonts w:ascii="Arial" w:cs="Arial" w:eastAsia="Arial" w:hAnsi="Arial"/>
          <w:sz w:val="18"/>
          <w:szCs w:val="18"/>
          <w:color w:val="276092"/>
        </w:rPr>
      </w:pPr>
    </w:p>
    <w:p>
      <w:pPr>
        <w:ind w:left="640" w:right="1160" w:hanging="436"/>
        <w:spacing w:after="0" w:line="246" w:lineRule="auto"/>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interview, along with the Chairperson and the Chairperson of the Governance Committee, Board candidates and make recommendations to the Governance Committee and the Board;</w:t>
      </w:r>
    </w:p>
    <w:p>
      <w:pPr>
        <w:spacing w:after="0" w:line="102" w:lineRule="exact"/>
        <w:rPr>
          <w:rFonts w:ascii="Arial" w:cs="Arial" w:eastAsia="Arial" w:hAnsi="Arial"/>
          <w:sz w:val="18"/>
          <w:szCs w:val="18"/>
          <w:color w:val="276092"/>
        </w:rPr>
      </w:pPr>
    </w:p>
    <w:p>
      <w:pPr>
        <w:ind w:left="640" w:hanging="436"/>
        <w:spacing w:after="0"/>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call meetings of the independent directors;</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serve as liaison between the Chairperson and the independent directors; and</w:t>
      </w:r>
    </w:p>
    <w:p>
      <w:pPr>
        <w:spacing w:after="0" w:line="130" w:lineRule="exact"/>
        <w:rPr>
          <w:rFonts w:ascii="Arial" w:cs="Arial" w:eastAsia="Arial" w:hAnsi="Arial"/>
          <w:sz w:val="18"/>
          <w:szCs w:val="18"/>
          <w:color w:val="276092"/>
        </w:rPr>
      </w:pPr>
    </w:p>
    <w:p>
      <w:pPr>
        <w:ind w:left="640" w:hanging="436"/>
        <w:spacing w:after="0"/>
        <w:tabs>
          <w:tab w:leader="none" w:pos="640" w:val="left"/>
        </w:tabs>
        <w:numPr>
          <w:ilvl w:val="0"/>
          <w:numId w:val="29"/>
        </w:numPr>
        <w:rPr>
          <w:rFonts w:ascii="Arial" w:cs="Arial" w:eastAsia="Arial" w:hAnsi="Arial"/>
          <w:sz w:val="18"/>
          <w:szCs w:val="18"/>
          <w:color w:val="276092"/>
        </w:rPr>
      </w:pPr>
      <w:r>
        <w:rPr>
          <w:rFonts w:ascii="Arial" w:cs="Arial" w:eastAsia="Arial" w:hAnsi="Arial"/>
          <w:sz w:val="18"/>
          <w:szCs w:val="18"/>
          <w:color w:val="auto"/>
        </w:rPr>
        <w:t>if requested by major shareholders, ensure that he or she is available for consultation and direct communication.</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Board has four standing committees: the Audit Committee, the Compensation Committee, the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are summarized below, together with a table listing the membership and chairperson of each committee. The charters for each standing committee can be found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27609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-170815</wp:posOffset>
            </wp:positionV>
            <wp:extent cx="7006590" cy="39192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06590" cy="3919220"/>
                    </a:xfrm>
                    <a:prstGeom prst="rect">
                      <a:avLst/>
                    </a:prstGeom>
                    <a:noFill/>
                  </pic:spPr>
                </pic:pic>
              </a:graphicData>
            </a:graphic>
          </wp:anchor>
        </w:drawing>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8780" w:type="dxa"/>
            <w:vAlign w:val="bottom"/>
            <w:shd w:val="clear" w:color="auto" w:fill="BECFDE"/>
          </w:tcPr>
          <w:p>
            <w:pPr>
              <w:ind w:left="140"/>
              <w:spacing w:after="0"/>
              <w:rPr>
                <w:sz w:val="20"/>
                <w:szCs w:val="20"/>
                <w:color w:val="auto"/>
              </w:rPr>
            </w:pPr>
            <w:r>
              <w:rPr>
                <w:rFonts w:ascii="Arial" w:cs="Arial" w:eastAsia="Arial" w:hAnsi="Arial"/>
                <w:sz w:val="18"/>
                <w:szCs w:val="18"/>
                <w:b w:val="1"/>
                <w:bCs w:val="1"/>
                <w:color w:val="276092"/>
              </w:rPr>
              <w:t>Roles and Responsibilities</w:t>
            </w:r>
          </w:p>
        </w:tc>
        <w:tc>
          <w:tcPr>
            <w:tcW w:w="2160" w:type="dxa"/>
            <w:vAlign w:val="bottom"/>
          </w:tcPr>
          <w:p>
            <w:pPr>
              <w:ind w:left="100"/>
              <w:spacing w:after="0"/>
              <w:rPr>
                <w:sz w:val="20"/>
                <w:szCs w:val="20"/>
                <w:color w:val="auto"/>
              </w:rPr>
            </w:pPr>
            <w:r>
              <w:rPr>
                <w:rFonts w:ascii="Arial" w:cs="Arial" w:eastAsia="Arial" w:hAnsi="Arial"/>
                <w:sz w:val="18"/>
                <w:szCs w:val="18"/>
                <w:b w:val="1"/>
                <w:bCs w:val="1"/>
                <w:color w:val="276092"/>
              </w:rPr>
              <w:t>Committee Members</w:t>
            </w:r>
          </w:p>
        </w:tc>
        <w:tc>
          <w:tcPr>
            <w:tcW w:w="0" w:type="dxa"/>
            <w:vAlign w:val="bottom"/>
          </w:tcPr>
          <w:p>
            <w:pPr>
              <w:spacing w:after="0"/>
              <w:rPr>
                <w:sz w:val="1"/>
                <w:szCs w:val="1"/>
                <w:color w:val="auto"/>
              </w:rPr>
            </w:pPr>
          </w:p>
        </w:tc>
      </w:tr>
      <w:tr>
        <w:trPr>
          <w:trHeight w:val="238"/>
        </w:trPr>
        <w:tc>
          <w:tcPr>
            <w:tcW w:w="8780" w:type="dxa"/>
            <w:vAlign w:val="bottom"/>
            <w:shd w:val="clear" w:color="auto" w:fill="BECFDE"/>
          </w:tcPr>
          <w:p>
            <w:pPr>
              <w:ind w:left="140"/>
              <w:spacing w:after="0"/>
              <w:rPr>
                <w:sz w:val="20"/>
                <w:szCs w:val="20"/>
                <w:color w:val="auto"/>
              </w:rPr>
            </w:pPr>
            <w:r>
              <w:rPr>
                <w:rFonts w:ascii="Arial" w:cs="Arial" w:eastAsia="Arial" w:hAnsi="Arial"/>
                <w:sz w:val="18"/>
                <w:szCs w:val="18"/>
                <w:color w:val="auto"/>
              </w:rPr>
              <w:t>Assist the Board in overseeing (1) the integrity of the Company’s financial statements and the Company’s</w:t>
            </w:r>
          </w:p>
        </w:tc>
        <w:tc>
          <w:tcPr>
            <w:tcW w:w="2160" w:type="dxa"/>
            <w:vAlign w:val="bottom"/>
          </w:tcPr>
          <w:p>
            <w:pPr>
              <w:ind w:left="100"/>
              <w:spacing w:after="0"/>
              <w:rPr>
                <w:sz w:val="20"/>
                <w:szCs w:val="20"/>
                <w:color w:val="auto"/>
              </w:rPr>
            </w:pPr>
            <w:r>
              <w:rPr>
                <w:rFonts w:ascii="Arial" w:cs="Arial" w:eastAsia="Arial" w:hAnsi="Arial"/>
                <w:sz w:val="18"/>
                <w:szCs w:val="18"/>
                <w:color w:val="auto"/>
              </w:rPr>
              <w:t>William H. Hernandez</w:t>
            </w: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140"/>
              <w:spacing w:after="0" w:line="202" w:lineRule="exact"/>
              <w:rPr>
                <w:sz w:val="20"/>
                <w:szCs w:val="20"/>
                <w:color w:val="auto"/>
              </w:rPr>
            </w:pPr>
            <w:r>
              <w:rPr>
                <w:rFonts w:ascii="Arial" w:cs="Arial" w:eastAsia="Arial" w:hAnsi="Arial"/>
                <w:sz w:val="18"/>
                <w:szCs w:val="18"/>
                <w:color w:val="auto"/>
              </w:rPr>
              <w:t>accounting and financial reporting processes; (2) the Company’s overall compliance with legal and</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140"/>
              <w:spacing w:after="0" w:line="202" w:lineRule="exact"/>
              <w:rPr>
                <w:sz w:val="20"/>
                <w:szCs w:val="20"/>
                <w:color w:val="auto"/>
              </w:rPr>
            </w:pPr>
            <w:r>
              <w:rPr>
                <w:rFonts w:ascii="Arial" w:cs="Arial" w:eastAsia="Arial" w:hAnsi="Arial"/>
                <w:sz w:val="18"/>
                <w:szCs w:val="18"/>
                <w:color w:val="auto"/>
              </w:rPr>
              <w:t>regulatory requirements; (3) financial risk assessment and management; (4) the qualifications, performance</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Marianne C. Brown</w:t>
            </w: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140"/>
              <w:spacing w:after="0" w:line="202" w:lineRule="exact"/>
              <w:rPr>
                <w:sz w:val="20"/>
                <w:szCs w:val="20"/>
                <w:color w:val="auto"/>
              </w:rPr>
            </w:pPr>
            <w:r>
              <w:rPr>
                <w:rFonts w:ascii="Arial" w:cs="Arial" w:eastAsia="Arial" w:hAnsi="Arial"/>
                <w:sz w:val="18"/>
                <w:szCs w:val="18"/>
                <w:color w:val="auto"/>
              </w:rPr>
              <w:t>and independence of the Company’s independent auditor; (5) the performance of the Company’s internal</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Victor H. Fazio</w:t>
            </w: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140"/>
              <w:spacing w:after="0" w:line="202" w:lineRule="exact"/>
              <w:rPr>
                <w:sz w:val="20"/>
                <w:szCs w:val="20"/>
                <w:color w:val="auto"/>
              </w:rPr>
            </w:pPr>
            <w:r>
              <w:rPr>
                <w:rFonts w:ascii="Arial" w:cs="Arial" w:eastAsia="Arial" w:hAnsi="Arial"/>
                <w:sz w:val="18"/>
                <w:szCs w:val="18"/>
                <w:color w:val="auto"/>
                <w:w w:val="99"/>
              </w:rPr>
              <w:t>audit function; and (6) the Company’s system of disclosure controls and procedures and internal control over</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Ann M. Fudge</w:t>
            </w: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140"/>
              <w:spacing w:after="0" w:line="202" w:lineRule="exact"/>
              <w:rPr>
                <w:sz w:val="20"/>
                <w:szCs w:val="20"/>
                <w:color w:val="auto"/>
              </w:rPr>
            </w:pPr>
            <w:r>
              <w:rPr>
                <w:rFonts w:ascii="Arial" w:cs="Arial" w:eastAsia="Arial" w:hAnsi="Arial"/>
                <w:sz w:val="18"/>
                <w:szCs w:val="18"/>
                <w:color w:val="auto"/>
              </w:rPr>
              <w:t>financial reporting, by:</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Madeleine A. Kleiner</w:t>
            </w:r>
          </w:p>
        </w:tc>
        <w:tc>
          <w:tcPr>
            <w:tcW w:w="0" w:type="dxa"/>
            <w:vAlign w:val="bottom"/>
          </w:tcPr>
          <w:p>
            <w:pPr>
              <w:spacing w:after="0"/>
              <w:rPr>
                <w:sz w:val="1"/>
                <w:szCs w:val="1"/>
                <w:color w:val="auto"/>
              </w:rPr>
            </w:pPr>
          </w:p>
        </w:tc>
      </w:tr>
      <w:tr>
        <w:trPr>
          <w:trHeight w:val="203"/>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appointing, retaining, overseeing, evaluating and terminating, if necessary, the independent auditor</w:t>
            </w: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James S. Turley</w:t>
            </w:r>
          </w:p>
        </w:tc>
        <w:tc>
          <w:tcPr>
            <w:tcW w:w="0" w:type="dxa"/>
            <w:vAlign w:val="bottom"/>
          </w:tcPr>
          <w:p>
            <w:pPr>
              <w:spacing w:after="0"/>
              <w:rPr>
                <w:sz w:val="1"/>
                <w:szCs w:val="1"/>
                <w:color w:val="auto"/>
              </w:rPr>
            </w:pPr>
          </w:p>
        </w:tc>
      </w:tr>
      <w:tr>
        <w:trPr>
          <w:trHeight w:val="95"/>
        </w:trPr>
        <w:tc>
          <w:tcPr>
            <w:tcW w:w="8780" w:type="dxa"/>
            <w:vAlign w:val="bottom"/>
            <w:vMerge w:val="continue"/>
            <w:shd w:val="clear" w:color="auto" w:fill="BECFDE"/>
          </w:tcPr>
          <w:p>
            <w:pPr>
              <w:spacing w:after="0"/>
              <w:rPr>
                <w:sz w:val="8"/>
                <w:szCs w:val="8"/>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Mark A. Welsh III</w:t>
            </w:r>
          </w:p>
        </w:tc>
        <w:tc>
          <w:tcPr>
            <w:tcW w:w="0" w:type="dxa"/>
            <w:vAlign w:val="bottom"/>
          </w:tcPr>
          <w:p>
            <w:pPr>
              <w:spacing w:after="0"/>
              <w:rPr>
                <w:sz w:val="1"/>
                <w:szCs w:val="1"/>
                <w:color w:val="auto"/>
              </w:rPr>
            </w:pPr>
          </w:p>
        </w:tc>
      </w:tr>
      <w:tr>
        <w:trPr>
          <w:trHeight w:val="122"/>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pre-approving audit and permitted non-audit services and related fees for the independent</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780" w:type="dxa"/>
            <w:vAlign w:val="bottom"/>
            <w:vMerge w:val="continue"/>
            <w:shd w:val="clear" w:color="auto" w:fill="BECFDE"/>
          </w:tcPr>
          <w:p>
            <w:pPr>
              <w:spacing w:after="0"/>
              <w:rPr>
                <w:sz w:val="15"/>
                <w:szCs w:val="15"/>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b w:val="1"/>
                <w:bCs w:val="1"/>
                <w:color w:val="276092"/>
              </w:rPr>
              <w:t>Number of meetings in</w:t>
            </w:r>
          </w:p>
        </w:tc>
        <w:tc>
          <w:tcPr>
            <w:tcW w:w="0" w:type="dxa"/>
            <w:vAlign w:val="bottom"/>
          </w:tcPr>
          <w:p>
            <w:pPr>
              <w:spacing w:after="0"/>
              <w:rPr>
                <w:sz w:val="1"/>
                <w:szCs w:val="1"/>
                <w:color w:val="auto"/>
              </w:rPr>
            </w:pPr>
          </w:p>
        </w:tc>
      </w:tr>
      <w:tr>
        <w:trPr>
          <w:trHeight w:val="113"/>
        </w:trPr>
        <w:tc>
          <w:tcPr>
            <w:tcW w:w="878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auditor</w:t>
            </w: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780" w:type="dxa"/>
            <w:vAlign w:val="bottom"/>
            <w:vMerge w:val="continue"/>
            <w:shd w:val="clear" w:color="auto" w:fill="BECFDE"/>
          </w:tcPr>
          <w:p>
            <w:pPr>
              <w:spacing w:after="0"/>
              <w:rPr>
                <w:sz w:val="9"/>
                <w:szCs w:val="9"/>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b w:val="1"/>
                <w:bCs w:val="1"/>
                <w:color w:val="276092"/>
              </w:rPr>
              <w:t xml:space="preserve">2017: </w:t>
            </w:r>
            <w:r>
              <w:rPr>
                <w:rFonts w:ascii="Arial" w:cs="Arial" w:eastAsia="Arial" w:hAnsi="Arial"/>
                <w:sz w:val="18"/>
                <w:szCs w:val="18"/>
                <w:color w:val="000000"/>
              </w:rPr>
              <w:t>9</w:t>
            </w:r>
          </w:p>
        </w:tc>
        <w:tc>
          <w:tcPr>
            <w:tcW w:w="0" w:type="dxa"/>
            <w:vAlign w:val="bottom"/>
          </w:tcPr>
          <w:p>
            <w:pPr>
              <w:spacing w:after="0"/>
              <w:rPr>
                <w:sz w:val="1"/>
                <w:szCs w:val="1"/>
                <w:color w:val="auto"/>
              </w:rPr>
            </w:pPr>
          </w:p>
        </w:tc>
      </w:tr>
      <w:tr>
        <w:trPr>
          <w:trHeight w:val="135"/>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discussing the Company’s Annual Reports on Form 10-K and Quarterly Reports on Form</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80" w:type="dxa"/>
            <w:vAlign w:val="bottom"/>
            <w:vMerge w:val="continue"/>
            <w:shd w:val="clear" w:color="auto" w:fill="BECFDE"/>
          </w:tcPr>
          <w:p>
            <w:pPr>
              <w:spacing w:after="0"/>
              <w:rPr>
                <w:sz w:val="12"/>
                <w:szCs w:val="12"/>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b w:val="1"/>
                <w:bCs w:val="1"/>
                <w:color w:val="276092"/>
              </w:rPr>
              <w:t>Independence,</w:t>
            </w:r>
          </w:p>
        </w:tc>
        <w:tc>
          <w:tcPr>
            <w:tcW w:w="0" w:type="dxa"/>
            <w:vAlign w:val="bottom"/>
          </w:tcPr>
          <w:p>
            <w:pPr>
              <w:spacing w:after="0"/>
              <w:rPr>
                <w:sz w:val="1"/>
                <w:szCs w:val="1"/>
                <w:color w:val="auto"/>
              </w:rPr>
            </w:pPr>
          </w:p>
        </w:tc>
      </w:tr>
      <w:tr>
        <w:trPr>
          <w:trHeight w:val="162"/>
        </w:trPr>
        <w:tc>
          <w:tcPr>
            <w:tcW w:w="8780" w:type="dxa"/>
            <w:vAlign w:val="bottom"/>
            <w:shd w:val="clear" w:color="auto" w:fill="BECFDE"/>
          </w:tcPr>
          <w:p>
            <w:pPr>
              <w:ind w:left="400"/>
              <w:spacing w:after="0" w:line="162" w:lineRule="exact"/>
              <w:rPr>
                <w:sz w:val="20"/>
                <w:szCs w:val="20"/>
                <w:color w:val="auto"/>
              </w:rPr>
            </w:pPr>
            <w:r>
              <w:rPr>
                <w:rFonts w:ascii="Arial" w:cs="Arial" w:eastAsia="Arial" w:hAnsi="Arial"/>
                <w:sz w:val="18"/>
                <w:szCs w:val="18"/>
                <w:color w:val="auto"/>
              </w:rPr>
              <w:t>10-Q</w:t>
            </w: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discussing management’s assessment of, and report on, the effectiveness of the</w:t>
            </w:r>
          </w:p>
        </w:tc>
        <w:tc>
          <w:tcPr>
            <w:tcW w:w="2160" w:type="dxa"/>
            <w:vAlign w:val="bottom"/>
          </w:tcPr>
          <w:p>
            <w:pPr>
              <w:ind w:left="100"/>
              <w:spacing w:after="0" w:line="181" w:lineRule="exact"/>
              <w:rPr>
                <w:sz w:val="20"/>
                <w:szCs w:val="20"/>
                <w:color w:val="auto"/>
              </w:rPr>
            </w:pPr>
            <w:r>
              <w:rPr>
                <w:rFonts w:ascii="Arial" w:cs="Arial" w:eastAsia="Arial" w:hAnsi="Arial"/>
                <w:sz w:val="18"/>
                <w:szCs w:val="18"/>
                <w:b w:val="1"/>
                <w:bCs w:val="1"/>
                <w:color w:val="276092"/>
              </w:rPr>
              <w:t>Financial Literacy and</w:t>
            </w:r>
          </w:p>
        </w:tc>
        <w:tc>
          <w:tcPr>
            <w:tcW w:w="0" w:type="dxa"/>
            <w:vAlign w:val="bottom"/>
          </w:tcPr>
          <w:p>
            <w:pPr>
              <w:spacing w:after="0"/>
              <w:rPr>
                <w:sz w:val="1"/>
                <w:szCs w:val="1"/>
                <w:color w:val="auto"/>
              </w:rPr>
            </w:pPr>
          </w:p>
        </w:tc>
      </w:tr>
      <w:tr>
        <w:trPr>
          <w:trHeight w:val="157"/>
        </w:trPr>
        <w:tc>
          <w:tcPr>
            <w:tcW w:w="8780" w:type="dxa"/>
            <w:vAlign w:val="bottom"/>
            <w:vMerge w:val="continue"/>
            <w:shd w:val="clear" w:color="auto" w:fill="BECFDE"/>
          </w:tcPr>
          <w:p>
            <w:pPr>
              <w:spacing w:after="0"/>
              <w:rPr>
                <w:sz w:val="13"/>
                <w:szCs w:val="13"/>
                <w:color w:val="auto"/>
              </w:rPr>
            </w:pPr>
          </w:p>
        </w:tc>
        <w:tc>
          <w:tcPr>
            <w:tcW w:w="2160" w:type="dxa"/>
            <w:vAlign w:val="bottom"/>
            <w:vMerge w:val="restart"/>
          </w:tcPr>
          <w:p>
            <w:pPr>
              <w:ind w:left="100"/>
              <w:spacing w:after="0" w:line="202" w:lineRule="exact"/>
              <w:rPr>
                <w:sz w:val="20"/>
                <w:szCs w:val="20"/>
                <w:color w:val="auto"/>
              </w:rPr>
            </w:pPr>
            <w:r>
              <w:rPr>
                <w:rFonts w:ascii="Arial" w:cs="Arial" w:eastAsia="Arial" w:hAnsi="Arial"/>
                <w:sz w:val="18"/>
                <w:szCs w:val="18"/>
                <w:b w:val="1"/>
                <w:bCs w:val="1"/>
                <w:color w:val="276092"/>
              </w:rPr>
              <w:t>Audit Committee</w:t>
            </w:r>
          </w:p>
        </w:tc>
        <w:tc>
          <w:tcPr>
            <w:tcW w:w="0" w:type="dxa"/>
            <w:vAlign w:val="bottom"/>
          </w:tcPr>
          <w:p>
            <w:pPr>
              <w:spacing w:after="0"/>
              <w:rPr>
                <w:sz w:val="1"/>
                <w:szCs w:val="1"/>
                <w:color w:val="auto"/>
              </w:rPr>
            </w:pPr>
          </w:p>
        </w:tc>
      </w:tr>
      <w:tr>
        <w:trPr>
          <w:trHeight w:val="46"/>
        </w:trPr>
        <w:tc>
          <w:tcPr>
            <w:tcW w:w="878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w w:val="99"/>
              </w:rPr>
              <w:t>Company’s internal control over financial reporting at least annually and the independent auditor’s related</w:t>
            </w:r>
          </w:p>
        </w:tc>
        <w:tc>
          <w:tcPr>
            <w:tcW w:w="2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8780" w:type="dxa"/>
            <w:vAlign w:val="bottom"/>
            <w:vMerge w:val="continue"/>
            <w:shd w:val="clear" w:color="auto" w:fill="BECFDE"/>
          </w:tcPr>
          <w:p>
            <w:pPr>
              <w:spacing w:after="0"/>
              <w:rPr>
                <w:sz w:val="16"/>
                <w:szCs w:val="16"/>
                <w:color w:val="auto"/>
              </w:rPr>
            </w:pPr>
          </w:p>
        </w:tc>
        <w:tc>
          <w:tcPr>
            <w:tcW w:w="2160" w:type="dxa"/>
            <w:vAlign w:val="bottom"/>
          </w:tcPr>
          <w:p>
            <w:pPr>
              <w:ind w:left="100"/>
              <w:spacing w:after="0" w:line="185" w:lineRule="exact"/>
              <w:rPr>
                <w:sz w:val="20"/>
                <w:szCs w:val="20"/>
                <w:color w:val="auto"/>
              </w:rPr>
            </w:pPr>
            <w:r>
              <w:rPr>
                <w:rFonts w:ascii="Arial" w:cs="Arial" w:eastAsia="Arial" w:hAnsi="Arial"/>
                <w:sz w:val="18"/>
                <w:szCs w:val="18"/>
                <w:b w:val="1"/>
                <w:bCs w:val="1"/>
                <w:color w:val="276092"/>
              </w:rPr>
              <w:t>Financial Experts</w:t>
            </w:r>
          </w:p>
        </w:tc>
        <w:tc>
          <w:tcPr>
            <w:tcW w:w="0" w:type="dxa"/>
            <w:vAlign w:val="bottom"/>
          </w:tcPr>
          <w:p>
            <w:pPr>
              <w:spacing w:after="0"/>
              <w:rPr>
                <w:sz w:val="1"/>
                <w:szCs w:val="1"/>
                <w:color w:val="auto"/>
              </w:rPr>
            </w:pPr>
          </w:p>
        </w:tc>
      </w:tr>
      <w:tr>
        <w:trPr>
          <w:trHeight w:val="217"/>
        </w:trPr>
        <w:tc>
          <w:tcPr>
            <w:tcW w:w="8780" w:type="dxa"/>
            <w:vAlign w:val="bottom"/>
            <w:shd w:val="clear" w:color="auto" w:fill="BECFDE"/>
          </w:tcPr>
          <w:p>
            <w:pPr>
              <w:ind w:left="400"/>
              <w:spacing w:after="0"/>
              <w:rPr>
                <w:sz w:val="20"/>
                <w:szCs w:val="20"/>
                <w:color w:val="auto"/>
              </w:rPr>
            </w:pPr>
            <w:r>
              <w:rPr>
                <w:rFonts w:ascii="Arial" w:cs="Arial" w:eastAsia="Arial" w:hAnsi="Arial"/>
                <w:sz w:val="18"/>
                <w:szCs w:val="18"/>
                <w:color w:val="auto"/>
              </w:rPr>
              <w:t>report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147"/>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with the General Counsel, at least annually, the status of significant pending litigation and</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780" w:type="dxa"/>
            <w:vAlign w:val="bottom"/>
            <w:vMerge w:val="continue"/>
            <w:shd w:val="clear" w:color="auto" w:fill="BECFDE"/>
          </w:tcPr>
          <w:p>
            <w:pPr>
              <w:spacing w:after="0"/>
              <w:rPr>
                <w:sz w:val="9"/>
                <w:szCs w:val="9"/>
                <w:color w:val="auto"/>
              </w:rPr>
            </w:pPr>
          </w:p>
        </w:tc>
        <w:tc>
          <w:tcPr>
            <w:tcW w:w="216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independent and</w:t>
            </w:r>
          </w:p>
        </w:tc>
        <w:tc>
          <w:tcPr>
            <w:tcW w:w="0" w:type="dxa"/>
            <w:vAlign w:val="bottom"/>
          </w:tcPr>
          <w:p>
            <w:pPr>
              <w:spacing w:after="0"/>
              <w:rPr>
                <w:sz w:val="1"/>
                <w:szCs w:val="1"/>
                <w:color w:val="auto"/>
              </w:rPr>
            </w:pPr>
          </w:p>
        </w:tc>
      </w:tr>
      <w:tr>
        <w:trPr>
          <w:trHeight w:val="95"/>
        </w:trPr>
        <w:tc>
          <w:tcPr>
            <w:tcW w:w="878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various other significant legal, compliance or regulatory matters</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780" w:type="dxa"/>
            <w:vAlign w:val="bottom"/>
            <w:vMerge w:val="continue"/>
            <w:shd w:val="clear" w:color="auto" w:fill="BECFDE"/>
          </w:tcPr>
          <w:p>
            <w:pPr>
              <w:spacing w:after="0"/>
              <w:rPr>
                <w:sz w:val="10"/>
                <w:szCs w:val="10"/>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financially literate</w:t>
            </w:r>
          </w:p>
        </w:tc>
        <w:tc>
          <w:tcPr>
            <w:tcW w:w="0" w:type="dxa"/>
            <w:vAlign w:val="bottom"/>
          </w:tcPr>
          <w:p>
            <w:pPr>
              <w:spacing w:after="0"/>
              <w:rPr>
                <w:sz w:val="1"/>
                <w:szCs w:val="1"/>
                <w:color w:val="auto"/>
              </w:rPr>
            </w:pPr>
          </w:p>
        </w:tc>
      </w:tr>
      <w:tr>
        <w:trPr>
          <w:trHeight w:val="95"/>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with the Chief Compliance Officer, at least annually, the Company’s compliance program</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780" w:type="dxa"/>
            <w:vAlign w:val="bottom"/>
            <w:vMerge w:val="continue"/>
            <w:shd w:val="clear" w:color="auto" w:fill="BECFDE"/>
          </w:tcPr>
          <w:p>
            <w:pPr>
              <w:spacing w:after="0"/>
              <w:rPr>
                <w:sz w:val="16"/>
                <w:szCs w:val="16"/>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Ms. Kleiner and Messrs.</w:t>
            </w:r>
          </w:p>
        </w:tc>
        <w:tc>
          <w:tcPr>
            <w:tcW w:w="0" w:type="dxa"/>
            <w:vAlign w:val="bottom"/>
          </w:tcPr>
          <w:p>
            <w:pPr>
              <w:spacing w:after="0"/>
              <w:rPr>
                <w:sz w:val="1"/>
                <w:szCs w:val="1"/>
                <w:color w:val="auto"/>
              </w:rPr>
            </w:pPr>
          </w:p>
        </w:tc>
      </w:tr>
      <w:tr>
        <w:trPr>
          <w:trHeight w:val="121"/>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discussing guidelines and policies regarding risk assessment and risk management</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780" w:type="dxa"/>
            <w:vAlign w:val="bottom"/>
            <w:vMerge w:val="continue"/>
            <w:shd w:val="clear" w:color="auto" w:fill="BECFDE"/>
          </w:tcPr>
          <w:p>
            <w:pPr>
              <w:spacing w:after="0"/>
              <w:rPr>
                <w:sz w:val="17"/>
                <w:szCs w:val="17"/>
                <w:color w:val="auto"/>
              </w:rPr>
            </w:pPr>
          </w:p>
        </w:tc>
        <w:tc>
          <w:tcPr>
            <w:tcW w:w="2160" w:type="dxa"/>
            <w:vAlign w:val="bottom"/>
          </w:tcPr>
          <w:p>
            <w:pPr>
              <w:ind w:left="100"/>
              <w:spacing w:after="0" w:line="202" w:lineRule="exact"/>
              <w:rPr>
                <w:sz w:val="20"/>
                <w:szCs w:val="20"/>
                <w:color w:val="auto"/>
              </w:rPr>
            </w:pPr>
            <w:r>
              <w:rPr>
                <w:rFonts w:ascii="Arial" w:cs="Arial" w:eastAsia="Arial" w:hAnsi="Arial"/>
                <w:sz w:val="18"/>
                <w:szCs w:val="18"/>
                <w:color w:val="auto"/>
              </w:rPr>
              <w:t>Hernandez and Turley</w:t>
            </w:r>
          </w:p>
        </w:tc>
        <w:tc>
          <w:tcPr>
            <w:tcW w:w="0" w:type="dxa"/>
            <w:vAlign w:val="bottom"/>
          </w:tcPr>
          <w:p>
            <w:pPr>
              <w:spacing w:after="0"/>
              <w:rPr>
                <w:sz w:val="1"/>
                <w:szCs w:val="1"/>
                <w:color w:val="auto"/>
              </w:rPr>
            </w:pPr>
          </w:p>
        </w:tc>
      </w:tr>
      <w:tr>
        <w:trPr>
          <w:trHeight w:val="217"/>
        </w:trPr>
        <w:tc>
          <w:tcPr>
            <w:tcW w:w="878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any significant issues raised by the internal audit function and, as appropriate, management’s</w:t>
            </w:r>
          </w:p>
        </w:tc>
        <w:tc>
          <w:tcPr>
            <w:tcW w:w="2160" w:type="dxa"/>
            <w:vAlign w:val="bottom"/>
          </w:tcPr>
          <w:p>
            <w:pPr>
              <w:ind w:left="100"/>
              <w:spacing w:after="0"/>
              <w:rPr>
                <w:sz w:val="20"/>
                <w:szCs w:val="20"/>
                <w:color w:val="auto"/>
              </w:rPr>
            </w:pPr>
            <w:r>
              <w:rPr>
                <w:rFonts w:ascii="Arial" w:cs="Arial" w:eastAsia="Arial" w:hAnsi="Arial"/>
                <w:sz w:val="18"/>
                <w:szCs w:val="18"/>
                <w:color w:val="auto"/>
                <w:w w:val="99"/>
              </w:rPr>
              <w:t>each qualifies as an Audit</w:t>
            </w:r>
          </w:p>
        </w:tc>
        <w:tc>
          <w:tcPr>
            <w:tcW w:w="0" w:type="dxa"/>
            <w:vAlign w:val="bottom"/>
          </w:tcPr>
          <w:p>
            <w:pPr>
              <w:spacing w:after="0"/>
              <w:rPr>
                <w:sz w:val="1"/>
                <w:szCs w:val="1"/>
                <w:color w:val="auto"/>
              </w:rPr>
            </w:pPr>
          </w:p>
        </w:tc>
      </w:tr>
      <w:tr>
        <w:trPr>
          <w:trHeight w:val="188"/>
        </w:trPr>
        <w:tc>
          <w:tcPr>
            <w:tcW w:w="878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actions for remediation</w:t>
            </w:r>
          </w:p>
        </w:tc>
        <w:tc>
          <w:tcPr>
            <w:tcW w:w="2160" w:type="dxa"/>
            <w:vAlign w:val="bottom"/>
          </w:tcPr>
          <w:p>
            <w:pPr>
              <w:ind w:left="100"/>
              <w:spacing w:after="0" w:line="189" w:lineRule="exact"/>
              <w:rPr>
                <w:sz w:val="20"/>
                <w:szCs w:val="20"/>
                <w:color w:val="auto"/>
              </w:rPr>
            </w:pPr>
            <w:r>
              <w:rPr>
                <w:rFonts w:ascii="Arial" w:cs="Arial" w:eastAsia="Arial" w:hAnsi="Arial"/>
                <w:sz w:val="18"/>
                <w:szCs w:val="18"/>
                <w:color w:val="auto"/>
              </w:rPr>
              <w:t>Committee Financial</w:t>
            </w:r>
          </w:p>
        </w:tc>
        <w:tc>
          <w:tcPr>
            <w:tcW w:w="0" w:type="dxa"/>
            <w:vAlign w:val="bottom"/>
          </w:tcPr>
          <w:p>
            <w:pPr>
              <w:spacing w:after="0"/>
              <w:rPr>
                <w:sz w:val="1"/>
                <w:szCs w:val="1"/>
                <w:color w:val="auto"/>
              </w:rPr>
            </w:pPr>
          </w:p>
        </w:tc>
      </w:tr>
      <w:tr>
        <w:trPr>
          <w:trHeight w:val="82"/>
        </w:trPr>
        <w:tc>
          <w:tcPr>
            <w:tcW w:w="8780" w:type="dxa"/>
            <w:vAlign w:val="bottom"/>
            <w:vMerge w:val="continue"/>
            <w:shd w:val="clear" w:color="auto" w:fill="BECFDE"/>
          </w:tcPr>
          <w:p>
            <w:pPr>
              <w:spacing w:after="0"/>
              <w:rPr>
                <w:sz w:val="7"/>
                <w:szCs w:val="7"/>
                <w:color w:val="auto"/>
              </w:rPr>
            </w:pP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Expert</w:t>
            </w:r>
          </w:p>
        </w:tc>
        <w:tc>
          <w:tcPr>
            <w:tcW w:w="0" w:type="dxa"/>
            <w:vAlign w:val="bottom"/>
          </w:tcPr>
          <w:p>
            <w:pPr>
              <w:spacing w:after="0"/>
              <w:rPr>
                <w:sz w:val="1"/>
                <w:szCs w:val="1"/>
                <w:color w:val="auto"/>
              </w:rPr>
            </w:pPr>
          </w:p>
        </w:tc>
      </w:tr>
      <w:tr>
        <w:trPr>
          <w:trHeight w:val="135"/>
        </w:trPr>
        <w:tc>
          <w:tcPr>
            <w:tcW w:w="878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establishing and periodically reviewing and discussing with management the Company’s procedures for</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80" w:type="dxa"/>
            <w:vAlign w:val="bottom"/>
            <w:vMerge w:val="continue"/>
            <w:shd w:val="clear" w:color="auto" w:fill="BECFD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80" w:type="dxa"/>
            <w:vAlign w:val="bottom"/>
            <w:shd w:val="clear" w:color="auto" w:fill="BECFDE"/>
          </w:tcPr>
          <w:p>
            <w:pPr>
              <w:ind w:left="400"/>
              <w:spacing w:after="0" w:line="202" w:lineRule="exact"/>
              <w:rPr>
                <w:sz w:val="20"/>
                <w:szCs w:val="20"/>
                <w:color w:val="auto"/>
              </w:rPr>
            </w:pPr>
            <w:r>
              <w:rPr>
                <w:rFonts w:ascii="Arial" w:cs="Arial" w:eastAsia="Arial" w:hAnsi="Arial"/>
                <w:sz w:val="18"/>
                <w:szCs w:val="18"/>
                <w:color w:val="auto"/>
              </w:rPr>
              <w:t>the receipt, retention and treatment of complaints regarding accounting, internal accounting controls or</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80" w:type="dxa"/>
            <w:vAlign w:val="bottom"/>
            <w:shd w:val="clear" w:color="auto" w:fill="BECFDE"/>
          </w:tcPr>
          <w:p>
            <w:pPr>
              <w:ind w:left="400"/>
              <w:spacing w:after="0"/>
              <w:rPr>
                <w:sz w:val="20"/>
                <w:szCs w:val="20"/>
                <w:color w:val="auto"/>
              </w:rPr>
            </w:pPr>
            <w:r>
              <w:rPr>
                <w:rFonts w:ascii="Arial" w:cs="Arial" w:eastAsia="Arial" w:hAnsi="Arial"/>
                <w:sz w:val="18"/>
                <w:szCs w:val="18"/>
                <w:color w:val="auto"/>
              </w:rPr>
              <w:t>auditing matters</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220"/>
          </w:cols>
          <w:pgMar w:left="240" w:top="459" w:right="439" w:bottom="1440" w:gutter="0" w:footer="0" w:header="0"/>
        </w:sect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15</w:t>
      </w:r>
    </w:p>
    <w:p>
      <w:pPr>
        <w:sectPr>
          <w:pgSz w:w="11900" w:h="16838" w:orient="portrait"/>
          <w:cols w:equalWidth="0" w:num="1">
            <w:col w:w="11220"/>
          </w:cols>
          <w:pgMar w:left="24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276092"/>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7006590" cy="20669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06590" cy="2066925"/>
                    </a:xfrm>
                    <a:prstGeom prst="rect">
                      <a:avLst/>
                    </a:prstGeom>
                    <a:noFill/>
                  </pic:spPr>
                </pic:pic>
              </a:graphicData>
            </a:graphic>
          </wp:anchor>
        </w:drawing>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b w:val="1"/>
                <w:bCs w:val="1"/>
                <w:color w:val="276092"/>
              </w:rPr>
              <w:t>Roles and Responsibilities</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Committee Members</w:t>
            </w:r>
          </w:p>
        </w:tc>
        <w:tc>
          <w:tcPr>
            <w:tcW w:w="0" w:type="dxa"/>
            <w:vAlign w:val="bottom"/>
          </w:tcPr>
          <w:p>
            <w:pPr>
              <w:spacing w:after="0"/>
              <w:rPr>
                <w:sz w:val="1"/>
                <w:szCs w:val="1"/>
                <w:color w:val="auto"/>
              </w:rPr>
            </w:pPr>
          </w:p>
        </w:tc>
      </w:tr>
      <w:tr>
        <w:trPr>
          <w:trHeight w:val="238"/>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auto"/>
              </w:rPr>
              <w:t>Assist the Board in overseeing the Company’s compensation policies and practices by:</w:t>
            </w:r>
          </w:p>
        </w:tc>
        <w:tc>
          <w:tcPr>
            <w:tcW w:w="2060" w:type="dxa"/>
            <w:vAlign w:val="bottom"/>
          </w:tcPr>
          <w:p>
            <w:pPr>
              <w:ind w:left="120"/>
              <w:spacing w:after="0"/>
              <w:rPr>
                <w:sz w:val="20"/>
                <w:szCs w:val="20"/>
                <w:color w:val="auto"/>
              </w:rPr>
            </w:pPr>
            <w:r>
              <w:rPr>
                <w:rFonts w:ascii="Arial" w:cs="Arial" w:eastAsia="Arial" w:hAnsi="Arial"/>
                <w:sz w:val="18"/>
                <w:szCs w:val="18"/>
                <w:color w:val="auto"/>
              </w:rPr>
              <w:t>Karl J. Krapek (chair)</w:t>
            </w:r>
          </w:p>
        </w:tc>
        <w:tc>
          <w:tcPr>
            <w:tcW w:w="0" w:type="dxa"/>
            <w:vAlign w:val="bottom"/>
          </w:tcPr>
          <w:p>
            <w:pPr>
              <w:spacing w:after="0"/>
              <w:rPr>
                <w:sz w:val="1"/>
                <w:szCs w:val="1"/>
                <w:color w:val="auto"/>
              </w:rPr>
            </w:pPr>
          </w:p>
        </w:tc>
      </w:tr>
      <w:tr>
        <w:trPr>
          <w:trHeight w:val="203"/>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approving the compensation for elected officers (other than the Chief Executive Officer, whose</w:t>
            </w:r>
          </w:p>
        </w:tc>
        <w:tc>
          <w:tcPr>
            <w:tcW w:w="2060" w:type="dxa"/>
            <w:vAlign w:val="bottom"/>
          </w:tcPr>
          <w:p>
            <w:pPr>
              <w:ind w:left="120"/>
              <w:spacing w:after="0" w:line="202" w:lineRule="exact"/>
              <w:rPr>
                <w:sz w:val="20"/>
                <w:szCs w:val="20"/>
                <w:color w:val="auto"/>
              </w:rPr>
            </w:pPr>
            <w:r>
              <w:rPr>
                <w:rFonts w:ascii="Arial" w:cs="Arial" w:eastAsia="Arial" w:hAnsi="Arial"/>
                <w:sz w:val="18"/>
                <w:szCs w:val="18"/>
                <w:color w:val="auto"/>
              </w:rPr>
              <w:t>Donald E. Felsinger</w:t>
            </w:r>
          </w:p>
        </w:tc>
        <w:tc>
          <w:tcPr>
            <w:tcW w:w="0" w:type="dxa"/>
            <w:vAlign w:val="bottom"/>
          </w:tcPr>
          <w:p>
            <w:pPr>
              <w:spacing w:after="0"/>
              <w:rPr>
                <w:sz w:val="1"/>
                <w:szCs w:val="1"/>
                <w:color w:val="auto"/>
              </w:rPr>
            </w:pPr>
          </w:p>
        </w:tc>
      </w:tr>
      <w:tr>
        <w:trPr>
          <w:trHeight w:val="95"/>
        </w:trPr>
        <w:tc>
          <w:tcPr>
            <w:tcW w:w="8800" w:type="dxa"/>
            <w:vAlign w:val="bottom"/>
            <w:vMerge w:val="continue"/>
            <w:shd w:val="clear" w:color="auto" w:fill="BECFDE"/>
          </w:tcPr>
          <w:p>
            <w:pPr>
              <w:spacing w:after="0"/>
              <w:rPr>
                <w:sz w:val="8"/>
                <w:szCs w:val="8"/>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Bruce S. Gordon</w:t>
            </w:r>
          </w:p>
        </w:tc>
        <w:tc>
          <w:tcPr>
            <w:tcW w:w="0" w:type="dxa"/>
            <w:vAlign w:val="bottom"/>
          </w:tcPr>
          <w:p>
            <w:pPr>
              <w:spacing w:after="0"/>
              <w:rPr>
                <w:sz w:val="1"/>
                <w:szCs w:val="1"/>
                <w:color w:val="auto"/>
              </w:rPr>
            </w:pPr>
          </w:p>
        </w:tc>
      </w:tr>
      <w:tr>
        <w:trPr>
          <w:trHeight w:val="108"/>
        </w:trPr>
        <w:tc>
          <w:tcPr>
            <w:tcW w:w="880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compensation is recommended by the Committee and approved by all the independent directors)</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0" w:type="dxa"/>
            <w:vAlign w:val="bottom"/>
            <w:vMerge w:val="continue"/>
            <w:shd w:val="clear" w:color="auto" w:fill="BECFDE"/>
          </w:tcPr>
          <w:p>
            <w:pPr>
              <w:spacing w:after="0"/>
              <w:rPr>
                <w:sz w:val="9"/>
                <w:szCs w:val="9"/>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Gary Roughead</w:t>
            </w:r>
          </w:p>
        </w:tc>
        <w:tc>
          <w:tcPr>
            <w:tcW w:w="0" w:type="dxa"/>
            <w:vAlign w:val="bottom"/>
          </w:tcPr>
          <w:p>
            <w:pPr>
              <w:spacing w:after="0"/>
              <w:rPr>
                <w:sz w:val="1"/>
                <w:szCs w:val="1"/>
                <w:color w:val="auto"/>
              </w:rPr>
            </w:pPr>
          </w:p>
        </w:tc>
      </w:tr>
      <w:tr>
        <w:trPr>
          <w:trHeight w:val="94"/>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establishing stock ownership guidelines and reviewing ownership levels on an annual basis</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800" w:type="dxa"/>
            <w:vAlign w:val="bottom"/>
            <w:vMerge w:val="continue"/>
            <w:shd w:val="clear" w:color="auto" w:fill="BECFDE"/>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Thomas M. Schoewe</w:t>
            </w:r>
          </w:p>
        </w:tc>
        <w:tc>
          <w:tcPr>
            <w:tcW w:w="0" w:type="dxa"/>
            <w:vAlign w:val="bottom"/>
          </w:tcPr>
          <w:p>
            <w:pPr>
              <w:spacing w:after="0"/>
              <w:rPr>
                <w:sz w:val="1"/>
                <w:szCs w:val="1"/>
                <w:color w:val="auto"/>
              </w:rPr>
            </w:pPr>
          </w:p>
        </w:tc>
      </w:tr>
      <w:tr>
        <w:trPr>
          <w:trHeight w:val="270"/>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administering incentive and equity compensation plans and approving payments or grants under these</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w w:val="98"/>
              </w:rPr>
              <w:t>Number of meetings in</w:t>
            </w:r>
          </w:p>
        </w:tc>
        <w:tc>
          <w:tcPr>
            <w:tcW w:w="0" w:type="dxa"/>
            <w:vAlign w:val="bottom"/>
          </w:tcPr>
          <w:p>
            <w:pPr>
              <w:spacing w:after="0"/>
              <w:rPr>
                <w:sz w:val="1"/>
                <w:szCs w:val="1"/>
                <w:color w:val="auto"/>
              </w:rPr>
            </w:pPr>
          </w:p>
        </w:tc>
      </w:tr>
      <w:tr>
        <w:trPr>
          <w:trHeight w:val="257"/>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plans for elected officers (other than the Chief Executive Officer)</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 xml:space="preserve">2017: </w:t>
            </w:r>
            <w:r>
              <w:rPr>
                <w:rFonts w:ascii="Arial" w:cs="Arial" w:eastAsia="Arial" w:hAnsi="Arial"/>
                <w:sz w:val="18"/>
                <w:szCs w:val="18"/>
                <w:color w:val="000000"/>
              </w:rPr>
              <w:t>7</w:t>
            </w:r>
          </w:p>
        </w:tc>
        <w:tc>
          <w:tcPr>
            <w:tcW w:w="0" w:type="dxa"/>
            <w:vAlign w:val="bottom"/>
          </w:tcPr>
          <w:p>
            <w:pPr>
              <w:spacing w:after="0"/>
              <w:rPr>
                <w:sz w:val="1"/>
                <w:szCs w:val="1"/>
                <w:color w:val="auto"/>
              </w:rPr>
            </w:pPr>
          </w:p>
        </w:tc>
      </w:tr>
      <w:tr>
        <w:trPr>
          <w:trHeight w:val="242"/>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recommending for approval compensation for the non-employee directors, after consultation with the</w:t>
            </w:r>
          </w:p>
        </w:tc>
        <w:tc>
          <w:tcPr>
            <w:tcW w:w="2060" w:type="dxa"/>
            <w:vAlign w:val="bottom"/>
            <w:vMerge w:val="restart"/>
          </w:tcPr>
          <w:p>
            <w:pPr>
              <w:ind w:left="120"/>
              <w:spacing w:after="0"/>
              <w:rPr>
                <w:sz w:val="20"/>
                <w:szCs w:val="20"/>
                <w:color w:val="auto"/>
              </w:rPr>
            </w:pPr>
            <w:r>
              <w:rPr>
                <w:rFonts w:ascii="Arial" w:cs="Arial" w:eastAsia="Arial" w:hAnsi="Arial"/>
                <w:sz w:val="18"/>
                <w:szCs w:val="18"/>
                <w:b w:val="1"/>
                <w:bCs w:val="1"/>
                <w:color w:val="276092"/>
              </w:rPr>
              <w:t>Independence</w:t>
            </w:r>
          </w:p>
        </w:tc>
        <w:tc>
          <w:tcPr>
            <w:tcW w:w="0" w:type="dxa"/>
            <w:vAlign w:val="bottom"/>
          </w:tcPr>
          <w:p>
            <w:pPr>
              <w:spacing w:after="0"/>
              <w:rPr>
                <w:sz w:val="1"/>
                <w:szCs w:val="1"/>
                <w:color w:val="auto"/>
              </w:rPr>
            </w:pPr>
          </w:p>
        </w:tc>
      </w:tr>
      <w:tr>
        <w:trPr>
          <w:trHeight w:val="82"/>
        </w:trPr>
        <w:tc>
          <w:tcPr>
            <w:tcW w:w="880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independent compensation consultant</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800" w:type="dxa"/>
            <w:vAlign w:val="bottom"/>
            <w:vMerge w:val="continue"/>
            <w:shd w:val="clear" w:color="auto" w:fill="BECFDE"/>
          </w:tcPr>
          <w:p>
            <w:pPr>
              <w:spacing w:after="0"/>
              <w:rPr>
                <w:sz w:val="11"/>
                <w:szCs w:val="11"/>
                <w:color w:val="auto"/>
              </w:rPr>
            </w:pPr>
          </w:p>
        </w:tc>
        <w:tc>
          <w:tcPr>
            <w:tcW w:w="2060" w:type="dxa"/>
            <w:vAlign w:val="bottom"/>
            <w:vMerge w:val="restart"/>
          </w:tcPr>
          <w:p>
            <w:pPr>
              <w:ind w:left="12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175"/>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producing an annual report on executive compensation for inclusion in the proxy statement</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8800" w:type="dxa"/>
            <w:vAlign w:val="bottom"/>
            <w:vMerge w:val="continue"/>
            <w:shd w:val="clear" w:color="auto" w:fill="BECFDE"/>
          </w:tcPr>
          <w:p>
            <w:pPr>
              <w:spacing w:after="0"/>
              <w:rPr>
                <w:sz w:val="9"/>
                <w:szCs w:val="9"/>
                <w:color w:val="auto"/>
              </w:rPr>
            </w:pPr>
          </w:p>
        </w:tc>
        <w:tc>
          <w:tcPr>
            <w:tcW w:w="2060" w:type="dxa"/>
            <w:vAlign w:val="bottom"/>
            <w:vMerge w:val="restart"/>
          </w:tcPr>
          <w:p>
            <w:pPr>
              <w:ind w:left="12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r>
        <w:trPr>
          <w:trHeight w:val="108"/>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providing support to the Board in carrying out its overall responsibilities related to executive compensation</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800" w:type="dxa"/>
            <w:vAlign w:val="bottom"/>
            <w:vMerge w:val="continue"/>
            <w:shd w:val="clear" w:color="auto" w:fill="BECFDE"/>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276092"/>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-170815</wp:posOffset>
            </wp:positionV>
            <wp:extent cx="7006590" cy="30270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06590" cy="3027045"/>
                    </a:xfrm>
                    <a:prstGeom prst="rect">
                      <a:avLst/>
                    </a:prstGeom>
                    <a:noFill/>
                  </pic:spPr>
                </pic:pic>
              </a:graphicData>
            </a:graphic>
          </wp:anchor>
        </w:drawing>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b w:val="1"/>
                <w:bCs w:val="1"/>
                <w:color w:val="276092"/>
              </w:rPr>
              <w:t>Roles and Responsibilities</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Committee Members</w:t>
            </w:r>
          </w:p>
        </w:tc>
        <w:tc>
          <w:tcPr>
            <w:tcW w:w="0" w:type="dxa"/>
            <w:vAlign w:val="bottom"/>
          </w:tcPr>
          <w:p>
            <w:pPr>
              <w:spacing w:after="0"/>
              <w:rPr>
                <w:sz w:val="1"/>
                <w:szCs w:val="1"/>
                <w:color w:val="auto"/>
              </w:rPr>
            </w:pPr>
          </w:p>
        </w:tc>
      </w:tr>
      <w:tr>
        <w:trPr>
          <w:trHeight w:val="238"/>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auto"/>
              </w:rPr>
              <w:t>Assist the Board in overseeing the Company’s corporate governance practices by:</w:t>
            </w:r>
          </w:p>
        </w:tc>
        <w:tc>
          <w:tcPr>
            <w:tcW w:w="2060" w:type="dxa"/>
            <w:vAlign w:val="bottom"/>
          </w:tcPr>
          <w:p>
            <w:pPr>
              <w:ind w:left="120"/>
              <w:spacing w:after="0"/>
              <w:rPr>
                <w:sz w:val="20"/>
                <w:szCs w:val="20"/>
                <w:color w:val="auto"/>
              </w:rPr>
            </w:pPr>
            <w:r>
              <w:rPr>
                <w:rFonts w:ascii="Arial" w:cs="Arial" w:eastAsia="Arial" w:hAnsi="Arial"/>
                <w:sz w:val="18"/>
                <w:szCs w:val="18"/>
                <w:color w:val="auto"/>
              </w:rPr>
              <w:t>Madeleine A. Kleiner</w:t>
            </w:r>
          </w:p>
        </w:tc>
        <w:tc>
          <w:tcPr>
            <w:tcW w:w="0" w:type="dxa"/>
            <w:vAlign w:val="bottom"/>
          </w:tcPr>
          <w:p>
            <w:pPr>
              <w:spacing w:after="0"/>
              <w:rPr>
                <w:sz w:val="1"/>
                <w:szCs w:val="1"/>
                <w:color w:val="auto"/>
              </w:rPr>
            </w:pPr>
          </w:p>
        </w:tc>
      </w:tr>
      <w:tr>
        <w:trPr>
          <w:trHeight w:val="203"/>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regularly reviewing the Company’s corporate governance policies and practices, including the Principles</w:t>
            </w:r>
          </w:p>
        </w:tc>
        <w:tc>
          <w:tcPr>
            <w:tcW w:w="2060" w:type="dxa"/>
            <w:vAlign w:val="bottom"/>
          </w:tcPr>
          <w:p>
            <w:pPr>
              <w:ind w:left="120"/>
              <w:spacing w:after="0" w:line="202" w:lineRule="exact"/>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95"/>
        </w:trPr>
        <w:tc>
          <w:tcPr>
            <w:tcW w:w="8800" w:type="dxa"/>
            <w:vAlign w:val="bottom"/>
            <w:vMerge w:val="continue"/>
            <w:shd w:val="clear" w:color="auto" w:fill="BECFDE"/>
          </w:tcPr>
          <w:p>
            <w:pPr>
              <w:spacing w:after="0"/>
              <w:rPr>
                <w:sz w:val="8"/>
                <w:szCs w:val="8"/>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Donald E. Felsinger</w:t>
            </w:r>
          </w:p>
        </w:tc>
        <w:tc>
          <w:tcPr>
            <w:tcW w:w="0" w:type="dxa"/>
            <w:vAlign w:val="bottom"/>
          </w:tcPr>
          <w:p>
            <w:pPr>
              <w:spacing w:after="0"/>
              <w:rPr>
                <w:sz w:val="1"/>
                <w:szCs w:val="1"/>
                <w:color w:val="auto"/>
              </w:rPr>
            </w:pPr>
          </w:p>
        </w:tc>
      </w:tr>
      <w:tr>
        <w:trPr>
          <w:trHeight w:val="108"/>
        </w:trPr>
        <w:tc>
          <w:tcPr>
            <w:tcW w:w="880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of Corporate Governance and the Company’s Bylaws</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0" w:type="dxa"/>
            <w:vAlign w:val="bottom"/>
            <w:vMerge w:val="continue"/>
            <w:shd w:val="clear" w:color="auto" w:fill="BECFDE"/>
          </w:tcPr>
          <w:p>
            <w:pPr>
              <w:spacing w:after="0"/>
              <w:rPr>
                <w:sz w:val="9"/>
                <w:szCs w:val="9"/>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William H. Hernandez</w:t>
            </w:r>
          </w:p>
        </w:tc>
        <w:tc>
          <w:tcPr>
            <w:tcW w:w="0" w:type="dxa"/>
            <w:vAlign w:val="bottom"/>
          </w:tcPr>
          <w:p>
            <w:pPr>
              <w:spacing w:after="0"/>
              <w:rPr>
                <w:sz w:val="1"/>
                <w:szCs w:val="1"/>
                <w:color w:val="auto"/>
              </w:rPr>
            </w:pPr>
          </w:p>
        </w:tc>
      </w:tr>
      <w:tr>
        <w:trPr>
          <w:trHeight w:val="94"/>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regularly reviewing and considering corporate governance developments, emerging trends and best</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800" w:type="dxa"/>
            <w:vAlign w:val="bottom"/>
            <w:vMerge w:val="continue"/>
            <w:shd w:val="clear" w:color="auto" w:fill="BECFDE"/>
          </w:tcPr>
          <w:p>
            <w:pPr>
              <w:spacing w:after="0"/>
              <w:rPr>
                <w:sz w:val="16"/>
                <w:szCs w:val="16"/>
                <w:color w:val="auto"/>
              </w:rPr>
            </w:pPr>
          </w:p>
        </w:tc>
        <w:tc>
          <w:tcPr>
            <w:tcW w:w="2060" w:type="dxa"/>
            <w:vAlign w:val="bottom"/>
          </w:tcPr>
          <w:p>
            <w:pPr>
              <w:ind w:left="120"/>
              <w:spacing w:after="0" w:line="189" w:lineRule="exact"/>
              <w:rPr>
                <w:sz w:val="20"/>
                <w:szCs w:val="20"/>
                <w:color w:val="auto"/>
              </w:rPr>
            </w:pPr>
            <w:r>
              <w:rPr>
                <w:rFonts w:ascii="Arial" w:cs="Arial" w:eastAsia="Arial" w:hAnsi="Arial"/>
                <w:sz w:val="18"/>
                <w:szCs w:val="18"/>
                <w:color w:val="auto"/>
              </w:rPr>
              <w:t>Karl J. Krapek</w:t>
            </w:r>
          </w:p>
        </w:tc>
        <w:tc>
          <w:tcPr>
            <w:tcW w:w="0" w:type="dxa"/>
            <w:vAlign w:val="bottom"/>
          </w:tcPr>
          <w:p>
            <w:pPr>
              <w:spacing w:after="0"/>
              <w:rPr>
                <w:sz w:val="1"/>
                <w:szCs w:val="1"/>
                <w:color w:val="auto"/>
              </w:rPr>
            </w:pPr>
          </w:p>
        </w:tc>
      </w:tr>
      <w:tr>
        <w:trPr>
          <w:trHeight w:val="216"/>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practices and recommending changes to the Board</w:t>
            </w:r>
          </w:p>
        </w:tc>
        <w:tc>
          <w:tcPr>
            <w:tcW w:w="2060" w:type="dxa"/>
            <w:vAlign w:val="bottom"/>
          </w:tcPr>
          <w:p>
            <w:pPr>
              <w:ind w:left="120"/>
              <w:spacing w:after="0"/>
              <w:rPr>
                <w:sz w:val="20"/>
                <w:szCs w:val="20"/>
                <w:color w:val="auto"/>
              </w:rPr>
            </w:pPr>
            <w:r>
              <w:rPr>
                <w:rFonts w:ascii="Arial" w:cs="Arial" w:eastAsia="Arial" w:hAnsi="Arial"/>
                <w:sz w:val="18"/>
                <w:szCs w:val="18"/>
                <w:color w:val="auto"/>
              </w:rPr>
              <w:t>Gary Roughead</w:t>
            </w:r>
          </w:p>
        </w:tc>
        <w:tc>
          <w:tcPr>
            <w:tcW w:w="0" w:type="dxa"/>
            <w:vAlign w:val="bottom"/>
          </w:tcPr>
          <w:p>
            <w:pPr>
              <w:spacing w:after="0"/>
              <w:rPr>
                <w:sz w:val="1"/>
                <w:szCs w:val="1"/>
                <w:color w:val="auto"/>
              </w:rPr>
            </w:pPr>
          </w:p>
        </w:tc>
      </w:tr>
      <w:tr>
        <w:trPr>
          <w:trHeight w:val="284"/>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making recommendations with respect to shareholder proposals and the results of</w:t>
            </w:r>
          </w:p>
        </w:tc>
        <w:tc>
          <w:tcPr>
            <w:tcW w:w="2060" w:type="dxa"/>
            <w:vAlign w:val="bottom"/>
          </w:tcPr>
          <w:p>
            <w:pPr>
              <w:ind w:left="120"/>
              <w:spacing w:after="0"/>
              <w:rPr>
                <w:sz w:val="20"/>
                <w:szCs w:val="20"/>
                <w:color w:val="auto"/>
              </w:rPr>
            </w:pPr>
            <w:r>
              <w:rPr>
                <w:rFonts w:ascii="Arial" w:cs="Arial" w:eastAsia="Arial" w:hAnsi="Arial"/>
                <w:sz w:val="18"/>
                <w:szCs w:val="18"/>
                <w:color w:val="auto"/>
              </w:rPr>
              <w:t>James S. Turley</w:t>
            </w:r>
          </w:p>
        </w:tc>
        <w:tc>
          <w:tcPr>
            <w:tcW w:w="0" w:type="dxa"/>
            <w:vAlign w:val="bottom"/>
          </w:tcPr>
          <w:p>
            <w:pPr>
              <w:spacing w:after="0"/>
              <w:rPr>
                <w:sz w:val="1"/>
                <w:szCs w:val="1"/>
                <w:color w:val="auto"/>
              </w:rPr>
            </w:pPr>
          </w:p>
        </w:tc>
      </w:tr>
      <w:tr>
        <w:trPr>
          <w:trHeight w:val="221"/>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shareholder proposals, if any, voted on at a shareholders meeting</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w w:val="98"/>
              </w:rPr>
              <w:t>Number of meetings in</w:t>
            </w:r>
          </w:p>
        </w:tc>
        <w:tc>
          <w:tcPr>
            <w:tcW w:w="0" w:type="dxa"/>
            <w:vAlign w:val="bottom"/>
          </w:tcPr>
          <w:p>
            <w:pPr>
              <w:spacing w:after="0"/>
              <w:rPr>
                <w:sz w:val="1"/>
                <w:szCs w:val="1"/>
                <w:color w:val="auto"/>
              </w:rPr>
            </w:pPr>
          </w:p>
        </w:tc>
      </w:tr>
      <w:tr>
        <w:trPr>
          <w:trHeight w:val="279"/>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regularly reviewing and making recommendations to the Board regarding the composition and size of the</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 xml:space="preserve">2017: </w:t>
            </w:r>
            <w:r>
              <w:rPr>
                <w:rFonts w:ascii="Arial" w:cs="Arial" w:eastAsia="Arial" w:hAnsi="Arial"/>
                <w:sz w:val="18"/>
                <w:szCs w:val="18"/>
                <w:color w:val="000000"/>
              </w:rPr>
              <w:t>5</w:t>
            </w:r>
          </w:p>
        </w:tc>
        <w:tc>
          <w:tcPr>
            <w:tcW w:w="0" w:type="dxa"/>
            <w:vAlign w:val="bottom"/>
          </w:tcPr>
          <w:p>
            <w:pPr>
              <w:spacing w:after="0"/>
              <w:rPr>
                <w:sz w:val="1"/>
                <w:szCs w:val="1"/>
                <w:color w:val="auto"/>
              </w:rPr>
            </w:pPr>
          </w:p>
        </w:tc>
      </w:tr>
      <w:tr>
        <w:trPr>
          <w:trHeight w:val="230"/>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Board and the criteria for Board membership, which should include, among other things, diversity,</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Independence</w:t>
            </w:r>
          </w:p>
        </w:tc>
        <w:tc>
          <w:tcPr>
            <w:tcW w:w="0" w:type="dxa"/>
            <w:vAlign w:val="bottom"/>
          </w:tcPr>
          <w:p>
            <w:pPr>
              <w:spacing w:after="0"/>
              <w:rPr>
                <w:sz w:val="1"/>
                <w:szCs w:val="1"/>
                <w:color w:val="auto"/>
              </w:rPr>
            </w:pPr>
          </w:p>
        </w:tc>
      </w:tr>
      <w:tr>
        <w:trPr>
          <w:trHeight w:val="217"/>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experience and integrity</w:t>
            </w:r>
          </w:p>
        </w:tc>
        <w:tc>
          <w:tcPr>
            <w:tcW w:w="2060" w:type="dxa"/>
            <w:vAlign w:val="bottom"/>
            <w:vMerge w:val="restart"/>
          </w:tcPr>
          <w:p>
            <w:pPr>
              <w:ind w:left="12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147"/>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providing effective board succession planning, identifying and recommending to the Board qualified</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800" w:type="dxa"/>
            <w:vAlign w:val="bottom"/>
            <w:vMerge w:val="continue"/>
            <w:shd w:val="clear" w:color="auto" w:fill="BECFDE"/>
          </w:tcPr>
          <w:p>
            <w:pPr>
              <w:spacing w:after="0"/>
              <w:rPr>
                <w:sz w:val="9"/>
                <w:szCs w:val="9"/>
                <w:color w:val="auto"/>
              </w:rPr>
            </w:pPr>
          </w:p>
        </w:tc>
        <w:tc>
          <w:tcPr>
            <w:tcW w:w="2060" w:type="dxa"/>
            <w:vAlign w:val="bottom"/>
            <w:vMerge w:val="restart"/>
          </w:tcPr>
          <w:p>
            <w:pPr>
              <w:ind w:left="12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r>
        <w:trPr>
          <w:trHeight w:val="109"/>
        </w:trPr>
        <w:tc>
          <w:tcPr>
            <w:tcW w:w="8800" w:type="dxa"/>
            <w:vAlign w:val="bottom"/>
            <w:vMerge w:val="restart"/>
            <w:shd w:val="clear" w:color="auto" w:fill="BECFDE"/>
          </w:tcPr>
          <w:p>
            <w:pPr>
              <w:ind w:left="400"/>
              <w:spacing w:after="0" w:line="202" w:lineRule="exact"/>
              <w:rPr>
                <w:sz w:val="20"/>
                <w:szCs w:val="20"/>
                <w:color w:val="auto"/>
              </w:rPr>
            </w:pPr>
            <w:r>
              <w:rPr>
                <w:rFonts w:ascii="Arial" w:cs="Arial" w:eastAsia="Arial" w:hAnsi="Arial"/>
                <w:sz w:val="18"/>
                <w:szCs w:val="18"/>
                <w:color w:val="auto"/>
              </w:rPr>
              <w:t>potential candidates to serve on the Board and its committees and, if applicable, meeting with proxy</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800" w:type="dxa"/>
            <w:vAlign w:val="bottom"/>
            <w:vMerge w:val="continue"/>
            <w:shd w:val="clear" w:color="auto" w:fill="BECFD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access nominees nominated through the Company’s proxy access bylaw provision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determining whether a director’s service on another board or elsewhere is likely to interfere</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with the director’s duties and responsibilities as a member of the Board</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recommending board, director and committee evaluation processes and coordinating the</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process for the Board to evaluate its performance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276092"/>
        </w:rPr>
        <w:t>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-170815</wp:posOffset>
            </wp:positionV>
            <wp:extent cx="7006590" cy="2066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06590" cy="2066925"/>
                    </a:xfrm>
                    <a:prstGeom prst="rect">
                      <a:avLst/>
                    </a:prstGeom>
                    <a:noFill/>
                  </pic:spPr>
                </pic:pic>
              </a:graphicData>
            </a:graphic>
          </wp:anchor>
        </w:drawing>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259"/>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b w:val="1"/>
                <w:bCs w:val="1"/>
                <w:color w:val="276092"/>
              </w:rPr>
              <w:t>Roles and Responsibilities</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Committee Members</w:t>
            </w:r>
          </w:p>
        </w:tc>
        <w:tc>
          <w:tcPr>
            <w:tcW w:w="0" w:type="dxa"/>
            <w:vAlign w:val="bottom"/>
          </w:tcPr>
          <w:p>
            <w:pPr>
              <w:spacing w:after="0"/>
              <w:rPr>
                <w:sz w:val="1"/>
                <w:szCs w:val="1"/>
                <w:color w:val="auto"/>
              </w:rPr>
            </w:pPr>
          </w:p>
        </w:tc>
      </w:tr>
      <w:tr>
        <w:trPr>
          <w:trHeight w:val="238"/>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auto"/>
              </w:rPr>
              <w:t>Assist the Board in overseeing policy, government relations and corporate responsibility by:</w:t>
            </w:r>
          </w:p>
        </w:tc>
        <w:tc>
          <w:tcPr>
            <w:tcW w:w="2060" w:type="dxa"/>
            <w:vAlign w:val="bottom"/>
          </w:tcPr>
          <w:p>
            <w:pPr>
              <w:ind w:left="120"/>
              <w:spacing w:after="0"/>
              <w:rPr>
                <w:sz w:val="20"/>
                <w:szCs w:val="20"/>
                <w:color w:val="auto"/>
              </w:rPr>
            </w:pPr>
            <w:r>
              <w:rPr>
                <w:rFonts w:ascii="Arial" w:cs="Arial" w:eastAsia="Arial" w:hAnsi="Arial"/>
                <w:sz w:val="18"/>
                <w:szCs w:val="18"/>
                <w:color w:val="auto"/>
              </w:rPr>
              <w:t>Bruce S. Gordon (chair)</w:t>
            </w:r>
          </w:p>
        </w:tc>
        <w:tc>
          <w:tcPr>
            <w:tcW w:w="0" w:type="dxa"/>
            <w:vAlign w:val="bottom"/>
          </w:tcPr>
          <w:p>
            <w:pPr>
              <w:spacing w:after="0"/>
              <w:rPr>
                <w:sz w:val="1"/>
                <w:szCs w:val="1"/>
                <w:color w:val="auto"/>
              </w:rPr>
            </w:pPr>
          </w:p>
        </w:tc>
      </w:tr>
      <w:tr>
        <w:trPr>
          <w:trHeight w:val="203"/>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identifying and evaluating global security, budgetary and other issues and trends that could impact the</w:t>
            </w:r>
          </w:p>
        </w:tc>
        <w:tc>
          <w:tcPr>
            <w:tcW w:w="2060" w:type="dxa"/>
            <w:vAlign w:val="bottom"/>
          </w:tcPr>
          <w:p>
            <w:pPr>
              <w:ind w:left="120"/>
              <w:spacing w:after="0" w:line="202" w:lineRule="exact"/>
              <w:rPr>
                <w:sz w:val="20"/>
                <w:szCs w:val="20"/>
                <w:color w:val="auto"/>
              </w:rPr>
            </w:pPr>
            <w:r>
              <w:rPr>
                <w:rFonts w:ascii="Arial" w:cs="Arial" w:eastAsia="Arial" w:hAnsi="Arial"/>
                <w:sz w:val="18"/>
                <w:szCs w:val="18"/>
                <w:color w:val="auto"/>
              </w:rPr>
              <w:t>Marianne C. Brown</w:t>
            </w:r>
          </w:p>
        </w:tc>
        <w:tc>
          <w:tcPr>
            <w:tcW w:w="0" w:type="dxa"/>
            <w:vAlign w:val="bottom"/>
          </w:tcPr>
          <w:p>
            <w:pPr>
              <w:spacing w:after="0"/>
              <w:rPr>
                <w:sz w:val="1"/>
                <w:szCs w:val="1"/>
                <w:color w:val="auto"/>
              </w:rPr>
            </w:pPr>
          </w:p>
        </w:tc>
      </w:tr>
      <w:tr>
        <w:trPr>
          <w:trHeight w:val="95"/>
        </w:trPr>
        <w:tc>
          <w:tcPr>
            <w:tcW w:w="8800" w:type="dxa"/>
            <w:vAlign w:val="bottom"/>
            <w:vMerge w:val="continue"/>
            <w:shd w:val="clear" w:color="auto" w:fill="BECFDE"/>
          </w:tcPr>
          <w:p>
            <w:pPr>
              <w:spacing w:after="0"/>
              <w:rPr>
                <w:sz w:val="8"/>
                <w:szCs w:val="8"/>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Victor H. Fazio</w:t>
            </w:r>
          </w:p>
        </w:tc>
        <w:tc>
          <w:tcPr>
            <w:tcW w:w="0" w:type="dxa"/>
            <w:vAlign w:val="bottom"/>
          </w:tcPr>
          <w:p>
            <w:pPr>
              <w:spacing w:after="0"/>
              <w:rPr>
                <w:sz w:val="1"/>
                <w:szCs w:val="1"/>
                <w:color w:val="auto"/>
              </w:rPr>
            </w:pPr>
          </w:p>
        </w:tc>
      </w:tr>
      <w:tr>
        <w:trPr>
          <w:trHeight w:val="108"/>
        </w:trPr>
        <w:tc>
          <w:tcPr>
            <w:tcW w:w="8800" w:type="dxa"/>
            <w:vAlign w:val="bottom"/>
            <w:vMerge w:val="restart"/>
            <w:shd w:val="clear" w:color="auto" w:fill="BECFDE"/>
          </w:tcPr>
          <w:p>
            <w:pPr>
              <w:ind w:left="400"/>
              <w:spacing w:after="0"/>
              <w:rPr>
                <w:sz w:val="20"/>
                <w:szCs w:val="20"/>
                <w:color w:val="auto"/>
              </w:rPr>
            </w:pPr>
            <w:r>
              <w:rPr>
                <w:rFonts w:ascii="Arial" w:cs="Arial" w:eastAsia="Arial" w:hAnsi="Arial"/>
                <w:sz w:val="18"/>
                <w:szCs w:val="18"/>
                <w:color w:val="auto"/>
              </w:rPr>
              <w:t>Company’s business activities and performance</w:t>
            </w: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8800" w:type="dxa"/>
            <w:vAlign w:val="bottom"/>
            <w:vMerge w:val="continue"/>
            <w:shd w:val="clear" w:color="auto" w:fill="BECFDE"/>
          </w:tcPr>
          <w:p>
            <w:pPr>
              <w:spacing w:after="0"/>
              <w:rPr>
                <w:sz w:val="9"/>
                <w:szCs w:val="9"/>
                <w:color w:val="auto"/>
              </w:rPr>
            </w:pPr>
          </w:p>
        </w:tc>
        <w:tc>
          <w:tcPr>
            <w:tcW w:w="20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Ann M. Fudge</w:t>
            </w:r>
          </w:p>
        </w:tc>
        <w:tc>
          <w:tcPr>
            <w:tcW w:w="0" w:type="dxa"/>
            <w:vAlign w:val="bottom"/>
          </w:tcPr>
          <w:p>
            <w:pPr>
              <w:spacing w:after="0"/>
              <w:rPr>
                <w:sz w:val="1"/>
                <w:szCs w:val="1"/>
                <w:color w:val="auto"/>
              </w:rPr>
            </w:pPr>
          </w:p>
        </w:tc>
      </w:tr>
      <w:tr>
        <w:trPr>
          <w:trHeight w:val="94"/>
        </w:trPr>
        <w:tc>
          <w:tcPr>
            <w:tcW w:w="8800" w:type="dxa"/>
            <w:vAlign w:val="bottom"/>
            <w:vMerge w:val="restart"/>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providing oversight over the Company’s ethics and corporate responsibility policies and</w:t>
            </w: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8800" w:type="dxa"/>
            <w:vAlign w:val="bottom"/>
            <w:vMerge w:val="continue"/>
            <w:shd w:val="clear" w:color="auto" w:fill="BECFDE"/>
          </w:tcPr>
          <w:p>
            <w:pPr>
              <w:spacing w:after="0"/>
              <w:rPr>
                <w:sz w:val="16"/>
                <w:szCs w:val="16"/>
                <w:color w:val="auto"/>
              </w:rPr>
            </w:pPr>
          </w:p>
        </w:tc>
        <w:tc>
          <w:tcPr>
            <w:tcW w:w="2060" w:type="dxa"/>
            <w:vAlign w:val="bottom"/>
          </w:tcPr>
          <w:p>
            <w:pPr>
              <w:ind w:left="120"/>
              <w:spacing w:after="0" w:line="189" w:lineRule="exact"/>
              <w:rPr>
                <w:sz w:val="20"/>
                <w:szCs w:val="20"/>
                <w:color w:val="auto"/>
              </w:rPr>
            </w:pPr>
            <w:r>
              <w:rPr>
                <w:rFonts w:ascii="Arial" w:cs="Arial" w:eastAsia="Arial" w:hAnsi="Arial"/>
                <w:sz w:val="18"/>
                <w:szCs w:val="18"/>
                <w:color w:val="auto"/>
              </w:rPr>
              <w:t>Thomas M. Schoewe</w:t>
            </w:r>
          </w:p>
        </w:tc>
        <w:tc>
          <w:tcPr>
            <w:tcW w:w="0" w:type="dxa"/>
            <w:vAlign w:val="bottom"/>
          </w:tcPr>
          <w:p>
            <w:pPr>
              <w:spacing w:after="0"/>
              <w:rPr>
                <w:sz w:val="1"/>
                <w:szCs w:val="1"/>
                <w:color w:val="auto"/>
              </w:rPr>
            </w:pPr>
          </w:p>
        </w:tc>
      </w:tr>
      <w:tr>
        <w:trPr>
          <w:trHeight w:val="230"/>
        </w:trPr>
        <w:tc>
          <w:tcPr>
            <w:tcW w:w="8800" w:type="dxa"/>
            <w:vAlign w:val="bottom"/>
            <w:shd w:val="clear" w:color="auto" w:fill="BECFDE"/>
          </w:tcPr>
          <w:p>
            <w:pPr>
              <w:ind w:left="400"/>
              <w:spacing w:after="0"/>
              <w:rPr>
                <w:sz w:val="20"/>
                <w:szCs w:val="20"/>
                <w:color w:val="auto"/>
              </w:rPr>
            </w:pPr>
            <w:r>
              <w:rPr>
                <w:rFonts w:ascii="Arial" w:cs="Arial" w:eastAsia="Arial" w:hAnsi="Arial"/>
                <w:sz w:val="18"/>
                <w:szCs w:val="18"/>
                <w:color w:val="auto"/>
              </w:rPr>
              <w:t>programs</w:t>
            </w:r>
          </w:p>
        </w:tc>
        <w:tc>
          <w:tcPr>
            <w:tcW w:w="2060" w:type="dxa"/>
            <w:vAlign w:val="bottom"/>
          </w:tcPr>
          <w:p>
            <w:pPr>
              <w:ind w:left="120"/>
              <w:spacing w:after="0"/>
              <w:rPr>
                <w:sz w:val="20"/>
                <w:szCs w:val="20"/>
                <w:color w:val="auto"/>
              </w:rPr>
            </w:pPr>
            <w:r>
              <w:rPr>
                <w:rFonts w:ascii="Arial" w:cs="Arial" w:eastAsia="Arial" w:hAnsi="Arial"/>
                <w:sz w:val="18"/>
                <w:szCs w:val="18"/>
                <w:color w:val="auto"/>
              </w:rPr>
              <w:t>Mark A. Welsh III</w:t>
            </w:r>
          </w:p>
        </w:tc>
        <w:tc>
          <w:tcPr>
            <w:tcW w:w="0" w:type="dxa"/>
            <w:vAlign w:val="bottom"/>
          </w:tcPr>
          <w:p>
            <w:pPr>
              <w:spacing w:after="0"/>
              <w:rPr>
                <w:sz w:val="1"/>
                <w:szCs w:val="1"/>
                <w:color w:val="auto"/>
              </w:rPr>
            </w:pPr>
          </w:p>
        </w:tc>
      </w:tr>
      <w:tr>
        <w:trPr>
          <w:trHeight w:val="288"/>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the Company’s public relations and advertising strategy</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w w:val="98"/>
              </w:rPr>
              <w:t>Number of meetings in</w:t>
            </w:r>
          </w:p>
        </w:tc>
        <w:tc>
          <w:tcPr>
            <w:tcW w:w="0" w:type="dxa"/>
            <w:vAlign w:val="bottom"/>
          </w:tcPr>
          <w:p>
            <w:pPr>
              <w:spacing w:after="0"/>
              <w:rPr>
                <w:sz w:val="1"/>
                <w:szCs w:val="1"/>
                <w:color w:val="auto"/>
              </w:rPr>
            </w:pPr>
          </w:p>
        </w:tc>
      </w:tr>
      <w:tr>
        <w:trPr>
          <w:trHeight w:val="279"/>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monitoring the Company’s government relations strategy and political action committee</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 xml:space="preserve">2017: </w:t>
            </w:r>
            <w:r>
              <w:rPr>
                <w:rFonts w:ascii="Arial" w:cs="Arial" w:eastAsia="Arial" w:hAnsi="Arial"/>
                <w:sz w:val="18"/>
                <w:szCs w:val="18"/>
                <w:color w:val="000000"/>
              </w:rPr>
              <w:t>4</w:t>
            </w:r>
          </w:p>
        </w:tc>
        <w:tc>
          <w:tcPr>
            <w:tcW w:w="0" w:type="dxa"/>
            <w:vAlign w:val="bottom"/>
          </w:tcPr>
          <w:p>
            <w:pPr>
              <w:spacing w:after="0"/>
              <w:rPr>
                <w:sz w:val="1"/>
                <w:szCs w:val="1"/>
                <w:color w:val="auto"/>
              </w:rPr>
            </w:pPr>
          </w:p>
        </w:tc>
      </w:tr>
      <w:tr>
        <w:trPr>
          <w:trHeight w:val="297"/>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the Company’s community relations activities</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276092"/>
              </w:rPr>
              <w:t>Independence</w:t>
            </w:r>
          </w:p>
        </w:tc>
        <w:tc>
          <w:tcPr>
            <w:tcW w:w="0" w:type="dxa"/>
            <w:vAlign w:val="bottom"/>
          </w:tcPr>
          <w:p>
            <w:pPr>
              <w:spacing w:after="0"/>
              <w:rPr>
                <w:sz w:val="1"/>
                <w:szCs w:val="1"/>
                <w:color w:val="auto"/>
              </w:rPr>
            </w:pPr>
          </w:p>
        </w:tc>
      </w:tr>
      <w:tr>
        <w:trPr>
          <w:trHeight w:val="296"/>
        </w:trPr>
        <w:tc>
          <w:tcPr>
            <w:tcW w:w="8800" w:type="dxa"/>
            <w:vAlign w:val="bottom"/>
            <w:shd w:val="clear" w:color="auto" w:fill="BECFDE"/>
          </w:tcPr>
          <w:p>
            <w:pPr>
              <w:ind w:left="140"/>
              <w:spacing w:after="0"/>
              <w:rPr>
                <w:sz w:val="20"/>
                <w:szCs w:val="20"/>
                <w:color w:val="auto"/>
              </w:rPr>
            </w:pPr>
            <w:r>
              <w:rPr>
                <w:rFonts w:ascii="Arial" w:cs="Arial" w:eastAsia="Arial" w:hAnsi="Arial"/>
                <w:sz w:val="18"/>
                <w:szCs w:val="18"/>
                <w:color w:val="276092"/>
              </w:rPr>
              <w:t xml:space="preserve">·  </w:t>
            </w:r>
            <w:r>
              <w:rPr>
                <w:rFonts w:ascii="Arial" w:cs="Arial" w:eastAsia="Arial" w:hAnsi="Arial"/>
                <w:sz w:val="18"/>
                <w:szCs w:val="18"/>
                <w:color w:val="000000"/>
              </w:rPr>
              <w:t>reviewing and providing oversight of the Company’s environmental sustainability program</w:t>
            </w:r>
          </w:p>
        </w:tc>
        <w:tc>
          <w:tcPr>
            <w:tcW w:w="2060" w:type="dxa"/>
            <w:vAlign w:val="bottom"/>
          </w:tcPr>
          <w:p>
            <w:pPr>
              <w:ind w:left="120"/>
              <w:spacing w:after="0"/>
              <w:rPr>
                <w:sz w:val="20"/>
                <w:szCs w:val="20"/>
                <w:color w:val="auto"/>
              </w:rPr>
            </w:pPr>
            <w:r>
              <w:rPr>
                <w:rFonts w:ascii="Arial" w:cs="Arial" w:eastAsia="Arial" w:hAnsi="Arial"/>
                <w:sz w:val="18"/>
                <w:szCs w:val="18"/>
                <w:color w:val="auto"/>
              </w:rPr>
              <w:t>All members are</w:t>
            </w:r>
          </w:p>
        </w:tc>
        <w:tc>
          <w:tcPr>
            <w:tcW w:w="0" w:type="dxa"/>
            <w:vAlign w:val="bottom"/>
          </w:tcPr>
          <w:p>
            <w:pPr>
              <w:spacing w:after="0"/>
              <w:rPr>
                <w:sz w:val="1"/>
                <w:szCs w:val="1"/>
                <w:color w:val="auto"/>
              </w:rPr>
            </w:pPr>
          </w:p>
        </w:tc>
      </w:tr>
      <w:tr>
        <w:trPr>
          <w:trHeight w:val="217"/>
        </w:trPr>
        <w:tc>
          <w:tcPr>
            <w:tcW w:w="8800" w:type="dxa"/>
            <w:vAlign w:val="bottom"/>
            <w:shd w:val="clear" w:color="auto" w:fill="BECFDE"/>
          </w:tcPr>
          <w:p>
            <w:pPr>
              <w:spacing w:after="0"/>
              <w:rPr>
                <w:sz w:val="18"/>
                <w:szCs w:val="18"/>
                <w:color w:val="auto"/>
              </w:rPr>
            </w:pPr>
          </w:p>
        </w:tc>
        <w:tc>
          <w:tcPr>
            <w:tcW w:w="2060" w:type="dxa"/>
            <w:vAlign w:val="bottom"/>
          </w:tcPr>
          <w:p>
            <w:pPr>
              <w:ind w:left="120"/>
              <w:spacing w:after="0"/>
              <w:rPr>
                <w:sz w:val="20"/>
                <w:szCs w:val="20"/>
                <w:color w:val="auto"/>
              </w:rPr>
            </w:pPr>
            <w:r>
              <w:rPr>
                <w:rFonts w:ascii="Arial" w:cs="Arial" w:eastAsia="Arial" w:hAnsi="Arial"/>
                <w:sz w:val="18"/>
                <w:szCs w:val="18"/>
                <w:color w:val="auto"/>
              </w:rPr>
              <w:t>independent</w:t>
            </w: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080"/>
          </w:cols>
          <w:pgMar w:left="240" w:top="459" w:right="579" w:bottom="1440" w:gutter="0" w:footer="0" w:header="0"/>
        </w:sectPr>
      </w:pPr>
    </w:p>
    <w:p>
      <w:pPr>
        <w:ind w:left="460" w:hanging="256"/>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080"/>
          </w:cols>
          <w:pgMar w:left="240" w:top="459" w:right="5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Meetings and Executive Sessions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197"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Board holds its meetings at Company locations other than our corporate headquarters on a regular basis to provide the directors with a first-hand view of different elements of our business and an opportunity to interact with local management.</w:t>
      </w:r>
    </w:p>
    <w:p>
      <w:pPr>
        <w:spacing w:after="0" w:line="197"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Board meets in executive session (with the directors only and then with the independent directors only) following each in-person Board meeting and on other occasions as needed. The non-executive Chairperson or the Lead Independent Director presides over the executive sessions of the independent directors. The Audit Committee meets in executive session at each in-person Audit Committee meeting, and regularly requests separate executive sessions with representatives of our independent auditor and our senior management, including our Chief Financial Officer, General Counsel and our Vice President, Internal Audit. The Compensation Committee also meets in executive session from time to time and regularly receives a report from the Compensation Committee’s independent compensation consultant. The Governance and Policy Committees also meet in executive session as they deem necessary.</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During 2017, the Board held 14 meetings. Each incumbent director serving in 2017 attended 75% or more of the total number of Board and committee meetings he or she was eligible to attend. Board members are expected to attend the Annual Meeting, except where the failure to attend is due to unavoidable circumstances. All of our then-serving directors attended the 2017 Annual Meeting.</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Board has established an objective that at least 75% of our directors be independent directors. The Board and the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Principles of Corporate Governance provide that a director may be found not to qualify as an independent director if the director:</w:t>
      </w:r>
    </w:p>
    <w:p>
      <w:pPr>
        <w:spacing w:after="0" w:line="117" w:lineRule="exact"/>
        <w:rPr>
          <w:sz w:val="20"/>
          <w:szCs w:val="20"/>
          <w:color w:val="auto"/>
        </w:rPr>
      </w:pPr>
    </w:p>
    <w:p>
      <w:pPr>
        <w:ind w:left="520" w:right="40" w:hanging="316"/>
        <w:spacing w:after="0" w:line="239" w:lineRule="auto"/>
        <w:tabs>
          <w:tab w:leader="none" w:pos="520" w:val="left"/>
        </w:tabs>
        <w:numPr>
          <w:ilvl w:val="0"/>
          <w:numId w:val="31"/>
        </w:numPr>
        <w:rPr>
          <w:rFonts w:ascii="Arial" w:cs="Arial" w:eastAsia="Arial" w:hAnsi="Arial"/>
          <w:sz w:val="18"/>
          <w:szCs w:val="18"/>
          <w:color w:val="276092"/>
        </w:rPr>
      </w:pPr>
      <w:r>
        <w:rPr>
          <w:rFonts w:ascii="Arial" w:cs="Arial" w:eastAsia="Arial" w:hAnsi="Arial"/>
          <w:sz w:val="18"/>
          <w:szCs w:val="18"/>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107" w:lineRule="exact"/>
        <w:rPr>
          <w:rFonts w:ascii="Arial" w:cs="Arial" w:eastAsia="Arial" w:hAnsi="Arial"/>
          <w:sz w:val="18"/>
          <w:szCs w:val="18"/>
          <w:color w:val="276092"/>
        </w:rPr>
      </w:pPr>
    </w:p>
    <w:p>
      <w:pPr>
        <w:ind w:left="520" w:right="200" w:hanging="316"/>
        <w:spacing w:after="0" w:line="238" w:lineRule="auto"/>
        <w:tabs>
          <w:tab w:leader="none" w:pos="520" w:val="left"/>
        </w:tabs>
        <w:numPr>
          <w:ilvl w:val="0"/>
          <w:numId w:val="31"/>
        </w:numPr>
        <w:rPr>
          <w:rFonts w:ascii="Arial" w:cs="Arial" w:eastAsia="Arial" w:hAnsi="Arial"/>
          <w:sz w:val="18"/>
          <w:szCs w:val="18"/>
          <w:color w:val="276092"/>
        </w:rPr>
      </w:pPr>
      <w:r>
        <w:rPr>
          <w:rFonts w:ascii="Arial" w:cs="Arial" w:eastAsia="Arial" w:hAnsi="Arial"/>
          <w:sz w:val="18"/>
          <w:szCs w:val="18"/>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108" w:lineRule="exact"/>
        <w:rPr>
          <w:rFonts w:ascii="Arial" w:cs="Arial" w:eastAsia="Arial" w:hAnsi="Arial"/>
          <w:sz w:val="18"/>
          <w:szCs w:val="18"/>
          <w:color w:val="276092"/>
        </w:rPr>
      </w:pPr>
    </w:p>
    <w:p>
      <w:pPr>
        <w:ind w:left="520" w:hanging="316"/>
        <w:spacing w:after="0"/>
        <w:tabs>
          <w:tab w:leader="none" w:pos="520" w:val="left"/>
        </w:tabs>
        <w:numPr>
          <w:ilvl w:val="0"/>
          <w:numId w:val="31"/>
        </w:numPr>
        <w:rPr>
          <w:rFonts w:ascii="Arial" w:cs="Arial" w:eastAsia="Arial" w:hAnsi="Arial"/>
          <w:sz w:val="18"/>
          <w:szCs w:val="18"/>
          <w:color w:val="276092"/>
        </w:rPr>
      </w:pPr>
      <w:r>
        <w:rPr>
          <w:rFonts w:ascii="Arial" w:cs="Arial" w:eastAsia="Arial" w:hAnsi="Arial"/>
          <w:sz w:val="18"/>
          <w:szCs w:val="18"/>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Independence Determination</w:t>
      </w:r>
    </w:p>
    <w:p>
      <w:pPr>
        <w:spacing w:after="0" w:line="121"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 connection with their annual independence review, the Board and Governance Committee considered the following relationships with organizations to which we have made payments in the usual course of our business in 2017.</w:t>
      </w:r>
    </w:p>
    <w:p>
      <w:pPr>
        <w:spacing w:after="0" w:line="102" w:lineRule="exact"/>
        <w:rPr>
          <w:sz w:val="20"/>
          <w:szCs w:val="20"/>
          <w:color w:val="auto"/>
        </w:rPr>
      </w:pPr>
    </w:p>
    <w:p>
      <w:pPr>
        <w:ind w:left="520" w:hanging="316"/>
        <w:spacing w:after="0"/>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Mr. Fazio’s service as a member of the board of directors of the Center for Strategic and Budgetary Assessments;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Mr. Felsinger’s service as a member of the board of directors of Archer-Daniels-Midland;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Mr. Gordon’s service as a member of the board of directors of CBS Corporation;</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Mr. Hernandez’s service as a member of the board of directors of Black Box Corporation;</w:t>
      </w:r>
    </w:p>
    <w:p>
      <w:pPr>
        <w:spacing w:after="0" w:line="130" w:lineRule="exact"/>
        <w:rPr>
          <w:rFonts w:ascii="Arial" w:cs="Arial" w:eastAsia="Arial" w:hAnsi="Arial"/>
          <w:sz w:val="18"/>
          <w:szCs w:val="18"/>
          <w:color w:val="276092"/>
        </w:rPr>
      </w:pPr>
    </w:p>
    <w:p>
      <w:pPr>
        <w:ind w:left="520" w:right="200" w:hanging="316"/>
        <w:spacing w:after="0" w:line="246" w:lineRule="auto"/>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Admiral Roughead’s service as a member of the board of directors of the Center For a New American Security and a member of the board of managers of Johns Hopkins University Applied Physics Lab; and</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32"/>
        </w:numPr>
        <w:rPr>
          <w:rFonts w:ascii="Arial" w:cs="Arial" w:eastAsia="Arial" w:hAnsi="Arial"/>
          <w:sz w:val="18"/>
          <w:szCs w:val="18"/>
          <w:color w:val="276092"/>
        </w:rPr>
      </w:pPr>
      <w:r>
        <w:rPr>
          <w:rFonts w:ascii="Arial" w:cs="Arial" w:eastAsia="Arial" w:hAnsi="Arial"/>
          <w:sz w:val="18"/>
          <w:szCs w:val="18"/>
          <w:color w:val="auto"/>
        </w:rPr>
        <w:t>Mr. Turley’s service as a member of the board of directors of Citigroup.</w:t>
      </w:r>
    </w:p>
    <w:p>
      <w:pPr>
        <w:spacing w:after="0" w:line="11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Board of Directors considered that Mr. Fazio, Ms. Fudge, Mr. Gordon, Ms. Kleiner, Mr. Krapek, Mr. Turley and General Welsh serve as members of the boards of, or are otherwise affiliated with, organizations to which the Company and/or the Northrop Grumman Foundation (Foundation) made contributions during 2017 in the usual course of our charitable contributions program, as well as in connection with our matching gifts program (which limits the contributions to $10,000 per year per director). The amounts paid were below the applicable thresholds under NYSE rules and our Principles of Corporate Governance. In addition, the Board considered that Mr. Fazio’s daughter is employed by us in a non-executive position. Her compensation is below the threshold required for disclosure by the SEC, and the Board determined that her employment does not interfere with Mr. Fazio’s independence.</w:t>
      </w:r>
    </w:p>
    <w:p>
      <w:pPr>
        <w:spacing w:after="0" w:line="9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Following its review and the recommendation of the Governance Committee, the Board affirmatively determined that all of the directors, except Mr. Bush, are independent. The independent directors constitute approximately 92% of the members of our Board. The Board previously determined that General Richard B. Myers, who served as a director until his retirement from the Board effective the date of the 2017 Annual Meeting, was independent during the time he was a director.</w:t>
      </w:r>
    </w:p>
    <w:p>
      <w:pPr>
        <w:spacing w:after="0" w:line="32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Composition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20"/>
        <w:spacing w:after="0" w:line="257" w:lineRule="auto"/>
        <w:rPr>
          <w:sz w:val="20"/>
          <w:szCs w:val="20"/>
          <w:color w:val="auto"/>
        </w:rPr>
      </w:pPr>
      <w:r>
        <w:rPr>
          <w:rFonts w:ascii="Arial" w:cs="Arial" w:eastAsia="Arial" w:hAnsi="Arial"/>
          <w:sz w:val="17"/>
          <w:szCs w:val="17"/>
          <w:color w:val="auto"/>
        </w:rPr>
        <w:t>The Governance Committee actively considers the composition of the Board to ensure it is well positioned to serve the best interests of the Company and our shareholders. The Governance Committee regularly assesses what skills and experiences can best contribute to the effective operation of the Board, particularly in light of potential retirements and the evolving needs of the Company. The Governance Committee identifies director candidates from a wide range of sources and may employ a third-party search firm to assist in the process.</w:t>
      </w:r>
    </w:p>
    <w:p>
      <w:pPr>
        <w:spacing w:after="0" w:line="8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The Governance Committee evaluates potential director candidates on the basis of the candidate’s background, qualifications and experience. The Governance Committee carefully considers whether each potential candidate would be able to fulfill his or her duties to the Company consistent with Delaware law and the Company’s governing documents, including the Principles of Corporate Governance. The Committee recommends to the full Board nominees for election.</w:t>
      </w:r>
    </w:p>
    <w:p>
      <w:pPr>
        <w:spacing w:after="0" w:line="9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Shareholders may recommend director candidates for consideration by the Governance Committee pursuant to our Principles of Corporate Governance. The Governance Committee considers such director candidates recommended by shareholders similarly to other potential director candidates brought to the attention of the Governance Committee. Shareholder recommendations for director candidates under our Principles of Corporate Governance must be addressed to the Governance Committee in care of the Corporate Secretary. In addition, and as discussed immediately below, shareholders may also directly nominate director candidates in accordance with our Bylaws.</w:t>
      </w:r>
    </w:p>
    <w:p>
      <w:pPr>
        <w:spacing w:after="0" w:line="135" w:lineRule="exact"/>
        <w:rPr>
          <w:sz w:val="20"/>
          <w:szCs w:val="20"/>
          <w:color w:val="auto"/>
        </w:rPr>
      </w:pPr>
    </w:p>
    <w:p>
      <w:pPr>
        <w:ind w:left="460" w:hanging="256"/>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Board carefully considered and adopted a strong and balanced proxy access framework</w:t>
      </w:r>
    </w:p>
    <w:p>
      <w:pPr>
        <w:spacing w:after="0" w:line="126"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For more than a year, the Board carefully considered the issue of proxy access. The Board and management engaged extensively with shareholders and monitored developments and best practices regarding proxy access. Management solicited and received input from shareholders, our customers and other stakeholders. The Board amended our Bylaws to provide our shareholders the right to proxy access, reflecting this extensive consideration and input.</w:t>
      </w:r>
    </w:p>
    <w:p>
      <w:pPr>
        <w:spacing w:after="0" w:line="9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proxy access bylaw provisions, directors are treated similarly, whether nominated through proxy access or otherwise, and held to the same high fiduciary standards to serve all shareholders.</w:t>
      </w:r>
    </w:p>
    <w:p>
      <w:pPr>
        <w:spacing w:after="0" w:line="9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32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Governance Committee is responsible for establishing the criteria for Board membership. In nominating directors, the Governance Committee bears in mind that the foremost responsibility of a director is to represent the interests of our shareholders as a whole. The activities and associations of candidates are reviewed for any legal impediment, conflict of interest or other consideration that might prevent or interfere with service on our Board.</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evaluating candidates, the Governance Committee considers:</w:t>
      </w:r>
    </w:p>
    <w:p>
      <w:pPr>
        <w:spacing w:after="0" w:line="117" w:lineRule="exact"/>
        <w:rPr>
          <w:sz w:val="20"/>
          <w:szCs w:val="20"/>
          <w:color w:val="auto"/>
        </w:rPr>
      </w:pPr>
    </w:p>
    <w:p>
      <w:pPr>
        <w:ind w:left="520" w:hanging="316"/>
        <w:spacing w:after="0"/>
        <w:tabs>
          <w:tab w:leader="none" w:pos="520" w:val="left"/>
        </w:tabs>
        <w:numPr>
          <w:ilvl w:val="0"/>
          <w:numId w:val="34"/>
        </w:numPr>
        <w:rPr>
          <w:rFonts w:ascii="Arial" w:cs="Arial" w:eastAsia="Arial" w:hAnsi="Arial"/>
          <w:sz w:val="18"/>
          <w:szCs w:val="18"/>
          <w:color w:val="276092"/>
        </w:rPr>
      </w:pPr>
      <w:r>
        <w:rPr>
          <w:rFonts w:ascii="Arial" w:cs="Arial" w:eastAsia="Arial" w:hAnsi="Arial"/>
          <w:sz w:val="18"/>
          <w:szCs w:val="18"/>
          <w:color w:val="auto"/>
        </w:rPr>
        <w:t>the personal integrity and the professional reputation of the individual;</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4"/>
        </w:numPr>
        <w:rPr>
          <w:rFonts w:ascii="Arial" w:cs="Arial" w:eastAsia="Arial" w:hAnsi="Arial"/>
          <w:sz w:val="18"/>
          <w:szCs w:val="18"/>
          <w:color w:val="276092"/>
        </w:rPr>
      </w:pPr>
      <w:r>
        <w:rPr>
          <w:rFonts w:ascii="Arial" w:cs="Arial" w:eastAsia="Arial" w:hAnsi="Arial"/>
          <w:sz w:val="18"/>
          <w:szCs w:val="18"/>
          <w:color w:val="auto"/>
        </w:rPr>
        <w:t>the education, professional background and particular skills and experience most beneficial to service on our Board;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4"/>
        </w:numPr>
        <w:rPr>
          <w:rFonts w:ascii="Arial" w:cs="Arial" w:eastAsia="Arial" w:hAnsi="Arial"/>
          <w:sz w:val="18"/>
          <w:szCs w:val="18"/>
          <w:color w:val="276092"/>
        </w:rPr>
      </w:pPr>
      <w:r>
        <w:rPr>
          <w:rFonts w:ascii="Arial" w:cs="Arial" w:eastAsia="Arial" w:hAnsi="Arial"/>
          <w:sz w:val="18"/>
          <w:szCs w:val="18"/>
          <w:color w:val="auto"/>
        </w:rPr>
        <w:t>how the nominee brings diversity, experience and skills valuable to the Company and Board at the time; and</w:t>
      </w:r>
    </w:p>
    <w:p>
      <w:pPr>
        <w:spacing w:after="0" w:line="130" w:lineRule="exact"/>
        <w:rPr>
          <w:rFonts w:ascii="Arial" w:cs="Arial" w:eastAsia="Arial" w:hAnsi="Arial"/>
          <w:sz w:val="18"/>
          <w:szCs w:val="18"/>
          <w:color w:val="276092"/>
        </w:rPr>
      </w:pPr>
    </w:p>
    <w:p>
      <w:pPr>
        <w:ind w:left="520" w:right="180" w:hanging="316"/>
        <w:spacing w:after="0" w:line="246" w:lineRule="auto"/>
        <w:tabs>
          <w:tab w:leader="none" w:pos="520" w:val="left"/>
        </w:tabs>
        <w:numPr>
          <w:ilvl w:val="0"/>
          <w:numId w:val="34"/>
        </w:numPr>
        <w:rPr>
          <w:rFonts w:ascii="Arial" w:cs="Arial" w:eastAsia="Arial" w:hAnsi="Arial"/>
          <w:sz w:val="18"/>
          <w:szCs w:val="18"/>
          <w:color w:val="276092"/>
        </w:rPr>
      </w:pPr>
      <w:r>
        <w:rPr>
          <w:rFonts w:ascii="Arial" w:cs="Arial" w:eastAsia="Arial" w:hAnsi="Arial"/>
          <w:sz w:val="18"/>
          <w:szCs w:val="18"/>
          <w:color w:val="auto"/>
        </w:rPr>
        <w:t>whether a director candidate is willing to submit to and obtain a background check necessary for obtaining and retaining a top secret security clearance.</w:t>
      </w:r>
    </w:p>
    <w:p>
      <w:pPr>
        <w:spacing w:after="0" w:line="197"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In evaluating director candidates, the Governance Committee aims to foster diversity of thought on our Board. The Governance Committee seeks to achieve diversity, including in race and gender, as well as in perspective, professional experience, education, skill and other qualities that contribute to our Board and the long-term interests of our Company and shareholders.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9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All directors receive regular in-person training on Company policies and procedures. Members of senior management regularly review with the Board the operating plan for each of our business sectors and the Company as a whole. The Board also conducts periodic site visits to our facilities as part of its regularly scheduled Board meetings. These visits allow directors to interact with a broader group of our executives and employees and gain firsthand insights into our operations.</w:t>
      </w:r>
    </w:p>
    <w:p>
      <w:pPr>
        <w:spacing w:after="0" w:line="94"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Directors may also attend outside director and other continuing education programs to assist them in staying current on developments in corporate governance, our industry, the global environment and issues critical to the operation of public company boards.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Membership and External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Directors are required to ensure that their other commitments, including for example, other board memberships, employment, partnerships and consulting arrangements, do not interfere with their duties and responsibilities as members of the Board. Directors must provide notice to the General Counsel prior to accepting an invitation to serve on the board of any other organization, and the General Counsel will advise the Chairperson of the Governance Committee (or the Chairperson of the Board, if notice is from the Chairperson of the Governance Committee). A director should not accept service on such other board until being advised by the Chairperson of the Governance Committee (or Chairperson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an actual or potential conflict of interest arises, or they are concerned that a conflict may arise or circumstances could otherwise interfere with their duties and responsibilities as a director. Directors should seek to avoid even an appearance of a conflict of interest.</w:t>
      </w:r>
    </w:p>
    <w:p>
      <w:pPr>
        <w:spacing w:after="0" w:line="9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Directors may not serve on more than three other boards of publicly traded companies in addition to our Board without the written approval of the Chairperson of the Governance Committee (or Chairperson of the Board, as appropriate). A director who is a full-time employee of our Company may not serve on the board of more than two other public companies unless approved by the Board. When a director’s principal occupation or business association changes substantially during his or her tenure as a director, the Board expects the director to tender his or her resignation for consideration by the Governance Committee, which subsequently will recommend to the Board what action to take.</w:t>
      </w:r>
    </w:p>
    <w:p>
      <w:pPr>
        <w:spacing w:after="0" w:line="97"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We have a retirement policy whereby a director will retire at the annual meeting following his or her 75th birthday, unless the Board determines, based on special circumstances, that it is in the Company’s best interest to request that the director serve beyond such date.</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Effect of Failure to Receive the Required Vote or Obtain and Retain Security Clearance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Each director is required to tender a resignation that will be effective upon (i) the failure to receive the required vote at any future meeting at which such director faces re-election, the failure to obtain top secret security clearance within 12 months of election or appointment to the Board or the failure to retain a top secret security clearance once obtained and (ii) the Board’s acceptance of such resignation. If an incumbent director fails to receive the required vote for re-election or fails to obtain and retain a top secret security clearance, the Governance Committee will consider whether the Board should accept the director’s resignation and will submit a recommendation for prompt consideration by the Board. The Board will decide whether to accept or reject a resignation within 90 days, unless the Board determines that compelling circumstances require additional time. The Governance Committee and the Board may consider any factor they deem relevant in deciding whether to accept a resignation, including, without limitation, any harm to our Company that may result from accepting the resignation, and the underlying reasons for the action at issue.</w:t>
      </w:r>
    </w:p>
    <w:p>
      <w:pPr>
        <w:spacing w:after="0" w:line="32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and Committee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Board and each Committee conduct annually a thorough self-assessment process. The self-assessment of the Board is overseen by the Governance Committee. As part of this assessment, the Lead Independent Director and Chairperson of the Governance Committee facilitate a broad discussion of Board performance, held in executive session. Among other topics, the Board considers:</w:t>
      </w:r>
    </w:p>
    <w:p>
      <w:pPr>
        <w:spacing w:after="0" w:line="108" w:lineRule="exact"/>
        <w:rPr>
          <w:sz w:val="20"/>
          <w:szCs w:val="20"/>
          <w:color w:val="auto"/>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the Board’s effectiveness in evaluating and monitoring the Company’s business plan, long-term strategy and risks;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strategic and critical issues are being addressed by the Board in a timely manner;</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the Board’s expectations and concerns are openly communicated to and discussed with the Chief Executive Officer;</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there is adequate contact between the Board and members of senior management;</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the directors collectively operate effectively as a Board;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the individual directors have the appropriate mix of attributes and skills to fulfill their duties as directors of the Company;</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5"/>
        </w:numPr>
        <w:rPr>
          <w:rFonts w:ascii="Arial" w:cs="Arial" w:eastAsia="Arial" w:hAnsi="Arial"/>
          <w:sz w:val="18"/>
          <w:szCs w:val="18"/>
          <w:color w:val="276092"/>
        </w:rPr>
      </w:pPr>
      <w:r>
        <w:rPr>
          <w:rFonts w:ascii="Arial" w:cs="Arial" w:eastAsia="Arial" w:hAnsi="Arial"/>
          <w:sz w:val="18"/>
          <w:szCs w:val="18"/>
          <w:color w:val="auto"/>
        </w:rPr>
        <w:t>whether there are adequate opportunities to raise questions and comments on issues, both inside and outside of Board meetings;</w:t>
      </w:r>
    </w:p>
    <w:p>
      <w:pPr>
        <w:spacing w:after="0" w:line="155" w:lineRule="exact"/>
        <w:rPr>
          <w:sz w:val="20"/>
          <w:szCs w:val="20"/>
          <w:color w:val="auto"/>
        </w:rPr>
      </w:pPr>
    </w:p>
    <w:p>
      <w:pPr>
        <w:ind w:left="460" w:hanging="256"/>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0" w:hanging="316"/>
        <w:spacing w:after="0"/>
        <w:tabs>
          <w:tab w:leader="none" w:pos="520" w:val="left"/>
        </w:tabs>
        <w:numPr>
          <w:ilvl w:val="0"/>
          <w:numId w:val="37"/>
        </w:numPr>
        <w:rPr>
          <w:rFonts w:ascii="Arial" w:cs="Arial" w:eastAsia="Arial" w:hAnsi="Arial"/>
          <w:sz w:val="18"/>
          <w:szCs w:val="18"/>
          <w:color w:val="276092"/>
        </w:rPr>
      </w:pPr>
      <w:r>
        <w:rPr>
          <w:rFonts w:ascii="Arial" w:cs="Arial" w:eastAsia="Arial" w:hAnsi="Arial"/>
          <w:sz w:val="18"/>
          <w:szCs w:val="18"/>
          <w:color w:val="auto"/>
        </w:rPr>
        <w:t>whether the Board has focused adequately on succession planning;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7"/>
        </w:numPr>
        <w:rPr>
          <w:rFonts w:ascii="Arial" w:cs="Arial" w:eastAsia="Arial" w:hAnsi="Arial"/>
          <w:sz w:val="18"/>
          <w:szCs w:val="18"/>
          <w:color w:val="276092"/>
        </w:rPr>
      </w:pPr>
      <w:r>
        <w:rPr>
          <w:rFonts w:ascii="Arial" w:cs="Arial" w:eastAsia="Arial" w:hAnsi="Arial"/>
          <w:sz w:val="18"/>
          <w:szCs w:val="18"/>
          <w:color w:val="auto"/>
        </w:rPr>
        <w:t>whether the Board is adequately responsive to shareholder communication.</w:t>
      </w:r>
    </w:p>
    <w:p>
      <w:pPr>
        <w:spacing w:after="0" w:line="158"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Following this review, the Board discusses the results and identifies opportunities for improvement, including any necessary steps to implement such improvements.</w:t>
      </w:r>
    </w:p>
    <w:p>
      <w:pPr>
        <w:spacing w:after="0" w:line="89" w:lineRule="exact"/>
        <w:rPr>
          <w:sz w:val="20"/>
          <w:szCs w:val="20"/>
          <w:color w:val="auto"/>
        </w:rPr>
      </w:pPr>
    </w:p>
    <w:p>
      <w:pPr>
        <w:ind w:left="200" w:right="700"/>
        <w:spacing w:after="0" w:line="246" w:lineRule="auto"/>
        <w:rPr>
          <w:sz w:val="20"/>
          <w:szCs w:val="20"/>
          <w:color w:val="auto"/>
        </w:rPr>
      </w:pPr>
      <w:r>
        <w:rPr>
          <w:rFonts w:ascii="Arial" w:cs="Arial" w:eastAsia="Arial" w:hAnsi="Arial"/>
          <w:sz w:val="18"/>
          <w:szCs w:val="18"/>
          <w:color w:val="auto"/>
        </w:rPr>
        <w:t>Also as part of the annual self-assessment process, each director completes an individual director evaluation for each of the other directors. These assessments include, among other topics, each director’s:</w:t>
      </w:r>
    </w:p>
    <w:p>
      <w:pPr>
        <w:spacing w:after="0" w:line="102" w:lineRule="exact"/>
        <w:rPr>
          <w:sz w:val="20"/>
          <w:szCs w:val="20"/>
          <w:color w:val="auto"/>
        </w:rPr>
      </w:pPr>
    </w:p>
    <w:p>
      <w:pPr>
        <w:ind w:left="520" w:hanging="316"/>
        <w:spacing w:after="0"/>
        <w:tabs>
          <w:tab w:leader="none" w:pos="520" w:val="left"/>
        </w:tabs>
        <w:numPr>
          <w:ilvl w:val="0"/>
          <w:numId w:val="38"/>
        </w:numPr>
        <w:rPr>
          <w:rFonts w:ascii="Arial" w:cs="Arial" w:eastAsia="Arial" w:hAnsi="Arial"/>
          <w:sz w:val="18"/>
          <w:szCs w:val="18"/>
          <w:color w:val="276092"/>
        </w:rPr>
      </w:pPr>
      <w:r>
        <w:rPr>
          <w:rFonts w:ascii="Arial" w:cs="Arial" w:eastAsia="Arial" w:hAnsi="Arial"/>
          <w:sz w:val="18"/>
          <w:szCs w:val="18"/>
          <w:color w:val="auto"/>
        </w:rPr>
        <w:t>understanding of the Company’s overall business and risk profile and its significant financial opportunities and plans;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8"/>
        </w:numPr>
        <w:rPr>
          <w:rFonts w:ascii="Arial" w:cs="Arial" w:eastAsia="Arial" w:hAnsi="Arial"/>
          <w:sz w:val="18"/>
          <w:szCs w:val="18"/>
          <w:color w:val="276092"/>
        </w:rPr>
      </w:pPr>
      <w:r>
        <w:rPr>
          <w:rFonts w:ascii="Arial" w:cs="Arial" w:eastAsia="Arial" w:hAnsi="Arial"/>
          <w:sz w:val="18"/>
          <w:szCs w:val="18"/>
          <w:color w:val="auto"/>
        </w:rPr>
        <w:t>engagement during meetings and other board functions;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8"/>
        </w:numPr>
        <w:rPr>
          <w:rFonts w:ascii="Arial" w:cs="Arial" w:eastAsia="Arial" w:hAnsi="Arial"/>
          <w:sz w:val="18"/>
          <w:szCs w:val="18"/>
          <w:color w:val="276092"/>
        </w:rPr>
      </w:pPr>
      <w:r>
        <w:rPr>
          <w:rFonts w:ascii="Arial" w:cs="Arial" w:eastAsia="Arial" w:hAnsi="Arial"/>
          <w:sz w:val="18"/>
          <w:szCs w:val="18"/>
          <w:color w:val="auto"/>
        </w:rPr>
        <w:t>analysis of benefits and risks of courses of action considered by the Board;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38"/>
        </w:numPr>
        <w:rPr>
          <w:rFonts w:ascii="Arial" w:cs="Arial" w:eastAsia="Arial" w:hAnsi="Arial"/>
          <w:sz w:val="18"/>
          <w:szCs w:val="18"/>
          <w:color w:val="276092"/>
        </w:rPr>
      </w:pPr>
      <w:r>
        <w:rPr>
          <w:rFonts w:ascii="Arial" w:cs="Arial" w:eastAsia="Arial" w:hAnsi="Arial"/>
          <w:sz w:val="18"/>
          <w:szCs w:val="18"/>
          <w:color w:val="auto"/>
        </w:rPr>
        <w:t>appropriate respect for the views of other Board members.</w:t>
      </w:r>
    </w:p>
    <w:p>
      <w:pPr>
        <w:spacing w:after="0" w:line="117"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The Lead Independent Director or the Chairperson of the Governance Committee meets with each director individually to discuss the results of his or her assessment, including comments provided by other directors. The Lead Independent Director or the Chairperson of the Governance Committee reports generally on the overall results of these discussions to the Board in executive session. These evaluations assist the Governance Committee with its recommendation for directors to be renominated for election to the Board of Directors.</w:t>
      </w:r>
    </w:p>
    <w:p>
      <w:pPr>
        <w:spacing w:after="0" w:line="9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In addition, each of the Committees conducts an annual self-assessment. During an executive session led by the Committee chairperson, the Committee discusses, among other topics: whether the quality of participation and discussion at the Committee meetings is effective in facilitating the Committee’s obligations under its charter; the opportunity to engage in strategic discussion; and whether the Committee is covering the right topics in the right amount of detail. Following this discussion, the Committee develops and implements a list of action items, as appropriate.</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believes that providing for continuity of leadership is critical to the success of our Company. Therefore, processes are in place:</w:t>
      </w:r>
    </w:p>
    <w:p>
      <w:pPr>
        <w:spacing w:after="0" w:line="117" w:lineRule="exact"/>
        <w:rPr>
          <w:sz w:val="20"/>
          <w:szCs w:val="20"/>
          <w:color w:val="auto"/>
        </w:rPr>
      </w:pPr>
    </w:p>
    <w:p>
      <w:pPr>
        <w:ind w:left="520" w:hanging="316"/>
        <w:spacing w:after="0"/>
        <w:tabs>
          <w:tab w:leader="none" w:pos="520" w:val="left"/>
        </w:tabs>
        <w:numPr>
          <w:ilvl w:val="0"/>
          <w:numId w:val="39"/>
        </w:numPr>
        <w:rPr>
          <w:rFonts w:ascii="Arial" w:cs="Arial" w:eastAsia="Arial" w:hAnsi="Arial"/>
          <w:sz w:val="18"/>
          <w:szCs w:val="18"/>
          <w:color w:val="276092"/>
        </w:rPr>
      </w:pPr>
      <w:r>
        <w:rPr>
          <w:rFonts w:ascii="Arial" w:cs="Arial" w:eastAsia="Arial" w:hAnsi="Arial"/>
          <w:sz w:val="18"/>
          <w:szCs w:val="18"/>
          <w:color w:val="auto"/>
        </w:rPr>
        <w:t>to evaluate the Chief Executive Officer annually based on a specific set of performance objectives;</w:t>
      </w:r>
    </w:p>
    <w:p>
      <w:pPr>
        <w:spacing w:after="0" w:line="130" w:lineRule="exact"/>
        <w:rPr>
          <w:rFonts w:ascii="Arial" w:cs="Arial" w:eastAsia="Arial" w:hAnsi="Arial"/>
          <w:sz w:val="18"/>
          <w:szCs w:val="18"/>
          <w:color w:val="276092"/>
        </w:rPr>
      </w:pPr>
    </w:p>
    <w:p>
      <w:pPr>
        <w:ind w:left="520" w:right="600" w:hanging="316"/>
        <w:spacing w:after="0" w:line="246" w:lineRule="auto"/>
        <w:tabs>
          <w:tab w:leader="none" w:pos="520" w:val="left"/>
        </w:tabs>
        <w:numPr>
          <w:ilvl w:val="0"/>
          <w:numId w:val="39"/>
        </w:numPr>
        <w:rPr>
          <w:rFonts w:ascii="Arial" w:cs="Arial" w:eastAsia="Arial" w:hAnsi="Arial"/>
          <w:sz w:val="18"/>
          <w:szCs w:val="18"/>
          <w:color w:val="276092"/>
        </w:rPr>
      </w:pPr>
      <w:r>
        <w:rPr>
          <w:rFonts w:ascii="Arial" w:cs="Arial" w:eastAsia="Arial" w:hAnsi="Arial"/>
          <w:sz w:val="18"/>
          <w:szCs w:val="18"/>
          <w:color w:val="auto"/>
        </w:rPr>
        <w:t>for the Chief Executive Officer annually to provide an assessment of persons considered potential successors to various senior management positions and discuss the results of these reviews with the Board; and</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39"/>
        </w:numPr>
        <w:rPr>
          <w:rFonts w:ascii="Arial" w:cs="Arial" w:eastAsia="Arial" w:hAnsi="Arial"/>
          <w:sz w:val="18"/>
          <w:szCs w:val="18"/>
          <w:color w:val="276092"/>
        </w:rPr>
      </w:pPr>
      <w:r>
        <w:rPr>
          <w:rFonts w:ascii="Arial" w:cs="Arial" w:eastAsia="Arial" w:hAnsi="Arial"/>
          <w:sz w:val="18"/>
          <w:szCs w:val="18"/>
          <w:color w:val="auto"/>
        </w:rPr>
        <w:t>to support continuity of top leadership and Chief Executive Officer succession, including through annual reports to the Board.</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Departure and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General Richard B. Myers, a director who served during 2017, did not stand for re-election at the 2017 Annual Meeting and retired from the Board effective the date of the 2017 Annual Meeting.</w:t>
      </w:r>
    </w:p>
    <w:p>
      <w:pPr>
        <w:spacing w:after="0" w:line="89"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In accordance with the retirement policy described above, Mr. Fazio, a director who served during 2017, will not stand for re-election at the 2018 Annual Meeting as he will have attained his 75th birthday prior to the Annual Meeting. Upon Mr. Fazio’s retirement, the Board intends to reduce the number of members on the Board from 13 to 12 members.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300"/>
        <w:spacing w:after="0" w:line="237" w:lineRule="auto"/>
        <w:rPr>
          <w:sz w:val="20"/>
          <w:szCs w:val="20"/>
          <w:color w:val="auto"/>
        </w:rPr>
      </w:pPr>
      <w:r>
        <w:rPr>
          <w:rFonts w:ascii="Arial" w:cs="Arial" w:eastAsia="Arial" w:hAnsi="Arial"/>
          <w:sz w:val="18"/>
          <w:szCs w:val="18"/>
          <w:color w:val="auto"/>
        </w:rPr>
        <w:t xml:space="preserve">Any interested person may communicate with any of our directors, our Board as a group, our non-employee directors as a group or our Lead Independent Director through the Corporate Secretary by writing to the following address: </w:t>
      </w:r>
      <w:r>
        <w:rPr>
          <w:rFonts w:ascii="Arial" w:cs="Arial" w:eastAsia="Arial" w:hAnsi="Arial"/>
          <w:sz w:val="18"/>
          <w:szCs w:val="18"/>
          <w:b w:val="1"/>
          <w:bCs w:val="1"/>
          <w:i w:val="1"/>
          <w:iCs w:val="1"/>
          <w:color w:val="auto"/>
        </w:rPr>
        <w:t>Office of the Corporate Secretary,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Northrop Grumman Corporation, 2980 Fairview Park Drive, Falls Church, Virginia 22042</w:t>
      </w:r>
      <w:r>
        <w:rPr>
          <w:rFonts w:ascii="Arial" w:cs="Arial" w:eastAsia="Arial" w:hAnsi="Arial"/>
          <w:sz w:val="18"/>
          <w:szCs w:val="18"/>
          <w:color w:val="auto"/>
        </w:rPr>
        <w:t>. The Corporate Secretary will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Interested persons may also report any concerns relating to accounting matters, internal accounting controls or auditing matters to non-management directors (including anonymously) by writing directly to the Chairperson of the Audit 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Northrop Grumman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Board of Directors c/o Corporate Ethics Office, 2980 Fairview Park Drive, Falls Church, Virginia 22042</w:t>
      </w:r>
      <w:r>
        <w:rPr>
          <w:rFonts w:ascii="Arial" w:cs="Arial" w:eastAsia="Arial" w:hAnsi="Arial"/>
          <w:sz w:val="18"/>
          <w:szCs w:val="18"/>
          <w:color w:val="auto"/>
        </w:rPr>
        <w:t>.</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Corporate Responsibility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Corporate responsibility and sustainability are critical to our business and long-term value creation for our shareholders, customers and employees. Our strong culture — founded in ethics, integrity, diversity and inclusion, and focused on performance, accountability, effective governance and responsible citizenship — enables our success. Strong environmental, social and governance (ESG) programs and practices help us attract and maintain the best talent, perform for our customers and create value for our shareholders.</w:t>
      </w:r>
    </w:p>
    <w:p>
      <w:pPr>
        <w:spacing w:after="0" w:line="94" w:lineRule="exact"/>
        <w:rPr>
          <w:sz w:val="20"/>
          <w:szCs w:val="20"/>
          <w:color w:val="auto"/>
        </w:rPr>
      </w:pPr>
    </w:p>
    <w:p>
      <w:pPr>
        <w:ind w:left="200" w:right="120"/>
        <w:spacing w:after="0" w:line="261" w:lineRule="auto"/>
        <w:rPr>
          <w:sz w:val="20"/>
          <w:szCs w:val="20"/>
          <w:color w:val="auto"/>
        </w:rPr>
      </w:pPr>
      <w:r>
        <w:rPr>
          <w:rFonts w:ascii="Arial" w:cs="Arial" w:eastAsia="Arial" w:hAnsi="Arial"/>
          <w:sz w:val="17"/>
          <w:szCs w:val="17"/>
          <w:color w:val="auto"/>
        </w:rPr>
        <w:t>The Policy Committee of our Board provides leadership and oversight of our ESG practices. The Committee provides oversight of our policies and programs related to both corporate responsibility and sustainability, and regularly reviews our community relations activities, among other responsibilities. We engage with a variety of stakeholders and regularly obtain feedback on our ESG performance.</w:t>
      </w:r>
    </w:p>
    <w:p>
      <w:pPr>
        <w:spacing w:after="0" w:line="78"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 xml:space="preserve">In 2017, we published our ninth annual corporate responsibility report (CRR). Using the GRI G4 Sustainability Reporting Guidelines, we continued to report to our stakeholders on our progress in meeting various environmental, social and governance performance indicators. You may view a copy of our annual CRR at </w:t>
      </w:r>
      <w:r>
        <w:rPr>
          <w:rFonts w:ascii="Arial" w:cs="Arial" w:eastAsia="Arial" w:hAnsi="Arial"/>
          <w:sz w:val="18"/>
          <w:szCs w:val="18"/>
          <w:i w:val="1"/>
          <w:iCs w:val="1"/>
          <w:color w:val="auto"/>
        </w:rPr>
        <w:t>crreport.northropgrumman.com</w:t>
      </w:r>
      <w:r>
        <w:rPr>
          <w:rFonts w:ascii="Arial" w:cs="Arial" w:eastAsia="Arial" w:hAnsi="Arial"/>
          <w:sz w:val="18"/>
          <w:szCs w:val="18"/>
          <w:color w:val="auto"/>
        </w:rPr>
        <w:t>. For the seventh consecutive year, we incorporated non-financial sustainability performance metrics into our annual incentive compensation program. See page 41 in the Compensation Discussion and Analysis section.</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proud that our corporate responsibility and sustainability programs received various notable recognitions in 2017. They include:</w:t>
      </w:r>
    </w:p>
    <w:p>
      <w:pPr>
        <w:spacing w:after="0" w:line="117" w:lineRule="exact"/>
        <w:rPr>
          <w:sz w:val="20"/>
          <w:szCs w:val="20"/>
          <w:color w:val="auto"/>
        </w:rPr>
      </w:pPr>
    </w:p>
    <w:p>
      <w:pPr>
        <w:ind w:left="520" w:hanging="316"/>
        <w:spacing w:after="0"/>
        <w:tabs>
          <w:tab w:leader="none" w:pos="520" w:val="left"/>
        </w:tabs>
        <w:numPr>
          <w:ilvl w:val="0"/>
          <w:numId w:val="40"/>
        </w:numPr>
        <w:rPr>
          <w:rFonts w:ascii="Arial" w:cs="Arial" w:eastAsia="Arial" w:hAnsi="Arial"/>
          <w:sz w:val="18"/>
          <w:szCs w:val="18"/>
          <w:color w:val="276092"/>
        </w:rPr>
      </w:pPr>
      <w:r>
        <w:rPr>
          <w:rFonts w:ascii="Arial" w:cs="Arial" w:eastAsia="Arial" w:hAnsi="Arial"/>
          <w:sz w:val="18"/>
          <w:szCs w:val="18"/>
          <w:color w:val="auto"/>
        </w:rPr>
        <w:t>earning a leadership score of A- in CDP’s 2017 climate change program for the sixth consecutive year;</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0"/>
        </w:numPr>
        <w:rPr>
          <w:rFonts w:ascii="Arial" w:cs="Arial" w:eastAsia="Arial" w:hAnsi="Arial"/>
          <w:sz w:val="18"/>
          <w:szCs w:val="18"/>
          <w:color w:val="276092"/>
        </w:rPr>
      </w:pPr>
      <w:r>
        <w:rPr>
          <w:rFonts w:ascii="Arial" w:cs="Arial" w:eastAsia="Arial" w:hAnsi="Arial"/>
          <w:sz w:val="18"/>
          <w:szCs w:val="18"/>
          <w:color w:val="auto"/>
        </w:rPr>
        <w:t>earning an A rating from MSCI for environmental, social and governance management and performance;</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0"/>
        </w:numPr>
        <w:rPr>
          <w:rFonts w:ascii="Arial" w:cs="Arial" w:eastAsia="Arial" w:hAnsi="Arial"/>
          <w:sz w:val="18"/>
          <w:szCs w:val="18"/>
          <w:color w:val="276092"/>
        </w:rPr>
      </w:pPr>
      <w:r>
        <w:rPr>
          <w:rFonts w:ascii="Arial" w:cs="Arial" w:eastAsia="Arial" w:hAnsi="Arial"/>
          <w:sz w:val="18"/>
          <w:szCs w:val="18"/>
          <w:color w:val="auto"/>
        </w:rPr>
        <w:t>being named to the Dow Jones Sustainability North America Index for the second consecutive year;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0"/>
        </w:numPr>
        <w:rPr>
          <w:rFonts w:ascii="Arial" w:cs="Arial" w:eastAsia="Arial" w:hAnsi="Arial"/>
          <w:sz w:val="18"/>
          <w:szCs w:val="18"/>
          <w:color w:val="276092"/>
        </w:rPr>
      </w:pPr>
      <w:r>
        <w:rPr>
          <w:rFonts w:ascii="Arial" w:cs="Arial" w:eastAsia="Arial" w:hAnsi="Arial"/>
          <w:sz w:val="18"/>
          <w:szCs w:val="18"/>
          <w:color w:val="auto"/>
        </w:rPr>
        <w:t>being named one of DiversityInc’s Top 50 Companies for Diversity for the eighth year in a row.</w:t>
      </w:r>
    </w:p>
    <w:p>
      <w:pPr>
        <w:spacing w:after="0" w:line="155" w:lineRule="exact"/>
        <w:rPr>
          <w:sz w:val="20"/>
          <w:szCs w:val="20"/>
          <w:color w:val="auto"/>
        </w:rPr>
      </w:pPr>
    </w:p>
    <w:p>
      <w:pPr>
        <w:ind w:left="460" w:hanging="256"/>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The Compensation Committee, with the assistance of its independent compensation consultant, is responsible for reviewing and recommending for approval the compensation of the non-employee directors. At the request of the Compensation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the 50th percentile of the Target Industry Peer Group.</w:t>
      </w:r>
    </w:p>
    <w:p>
      <w:pPr>
        <w:spacing w:after="0" w:line="97"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In May 2017, the Compensation Committee recommended to the Board, and the Board approved, the current non-employee director fee structure, effective May 17, 2017. The table below lists the annual fees payable to our non-employee directors from January 1, 2017 to May 16, 2017 under the prior fee structure and the annual fees payable under the current fee structure effective May 17, 2017.</w:t>
      </w: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211"/>
        </w:trPr>
        <w:tc>
          <w:tcPr>
            <w:tcW w:w="4280" w:type="dxa"/>
            <w:vAlign w:val="bottom"/>
            <w:shd w:val="clear" w:color="auto" w:fill="276092"/>
          </w:tcPr>
          <w:p>
            <w:pPr>
              <w:spacing w:after="0"/>
              <w:rPr>
                <w:sz w:val="18"/>
                <w:szCs w:val="18"/>
                <w:color w:val="auto"/>
              </w:rPr>
            </w:pPr>
          </w:p>
        </w:tc>
        <w:tc>
          <w:tcPr>
            <w:tcW w:w="2960" w:type="dxa"/>
            <w:vAlign w:val="bottom"/>
            <w:shd w:val="clear" w:color="auto" w:fill="276092"/>
          </w:tcPr>
          <w:p>
            <w:pPr>
              <w:jc w:val="right"/>
              <w:ind w:right="579"/>
              <w:spacing w:after="0"/>
              <w:rPr>
                <w:sz w:val="20"/>
                <w:szCs w:val="20"/>
                <w:color w:val="auto"/>
              </w:rPr>
            </w:pPr>
            <w:r>
              <w:rPr>
                <w:rFonts w:ascii="Arial" w:cs="Arial" w:eastAsia="Arial" w:hAnsi="Arial"/>
                <w:sz w:val="16"/>
                <w:szCs w:val="16"/>
                <w:b w:val="1"/>
                <w:bCs w:val="1"/>
                <w:color w:val="FFFFFF"/>
              </w:rPr>
              <w:t>Amount ($)</w:t>
            </w:r>
          </w:p>
        </w:tc>
        <w:tc>
          <w:tcPr>
            <w:tcW w:w="2220" w:type="dxa"/>
            <w:vAlign w:val="bottom"/>
            <w:shd w:val="clear" w:color="auto" w:fill="276092"/>
          </w:tcPr>
          <w:p>
            <w:pPr>
              <w:jc w:val="right"/>
              <w:ind w:right="519"/>
              <w:spacing w:after="0"/>
              <w:rPr>
                <w:sz w:val="20"/>
                <w:szCs w:val="20"/>
                <w:color w:val="auto"/>
              </w:rPr>
            </w:pPr>
            <w:r>
              <w:rPr>
                <w:rFonts w:ascii="Arial" w:cs="Arial" w:eastAsia="Arial" w:hAnsi="Arial"/>
                <w:sz w:val="16"/>
                <w:szCs w:val="16"/>
                <w:b w:val="1"/>
                <w:bCs w:val="1"/>
                <w:color w:val="FFFFFF"/>
              </w:rPr>
              <w:t>Amount ($)</w:t>
            </w:r>
          </w:p>
        </w:tc>
      </w:tr>
      <w:tr>
        <w:trPr>
          <w:trHeight w:val="234"/>
        </w:trPr>
        <w:tc>
          <w:tcPr>
            <w:tcW w:w="4280" w:type="dxa"/>
            <w:vAlign w:val="bottom"/>
            <w:shd w:val="clear" w:color="auto" w:fill="276092"/>
          </w:tcPr>
          <w:p>
            <w:pPr>
              <w:ind w:left="100"/>
              <w:spacing w:after="0"/>
              <w:rPr>
                <w:sz w:val="20"/>
                <w:szCs w:val="20"/>
                <w:color w:val="auto"/>
              </w:rPr>
            </w:pPr>
            <w:r>
              <w:rPr>
                <w:rFonts w:ascii="Arial" w:cs="Arial" w:eastAsia="Arial" w:hAnsi="Arial"/>
                <w:sz w:val="16"/>
                <w:szCs w:val="16"/>
                <w:b w:val="1"/>
                <w:bCs w:val="1"/>
                <w:color w:val="FFFFFF"/>
              </w:rPr>
              <w:t>Compensation Element</w:t>
            </w:r>
          </w:p>
        </w:tc>
        <w:tc>
          <w:tcPr>
            <w:tcW w:w="2960" w:type="dxa"/>
            <w:vAlign w:val="bottom"/>
            <w:shd w:val="clear" w:color="auto" w:fill="276092"/>
          </w:tcPr>
          <w:p>
            <w:pPr>
              <w:jc w:val="right"/>
              <w:ind w:right="399"/>
              <w:spacing w:after="0"/>
              <w:rPr>
                <w:sz w:val="20"/>
                <w:szCs w:val="20"/>
                <w:color w:val="auto"/>
              </w:rPr>
            </w:pPr>
            <w:r>
              <w:rPr>
                <w:rFonts w:ascii="Arial" w:cs="Arial" w:eastAsia="Arial" w:hAnsi="Arial"/>
                <w:sz w:val="16"/>
                <w:szCs w:val="16"/>
                <w:b w:val="1"/>
                <w:bCs w:val="1"/>
                <w:color w:val="FFFFFF"/>
              </w:rPr>
              <w:t>(1/1/17 - 5/16/17)</w:t>
            </w:r>
          </w:p>
        </w:tc>
        <w:tc>
          <w:tcPr>
            <w:tcW w:w="2220" w:type="dxa"/>
            <w:vAlign w:val="bottom"/>
            <w:shd w:val="clear" w:color="auto" w:fill="276092"/>
          </w:tcPr>
          <w:p>
            <w:pPr>
              <w:jc w:val="right"/>
              <w:ind w:right="239"/>
              <w:spacing w:after="0"/>
              <w:rPr>
                <w:sz w:val="20"/>
                <w:szCs w:val="20"/>
                <w:color w:val="auto"/>
              </w:rPr>
            </w:pPr>
            <w:r>
              <w:rPr>
                <w:rFonts w:ascii="Arial" w:cs="Arial" w:eastAsia="Arial" w:hAnsi="Arial"/>
                <w:sz w:val="16"/>
                <w:szCs w:val="16"/>
                <w:b w:val="1"/>
                <w:bCs w:val="1"/>
                <w:color w:val="FFFFFF"/>
              </w:rPr>
              <w:t>(5/17/17 - 12/31/17)</w:t>
            </w:r>
          </w:p>
        </w:tc>
      </w:tr>
      <w:tr>
        <w:trPr>
          <w:trHeight w:val="257"/>
        </w:trPr>
        <w:tc>
          <w:tcPr>
            <w:tcW w:w="4280" w:type="dxa"/>
            <w:vAlign w:val="bottom"/>
            <w:shd w:val="clear" w:color="auto" w:fill="BECFDE"/>
          </w:tcPr>
          <w:p>
            <w:pPr>
              <w:ind w:left="80"/>
              <w:spacing w:after="0"/>
              <w:rPr>
                <w:sz w:val="20"/>
                <w:szCs w:val="20"/>
                <w:color w:val="auto"/>
              </w:rPr>
            </w:pPr>
            <w:r>
              <w:rPr>
                <w:rFonts w:ascii="Arial" w:cs="Arial" w:eastAsia="Arial" w:hAnsi="Arial"/>
                <w:sz w:val="16"/>
                <w:szCs w:val="16"/>
                <w:color w:val="auto"/>
              </w:rPr>
              <w:t>Annual Cash Retainer</w:t>
            </w:r>
          </w:p>
        </w:tc>
        <w:tc>
          <w:tcPr>
            <w:tcW w:w="2960" w:type="dxa"/>
            <w:vAlign w:val="bottom"/>
            <w:shd w:val="clear" w:color="auto" w:fill="BECFDE"/>
          </w:tcPr>
          <w:p>
            <w:pPr>
              <w:jc w:val="right"/>
              <w:ind w:right="699"/>
              <w:spacing w:after="0"/>
              <w:rPr>
                <w:sz w:val="20"/>
                <w:szCs w:val="20"/>
                <w:color w:val="auto"/>
              </w:rPr>
            </w:pPr>
            <w:r>
              <w:rPr>
                <w:rFonts w:ascii="Arial" w:cs="Arial" w:eastAsia="Arial" w:hAnsi="Arial"/>
                <w:sz w:val="16"/>
                <w:szCs w:val="16"/>
                <w:color w:val="auto"/>
              </w:rPr>
              <w:t>122,500</w:t>
            </w:r>
          </w:p>
        </w:tc>
        <w:tc>
          <w:tcPr>
            <w:tcW w:w="2220" w:type="dxa"/>
            <w:vAlign w:val="bottom"/>
            <w:shd w:val="clear" w:color="auto" w:fill="BECFDE"/>
          </w:tcPr>
          <w:p>
            <w:pPr>
              <w:jc w:val="right"/>
              <w:ind w:right="579"/>
              <w:spacing w:after="0"/>
              <w:rPr>
                <w:sz w:val="20"/>
                <w:szCs w:val="20"/>
                <w:color w:val="auto"/>
              </w:rPr>
            </w:pPr>
            <w:r>
              <w:rPr>
                <w:rFonts w:ascii="Arial" w:cs="Arial" w:eastAsia="Arial" w:hAnsi="Arial"/>
                <w:sz w:val="16"/>
                <w:szCs w:val="16"/>
                <w:color w:val="auto"/>
              </w:rPr>
              <w:t>122,500</w:t>
            </w:r>
          </w:p>
        </w:tc>
      </w:tr>
      <w:tr>
        <w:trPr>
          <w:trHeight w:val="247"/>
        </w:trPr>
        <w:tc>
          <w:tcPr>
            <w:tcW w:w="4280" w:type="dxa"/>
            <w:vAlign w:val="bottom"/>
          </w:tcPr>
          <w:p>
            <w:pPr>
              <w:ind w:left="80"/>
              <w:spacing w:after="0"/>
              <w:rPr>
                <w:sz w:val="20"/>
                <w:szCs w:val="20"/>
                <w:color w:val="auto"/>
              </w:rPr>
            </w:pPr>
            <w:r>
              <w:rPr>
                <w:rFonts w:ascii="Arial" w:cs="Arial" w:eastAsia="Arial" w:hAnsi="Arial"/>
                <w:sz w:val="16"/>
                <w:szCs w:val="16"/>
                <w:color w:val="auto"/>
              </w:rPr>
              <w:t>Lead Independent Director Retainer</w:t>
            </w:r>
          </w:p>
        </w:tc>
        <w:tc>
          <w:tcPr>
            <w:tcW w:w="2960" w:type="dxa"/>
            <w:vAlign w:val="bottom"/>
          </w:tcPr>
          <w:p>
            <w:pPr>
              <w:jc w:val="right"/>
              <w:ind w:right="699"/>
              <w:spacing w:after="0"/>
              <w:rPr>
                <w:sz w:val="20"/>
                <w:szCs w:val="20"/>
                <w:color w:val="auto"/>
              </w:rPr>
            </w:pPr>
            <w:r>
              <w:rPr>
                <w:rFonts w:ascii="Arial" w:cs="Arial" w:eastAsia="Arial" w:hAnsi="Arial"/>
                <w:sz w:val="16"/>
                <w:szCs w:val="16"/>
                <w:color w:val="auto"/>
              </w:rPr>
              <w:t>35,000</w:t>
            </w:r>
          </w:p>
        </w:tc>
        <w:tc>
          <w:tcPr>
            <w:tcW w:w="2220" w:type="dxa"/>
            <w:vAlign w:val="bottom"/>
          </w:tcPr>
          <w:p>
            <w:pPr>
              <w:jc w:val="right"/>
              <w:ind w:right="579"/>
              <w:spacing w:after="0"/>
              <w:rPr>
                <w:sz w:val="20"/>
                <w:szCs w:val="20"/>
                <w:color w:val="auto"/>
              </w:rPr>
            </w:pPr>
            <w:r>
              <w:rPr>
                <w:rFonts w:ascii="Arial" w:cs="Arial" w:eastAsia="Arial" w:hAnsi="Arial"/>
                <w:sz w:val="16"/>
                <w:szCs w:val="16"/>
                <w:color w:val="auto"/>
              </w:rPr>
              <w:t>35,000</w:t>
            </w:r>
          </w:p>
        </w:tc>
      </w:tr>
      <w:tr>
        <w:trPr>
          <w:trHeight w:val="266"/>
        </w:trPr>
        <w:tc>
          <w:tcPr>
            <w:tcW w:w="4280" w:type="dxa"/>
            <w:vAlign w:val="bottom"/>
            <w:shd w:val="clear" w:color="auto" w:fill="BECFDE"/>
          </w:tcPr>
          <w:p>
            <w:pPr>
              <w:ind w:left="80"/>
              <w:spacing w:after="0"/>
              <w:rPr>
                <w:sz w:val="20"/>
                <w:szCs w:val="20"/>
                <w:color w:val="auto"/>
              </w:rPr>
            </w:pPr>
            <w:r>
              <w:rPr>
                <w:rFonts w:ascii="Arial" w:cs="Arial" w:eastAsia="Arial" w:hAnsi="Arial"/>
                <w:sz w:val="16"/>
                <w:szCs w:val="16"/>
                <w:color w:val="auto"/>
              </w:rPr>
              <w:t>Audit Committee Retainer</w:t>
            </w:r>
          </w:p>
        </w:tc>
        <w:tc>
          <w:tcPr>
            <w:tcW w:w="2960" w:type="dxa"/>
            <w:vAlign w:val="bottom"/>
            <w:shd w:val="clear" w:color="auto" w:fill="BECFDE"/>
          </w:tcPr>
          <w:p>
            <w:pPr>
              <w:jc w:val="right"/>
              <w:ind w:right="699"/>
              <w:spacing w:after="0"/>
              <w:rPr>
                <w:sz w:val="20"/>
                <w:szCs w:val="20"/>
                <w:color w:val="auto"/>
              </w:rPr>
            </w:pPr>
            <w:r>
              <w:rPr>
                <w:rFonts w:ascii="Arial" w:cs="Arial" w:eastAsia="Arial" w:hAnsi="Arial"/>
                <w:sz w:val="16"/>
                <w:szCs w:val="16"/>
                <w:color w:val="auto"/>
              </w:rPr>
              <w:t>10,000</w:t>
            </w:r>
          </w:p>
        </w:tc>
        <w:tc>
          <w:tcPr>
            <w:tcW w:w="2220" w:type="dxa"/>
            <w:vAlign w:val="bottom"/>
            <w:shd w:val="clear" w:color="auto" w:fill="BECFDE"/>
          </w:tcPr>
          <w:p>
            <w:pPr>
              <w:jc w:val="right"/>
              <w:ind w:right="579"/>
              <w:spacing w:after="0"/>
              <w:rPr>
                <w:sz w:val="20"/>
                <w:szCs w:val="20"/>
                <w:color w:val="auto"/>
              </w:rPr>
            </w:pPr>
            <w:r>
              <w:rPr>
                <w:rFonts w:ascii="Arial" w:cs="Arial" w:eastAsia="Arial" w:hAnsi="Arial"/>
                <w:sz w:val="16"/>
                <w:szCs w:val="16"/>
                <w:color w:val="auto"/>
              </w:rPr>
              <w:t>10,000</w:t>
            </w:r>
          </w:p>
        </w:tc>
      </w:tr>
      <w:tr>
        <w:trPr>
          <w:trHeight w:val="247"/>
        </w:trPr>
        <w:tc>
          <w:tcPr>
            <w:tcW w:w="4280" w:type="dxa"/>
            <w:vAlign w:val="bottom"/>
          </w:tcPr>
          <w:p>
            <w:pPr>
              <w:ind w:left="80"/>
              <w:spacing w:after="0"/>
              <w:rPr>
                <w:sz w:val="20"/>
                <w:szCs w:val="20"/>
                <w:color w:val="auto"/>
              </w:rPr>
            </w:pPr>
            <w:r>
              <w:rPr>
                <w:rFonts w:ascii="Arial" w:cs="Arial" w:eastAsia="Arial" w:hAnsi="Arial"/>
                <w:sz w:val="16"/>
                <w:szCs w:val="16"/>
                <w:color w:val="auto"/>
              </w:rPr>
              <w:t>Audit Committee Chair Retainer</w:t>
            </w:r>
          </w:p>
        </w:tc>
        <w:tc>
          <w:tcPr>
            <w:tcW w:w="2960" w:type="dxa"/>
            <w:vAlign w:val="bottom"/>
          </w:tcPr>
          <w:p>
            <w:pPr>
              <w:jc w:val="right"/>
              <w:ind w:right="699"/>
              <w:spacing w:after="0"/>
              <w:rPr>
                <w:sz w:val="20"/>
                <w:szCs w:val="20"/>
                <w:color w:val="auto"/>
              </w:rPr>
            </w:pPr>
            <w:r>
              <w:rPr>
                <w:rFonts w:ascii="Arial" w:cs="Arial" w:eastAsia="Arial" w:hAnsi="Arial"/>
                <w:sz w:val="16"/>
                <w:szCs w:val="16"/>
                <w:color w:val="auto"/>
              </w:rPr>
              <w:t>20,000</w:t>
            </w:r>
          </w:p>
        </w:tc>
        <w:tc>
          <w:tcPr>
            <w:tcW w:w="2220" w:type="dxa"/>
            <w:vAlign w:val="bottom"/>
          </w:tcPr>
          <w:p>
            <w:pPr>
              <w:jc w:val="right"/>
              <w:ind w:right="579"/>
              <w:spacing w:after="0"/>
              <w:rPr>
                <w:sz w:val="20"/>
                <w:szCs w:val="20"/>
                <w:color w:val="auto"/>
              </w:rPr>
            </w:pPr>
            <w:r>
              <w:rPr>
                <w:rFonts w:ascii="Arial" w:cs="Arial" w:eastAsia="Arial" w:hAnsi="Arial"/>
                <w:sz w:val="16"/>
                <w:szCs w:val="16"/>
                <w:color w:val="auto"/>
              </w:rPr>
              <w:t>20,000</w:t>
            </w:r>
          </w:p>
        </w:tc>
      </w:tr>
      <w:tr>
        <w:trPr>
          <w:trHeight w:val="266"/>
        </w:trPr>
        <w:tc>
          <w:tcPr>
            <w:tcW w:w="4280" w:type="dxa"/>
            <w:vAlign w:val="bottom"/>
            <w:shd w:val="clear" w:color="auto" w:fill="BECFDE"/>
          </w:tcPr>
          <w:p>
            <w:pPr>
              <w:ind w:left="80"/>
              <w:spacing w:after="0"/>
              <w:rPr>
                <w:sz w:val="20"/>
                <w:szCs w:val="20"/>
                <w:color w:val="auto"/>
              </w:rPr>
            </w:pPr>
            <w:r>
              <w:rPr>
                <w:rFonts w:ascii="Arial" w:cs="Arial" w:eastAsia="Arial" w:hAnsi="Arial"/>
                <w:sz w:val="16"/>
                <w:szCs w:val="16"/>
                <w:color w:val="auto"/>
              </w:rPr>
              <w:t>Compensation Committee Chair Retainer</w:t>
            </w:r>
          </w:p>
        </w:tc>
        <w:tc>
          <w:tcPr>
            <w:tcW w:w="2960" w:type="dxa"/>
            <w:vAlign w:val="bottom"/>
            <w:shd w:val="clear" w:color="auto" w:fill="BECFDE"/>
          </w:tcPr>
          <w:p>
            <w:pPr>
              <w:jc w:val="right"/>
              <w:ind w:right="699"/>
              <w:spacing w:after="0"/>
              <w:rPr>
                <w:sz w:val="20"/>
                <w:szCs w:val="20"/>
                <w:color w:val="auto"/>
              </w:rPr>
            </w:pPr>
            <w:r>
              <w:rPr>
                <w:rFonts w:ascii="Arial" w:cs="Arial" w:eastAsia="Arial" w:hAnsi="Arial"/>
                <w:sz w:val="16"/>
                <w:szCs w:val="16"/>
                <w:color w:val="auto"/>
              </w:rPr>
              <w:t>20,000</w:t>
            </w:r>
          </w:p>
        </w:tc>
        <w:tc>
          <w:tcPr>
            <w:tcW w:w="2220" w:type="dxa"/>
            <w:vAlign w:val="bottom"/>
            <w:shd w:val="clear" w:color="auto" w:fill="BECFDE"/>
          </w:tcPr>
          <w:p>
            <w:pPr>
              <w:jc w:val="right"/>
              <w:ind w:right="579"/>
              <w:spacing w:after="0"/>
              <w:rPr>
                <w:sz w:val="20"/>
                <w:szCs w:val="20"/>
                <w:color w:val="auto"/>
              </w:rPr>
            </w:pPr>
            <w:r>
              <w:rPr>
                <w:rFonts w:ascii="Arial" w:cs="Arial" w:eastAsia="Arial" w:hAnsi="Arial"/>
                <w:sz w:val="16"/>
                <w:szCs w:val="16"/>
                <w:color w:val="auto"/>
              </w:rPr>
              <w:t>20,000</w:t>
            </w:r>
          </w:p>
        </w:tc>
      </w:tr>
      <w:tr>
        <w:trPr>
          <w:trHeight w:val="247"/>
        </w:trPr>
        <w:tc>
          <w:tcPr>
            <w:tcW w:w="4280" w:type="dxa"/>
            <w:vAlign w:val="bottom"/>
          </w:tcPr>
          <w:p>
            <w:pPr>
              <w:ind w:left="80"/>
              <w:spacing w:after="0"/>
              <w:rPr>
                <w:sz w:val="20"/>
                <w:szCs w:val="20"/>
                <w:color w:val="auto"/>
              </w:rPr>
            </w:pPr>
            <w:r>
              <w:rPr>
                <w:rFonts w:ascii="Arial" w:cs="Arial" w:eastAsia="Arial" w:hAnsi="Arial"/>
                <w:sz w:val="16"/>
                <w:szCs w:val="16"/>
                <w:color w:val="auto"/>
              </w:rPr>
              <w:t>Governance Committee Chair Retainer</w:t>
            </w:r>
          </w:p>
        </w:tc>
        <w:tc>
          <w:tcPr>
            <w:tcW w:w="2960" w:type="dxa"/>
            <w:vAlign w:val="bottom"/>
          </w:tcPr>
          <w:p>
            <w:pPr>
              <w:jc w:val="right"/>
              <w:ind w:right="699"/>
              <w:spacing w:after="0"/>
              <w:rPr>
                <w:sz w:val="20"/>
                <w:szCs w:val="20"/>
                <w:color w:val="auto"/>
              </w:rPr>
            </w:pPr>
            <w:r>
              <w:rPr>
                <w:rFonts w:ascii="Arial" w:cs="Arial" w:eastAsia="Arial" w:hAnsi="Arial"/>
                <w:sz w:val="16"/>
                <w:szCs w:val="16"/>
                <w:color w:val="auto"/>
              </w:rPr>
              <w:t>15,000</w:t>
            </w:r>
          </w:p>
        </w:tc>
        <w:tc>
          <w:tcPr>
            <w:tcW w:w="2220" w:type="dxa"/>
            <w:vAlign w:val="bottom"/>
          </w:tcPr>
          <w:p>
            <w:pPr>
              <w:jc w:val="right"/>
              <w:ind w:right="579"/>
              <w:spacing w:after="0"/>
              <w:rPr>
                <w:sz w:val="20"/>
                <w:szCs w:val="20"/>
                <w:color w:val="auto"/>
              </w:rPr>
            </w:pPr>
            <w:r>
              <w:rPr>
                <w:rFonts w:ascii="Arial" w:cs="Arial" w:eastAsia="Arial" w:hAnsi="Arial"/>
                <w:sz w:val="16"/>
                <w:szCs w:val="16"/>
                <w:color w:val="auto"/>
              </w:rPr>
              <w:t>15,000</w:t>
            </w:r>
          </w:p>
        </w:tc>
      </w:tr>
      <w:tr>
        <w:trPr>
          <w:trHeight w:val="266"/>
        </w:trPr>
        <w:tc>
          <w:tcPr>
            <w:tcW w:w="4280" w:type="dxa"/>
            <w:vAlign w:val="bottom"/>
            <w:shd w:val="clear" w:color="auto" w:fill="BECFDE"/>
          </w:tcPr>
          <w:p>
            <w:pPr>
              <w:ind w:left="80"/>
              <w:spacing w:after="0"/>
              <w:rPr>
                <w:sz w:val="20"/>
                <w:szCs w:val="20"/>
                <w:color w:val="auto"/>
              </w:rPr>
            </w:pPr>
            <w:r>
              <w:rPr>
                <w:rFonts w:ascii="Arial" w:cs="Arial" w:eastAsia="Arial" w:hAnsi="Arial"/>
                <w:sz w:val="16"/>
                <w:szCs w:val="16"/>
                <w:color w:val="auto"/>
              </w:rPr>
              <w:t>Policy Committee Chair Retainer</w:t>
            </w:r>
          </w:p>
        </w:tc>
        <w:tc>
          <w:tcPr>
            <w:tcW w:w="2960" w:type="dxa"/>
            <w:vAlign w:val="bottom"/>
            <w:shd w:val="clear" w:color="auto" w:fill="BECFDE"/>
          </w:tcPr>
          <w:p>
            <w:pPr>
              <w:jc w:val="right"/>
              <w:ind w:right="699"/>
              <w:spacing w:after="0"/>
              <w:rPr>
                <w:sz w:val="20"/>
                <w:szCs w:val="20"/>
                <w:color w:val="auto"/>
              </w:rPr>
            </w:pPr>
            <w:r>
              <w:rPr>
                <w:rFonts w:ascii="Arial" w:cs="Arial" w:eastAsia="Arial" w:hAnsi="Arial"/>
                <w:sz w:val="16"/>
                <w:szCs w:val="16"/>
                <w:color w:val="auto"/>
              </w:rPr>
              <w:t>7,500</w:t>
            </w:r>
          </w:p>
        </w:tc>
        <w:tc>
          <w:tcPr>
            <w:tcW w:w="2220" w:type="dxa"/>
            <w:vAlign w:val="bottom"/>
            <w:shd w:val="clear" w:color="auto" w:fill="BECFDE"/>
          </w:tcPr>
          <w:p>
            <w:pPr>
              <w:jc w:val="right"/>
              <w:ind w:right="579"/>
              <w:spacing w:after="0"/>
              <w:rPr>
                <w:sz w:val="20"/>
                <w:szCs w:val="20"/>
                <w:color w:val="auto"/>
              </w:rPr>
            </w:pPr>
            <w:r>
              <w:rPr>
                <w:rFonts w:ascii="Arial" w:cs="Arial" w:eastAsia="Arial" w:hAnsi="Arial"/>
                <w:sz w:val="16"/>
                <w:szCs w:val="16"/>
                <w:color w:val="auto"/>
              </w:rPr>
              <w:t>7,500</w:t>
            </w:r>
          </w:p>
        </w:tc>
      </w:tr>
      <w:tr>
        <w:trPr>
          <w:trHeight w:val="250"/>
        </w:trPr>
        <w:tc>
          <w:tcPr>
            <w:tcW w:w="4280" w:type="dxa"/>
            <w:vAlign w:val="bottom"/>
            <w:tcBorders>
              <w:bottom w:val="single" w:sz="8" w:color="276092"/>
            </w:tcBorders>
          </w:tcPr>
          <w:p>
            <w:pPr>
              <w:ind w:left="80"/>
              <w:spacing w:after="0"/>
              <w:rPr>
                <w:sz w:val="20"/>
                <w:szCs w:val="20"/>
                <w:color w:val="auto"/>
              </w:rPr>
            </w:pPr>
            <w:r>
              <w:rPr>
                <w:rFonts w:ascii="Arial" w:cs="Arial" w:eastAsia="Arial" w:hAnsi="Arial"/>
                <w:sz w:val="16"/>
                <w:szCs w:val="16"/>
                <w:color w:val="auto"/>
              </w:rPr>
              <w:t>Annual Equity Grant (1)</w:t>
            </w:r>
          </w:p>
        </w:tc>
        <w:tc>
          <w:tcPr>
            <w:tcW w:w="2960" w:type="dxa"/>
            <w:vAlign w:val="bottom"/>
            <w:tcBorders>
              <w:bottom w:val="single" w:sz="8" w:color="276092"/>
            </w:tcBorders>
          </w:tcPr>
          <w:p>
            <w:pPr>
              <w:jc w:val="right"/>
              <w:ind w:right="699"/>
              <w:spacing w:after="0"/>
              <w:rPr>
                <w:sz w:val="20"/>
                <w:szCs w:val="20"/>
                <w:color w:val="auto"/>
              </w:rPr>
            </w:pPr>
            <w:r>
              <w:rPr>
                <w:rFonts w:ascii="Arial" w:cs="Arial" w:eastAsia="Arial" w:hAnsi="Arial"/>
                <w:sz w:val="16"/>
                <w:szCs w:val="16"/>
                <w:color w:val="auto"/>
              </w:rPr>
              <w:t>145,000</w:t>
            </w:r>
          </w:p>
        </w:tc>
        <w:tc>
          <w:tcPr>
            <w:tcW w:w="2220" w:type="dxa"/>
            <w:vAlign w:val="bottom"/>
            <w:tcBorders>
              <w:bottom w:val="single" w:sz="8" w:color="276092"/>
            </w:tcBorders>
          </w:tcPr>
          <w:p>
            <w:pPr>
              <w:jc w:val="right"/>
              <w:ind w:right="579"/>
              <w:spacing w:after="0"/>
              <w:rPr>
                <w:sz w:val="20"/>
                <w:szCs w:val="20"/>
                <w:color w:val="auto"/>
              </w:rPr>
            </w:pPr>
            <w:r>
              <w:rPr>
                <w:rFonts w:ascii="Arial" w:cs="Arial" w:eastAsia="Arial" w:hAnsi="Arial"/>
                <w:sz w:val="16"/>
                <w:szCs w:val="16"/>
                <w:color w:val="auto"/>
              </w:rPr>
              <w:t>150,000</w:t>
            </w:r>
          </w:p>
        </w:tc>
      </w:tr>
    </w:tbl>
    <w:p>
      <w:pPr>
        <w:spacing w:after="0" w:line="83" w:lineRule="exact"/>
        <w:rPr>
          <w:sz w:val="20"/>
          <w:szCs w:val="20"/>
          <w:color w:val="auto"/>
        </w:rPr>
      </w:pPr>
    </w:p>
    <w:p>
      <w:pPr>
        <w:ind w:left="1280" w:right="680" w:hanging="428"/>
        <w:spacing w:after="0" w:line="253" w:lineRule="auto"/>
        <w:tabs>
          <w:tab w:leader="none" w:pos="1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91" w:lineRule="exact"/>
        <w:rPr>
          <w:sz w:val="20"/>
          <w:szCs w:val="20"/>
          <w:color w:val="auto"/>
        </w:rPr>
      </w:pPr>
    </w:p>
    <w:p>
      <w:pPr>
        <w:jc w:val="both"/>
        <w:ind w:left="200" w:right="160"/>
        <w:spacing w:after="0"/>
        <w:rPr>
          <w:sz w:val="20"/>
          <w:szCs w:val="20"/>
          <w:color w:val="auto"/>
        </w:rPr>
      </w:pPr>
      <w:r>
        <w:rPr>
          <w:rFonts w:ascii="Arial" w:cs="Arial" w:eastAsia="Arial" w:hAnsi="Arial"/>
          <w:sz w:val="18"/>
          <w:szCs w:val="18"/>
          <w:color w:val="auto"/>
        </w:rPr>
        <w:t>Retainer fees are paid on a quarterly basis at the end of each quarter. To encourage directors to have a direct and material investment in shares of our common stock, non-employee directors are awarded an annual equity grant of $150,000 in the form of deferred stock units (Automatic Stock Units).</w:t>
      </w:r>
    </w:p>
    <w:p>
      <w:pPr>
        <w:spacing w:after="0" w:line="9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Director Program was amended and restated effective January 1, 2016 (the Amended Director Program). Directors received an annual equity grant of Automatic Stock Units on May 18, 2016, which vested on May 18, 2017, and an annual equity grant of Automatic Stock Units on May 17, 2017, which will vest on the one year anniversary of the grant date.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97"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Stock Ownership Requirements and Anti-Hedging and 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95"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Company policy prohibits members of the Board of Directors from pledging or engaging in hedging transactions with respect to any of their Company stock, continuing to align the interests of our Board of Directors with those of our shareholders. None of the shares of Company common stock held by our directors are pledged or subject to any hedging transaction.</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provides information on the compensation of our non-employee directors for the year ended December 31, 2017.</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640" w:type="dxa"/>
            <w:vAlign w:val="bottom"/>
            <w:shd w:val="clear" w:color="auto" w:fill="276092"/>
          </w:tcPr>
          <w:p>
            <w:pPr>
              <w:spacing w:after="0"/>
              <w:rPr>
                <w:sz w:val="16"/>
                <w:szCs w:val="16"/>
                <w:color w:val="auto"/>
              </w:rPr>
            </w:pPr>
          </w:p>
        </w:tc>
        <w:tc>
          <w:tcPr>
            <w:tcW w:w="3380" w:type="dxa"/>
            <w:vAlign w:val="bottom"/>
            <w:shd w:val="clear" w:color="auto" w:fill="276092"/>
          </w:tcPr>
          <w:p>
            <w:pPr>
              <w:jc w:val="center"/>
              <w:ind w:left="1621"/>
              <w:spacing w:after="0"/>
              <w:rPr>
                <w:sz w:val="20"/>
                <w:szCs w:val="20"/>
                <w:color w:val="auto"/>
              </w:rPr>
            </w:pPr>
            <w:r>
              <w:rPr>
                <w:rFonts w:ascii="Arial" w:cs="Arial" w:eastAsia="Arial" w:hAnsi="Arial"/>
                <w:sz w:val="14"/>
                <w:szCs w:val="14"/>
                <w:b w:val="1"/>
                <w:bCs w:val="1"/>
                <w:color w:val="FFFFFF"/>
              </w:rPr>
              <w:t>Fees Earned or</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Stock</w:t>
            </w:r>
          </w:p>
        </w:tc>
        <w:tc>
          <w:tcPr>
            <w:tcW w:w="1740" w:type="dxa"/>
            <w:vAlign w:val="bottom"/>
            <w:shd w:val="clear" w:color="auto" w:fill="276092"/>
          </w:tcPr>
          <w:p>
            <w:pPr>
              <w:jc w:val="center"/>
              <w:ind w:left="1"/>
              <w:spacing w:after="0"/>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276092"/>
          </w:tcPr>
          <w:p>
            <w:pPr>
              <w:spacing w:after="0"/>
              <w:rPr>
                <w:sz w:val="16"/>
                <w:szCs w:val="16"/>
                <w:color w:val="auto"/>
              </w:rPr>
            </w:pPr>
          </w:p>
        </w:tc>
      </w:tr>
      <w:tr>
        <w:trPr>
          <w:trHeight w:val="162"/>
        </w:trPr>
        <w:tc>
          <w:tcPr>
            <w:tcW w:w="3640" w:type="dxa"/>
            <w:vAlign w:val="bottom"/>
            <w:shd w:val="clear" w:color="auto" w:fill="276092"/>
          </w:tcPr>
          <w:p>
            <w:pPr>
              <w:spacing w:after="0"/>
              <w:rPr>
                <w:sz w:val="14"/>
                <w:szCs w:val="14"/>
                <w:color w:val="auto"/>
              </w:rPr>
            </w:pPr>
          </w:p>
        </w:tc>
        <w:tc>
          <w:tcPr>
            <w:tcW w:w="3380" w:type="dxa"/>
            <w:vAlign w:val="bottom"/>
            <w:shd w:val="clear" w:color="auto" w:fill="276092"/>
          </w:tcPr>
          <w:p>
            <w:pPr>
              <w:jc w:val="center"/>
              <w:ind w:left="1621"/>
              <w:spacing w:after="0"/>
              <w:rPr>
                <w:sz w:val="20"/>
                <w:szCs w:val="20"/>
                <w:color w:val="auto"/>
              </w:rPr>
            </w:pPr>
            <w:r>
              <w:rPr>
                <w:rFonts w:ascii="Arial" w:cs="Arial" w:eastAsia="Arial" w:hAnsi="Arial"/>
                <w:sz w:val="14"/>
                <w:szCs w:val="14"/>
                <w:b w:val="1"/>
                <w:bCs w:val="1"/>
                <w:color w:val="FFFFFF"/>
              </w:rPr>
              <w:t>Paid in Cash (1)</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Awards (2)</w:t>
            </w:r>
          </w:p>
        </w:tc>
        <w:tc>
          <w:tcPr>
            <w:tcW w:w="1740" w:type="dxa"/>
            <w:vAlign w:val="bottom"/>
            <w:shd w:val="clear" w:color="auto" w:fill="276092"/>
          </w:tcPr>
          <w:p>
            <w:pPr>
              <w:jc w:val="center"/>
              <w:ind w:left="1"/>
              <w:spacing w:after="0"/>
              <w:rPr>
                <w:sz w:val="20"/>
                <w:szCs w:val="20"/>
                <w:color w:val="auto"/>
              </w:rPr>
            </w:pPr>
            <w:r>
              <w:rPr>
                <w:rFonts w:ascii="Arial" w:cs="Arial" w:eastAsia="Arial" w:hAnsi="Arial"/>
                <w:sz w:val="14"/>
                <w:szCs w:val="14"/>
                <w:b w:val="1"/>
                <w:bCs w:val="1"/>
                <w:color w:val="FFFFFF"/>
              </w:rPr>
              <w:t>Compensation (3)</w:t>
            </w:r>
          </w:p>
        </w:tc>
        <w:tc>
          <w:tcPr>
            <w:tcW w:w="940" w:type="dxa"/>
            <w:vAlign w:val="bottom"/>
            <w:shd w:val="clear" w:color="auto" w:fill="276092"/>
          </w:tcPr>
          <w:p>
            <w:pPr>
              <w:jc w:val="right"/>
              <w:ind w:right="220"/>
              <w:spacing w:after="0"/>
              <w:rPr>
                <w:sz w:val="20"/>
                <w:szCs w:val="20"/>
                <w:color w:val="auto"/>
              </w:rPr>
            </w:pPr>
            <w:r>
              <w:rPr>
                <w:rFonts w:ascii="Arial" w:cs="Arial" w:eastAsia="Arial" w:hAnsi="Arial"/>
                <w:sz w:val="14"/>
                <w:szCs w:val="14"/>
                <w:b w:val="1"/>
                <w:bCs w:val="1"/>
                <w:color w:val="FFFFFF"/>
              </w:rPr>
              <w:t>Total</w:t>
            </w:r>
          </w:p>
        </w:tc>
      </w:tr>
      <w:tr>
        <w:trPr>
          <w:trHeight w:val="202"/>
        </w:trPr>
        <w:tc>
          <w:tcPr>
            <w:tcW w:w="364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3380" w:type="dxa"/>
            <w:vAlign w:val="bottom"/>
            <w:shd w:val="clear" w:color="auto" w:fill="276092"/>
          </w:tcPr>
          <w:p>
            <w:pPr>
              <w:jc w:val="center"/>
              <w:ind w:left="1641"/>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1740" w:type="dxa"/>
            <w:vAlign w:val="bottom"/>
            <w:shd w:val="clear" w:color="auto" w:fill="276092"/>
          </w:tcPr>
          <w:p>
            <w:pPr>
              <w:jc w:val="center"/>
              <w:ind w:left="1"/>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276092"/>
          </w:tcPr>
          <w:p>
            <w:pPr>
              <w:jc w:val="right"/>
              <w:ind w:right="300"/>
              <w:spacing w:after="0"/>
              <w:rPr>
                <w:sz w:val="20"/>
                <w:szCs w:val="20"/>
                <w:color w:val="auto"/>
              </w:rPr>
            </w:pPr>
            <w:r>
              <w:rPr>
                <w:rFonts w:ascii="Arial" w:cs="Arial" w:eastAsia="Arial" w:hAnsi="Arial"/>
                <w:sz w:val="14"/>
                <w:szCs w:val="14"/>
                <w:b w:val="1"/>
                <w:bCs w:val="1"/>
                <w:color w:val="FFFFFF"/>
              </w:rPr>
              <w:t>($)</w:t>
            </w:r>
          </w:p>
        </w:tc>
      </w:tr>
      <w:tr>
        <w:trPr>
          <w:trHeight w:val="257"/>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Marianne C. Brown</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132,500</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177</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282,677</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Victor H. Fazio</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132,500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25,690</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308,190</w:t>
            </w:r>
          </w:p>
        </w:tc>
      </w:tr>
      <w:tr>
        <w:trPr>
          <w:trHeight w:val="266"/>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Donald E. Felsinger</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157,500</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17,307</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324,807</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Ann M. Fudge</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132,500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8,073</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290,573</w:t>
            </w:r>
          </w:p>
        </w:tc>
      </w:tr>
      <w:tr>
        <w:trPr>
          <w:trHeight w:val="266"/>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Bruce S. Gordon</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130,000</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17,086</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297,086</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William H. Hernandez</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152,500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447</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302,947</w:t>
            </w:r>
          </w:p>
        </w:tc>
      </w:tr>
      <w:tr>
        <w:trPr>
          <w:trHeight w:val="266"/>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Madeleine A. Kleiner</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147,500</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17,022</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314,522</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Karl J. Krapek</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142,500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19,287</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311,787</w:t>
            </w:r>
          </w:p>
        </w:tc>
      </w:tr>
      <w:tr>
        <w:trPr>
          <w:trHeight w:val="266"/>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Richard B. Myers (4)</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30,625</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2,517</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33,142</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Gary Roughead</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122,500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1,500</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274,000</w:t>
            </w:r>
          </w:p>
        </w:tc>
      </w:tr>
      <w:tr>
        <w:trPr>
          <w:trHeight w:val="266"/>
        </w:trPr>
        <w:tc>
          <w:tcPr>
            <w:tcW w:w="3640" w:type="dxa"/>
            <w:vAlign w:val="bottom"/>
            <w:shd w:val="clear" w:color="auto" w:fill="BECFDE"/>
          </w:tcPr>
          <w:p>
            <w:pPr>
              <w:ind w:left="60"/>
              <w:spacing w:after="0"/>
              <w:rPr>
                <w:sz w:val="20"/>
                <w:szCs w:val="20"/>
                <w:color w:val="auto"/>
              </w:rPr>
            </w:pPr>
            <w:r>
              <w:rPr>
                <w:rFonts w:ascii="Arial" w:cs="Arial" w:eastAsia="Arial" w:hAnsi="Arial"/>
                <w:sz w:val="16"/>
                <w:szCs w:val="16"/>
                <w:color w:val="auto"/>
              </w:rPr>
              <w:t>Thomas M. Schoewe</w:t>
            </w:r>
          </w:p>
        </w:tc>
        <w:tc>
          <w:tcPr>
            <w:tcW w:w="338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122,500</w:t>
            </w:r>
          </w:p>
        </w:tc>
        <w:tc>
          <w:tcPr>
            <w:tcW w:w="1320" w:type="dxa"/>
            <w:vAlign w:val="bottom"/>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shd w:val="clear" w:color="auto" w:fill="BECFDE"/>
          </w:tcPr>
          <w:p>
            <w:pPr>
              <w:jc w:val="right"/>
              <w:ind w:right="341"/>
              <w:spacing w:after="0"/>
              <w:rPr>
                <w:sz w:val="20"/>
                <w:szCs w:val="20"/>
                <w:color w:val="auto"/>
              </w:rPr>
            </w:pPr>
            <w:r>
              <w:rPr>
                <w:rFonts w:ascii="Arial" w:cs="Arial" w:eastAsia="Arial" w:hAnsi="Arial"/>
                <w:sz w:val="16"/>
                <w:szCs w:val="16"/>
                <w:color w:val="auto"/>
              </w:rPr>
              <w:t>2,027</w:t>
            </w:r>
          </w:p>
        </w:tc>
        <w:tc>
          <w:tcPr>
            <w:tcW w:w="94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274,527</w:t>
            </w:r>
          </w:p>
        </w:tc>
      </w:tr>
      <w:tr>
        <w:trPr>
          <w:trHeight w:val="247"/>
        </w:trPr>
        <w:tc>
          <w:tcPr>
            <w:tcW w:w="3640" w:type="dxa"/>
            <w:vAlign w:val="bottom"/>
          </w:tcPr>
          <w:p>
            <w:pPr>
              <w:ind w:left="60"/>
              <w:spacing w:after="0"/>
              <w:rPr>
                <w:sz w:val="20"/>
                <w:szCs w:val="20"/>
                <w:color w:val="auto"/>
              </w:rPr>
            </w:pPr>
            <w:r>
              <w:rPr>
                <w:rFonts w:ascii="Arial" w:cs="Arial" w:eastAsia="Arial" w:hAnsi="Arial"/>
                <w:sz w:val="16"/>
                <w:szCs w:val="16"/>
                <w:color w:val="auto"/>
              </w:rPr>
              <w:t>James S. Turley</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132,500</w:t>
            </w:r>
          </w:p>
        </w:tc>
        <w:tc>
          <w:tcPr>
            <w:tcW w:w="1320" w:type="dxa"/>
            <w:vAlign w:val="bottom"/>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Pr>
          <w:p>
            <w:pPr>
              <w:jc w:val="right"/>
              <w:ind w:right="341"/>
              <w:spacing w:after="0"/>
              <w:rPr>
                <w:sz w:val="20"/>
                <w:szCs w:val="20"/>
                <w:color w:val="auto"/>
              </w:rPr>
            </w:pPr>
            <w:r>
              <w:rPr>
                <w:rFonts w:ascii="Arial" w:cs="Arial" w:eastAsia="Arial" w:hAnsi="Arial"/>
                <w:sz w:val="16"/>
                <w:szCs w:val="16"/>
                <w:color w:val="auto"/>
              </w:rPr>
              <w:t>155</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282,655</w:t>
            </w:r>
          </w:p>
        </w:tc>
      </w:tr>
      <w:tr>
        <w:trPr>
          <w:trHeight w:val="260"/>
        </w:trPr>
        <w:tc>
          <w:tcPr>
            <w:tcW w:w="364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color w:val="auto"/>
              </w:rPr>
              <w:t>Mark A. Welsh III</w:t>
            </w:r>
          </w:p>
        </w:tc>
        <w:tc>
          <w:tcPr>
            <w:tcW w:w="3380" w:type="dxa"/>
            <w:vAlign w:val="bottom"/>
            <w:tcBorders>
              <w:bottom w:val="single" w:sz="8" w:color="276092"/>
            </w:tcBorders>
            <w:shd w:val="clear" w:color="auto" w:fill="BECFDE"/>
          </w:tcPr>
          <w:p>
            <w:pPr>
              <w:jc w:val="right"/>
              <w:ind w:right="261"/>
              <w:spacing w:after="0"/>
              <w:rPr>
                <w:sz w:val="20"/>
                <w:szCs w:val="20"/>
                <w:color w:val="auto"/>
              </w:rPr>
            </w:pPr>
            <w:r>
              <w:rPr>
                <w:rFonts w:ascii="Arial" w:cs="Arial" w:eastAsia="Arial" w:hAnsi="Arial"/>
                <w:sz w:val="16"/>
                <w:szCs w:val="16"/>
                <w:color w:val="auto"/>
              </w:rPr>
              <w:t>132,500</w:t>
            </w:r>
          </w:p>
        </w:tc>
        <w:tc>
          <w:tcPr>
            <w:tcW w:w="1320" w:type="dxa"/>
            <w:vAlign w:val="bottom"/>
            <w:tcBorders>
              <w:bottom w:val="single" w:sz="8" w:color="276092"/>
            </w:tcBorders>
            <w:shd w:val="clear" w:color="auto" w:fill="BECFDE"/>
          </w:tcPr>
          <w:p>
            <w:pPr>
              <w:jc w:val="right"/>
              <w:ind w:right="261"/>
              <w:spacing w:after="0"/>
              <w:rPr>
                <w:sz w:val="20"/>
                <w:szCs w:val="20"/>
                <w:color w:val="auto"/>
              </w:rPr>
            </w:pPr>
            <w:r>
              <w:rPr>
                <w:rFonts w:ascii="Arial" w:cs="Arial" w:eastAsia="Arial" w:hAnsi="Arial"/>
                <w:sz w:val="16"/>
                <w:szCs w:val="16"/>
                <w:color w:val="auto"/>
              </w:rPr>
              <w:t>150,000</w:t>
            </w:r>
          </w:p>
        </w:tc>
        <w:tc>
          <w:tcPr>
            <w:tcW w:w="1740" w:type="dxa"/>
            <w:vAlign w:val="bottom"/>
            <w:tcBorders>
              <w:bottom w:val="single" w:sz="8" w:color="276092"/>
            </w:tcBorders>
            <w:shd w:val="clear" w:color="auto" w:fill="BECFDE"/>
          </w:tcPr>
          <w:p>
            <w:pPr>
              <w:jc w:val="right"/>
              <w:ind w:right="341"/>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276092"/>
            </w:tcBorders>
            <w:shd w:val="clear" w:color="auto" w:fill="BECFDE"/>
          </w:tcPr>
          <w:p>
            <w:pPr>
              <w:jc w:val="right"/>
              <w:ind w:right="40"/>
              <w:spacing w:after="0"/>
              <w:rPr>
                <w:sz w:val="20"/>
                <w:szCs w:val="20"/>
                <w:color w:val="auto"/>
              </w:rPr>
            </w:pPr>
            <w:r>
              <w:rPr>
                <w:rFonts w:ascii="Arial" w:cs="Arial" w:eastAsia="Arial" w:hAnsi="Arial"/>
                <w:sz w:val="16"/>
                <w:szCs w:val="16"/>
                <w:color w:val="auto"/>
              </w:rPr>
              <w:t>282,513</w:t>
            </w:r>
          </w:p>
        </w:tc>
      </w:tr>
    </w:tbl>
    <w:p>
      <w:pPr>
        <w:spacing w:after="0" w:line="242" w:lineRule="exact"/>
        <w:rPr>
          <w:sz w:val="20"/>
          <w:szCs w:val="20"/>
          <w:color w:val="auto"/>
        </w:rPr>
      </w:pPr>
    </w:p>
    <w:p>
      <w:pPr>
        <w:ind w:left="640" w:right="40" w:hanging="436"/>
        <w:spacing w:after="0" w:line="239"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the annual cash retainer paid to each director, including any applicable annual committee and committee chair retainers and any applicable Lead Independent Director or Chairperson retainer. As described above, a director may elect to defer all or a portion of his or her annual cash retainer into a deferred stock unit account. Amounts deferred as Elective Stock Units or deferred into alternative investment options are reflected in this column.</w:t>
      </w:r>
    </w:p>
    <w:p>
      <w:pPr>
        <w:spacing w:after="0" w:line="53" w:lineRule="exact"/>
        <w:rPr>
          <w:rFonts w:ascii="Arial" w:cs="Arial" w:eastAsia="Arial" w:hAnsi="Arial"/>
          <w:sz w:val="18"/>
          <w:szCs w:val="18"/>
          <w:color w:val="auto"/>
        </w:rPr>
      </w:pPr>
    </w:p>
    <w:p>
      <w:pPr>
        <w:ind w:left="640" w:right="60" w:hanging="436"/>
        <w:spacing w:after="0" w:line="23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represent the target value of Automatic Stock Units awarded to each of our non-employee directors in 2017 under the 2011 Plan pursuant to the Amended Director Program. The amount reported for each director reflects the aggregate fair value of the Automatic Stock Units on the grant date, as determined under Financial Accounting Standards Board (FASB) Accounting Standards Codification (ASC)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2017 is provided in the Deferred Stock Units table below.</w:t>
      </w:r>
    </w:p>
    <w:p>
      <w:pPr>
        <w:spacing w:after="0" w:line="56" w:lineRule="exact"/>
        <w:rPr>
          <w:rFonts w:ascii="Arial" w:cs="Arial" w:eastAsia="Arial" w:hAnsi="Arial"/>
          <w:sz w:val="18"/>
          <w:szCs w:val="18"/>
          <w:color w:val="auto"/>
        </w:rPr>
      </w:pPr>
    </w:p>
    <w:p>
      <w:pPr>
        <w:jc w:val="both"/>
        <w:ind w:left="640" w:right="140" w:hanging="436"/>
        <w:spacing w:after="0" w:line="238"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Mr. Fazio, $10,000; Ms. Fudge, $8,000; Mr. Gordon, $10,000; Ms. Kleiner, $10,000; and Mr. Krapek, $10,000.</w:t>
      </w:r>
    </w:p>
    <w:p>
      <w:pPr>
        <w:spacing w:after="0" w:line="108" w:lineRule="exact"/>
        <w:rPr>
          <w:rFonts w:ascii="Arial" w:cs="Arial" w:eastAsia="Arial" w:hAnsi="Arial"/>
          <w:sz w:val="18"/>
          <w:szCs w:val="18"/>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Myers did not stand for reelection at the 2017 Annual Meeting.</w:t>
      </w:r>
    </w:p>
    <w:p>
      <w:pPr>
        <w:spacing w:after="0" w:line="141" w:lineRule="exact"/>
        <w:rPr>
          <w:sz w:val="20"/>
          <w:szCs w:val="20"/>
          <w:color w:val="auto"/>
        </w:rPr>
      </w:pPr>
    </w:p>
    <w:p>
      <w:pPr>
        <w:ind w:left="460" w:hanging="256"/>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Deferred Stock Units</w:t>
      </w:r>
    </w:p>
    <w:p>
      <w:pPr>
        <w:spacing w:after="0" w:line="121" w:lineRule="exact"/>
        <w:rPr>
          <w:sz w:val="20"/>
          <w:szCs w:val="20"/>
          <w:color w:val="auto"/>
        </w:rPr>
      </w:pPr>
    </w:p>
    <w:p>
      <w:pPr>
        <w:jc w:val="both"/>
        <w:ind w:left="200" w:right="240"/>
        <w:spacing w:after="0"/>
        <w:rPr>
          <w:sz w:val="20"/>
          <w:szCs w:val="20"/>
          <w:color w:val="auto"/>
        </w:rPr>
      </w:pPr>
      <w:r>
        <w:rPr>
          <w:rFonts w:ascii="Arial" w:cs="Arial" w:eastAsia="Arial" w:hAnsi="Arial"/>
          <w:sz w:val="18"/>
          <w:szCs w:val="18"/>
          <w:color w:val="auto"/>
        </w:rPr>
        <w:t>As of December 31, 2017,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3940" w:type="dxa"/>
            <w:vAlign w:val="bottom"/>
            <w:shd w:val="clear" w:color="auto" w:fill="276092"/>
          </w:tcPr>
          <w:p>
            <w:pPr>
              <w:spacing w:after="0"/>
              <w:rPr>
                <w:sz w:val="18"/>
                <w:szCs w:val="18"/>
                <w:color w:val="auto"/>
              </w:rPr>
            </w:pPr>
          </w:p>
        </w:tc>
        <w:tc>
          <w:tcPr>
            <w:tcW w:w="3980" w:type="dxa"/>
            <w:vAlign w:val="bottom"/>
            <w:shd w:val="clear" w:color="auto" w:fill="276092"/>
          </w:tcPr>
          <w:p>
            <w:pPr>
              <w:jc w:val="right"/>
              <w:ind w:right="319"/>
              <w:spacing w:after="0"/>
              <w:rPr>
                <w:sz w:val="20"/>
                <w:szCs w:val="20"/>
                <w:color w:val="auto"/>
              </w:rPr>
            </w:pPr>
            <w:r>
              <w:rPr>
                <w:rFonts w:ascii="Arial" w:cs="Arial" w:eastAsia="Arial" w:hAnsi="Arial"/>
                <w:sz w:val="16"/>
                <w:szCs w:val="16"/>
                <w:b w:val="1"/>
                <w:bCs w:val="1"/>
                <w:color w:val="FFFFFF"/>
              </w:rPr>
              <w:t>Automatic Stock</w:t>
            </w:r>
          </w:p>
        </w:tc>
        <w:tc>
          <w:tcPr>
            <w:tcW w:w="1940" w:type="dxa"/>
            <w:vAlign w:val="bottom"/>
            <w:shd w:val="clear" w:color="auto" w:fill="276092"/>
          </w:tcPr>
          <w:p>
            <w:pPr>
              <w:jc w:val="right"/>
              <w:ind w:right="359"/>
              <w:spacing w:after="0"/>
              <w:rPr>
                <w:sz w:val="20"/>
                <w:szCs w:val="20"/>
                <w:color w:val="auto"/>
              </w:rPr>
            </w:pPr>
            <w:r>
              <w:rPr>
                <w:rFonts w:ascii="Arial" w:cs="Arial" w:eastAsia="Arial" w:hAnsi="Arial"/>
                <w:sz w:val="16"/>
                <w:szCs w:val="16"/>
                <w:b w:val="1"/>
                <w:bCs w:val="1"/>
                <w:color w:val="FFFFFF"/>
              </w:rPr>
              <w:t>Elective Stock</w:t>
            </w:r>
          </w:p>
        </w:tc>
        <w:tc>
          <w:tcPr>
            <w:tcW w:w="1160" w:type="dxa"/>
            <w:vAlign w:val="bottom"/>
            <w:shd w:val="clear" w:color="auto" w:fill="276092"/>
          </w:tcPr>
          <w:p>
            <w:pPr>
              <w:jc w:val="right"/>
              <w:ind w:right="159"/>
              <w:spacing w:after="0"/>
              <w:rPr>
                <w:sz w:val="20"/>
                <w:szCs w:val="20"/>
                <w:color w:val="auto"/>
              </w:rPr>
            </w:pPr>
            <w:r>
              <w:rPr>
                <w:rFonts w:ascii="Arial" w:cs="Arial" w:eastAsia="Arial" w:hAnsi="Arial"/>
                <w:sz w:val="16"/>
                <w:szCs w:val="16"/>
                <w:b w:val="1"/>
                <w:bCs w:val="1"/>
                <w:color w:val="FFFFFF"/>
              </w:rPr>
              <w:t>Total</w:t>
            </w:r>
          </w:p>
        </w:tc>
      </w:tr>
      <w:tr>
        <w:trPr>
          <w:trHeight w:val="234"/>
        </w:trPr>
        <w:tc>
          <w:tcPr>
            <w:tcW w:w="3940" w:type="dxa"/>
            <w:vAlign w:val="bottom"/>
            <w:shd w:val="clear" w:color="auto" w:fill="276092"/>
          </w:tcPr>
          <w:p>
            <w:pPr>
              <w:ind w:left="80"/>
              <w:spacing w:after="0"/>
              <w:rPr>
                <w:sz w:val="20"/>
                <w:szCs w:val="20"/>
                <w:color w:val="auto"/>
              </w:rPr>
            </w:pPr>
            <w:r>
              <w:rPr>
                <w:rFonts w:ascii="Arial" w:cs="Arial" w:eastAsia="Arial" w:hAnsi="Arial"/>
                <w:sz w:val="16"/>
                <w:szCs w:val="16"/>
                <w:b w:val="1"/>
                <w:bCs w:val="1"/>
                <w:color w:val="FFFFFF"/>
              </w:rPr>
              <w:t>Name</w:t>
            </w:r>
          </w:p>
        </w:tc>
        <w:tc>
          <w:tcPr>
            <w:tcW w:w="3980" w:type="dxa"/>
            <w:vAlign w:val="bottom"/>
            <w:shd w:val="clear" w:color="auto" w:fill="276092"/>
          </w:tcPr>
          <w:p>
            <w:pPr>
              <w:jc w:val="right"/>
              <w:ind w:right="739"/>
              <w:spacing w:after="0"/>
              <w:rPr>
                <w:sz w:val="20"/>
                <w:szCs w:val="20"/>
                <w:color w:val="auto"/>
              </w:rPr>
            </w:pPr>
            <w:r>
              <w:rPr>
                <w:rFonts w:ascii="Arial" w:cs="Arial" w:eastAsia="Arial" w:hAnsi="Arial"/>
                <w:sz w:val="16"/>
                <w:szCs w:val="16"/>
                <w:b w:val="1"/>
                <w:bCs w:val="1"/>
                <w:color w:val="FFFFFF"/>
              </w:rPr>
              <w:t>Units</w:t>
            </w:r>
          </w:p>
        </w:tc>
        <w:tc>
          <w:tcPr>
            <w:tcW w:w="1940" w:type="dxa"/>
            <w:vAlign w:val="bottom"/>
            <w:shd w:val="clear" w:color="auto" w:fill="276092"/>
          </w:tcPr>
          <w:p>
            <w:pPr>
              <w:jc w:val="right"/>
              <w:ind w:right="719"/>
              <w:spacing w:after="0"/>
              <w:rPr>
                <w:sz w:val="20"/>
                <w:szCs w:val="20"/>
                <w:color w:val="auto"/>
              </w:rPr>
            </w:pPr>
            <w:r>
              <w:rPr>
                <w:rFonts w:ascii="Arial" w:cs="Arial" w:eastAsia="Arial" w:hAnsi="Arial"/>
                <w:sz w:val="16"/>
                <w:szCs w:val="16"/>
                <w:b w:val="1"/>
                <w:bCs w:val="1"/>
                <w:color w:val="FFFFFF"/>
              </w:rPr>
              <w:t>Units</w:t>
            </w:r>
          </w:p>
        </w:tc>
        <w:tc>
          <w:tcPr>
            <w:tcW w:w="1160" w:type="dxa"/>
            <w:vAlign w:val="bottom"/>
            <w:shd w:val="clear" w:color="auto" w:fill="276092"/>
          </w:tcPr>
          <w:p>
            <w:pPr>
              <w:spacing w:after="0"/>
              <w:rPr>
                <w:sz w:val="20"/>
                <w:szCs w:val="20"/>
                <w:color w:val="auto"/>
              </w:rPr>
            </w:pPr>
          </w:p>
        </w:tc>
      </w:tr>
      <w:tr>
        <w:trPr>
          <w:trHeight w:val="257"/>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Marianne C. Brown</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2,250</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1,121</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3,371</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Victor H. Fazio</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12,694</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7,611</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20,305</w:t>
            </w:r>
          </w:p>
        </w:tc>
      </w:tr>
      <w:tr>
        <w:trPr>
          <w:trHeight w:val="266"/>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Donald E. Felsinger</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19,677</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14,663</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34,340</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Ann M. Fudge</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1,312</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474</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1,786</w:t>
            </w:r>
          </w:p>
        </w:tc>
      </w:tr>
      <w:tr>
        <w:trPr>
          <w:trHeight w:val="266"/>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Bruce S. Gordon</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16,325</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16,325</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William H. Hernandez</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3,851</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3,851</w:t>
            </w:r>
          </w:p>
        </w:tc>
      </w:tr>
      <w:tr>
        <w:trPr>
          <w:trHeight w:val="266"/>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Madeleine A. Kleiner</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15,339</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15,339</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Karl J. Krapek</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16,368</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5,840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22,208</w:t>
            </w:r>
          </w:p>
        </w:tc>
      </w:tr>
      <w:tr>
        <w:trPr>
          <w:trHeight w:val="266"/>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Richard B. Myers (1)</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Gary Roughead</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7,045</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7,045</w:t>
            </w:r>
          </w:p>
        </w:tc>
      </w:tr>
      <w:tr>
        <w:trPr>
          <w:trHeight w:val="266"/>
        </w:trPr>
        <w:tc>
          <w:tcPr>
            <w:tcW w:w="3940" w:type="dxa"/>
            <w:vAlign w:val="bottom"/>
            <w:shd w:val="clear" w:color="auto" w:fill="BECFDE"/>
          </w:tcPr>
          <w:p>
            <w:pPr>
              <w:ind w:left="60"/>
              <w:spacing w:after="0"/>
              <w:rPr>
                <w:sz w:val="20"/>
                <w:szCs w:val="20"/>
                <w:color w:val="auto"/>
              </w:rPr>
            </w:pPr>
            <w:r>
              <w:rPr>
                <w:rFonts w:ascii="Arial" w:cs="Arial" w:eastAsia="Arial" w:hAnsi="Arial"/>
                <w:sz w:val="16"/>
                <w:szCs w:val="16"/>
                <w:color w:val="auto"/>
              </w:rPr>
              <w:t>Thomas M. Schoewe</w:t>
            </w:r>
          </w:p>
        </w:tc>
        <w:tc>
          <w:tcPr>
            <w:tcW w:w="3980" w:type="dxa"/>
            <w:vAlign w:val="bottom"/>
            <w:shd w:val="clear" w:color="auto" w:fill="BECFDE"/>
          </w:tcPr>
          <w:p>
            <w:pPr>
              <w:jc w:val="right"/>
              <w:ind w:right="679"/>
              <w:spacing w:after="0"/>
              <w:rPr>
                <w:sz w:val="20"/>
                <w:szCs w:val="20"/>
                <w:color w:val="auto"/>
              </w:rPr>
            </w:pPr>
            <w:r>
              <w:rPr>
                <w:rFonts w:ascii="Arial" w:cs="Arial" w:eastAsia="Arial" w:hAnsi="Arial"/>
                <w:sz w:val="16"/>
                <w:szCs w:val="16"/>
                <w:color w:val="auto"/>
              </w:rPr>
              <w:t>8,241</w:t>
            </w:r>
          </w:p>
        </w:tc>
        <w:tc>
          <w:tcPr>
            <w:tcW w:w="1940" w:type="dxa"/>
            <w:vAlign w:val="bottom"/>
            <w:shd w:val="clear" w:color="auto" w:fill="BECFDE"/>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BECFDE"/>
          </w:tcPr>
          <w:p>
            <w:pPr>
              <w:jc w:val="right"/>
              <w:ind w:right="139"/>
              <w:spacing w:after="0"/>
              <w:rPr>
                <w:sz w:val="20"/>
                <w:szCs w:val="20"/>
                <w:color w:val="auto"/>
              </w:rPr>
            </w:pPr>
            <w:r>
              <w:rPr>
                <w:rFonts w:ascii="Arial" w:cs="Arial" w:eastAsia="Arial" w:hAnsi="Arial"/>
                <w:sz w:val="16"/>
                <w:szCs w:val="16"/>
                <w:color w:val="auto"/>
              </w:rPr>
              <w:t>8,241</w:t>
            </w:r>
          </w:p>
        </w:tc>
      </w:tr>
      <w:tr>
        <w:trPr>
          <w:trHeight w:val="247"/>
        </w:trPr>
        <w:tc>
          <w:tcPr>
            <w:tcW w:w="3940" w:type="dxa"/>
            <w:vAlign w:val="bottom"/>
          </w:tcPr>
          <w:p>
            <w:pPr>
              <w:ind w:left="60"/>
              <w:spacing w:after="0"/>
              <w:rPr>
                <w:sz w:val="20"/>
                <w:szCs w:val="20"/>
                <w:color w:val="auto"/>
              </w:rPr>
            </w:pPr>
            <w:r>
              <w:rPr>
                <w:rFonts w:ascii="Arial" w:cs="Arial" w:eastAsia="Arial" w:hAnsi="Arial"/>
                <w:sz w:val="16"/>
                <w:szCs w:val="16"/>
                <w:color w:val="auto"/>
              </w:rPr>
              <w:t>James S. Turley</w:t>
            </w:r>
          </w:p>
        </w:tc>
        <w:tc>
          <w:tcPr>
            <w:tcW w:w="3980" w:type="dxa"/>
            <w:vAlign w:val="bottom"/>
          </w:tcPr>
          <w:p>
            <w:pPr>
              <w:jc w:val="right"/>
              <w:ind w:right="679"/>
              <w:spacing w:after="0"/>
              <w:rPr>
                <w:sz w:val="20"/>
                <w:szCs w:val="20"/>
                <w:color w:val="auto"/>
              </w:rPr>
            </w:pPr>
            <w:r>
              <w:rPr>
                <w:rFonts w:ascii="Arial" w:cs="Arial" w:eastAsia="Arial" w:hAnsi="Arial"/>
                <w:sz w:val="16"/>
                <w:szCs w:val="16"/>
                <w:color w:val="auto"/>
              </w:rPr>
              <w:t>2,319</w:t>
            </w:r>
          </w:p>
        </w:tc>
        <w:tc>
          <w:tcPr>
            <w:tcW w:w="19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2,319</w:t>
            </w:r>
          </w:p>
        </w:tc>
      </w:tr>
      <w:tr>
        <w:trPr>
          <w:trHeight w:val="260"/>
        </w:trPr>
        <w:tc>
          <w:tcPr>
            <w:tcW w:w="394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color w:val="auto"/>
              </w:rPr>
              <w:t>Mark A. Welsh III</w:t>
            </w:r>
          </w:p>
        </w:tc>
        <w:tc>
          <w:tcPr>
            <w:tcW w:w="3980" w:type="dxa"/>
            <w:vAlign w:val="bottom"/>
            <w:tcBorders>
              <w:bottom w:val="single" w:sz="8" w:color="276092"/>
            </w:tcBorders>
            <w:shd w:val="clear" w:color="auto" w:fill="BECFDE"/>
          </w:tcPr>
          <w:p>
            <w:pPr>
              <w:jc w:val="right"/>
              <w:ind w:right="679"/>
              <w:spacing w:after="0"/>
              <w:rPr>
                <w:sz w:val="20"/>
                <w:szCs w:val="20"/>
                <w:color w:val="auto"/>
              </w:rPr>
            </w:pPr>
            <w:r>
              <w:rPr>
                <w:rFonts w:ascii="Arial" w:cs="Arial" w:eastAsia="Arial" w:hAnsi="Arial"/>
                <w:sz w:val="16"/>
                <w:szCs w:val="16"/>
                <w:color w:val="auto"/>
              </w:rPr>
              <w:t>889</w:t>
            </w:r>
          </w:p>
        </w:tc>
        <w:tc>
          <w:tcPr>
            <w:tcW w:w="1940" w:type="dxa"/>
            <w:vAlign w:val="bottom"/>
            <w:tcBorders>
              <w:bottom w:val="single" w:sz="8" w:color="276092"/>
            </w:tcBorders>
            <w:shd w:val="clear" w:color="auto" w:fill="BECFDE"/>
          </w:tcPr>
          <w:p>
            <w:pPr>
              <w:jc w:val="right"/>
              <w:ind w:right="6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76092"/>
            </w:tcBorders>
            <w:shd w:val="clear" w:color="auto" w:fill="BECFDE"/>
          </w:tcPr>
          <w:p>
            <w:pPr>
              <w:jc w:val="right"/>
              <w:ind w:right="139"/>
              <w:spacing w:after="0"/>
              <w:rPr>
                <w:sz w:val="20"/>
                <w:szCs w:val="20"/>
                <w:color w:val="auto"/>
              </w:rPr>
            </w:pPr>
            <w:r>
              <w:rPr>
                <w:rFonts w:ascii="Arial" w:cs="Arial" w:eastAsia="Arial" w:hAnsi="Arial"/>
                <w:sz w:val="16"/>
                <w:szCs w:val="16"/>
                <w:color w:val="auto"/>
              </w:rPr>
              <w:t>889</w:t>
            </w:r>
          </w:p>
        </w:tc>
      </w:tr>
    </w:tbl>
    <w:p>
      <w:pPr>
        <w:spacing w:after="0" w:line="242" w:lineRule="exact"/>
        <w:rPr>
          <w:sz w:val="20"/>
          <w:szCs w:val="20"/>
          <w:color w:val="auto"/>
        </w:rPr>
      </w:pPr>
    </w:p>
    <w:p>
      <w:pPr>
        <w:ind w:left="640" w:right="140" w:hanging="436"/>
        <w:spacing w:after="0" w:line="246"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Myers did not stand for reelection at the 2017 Annual Meeting. All stock units were paid out to General Myers in the form of common stock after his retirement from the Board in May 2017.</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Equity Plan</w:t>
      </w:r>
    </w:p>
    <w:p>
      <w:pPr>
        <w:spacing w:after="0" w:line="121" w:lineRule="exact"/>
        <w:rPr>
          <w:sz w:val="20"/>
          <w:szCs w:val="20"/>
          <w:color w:val="auto"/>
        </w:rPr>
      </w:pPr>
    </w:p>
    <w:p>
      <w:pPr>
        <w:ind w:left="200" w:right="60"/>
        <w:spacing w:after="0" w:line="253" w:lineRule="auto"/>
        <w:rPr>
          <w:sz w:val="20"/>
          <w:szCs w:val="20"/>
          <w:color w:val="auto"/>
        </w:rPr>
      </w:pPr>
      <w:r>
        <w:rPr>
          <w:rFonts w:ascii="Arial" w:cs="Arial" w:eastAsia="Arial" w:hAnsi="Arial"/>
          <w:sz w:val="17"/>
          <w:szCs w:val="17"/>
          <w:color w:val="auto"/>
        </w:rPr>
        <w:t>Under the Northrop Grumman Non-Employee Directors Equity Participation Plan (Director Equity Plan), non-employee directors had an amount equal to 50% of their annual retainer credited to an equity participation account and converted into stock units based on the then fair market value (as defined in the Director Equity Plan) of our common stock. No new participants have been added to the Director Equity Plan since May 31, 2005, and no new annual accruals have been credited to the then-existing participants in the Director Equity Plan since that time. However, directors that served on the Board in and before 2005 continue to be credited with dividend equivalents on the cumulative stock units held in their equity participation accounts until the director terminates service on the Board. Mr. Fazio is the only director that earns dividend equivalents under the Director Equity Plan. No other current director participates in the Director Equity Plan.</w:t>
      </w:r>
    </w:p>
    <w:p>
      <w:pPr>
        <w:spacing w:after="0" w:line="8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Generally, if a participating non-employee director terminates service on the Board after completion of at least three consecutive years of service or retires from the Board as a result of a total disability or a debilitating illness as defined in the Director Equity Plan, the participant will be entitled to receive the full balance of the participant’s equity participant account in annual installments. Upon a change in control of the Company, as defined in the Director Equity Plan, the participant will immediately be entitled to receive the full balance of the equity participation account under the Director Equity Plan regardless of the number of years of consecutive service, although payment of his or her benefits will not commence until the termination of his or her service.</w:t>
      </w:r>
    </w:p>
    <w:p>
      <w:pPr>
        <w:spacing w:after="0" w:line="135"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25</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The policy provides for all related person transactions to be reviewed in advance and approved or ratified, as applicable, by the Board of Directors, the Governance Committee or the Chairperson of the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108" w:lineRule="exact"/>
        <w:rPr>
          <w:sz w:val="20"/>
          <w:szCs w:val="20"/>
          <w:color w:val="auto"/>
        </w:rPr>
      </w:pPr>
    </w:p>
    <w:p>
      <w:pPr>
        <w:ind w:left="520" w:hanging="316"/>
        <w:spacing w:after="0"/>
        <w:tabs>
          <w:tab w:leader="none" w:pos="520" w:val="left"/>
        </w:tabs>
        <w:numPr>
          <w:ilvl w:val="0"/>
          <w:numId w:val="46"/>
        </w:numPr>
        <w:rPr>
          <w:rFonts w:ascii="Arial" w:cs="Arial" w:eastAsia="Arial" w:hAnsi="Arial"/>
          <w:sz w:val="18"/>
          <w:szCs w:val="18"/>
          <w:color w:val="276092"/>
        </w:rPr>
      </w:pPr>
      <w:r>
        <w:rPr>
          <w:rFonts w:ascii="Arial" w:cs="Arial" w:eastAsia="Arial" w:hAnsi="Arial"/>
          <w:sz w:val="18"/>
          <w:szCs w:val="18"/>
          <w:color w:val="auto"/>
        </w:rPr>
        <w:t>any of our directors or executive officers;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6"/>
        </w:numPr>
        <w:rPr>
          <w:rFonts w:ascii="Arial" w:cs="Arial" w:eastAsia="Arial" w:hAnsi="Arial"/>
          <w:sz w:val="18"/>
          <w:szCs w:val="18"/>
          <w:color w:val="276092"/>
        </w:rPr>
      </w:pPr>
      <w:r>
        <w:rPr>
          <w:rFonts w:ascii="Arial" w:cs="Arial" w:eastAsia="Arial" w:hAnsi="Arial"/>
          <w:sz w:val="18"/>
          <w:szCs w:val="18"/>
          <w:color w:val="auto"/>
        </w:rPr>
        <w:t>any person who is known to be the beneficial owner of more than 5% of our common stock;</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6"/>
        </w:numPr>
        <w:rPr>
          <w:rFonts w:ascii="Arial" w:cs="Arial" w:eastAsia="Arial" w:hAnsi="Arial"/>
          <w:sz w:val="18"/>
          <w:szCs w:val="18"/>
          <w:color w:val="276092"/>
        </w:rPr>
      </w:pPr>
      <w:r>
        <w:rPr>
          <w:rFonts w:ascii="Arial" w:cs="Arial" w:eastAsia="Arial" w:hAnsi="Arial"/>
          <w:sz w:val="18"/>
          <w:szCs w:val="18"/>
          <w:color w:val="auto"/>
        </w:rPr>
        <w:t>an immediate family member of any such persons; or</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46"/>
        </w:numPr>
        <w:rPr>
          <w:rFonts w:ascii="Arial" w:cs="Arial" w:eastAsia="Arial" w:hAnsi="Arial"/>
          <w:sz w:val="18"/>
          <w:szCs w:val="18"/>
          <w:color w:val="276092"/>
        </w:rPr>
      </w:pPr>
      <w:r>
        <w:rPr>
          <w:rFonts w:ascii="Arial" w:cs="Arial" w:eastAsia="Arial" w:hAnsi="Arial"/>
          <w:sz w:val="18"/>
          <w:szCs w:val="18"/>
          <w:color w:val="auto"/>
        </w:rPr>
        <w:t>any firm, corporation, or other entity controlled by any such persons.</w:t>
      </w:r>
    </w:p>
    <w:p>
      <w:pPr>
        <w:spacing w:after="0" w:line="11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Corporate Secretary may determine that, based on facts and circumstances, a transaction in an amount less than $120,000 should nonetheless be deemed a related person transaction. If this occurs, the transaction would be submitted for review and approval or ratification in accordance with the policy. Under exceptional circumstances, if a related person transaction has not been approved in advance, the Governance Committee will recommend to the Board of Directors such action as the Governance Committee deems appropriate, including ratification, amendment or termination of the transaction.</w:t>
      </w:r>
    </w:p>
    <w:p>
      <w:pPr>
        <w:spacing w:after="0" w:line="95"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The policy requires each director and executive officer to complete an annual questionnaire to identify his or her related interests and to notify the Corporate Secretary of any changes in their information.</w:t>
      </w:r>
    </w:p>
    <w:p>
      <w:pPr>
        <w:spacing w:after="0" w:line="89"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In 2017, none of our directors or executive officers was a participant in or had a relationship regarded as a related person transaction, as considered under applicable regulations of the SEC and the NYSE listing standards.</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During 2017, Messrs. Felsinger, Gordon, Krapek, Myers, Roughead and Schoewe served as members of the Compensation Committee. During 2017, no member of the Compensation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pacing w:after="0" w:line="133" w:lineRule="exact"/>
        <w:rPr>
          <w:sz w:val="20"/>
          <w:szCs w:val="20"/>
          <w:color w:val="auto"/>
        </w:rPr>
      </w:pPr>
    </w:p>
    <w:p>
      <w:pPr>
        <w:ind w:left="460" w:hanging="256"/>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SECTION 16(a) BENEFICIAL OWNERSHIP REPORTING COMPLIANCE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Section 16(a) of the Securities Exchange Act of 1934, as amended (Exchange Act), requires our directors and executive officers, and persons who own more than ten percent of our common stock, to file reports of ownership and changes in ownership on Forms 3, 4 and 5 with the SEC.</w:t>
      </w:r>
    </w:p>
    <w:p>
      <w:pPr>
        <w:spacing w:after="0" w:line="95"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Based on our review of Forms 3, 4 and 5 we have received or have filed on behalf of our executive officers and directors, and written representations from those persons that they were not required to file a Form 5, we believe that all required filings, other than one delayed filing for Mrs. Fudge (which resulted from an administrative error by a third party) were made on a timely basis during the year ended December 31, 2017.</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Stock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following entities beneficially owned, to the best of our knowledge, more than five percent of the outstanding common stock as of December 31, 2017. All information shown is based on information reported by the filer on a Schedule 13G filed with the SEC on the dates indicated in the footnotes below.</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180" w:type="dxa"/>
            <w:vAlign w:val="bottom"/>
            <w:shd w:val="clear" w:color="auto" w:fill="276092"/>
          </w:tcPr>
          <w:p>
            <w:pPr>
              <w:spacing w:after="0"/>
              <w:rPr>
                <w:sz w:val="16"/>
                <w:szCs w:val="16"/>
                <w:color w:val="auto"/>
              </w:rPr>
            </w:pPr>
          </w:p>
        </w:tc>
        <w:tc>
          <w:tcPr>
            <w:tcW w:w="4740" w:type="dxa"/>
            <w:vAlign w:val="bottom"/>
            <w:gridSpan w:val="2"/>
            <w:shd w:val="clear" w:color="auto" w:fill="276092"/>
          </w:tcPr>
          <w:p>
            <w:pPr>
              <w:jc w:val="right"/>
              <w:ind w:right="1419"/>
              <w:spacing w:after="0"/>
              <w:rPr>
                <w:sz w:val="20"/>
                <w:szCs w:val="20"/>
                <w:color w:val="auto"/>
              </w:rPr>
            </w:pPr>
            <w:r>
              <w:rPr>
                <w:rFonts w:ascii="Arial" w:cs="Arial" w:eastAsia="Arial" w:hAnsi="Arial"/>
                <w:sz w:val="14"/>
                <w:szCs w:val="14"/>
                <w:b w:val="1"/>
                <w:bCs w:val="1"/>
                <w:color w:val="FFFFFF"/>
              </w:rPr>
              <w:t>Amount and Nature of</w:t>
            </w:r>
          </w:p>
        </w:tc>
        <w:tc>
          <w:tcPr>
            <w:tcW w:w="2100" w:type="dxa"/>
            <w:vAlign w:val="bottom"/>
            <w:shd w:val="clear" w:color="auto" w:fill="276092"/>
          </w:tcPr>
          <w:p>
            <w:pPr>
              <w:jc w:val="right"/>
              <w:ind w:right="583"/>
              <w:spacing w:after="0"/>
              <w:rPr>
                <w:sz w:val="20"/>
                <w:szCs w:val="20"/>
                <w:color w:val="auto"/>
              </w:rPr>
            </w:pPr>
            <w:r>
              <w:rPr>
                <w:rFonts w:ascii="Arial" w:cs="Arial" w:eastAsia="Arial" w:hAnsi="Arial"/>
                <w:sz w:val="14"/>
                <w:szCs w:val="14"/>
                <w:b w:val="1"/>
                <w:bCs w:val="1"/>
                <w:color w:val="FFFFFF"/>
              </w:rPr>
              <w:t>Percent</w:t>
            </w:r>
          </w:p>
        </w:tc>
      </w:tr>
      <w:tr>
        <w:trPr>
          <w:trHeight w:val="202"/>
        </w:trPr>
        <w:tc>
          <w:tcPr>
            <w:tcW w:w="418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 and Address of Beneficial Owner</w:t>
            </w:r>
          </w:p>
        </w:tc>
        <w:tc>
          <w:tcPr>
            <w:tcW w:w="4740" w:type="dxa"/>
            <w:vAlign w:val="bottom"/>
            <w:gridSpan w:val="2"/>
            <w:shd w:val="clear" w:color="auto" w:fill="276092"/>
          </w:tcPr>
          <w:p>
            <w:pPr>
              <w:jc w:val="right"/>
              <w:ind w:right="799"/>
              <w:spacing w:after="0"/>
              <w:rPr>
                <w:sz w:val="20"/>
                <w:szCs w:val="20"/>
                <w:color w:val="auto"/>
              </w:rPr>
            </w:pPr>
            <w:r>
              <w:rPr>
                <w:rFonts w:ascii="Arial" w:cs="Arial" w:eastAsia="Arial" w:hAnsi="Arial"/>
                <w:sz w:val="14"/>
                <w:szCs w:val="14"/>
                <w:b w:val="1"/>
                <w:bCs w:val="1"/>
                <w:color w:val="FFFFFF"/>
              </w:rPr>
              <w:t>Beneficial Ownership of Common Stock</w:t>
            </w:r>
          </w:p>
        </w:tc>
        <w:tc>
          <w:tcPr>
            <w:tcW w:w="2100" w:type="dxa"/>
            <w:vAlign w:val="bottom"/>
            <w:shd w:val="clear" w:color="auto" w:fill="276092"/>
          </w:tcPr>
          <w:p>
            <w:pPr>
              <w:jc w:val="right"/>
              <w:ind w:right="563"/>
              <w:spacing w:after="0"/>
              <w:rPr>
                <w:sz w:val="20"/>
                <w:szCs w:val="20"/>
                <w:color w:val="auto"/>
              </w:rPr>
            </w:pPr>
            <w:r>
              <w:rPr>
                <w:rFonts w:ascii="Arial" w:cs="Arial" w:eastAsia="Arial" w:hAnsi="Arial"/>
                <w:sz w:val="14"/>
                <w:szCs w:val="14"/>
                <w:b w:val="1"/>
                <w:bCs w:val="1"/>
                <w:color w:val="FFFFFF"/>
              </w:rPr>
              <w:t>of Class</w:t>
            </w:r>
          </w:p>
        </w:tc>
      </w:tr>
      <w:tr>
        <w:trPr>
          <w:trHeight w:val="237"/>
        </w:trPr>
        <w:tc>
          <w:tcPr>
            <w:tcW w:w="4180" w:type="dxa"/>
            <w:vAlign w:val="bottom"/>
            <w:shd w:val="clear" w:color="auto" w:fill="BECFDE"/>
          </w:tcPr>
          <w:p>
            <w:pPr>
              <w:ind w:left="60"/>
              <w:spacing w:after="0"/>
              <w:rPr>
                <w:sz w:val="20"/>
                <w:szCs w:val="20"/>
                <w:color w:val="auto"/>
              </w:rPr>
            </w:pPr>
            <w:r>
              <w:rPr>
                <w:rFonts w:ascii="Arial" w:cs="Arial" w:eastAsia="Arial" w:hAnsi="Arial"/>
                <w:sz w:val="16"/>
                <w:szCs w:val="16"/>
                <w:b w:val="1"/>
                <w:bCs w:val="1"/>
                <w:color w:val="auto"/>
              </w:rPr>
              <w:t>BlackRock, Inc.</w:t>
            </w:r>
          </w:p>
        </w:tc>
        <w:tc>
          <w:tcPr>
            <w:tcW w:w="2920" w:type="dxa"/>
            <w:vAlign w:val="bottom"/>
            <w:shd w:val="clear" w:color="auto" w:fill="BECFDE"/>
          </w:tcPr>
          <w:p>
            <w:pPr>
              <w:jc w:val="right"/>
              <w:ind w:right="3"/>
              <w:spacing w:after="0"/>
              <w:rPr>
                <w:sz w:val="20"/>
                <w:szCs w:val="20"/>
                <w:color w:val="auto"/>
              </w:rPr>
            </w:pPr>
            <w:r>
              <w:rPr>
                <w:rFonts w:ascii="Arial" w:cs="Arial" w:eastAsia="Arial" w:hAnsi="Arial"/>
                <w:sz w:val="16"/>
                <w:szCs w:val="16"/>
                <w:color w:val="auto"/>
              </w:rPr>
              <w:t>13,545,765</w:t>
            </w:r>
          </w:p>
        </w:tc>
        <w:tc>
          <w:tcPr>
            <w:tcW w:w="1820" w:type="dxa"/>
            <w:vAlign w:val="bottom"/>
            <w:shd w:val="clear" w:color="auto" w:fill="BECFDE"/>
          </w:tcPr>
          <w:p>
            <w:pPr>
              <w:jc w:val="right"/>
              <w:ind w:right="1439"/>
              <w:spacing w:after="0"/>
              <w:rPr>
                <w:sz w:val="20"/>
                <w:szCs w:val="20"/>
                <w:color w:val="auto"/>
              </w:rPr>
            </w:pPr>
            <w:r>
              <w:rPr>
                <w:rFonts w:ascii="Arial" w:cs="Arial" w:eastAsia="Arial" w:hAnsi="Arial"/>
                <w:sz w:val="16"/>
                <w:szCs w:val="16"/>
                <w:color w:val="auto"/>
              </w:rPr>
              <w:t>(1)</w:t>
            </w:r>
          </w:p>
        </w:tc>
        <w:tc>
          <w:tcPr>
            <w:tcW w:w="2100" w:type="dxa"/>
            <w:vAlign w:val="bottom"/>
            <w:shd w:val="clear" w:color="auto" w:fill="BECFDE"/>
          </w:tcPr>
          <w:p>
            <w:pPr>
              <w:jc w:val="right"/>
              <w:ind w:right="583"/>
              <w:spacing w:after="0"/>
              <w:rPr>
                <w:sz w:val="20"/>
                <w:szCs w:val="20"/>
                <w:color w:val="auto"/>
              </w:rPr>
            </w:pPr>
            <w:r>
              <w:rPr>
                <w:rFonts w:ascii="Arial" w:cs="Arial" w:eastAsia="Arial" w:hAnsi="Arial"/>
                <w:sz w:val="16"/>
                <w:szCs w:val="16"/>
                <w:color w:val="auto"/>
              </w:rPr>
              <w:t>7.8%</w:t>
            </w:r>
          </w:p>
        </w:tc>
      </w:tr>
      <w:tr>
        <w:trPr>
          <w:trHeight w:val="290"/>
        </w:trPr>
        <w:tc>
          <w:tcPr>
            <w:tcW w:w="4180" w:type="dxa"/>
            <w:vAlign w:val="bottom"/>
            <w:shd w:val="clear" w:color="auto" w:fill="BECFDE"/>
          </w:tcPr>
          <w:p>
            <w:pPr>
              <w:ind w:left="60"/>
              <w:spacing w:after="0"/>
              <w:rPr>
                <w:sz w:val="20"/>
                <w:szCs w:val="20"/>
                <w:color w:val="auto"/>
              </w:rPr>
            </w:pPr>
            <w:r>
              <w:rPr>
                <w:rFonts w:ascii="Arial" w:cs="Arial" w:eastAsia="Arial" w:hAnsi="Arial"/>
                <w:sz w:val="16"/>
                <w:szCs w:val="16"/>
                <w:color w:val="auto"/>
              </w:rPr>
              <w:t>55 East 52nd Street, New York, NY 10055</w:t>
            </w:r>
          </w:p>
        </w:tc>
        <w:tc>
          <w:tcPr>
            <w:tcW w:w="2920" w:type="dxa"/>
            <w:vAlign w:val="bottom"/>
            <w:shd w:val="clear" w:color="auto" w:fill="BECFDE"/>
          </w:tcPr>
          <w:p>
            <w:pPr>
              <w:spacing w:after="0"/>
              <w:rPr>
                <w:sz w:val="24"/>
                <w:szCs w:val="24"/>
                <w:color w:val="auto"/>
              </w:rPr>
            </w:pPr>
          </w:p>
        </w:tc>
        <w:tc>
          <w:tcPr>
            <w:tcW w:w="1820" w:type="dxa"/>
            <w:vAlign w:val="bottom"/>
            <w:shd w:val="clear" w:color="auto" w:fill="BECFDE"/>
          </w:tcPr>
          <w:p>
            <w:pPr>
              <w:spacing w:after="0"/>
              <w:rPr>
                <w:sz w:val="24"/>
                <w:szCs w:val="24"/>
                <w:color w:val="auto"/>
              </w:rPr>
            </w:pPr>
          </w:p>
        </w:tc>
        <w:tc>
          <w:tcPr>
            <w:tcW w:w="2100" w:type="dxa"/>
            <w:vAlign w:val="bottom"/>
            <w:shd w:val="clear" w:color="auto" w:fill="BECFDE"/>
          </w:tcPr>
          <w:p>
            <w:pPr>
              <w:spacing w:after="0"/>
              <w:rPr>
                <w:sz w:val="24"/>
                <w:szCs w:val="24"/>
                <w:color w:val="auto"/>
              </w:rPr>
            </w:pPr>
          </w:p>
        </w:tc>
      </w:tr>
      <w:tr>
        <w:trPr>
          <w:trHeight w:val="237"/>
        </w:trPr>
        <w:tc>
          <w:tcPr>
            <w:tcW w:w="4180" w:type="dxa"/>
            <w:vAlign w:val="bottom"/>
          </w:tcPr>
          <w:p>
            <w:pPr>
              <w:ind w:left="60"/>
              <w:spacing w:after="0"/>
              <w:rPr>
                <w:sz w:val="20"/>
                <w:szCs w:val="20"/>
                <w:color w:val="auto"/>
              </w:rPr>
            </w:pPr>
            <w:r>
              <w:rPr>
                <w:rFonts w:ascii="Arial" w:cs="Arial" w:eastAsia="Arial" w:hAnsi="Arial"/>
                <w:sz w:val="16"/>
                <w:szCs w:val="16"/>
                <w:b w:val="1"/>
                <w:bCs w:val="1"/>
                <w:color w:val="auto"/>
              </w:rPr>
              <w:t>State Street Corporation</w:t>
            </w:r>
          </w:p>
        </w:tc>
        <w:tc>
          <w:tcPr>
            <w:tcW w:w="2920" w:type="dxa"/>
            <w:vAlign w:val="bottom"/>
          </w:tcPr>
          <w:p>
            <w:pPr>
              <w:jc w:val="right"/>
              <w:ind w:right="3"/>
              <w:spacing w:after="0"/>
              <w:rPr>
                <w:sz w:val="20"/>
                <w:szCs w:val="20"/>
                <w:color w:val="auto"/>
              </w:rPr>
            </w:pPr>
            <w:r>
              <w:rPr>
                <w:rFonts w:ascii="Arial" w:cs="Arial" w:eastAsia="Arial" w:hAnsi="Arial"/>
                <w:sz w:val="16"/>
                <w:szCs w:val="16"/>
                <w:color w:val="auto"/>
              </w:rPr>
              <w:t>19,261,080</w:t>
            </w:r>
          </w:p>
        </w:tc>
        <w:tc>
          <w:tcPr>
            <w:tcW w:w="1820" w:type="dxa"/>
            <w:vAlign w:val="bottom"/>
          </w:tcPr>
          <w:p>
            <w:pPr>
              <w:jc w:val="right"/>
              <w:ind w:right="1439"/>
              <w:spacing w:after="0"/>
              <w:rPr>
                <w:sz w:val="20"/>
                <w:szCs w:val="20"/>
                <w:color w:val="auto"/>
              </w:rPr>
            </w:pPr>
            <w:r>
              <w:rPr>
                <w:rFonts w:ascii="Arial" w:cs="Arial" w:eastAsia="Arial" w:hAnsi="Arial"/>
                <w:sz w:val="16"/>
                <w:szCs w:val="16"/>
                <w:color w:val="auto"/>
              </w:rPr>
              <w:t>(2)</w:t>
            </w:r>
          </w:p>
        </w:tc>
        <w:tc>
          <w:tcPr>
            <w:tcW w:w="2100" w:type="dxa"/>
            <w:vAlign w:val="bottom"/>
          </w:tcPr>
          <w:p>
            <w:pPr>
              <w:jc w:val="right"/>
              <w:ind w:right="583"/>
              <w:spacing w:after="0"/>
              <w:rPr>
                <w:sz w:val="20"/>
                <w:szCs w:val="20"/>
                <w:color w:val="auto"/>
              </w:rPr>
            </w:pPr>
            <w:r>
              <w:rPr>
                <w:rFonts w:ascii="Arial" w:cs="Arial" w:eastAsia="Arial" w:hAnsi="Arial"/>
                <w:sz w:val="16"/>
                <w:szCs w:val="16"/>
                <w:color w:val="auto"/>
              </w:rPr>
              <w:t>11.1%</w:t>
            </w:r>
          </w:p>
        </w:tc>
      </w:tr>
      <w:tr>
        <w:trPr>
          <w:trHeight w:val="280"/>
        </w:trPr>
        <w:tc>
          <w:tcPr>
            <w:tcW w:w="4180" w:type="dxa"/>
            <w:vAlign w:val="bottom"/>
          </w:tcPr>
          <w:p>
            <w:pPr>
              <w:ind w:left="60"/>
              <w:spacing w:after="0"/>
              <w:rPr>
                <w:sz w:val="20"/>
                <w:szCs w:val="20"/>
                <w:color w:val="auto"/>
              </w:rPr>
            </w:pPr>
            <w:r>
              <w:rPr>
                <w:rFonts w:ascii="Arial" w:cs="Arial" w:eastAsia="Arial" w:hAnsi="Arial"/>
                <w:sz w:val="16"/>
                <w:szCs w:val="16"/>
                <w:color w:val="auto"/>
              </w:rPr>
              <w:t>One Lincoln Street, Boston, MA 02111</w:t>
            </w: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7"/>
        </w:trPr>
        <w:tc>
          <w:tcPr>
            <w:tcW w:w="4180" w:type="dxa"/>
            <w:vAlign w:val="bottom"/>
            <w:shd w:val="clear" w:color="auto" w:fill="BECFDE"/>
          </w:tcPr>
          <w:p>
            <w:pPr>
              <w:ind w:left="60"/>
              <w:spacing w:after="0"/>
              <w:rPr>
                <w:sz w:val="20"/>
                <w:szCs w:val="20"/>
                <w:color w:val="auto"/>
              </w:rPr>
            </w:pPr>
            <w:r>
              <w:rPr>
                <w:rFonts w:ascii="Arial" w:cs="Arial" w:eastAsia="Arial" w:hAnsi="Arial"/>
                <w:sz w:val="16"/>
                <w:szCs w:val="16"/>
                <w:b w:val="1"/>
                <w:bCs w:val="1"/>
                <w:color w:val="auto"/>
              </w:rPr>
              <w:t>The Vanguard Group</w:t>
            </w:r>
          </w:p>
        </w:tc>
        <w:tc>
          <w:tcPr>
            <w:tcW w:w="2920" w:type="dxa"/>
            <w:vAlign w:val="bottom"/>
            <w:shd w:val="clear" w:color="auto" w:fill="BECFDE"/>
          </w:tcPr>
          <w:p>
            <w:pPr>
              <w:jc w:val="right"/>
              <w:ind w:right="3"/>
              <w:spacing w:after="0"/>
              <w:rPr>
                <w:sz w:val="20"/>
                <w:szCs w:val="20"/>
                <w:color w:val="auto"/>
              </w:rPr>
            </w:pPr>
            <w:r>
              <w:rPr>
                <w:rFonts w:ascii="Arial" w:cs="Arial" w:eastAsia="Arial" w:hAnsi="Arial"/>
                <w:sz w:val="16"/>
                <w:szCs w:val="16"/>
                <w:color w:val="auto"/>
              </w:rPr>
              <w:t>13,248,398</w:t>
            </w:r>
          </w:p>
        </w:tc>
        <w:tc>
          <w:tcPr>
            <w:tcW w:w="1820" w:type="dxa"/>
            <w:vAlign w:val="bottom"/>
            <w:shd w:val="clear" w:color="auto" w:fill="BECFDE"/>
          </w:tcPr>
          <w:p>
            <w:pPr>
              <w:jc w:val="right"/>
              <w:ind w:right="1439"/>
              <w:spacing w:after="0"/>
              <w:rPr>
                <w:sz w:val="20"/>
                <w:szCs w:val="20"/>
                <w:color w:val="auto"/>
              </w:rPr>
            </w:pPr>
            <w:r>
              <w:rPr>
                <w:rFonts w:ascii="Arial" w:cs="Arial" w:eastAsia="Arial" w:hAnsi="Arial"/>
                <w:sz w:val="16"/>
                <w:szCs w:val="16"/>
                <w:color w:val="auto"/>
              </w:rPr>
              <w:t>(3)</w:t>
            </w:r>
          </w:p>
        </w:tc>
        <w:tc>
          <w:tcPr>
            <w:tcW w:w="2100" w:type="dxa"/>
            <w:vAlign w:val="bottom"/>
            <w:shd w:val="clear" w:color="auto" w:fill="BECFDE"/>
          </w:tcPr>
          <w:p>
            <w:pPr>
              <w:jc w:val="right"/>
              <w:ind w:right="583"/>
              <w:spacing w:after="0"/>
              <w:rPr>
                <w:sz w:val="20"/>
                <w:szCs w:val="20"/>
                <w:color w:val="auto"/>
              </w:rPr>
            </w:pPr>
            <w:r>
              <w:rPr>
                <w:rFonts w:ascii="Arial" w:cs="Arial" w:eastAsia="Arial" w:hAnsi="Arial"/>
                <w:sz w:val="16"/>
                <w:szCs w:val="16"/>
                <w:color w:val="auto"/>
              </w:rPr>
              <w:t>7.6%</w:t>
            </w:r>
          </w:p>
        </w:tc>
      </w:tr>
      <w:tr>
        <w:trPr>
          <w:trHeight w:val="283"/>
        </w:trPr>
        <w:tc>
          <w:tcPr>
            <w:tcW w:w="418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color w:val="auto"/>
              </w:rPr>
              <w:t>100 Vanguard Blvd., Malvern, PA 19355</w:t>
            </w:r>
          </w:p>
        </w:tc>
        <w:tc>
          <w:tcPr>
            <w:tcW w:w="2920" w:type="dxa"/>
            <w:vAlign w:val="bottom"/>
            <w:tcBorders>
              <w:bottom w:val="single" w:sz="8" w:color="276092"/>
            </w:tcBorders>
            <w:shd w:val="clear" w:color="auto" w:fill="BECFDE"/>
          </w:tcPr>
          <w:p>
            <w:pPr>
              <w:spacing w:after="0"/>
              <w:rPr>
                <w:sz w:val="24"/>
                <w:szCs w:val="24"/>
                <w:color w:val="auto"/>
              </w:rPr>
            </w:pPr>
          </w:p>
        </w:tc>
        <w:tc>
          <w:tcPr>
            <w:tcW w:w="1820" w:type="dxa"/>
            <w:vAlign w:val="bottom"/>
            <w:tcBorders>
              <w:bottom w:val="single" w:sz="8" w:color="276092"/>
            </w:tcBorders>
            <w:shd w:val="clear" w:color="auto" w:fill="BECFDE"/>
          </w:tcPr>
          <w:p>
            <w:pPr>
              <w:spacing w:after="0"/>
              <w:rPr>
                <w:sz w:val="24"/>
                <w:szCs w:val="24"/>
                <w:color w:val="auto"/>
              </w:rPr>
            </w:pPr>
          </w:p>
        </w:tc>
        <w:tc>
          <w:tcPr>
            <w:tcW w:w="2100" w:type="dxa"/>
            <w:vAlign w:val="bottom"/>
            <w:tcBorders>
              <w:bottom w:val="single" w:sz="8" w:color="276092"/>
            </w:tcBorders>
            <w:shd w:val="clear" w:color="auto" w:fill="BECFDE"/>
          </w:tcPr>
          <w:p>
            <w:pPr>
              <w:spacing w:after="0"/>
              <w:rPr>
                <w:sz w:val="24"/>
                <w:szCs w:val="24"/>
                <w:color w:val="auto"/>
              </w:rPr>
            </w:pPr>
          </w:p>
        </w:tc>
      </w:tr>
    </w:tbl>
    <w:p>
      <w:pPr>
        <w:spacing w:after="0" w:line="242" w:lineRule="exact"/>
        <w:rPr>
          <w:sz w:val="20"/>
          <w:szCs w:val="20"/>
          <w:color w:val="auto"/>
        </w:rPr>
      </w:pPr>
    </w:p>
    <w:p>
      <w:pPr>
        <w:ind w:left="640" w:right="26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information was provided by BlackRock, Inc. (BlackRock) in a Schedule 13G/A filed with the SEC on January 29, 2018. According to BlackRock, as of December 31, 2017, BlackRock had sole voting power over 12,190,349 shares and sole dispositive power over 13,545,765 shares.</w:t>
      </w:r>
    </w:p>
    <w:p>
      <w:pPr>
        <w:spacing w:after="0" w:line="108" w:lineRule="exact"/>
        <w:rPr>
          <w:rFonts w:ascii="Arial" w:cs="Arial" w:eastAsia="Arial" w:hAnsi="Arial"/>
          <w:sz w:val="18"/>
          <w:szCs w:val="18"/>
          <w:color w:val="auto"/>
        </w:rPr>
      </w:pPr>
    </w:p>
    <w:p>
      <w:pPr>
        <w:ind w:left="640" w:right="20" w:hanging="436"/>
        <w:spacing w:after="0" w:line="238"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information was provided by State Street Corporation (State Street) in a Schedule 13G filed with the SEC on February 14, 2018. According to State Street, as of December 31, 2017, State Street had shared voting and dispositive power over 19,261,080 shares. This total includes 12,074,939 shares held in the Defined Contributions Master Trust for the Northrop Grumman Savings Plan and the Northrop Grumman Financial Security and Savings Program, for which State Street Bank and Trust Company acts as trustee and investment manager.</w:t>
      </w:r>
    </w:p>
    <w:p>
      <w:pPr>
        <w:spacing w:after="0" w:line="108" w:lineRule="exact"/>
        <w:rPr>
          <w:rFonts w:ascii="Arial" w:cs="Arial" w:eastAsia="Arial" w:hAnsi="Arial"/>
          <w:sz w:val="18"/>
          <w:szCs w:val="18"/>
          <w:color w:val="auto"/>
        </w:rPr>
      </w:pPr>
    </w:p>
    <w:p>
      <w:pPr>
        <w:ind w:left="640" w:right="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information was provided by The Vanguard Group (Vanguard) in a Schedule 13G/A filed with the SEC on February 9, 2018. According to Vanguard, as of December 31, 2017, Vanguard had sole voting power over 239,674 shares, sole dispositive power over 12,968,516 shares and shared dispositive power over 279,882 shares.</w:t>
      </w:r>
    </w:p>
    <w:p>
      <w:pPr>
        <w:spacing w:after="0" w:line="133" w:lineRule="exact"/>
        <w:rPr>
          <w:sz w:val="20"/>
          <w:szCs w:val="20"/>
          <w:color w:val="auto"/>
        </w:rPr>
      </w:pPr>
    </w:p>
    <w:p>
      <w:pPr>
        <w:ind w:left="460" w:hanging="256"/>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Stock Ownership of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The following table shows beneficial ownership of our common stock as of March 20, 2018 by each of our current directors, our named executive officers and all directors and executive officers as a group. As of March 20, 2018, there were 174,383,808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260" w:type="dxa"/>
            <w:vAlign w:val="bottom"/>
            <w:shd w:val="clear" w:color="auto" w:fill="276092"/>
          </w:tcPr>
          <w:p>
            <w:pPr>
              <w:spacing w:after="0"/>
              <w:rPr>
                <w:sz w:val="16"/>
                <w:szCs w:val="16"/>
                <w:color w:val="auto"/>
              </w:rPr>
            </w:pPr>
          </w:p>
        </w:tc>
        <w:tc>
          <w:tcPr>
            <w:tcW w:w="2600" w:type="dxa"/>
            <w:vAlign w:val="bottom"/>
            <w:gridSpan w:val="2"/>
            <w:shd w:val="clear" w:color="auto" w:fill="276092"/>
          </w:tcPr>
          <w:p>
            <w:pPr>
              <w:jc w:val="right"/>
              <w:ind w:right="199"/>
              <w:spacing w:after="0"/>
              <w:rPr>
                <w:sz w:val="20"/>
                <w:szCs w:val="20"/>
                <w:color w:val="auto"/>
              </w:rPr>
            </w:pPr>
            <w:r>
              <w:rPr>
                <w:rFonts w:ascii="Arial" w:cs="Arial" w:eastAsia="Arial" w:hAnsi="Arial"/>
                <w:sz w:val="14"/>
                <w:szCs w:val="14"/>
                <w:b w:val="1"/>
                <w:bCs w:val="1"/>
                <w:color w:val="FFFFFF"/>
              </w:rPr>
              <w:t>Shares of Common Stock</w:t>
            </w:r>
          </w:p>
        </w:tc>
        <w:tc>
          <w:tcPr>
            <w:tcW w:w="1640" w:type="dxa"/>
            <w:vAlign w:val="bottom"/>
            <w:shd w:val="clear" w:color="auto" w:fill="276092"/>
          </w:tcPr>
          <w:p>
            <w:pPr>
              <w:jc w:val="right"/>
              <w:ind w:right="560"/>
              <w:spacing w:after="0"/>
              <w:rPr>
                <w:sz w:val="20"/>
                <w:szCs w:val="20"/>
                <w:color w:val="auto"/>
              </w:rPr>
            </w:pPr>
            <w:r>
              <w:rPr>
                <w:rFonts w:ascii="Arial" w:cs="Arial" w:eastAsia="Arial" w:hAnsi="Arial"/>
                <w:sz w:val="14"/>
                <w:szCs w:val="14"/>
                <w:b w:val="1"/>
                <w:bCs w:val="1"/>
                <w:color w:val="FFFFFF"/>
              </w:rPr>
              <w:t>Share</w:t>
            </w:r>
          </w:p>
        </w:tc>
        <w:tc>
          <w:tcPr>
            <w:tcW w:w="1160" w:type="dxa"/>
            <w:vAlign w:val="bottom"/>
            <w:shd w:val="clear" w:color="auto" w:fill="276092"/>
          </w:tcPr>
          <w:p>
            <w:pPr>
              <w:spacing w:after="0"/>
              <w:rPr>
                <w:sz w:val="16"/>
                <w:szCs w:val="16"/>
                <w:color w:val="auto"/>
              </w:rPr>
            </w:pPr>
          </w:p>
        </w:tc>
        <w:tc>
          <w:tcPr>
            <w:tcW w:w="360" w:type="dxa"/>
            <w:vAlign w:val="bottom"/>
            <w:shd w:val="clear" w:color="auto" w:fill="276092"/>
          </w:tcPr>
          <w:p>
            <w:pPr>
              <w:spacing w:after="0"/>
              <w:rPr>
                <w:sz w:val="16"/>
                <w:szCs w:val="16"/>
                <w:color w:val="auto"/>
              </w:rPr>
            </w:pPr>
          </w:p>
        </w:tc>
      </w:tr>
      <w:tr>
        <w:trPr>
          <w:trHeight w:val="202"/>
        </w:trPr>
        <w:tc>
          <w:tcPr>
            <w:tcW w:w="5260" w:type="dxa"/>
            <w:vAlign w:val="bottom"/>
            <w:shd w:val="clear" w:color="auto" w:fill="276092"/>
          </w:tcPr>
          <w:p>
            <w:pPr>
              <w:spacing w:after="0"/>
              <w:rPr>
                <w:sz w:val="17"/>
                <w:szCs w:val="17"/>
                <w:color w:val="auto"/>
              </w:rPr>
            </w:pPr>
          </w:p>
        </w:tc>
        <w:tc>
          <w:tcPr>
            <w:tcW w:w="2600" w:type="dxa"/>
            <w:vAlign w:val="bottom"/>
            <w:gridSpan w:val="2"/>
            <w:shd w:val="clear" w:color="auto" w:fill="276092"/>
          </w:tcPr>
          <w:p>
            <w:pPr>
              <w:jc w:val="right"/>
              <w:ind w:right="419"/>
              <w:spacing w:after="0"/>
              <w:rPr>
                <w:sz w:val="20"/>
                <w:szCs w:val="20"/>
                <w:color w:val="auto"/>
              </w:rPr>
            </w:pPr>
            <w:r>
              <w:rPr>
                <w:rFonts w:ascii="Arial" w:cs="Arial" w:eastAsia="Arial" w:hAnsi="Arial"/>
                <w:sz w:val="14"/>
                <w:szCs w:val="14"/>
                <w:b w:val="1"/>
                <w:bCs w:val="1"/>
                <w:color w:val="FFFFFF"/>
              </w:rPr>
              <w:t>Beneficially Owned</w:t>
            </w:r>
          </w:p>
        </w:tc>
        <w:tc>
          <w:tcPr>
            <w:tcW w:w="1640" w:type="dxa"/>
            <w:vAlign w:val="bottom"/>
            <w:shd w:val="clear" w:color="auto" w:fill="276092"/>
          </w:tcPr>
          <w:p>
            <w:pPr>
              <w:jc w:val="right"/>
              <w:ind w:right="260"/>
              <w:spacing w:after="0"/>
              <w:rPr>
                <w:sz w:val="20"/>
                <w:szCs w:val="20"/>
                <w:color w:val="auto"/>
              </w:rPr>
            </w:pPr>
            <w:r>
              <w:rPr>
                <w:rFonts w:ascii="Arial" w:cs="Arial" w:eastAsia="Arial" w:hAnsi="Arial"/>
                <w:sz w:val="14"/>
                <w:szCs w:val="14"/>
                <w:b w:val="1"/>
                <w:bCs w:val="1"/>
                <w:color w:val="FFFFFF"/>
              </w:rPr>
              <w:t>Equivalents (1)</w:t>
            </w:r>
          </w:p>
        </w:tc>
        <w:tc>
          <w:tcPr>
            <w:tcW w:w="1160" w:type="dxa"/>
            <w:vAlign w:val="bottom"/>
            <w:shd w:val="clear" w:color="auto" w:fill="276092"/>
          </w:tcPr>
          <w:p>
            <w:pPr>
              <w:jc w:val="right"/>
              <w:ind w:right="39"/>
              <w:spacing w:after="0"/>
              <w:rPr>
                <w:sz w:val="20"/>
                <w:szCs w:val="20"/>
                <w:color w:val="auto"/>
              </w:rPr>
            </w:pPr>
            <w:r>
              <w:rPr>
                <w:rFonts w:ascii="Arial" w:cs="Arial" w:eastAsia="Arial" w:hAnsi="Arial"/>
                <w:sz w:val="14"/>
                <w:szCs w:val="14"/>
                <w:b w:val="1"/>
                <w:bCs w:val="1"/>
                <w:color w:val="FFFFFF"/>
              </w:rPr>
              <w:t>Total</w:t>
            </w:r>
          </w:p>
        </w:tc>
        <w:tc>
          <w:tcPr>
            <w:tcW w:w="360" w:type="dxa"/>
            <w:vAlign w:val="bottom"/>
            <w:shd w:val="clear" w:color="auto" w:fill="276092"/>
          </w:tcPr>
          <w:p>
            <w:pPr>
              <w:spacing w:after="0"/>
              <w:rPr>
                <w:sz w:val="17"/>
                <w:szCs w:val="17"/>
                <w:color w:val="auto"/>
              </w:rPr>
            </w:pPr>
          </w:p>
        </w:tc>
      </w:tr>
      <w:tr>
        <w:trPr>
          <w:trHeight w:val="257"/>
        </w:trPr>
        <w:tc>
          <w:tcPr>
            <w:tcW w:w="5260" w:type="dxa"/>
            <w:vAlign w:val="bottom"/>
            <w:shd w:val="clear" w:color="auto" w:fill="BECFDE"/>
          </w:tcPr>
          <w:p>
            <w:pPr>
              <w:ind w:left="60"/>
              <w:spacing w:after="0"/>
              <w:rPr>
                <w:sz w:val="20"/>
                <w:szCs w:val="20"/>
                <w:color w:val="auto"/>
              </w:rPr>
            </w:pPr>
            <w:r>
              <w:rPr>
                <w:rFonts w:ascii="Arial" w:cs="Arial" w:eastAsia="Arial" w:hAnsi="Arial"/>
                <w:sz w:val="16"/>
                <w:szCs w:val="16"/>
                <w:b w:val="1"/>
                <w:bCs w:val="1"/>
                <w:color w:val="auto"/>
              </w:rPr>
              <w:t>Non-Employee Directors</w:t>
            </w:r>
          </w:p>
        </w:tc>
        <w:tc>
          <w:tcPr>
            <w:tcW w:w="1960" w:type="dxa"/>
            <w:vAlign w:val="bottom"/>
            <w:shd w:val="clear" w:color="auto" w:fill="BECFDE"/>
          </w:tcPr>
          <w:p>
            <w:pPr>
              <w:spacing w:after="0"/>
              <w:rPr>
                <w:sz w:val="22"/>
                <w:szCs w:val="22"/>
                <w:color w:val="auto"/>
              </w:rPr>
            </w:pPr>
          </w:p>
        </w:tc>
        <w:tc>
          <w:tcPr>
            <w:tcW w:w="640" w:type="dxa"/>
            <w:vAlign w:val="bottom"/>
            <w:shd w:val="clear" w:color="auto" w:fill="BECFDE"/>
          </w:tcPr>
          <w:p>
            <w:pPr>
              <w:spacing w:after="0"/>
              <w:rPr>
                <w:sz w:val="22"/>
                <w:szCs w:val="22"/>
                <w:color w:val="auto"/>
              </w:rPr>
            </w:pPr>
          </w:p>
        </w:tc>
        <w:tc>
          <w:tcPr>
            <w:tcW w:w="1640" w:type="dxa"/>
            <w:vAlign w:val="bottom"/>
            <w:shd w:val="clear" w:color="auto" w:fill="BECFDE"/>
          </w:tcPr>
          <w:p>
            <w:pPr>
              <w:spacing w:after="0"/>
              <w:rPr>
                <w:sz w:val="22"/>
                <w:szCs w:val="22"/>
                <w:color w:val="auto"/>
              </w:rPr>
            </w:pPr>
          </w:p>
        </w:tc>
        <w:tc>
          <w:tcPr>
            <w:tcW w:w="1160" w:type="dxa"/>
            <w:vAlign w:val="bottom"/>
            <w:shd w:val="clear" w:color="auto" w:fill="BECFDE"/>
          </w:tcPr>
          <w:p>
            <w:pPr>
              <w:spacing w:after="0"/>
              <w:rPr>
                <w:sz w:val="22"/>
                <w:szCs w:val="22"/>
                <w:color w:val="auto"/>
              </w:rPr>
            </w:pPr>
          </w:p>
        </w:tc>
        <w:tc>
          <w:tcPr>
            <w:tcW w:w="360" w:type="dxa"/>
            <w:vAlign w:val="bottom"/>
            <w:shd w:val="clear" w:color="auto" w:fill="BECFDE"/>
          </w:tcPr>
          <w:p>
            <w:pPr>
              <w:spacing w:after="0"/>
              <w:rPr>
                <w:sz w:val="22"/>
                <w:szCs w:val="22"/>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Marianne C. Brown</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3,371</w:t>
            </w:r>
          </w:p>
        </w:tc>
        <w:tc>
          <w:tcPr>
            <w:tcW w:w="1160" w:type="dxa"/>
            <w:vAlign w:val="bottom"/>
          </w:tcPr>
          <w:p>
            <w:pPr>
              <w:jc w:val="right"/>
              <w:spacing w:after="0"/>
              <w:rPr>
                <w:sz w:val="20"/>
                <w:szCs w:val="20"/>
                <w:color w:val="auto"/>
              </w:rPr>
            </w:pPr>
            <w:r>
              <w:rPr>
                <w:rFonts w:ascii="Arial" w:cs="Arial" w:eastAsia="Arial" w:hAnsi="Arial"/>
                <w:sz w:val="16"/>
                <w:szCs w:val="16"/>
                <w:color w:val="auto"/>
              </w:rPr>
              <w:t>3,371</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Victor H. Fazio</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18,368</w:t>
            </w:r>
          </w:p>
        </w:tc>
        <w:tc>
          <w:tcPr>
            <w:tcW w:w="640" w:type="dxa"/>
            <w:vAlign w:val="bottom"/>
            <w:shd w:val="clear" w:color="auto" w:fill="BECFDE"/>
          </w:tcPr>
          <w:p>
            <w:pPr>
              <w:jc w:val="right"/>
              <w:ind w:right="279"/>
              <w:spacing w:after="0"/>
              <w:rPr>
                <w:sz w:val="20"/>
                <w:szCs w:val="20"/>
                <w:color w:val="auto"/>
              </w:rPr>
            </w:pPr>
            <w:r>
              <w:rPr>
                <w:rFonts w:ascii="Arial" w:cs="Arial" w:eastAsia="Arial" w:hAnsi="Arial"/>
                <w:sz w:val="16"/>
                <w:szCs w:val="16"/>
                <w:color w:val="auto"/>
              </w:rPr>
              <w:t>(2)</w:t>
            </w: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20,305</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38,673</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Donald E. Felsinger</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34,340</w:t>
            </w:r>
          </w:p>
        </w:tc>
        <w:tc>
          <w:tcPr>
            <w:tcW w:w="1160" w:type="dxa"/>
            <w:vAlign w:val="bottom"/>
          </w:tcPr>
          <w:p>
            <w:pPr>
              <w:jc w:val="right"/>
              <w:spacing w:after="0"/>
              <w:rPr>
                <w:sz w:val="20"/>
                <w:szCs w:val="20"/>
                <w:color w:val="auto"/>
              </w:rPr>
            </w:pPr>
            <w:r>
              <w:rPr>
                <w:rFonts w:ascii="Arial" w:cs="Arial" w:eastAsia="Arial" w:hAnsi="Arial"/>
                <w:sz w:val="16"/>
                <w:szCs w:val="16"/>
                <w:color w:val="auto"/>
              </w:rPr>
              <w:t>34,340</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Ann M. Fudge</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93</w:t>
            </w:r>
          </w:p>
        </w:tc>
        <w:tc>
          <w:tcPr>
            <w:tcW w:w="640" w:type="dxa"/>
            <w:vAlign w:val="bottom"/>
            <w:shd w:val="clear" w:color="auto" w:fill="BECFDE"/>
          </w:tcPr>
          <w:p>
            <w:pPr>
              <w:spacing w:after="0"/>
              <w:rPr>
                <w:sz w:val="23"/>
                <w:szCs w:val="23"/>
                <w:color w:val="auto"/>
              </w:rPr>
            </w:pP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1,786</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1,879</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Bruce S. Gordon</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16,325</w:t>
            </w:r>
          </w:p>
        </w:tc>
        <w:tc>
          <w:tcPr>
            <w:tcW w:w="1160" w:type="dxa"/>
            <w:vAlign w:val="bottom"/>
          </w:tcPr>
          <w:p>
            <w:pPr>
              <w:jc w:val="right"/>
              <w:spacing w:after="0"/>
              <w:rPr>
                <w:sz w:val="20"/>
                <w:szCs w:val="20"/>
                <w:color w:val="auto"/>
              </w:rPr>
            </w:pPr>
            <w:r>
              <w:rPr>
                <w:rFonts w:ascii="Arial" w:cs="Arial" w:eastAsia="Arial" w:hAnsi="Arial"/>
                <w:sz w:val="16"/>
                <w:szCs w:val="16"/>
                <w:color w:val="auto"/>
              </w:rPr>
              <w:t>16,325</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William H. Hernandez</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1,000</w:t>
            </w:r>
          </w:p>
        </w:tc>
        <w:tc>
          <w:tcPr>
            <w:tcW w:w="640" w:type="dxa"/>
            <w:vAlign w:val="bottom"/>
            <w:shd w:val="clear" w:color="auto" w:fill="BECFDE"/>
          </w:tcPr>
          <w:p>
            <w:pPr>
              <w:spacing w:after="0"/>
              <w:rPr>
                <w:sz w:val="23"/>
                <w:szCs w:val="23"/>
                <w:color w:val="auto"/>
              </w:rPr>
            </w:pP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3,851</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4,851</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Madeleine A. Kleiner</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971</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15,339</w:t>
            </w:r>
          </w:p>
        </w:tc>
        <w:tc>
          <w:tcPr>
            <w:tcW w:w="1160" w:type="dxa"/>
            <w:vAlign w:val="bottom"/>
          </w:tcPr>
          <w:p>
            <w:pPr>
              <w:jc w:val="right"/>
              <w:spacing w:after="0"/>
              <w:rPr>
                <w:sz w:val="20"/>
                <w:szCs w:val="20"/>
                <w:color w:val="auto"/>
              </w:rPr>
            </w:pPr>
            <w:r>
              <w:rPr>
                <w:rFonts w:ascii="Arial" w:cs="Arial" w:eastAsia="Arial" w:hAnsi="Arial"/>
                <w:sz w:val="16"/>
                <w:szCs w:val="16"/>
                <w:color w:val="auto"/>
              </w:rPr>
              <w:t>16,310</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Karl J. Krapek</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8,194</w:t>
            </w:r>
          </w:p>
        </w:tc>
        <w:tc>
          <w:tcPr>
            <w:tcW w:w="640" w:type="dxa"/>
            <w:vAlign w:val="bottom"/>
            <w:shd w:val="clear" w:color="auto" w:fill="BECFDE"/>
          </w:tcPr>
          <w:p>
            <w:pPr>
              <w:spacing w:after="0"/>
              <w:rPr>
                <w:sz w:val="23"/>
                <w:szCs w:val="23"/>
                <w:color w:val="auto"/>
              </w:rPr>
            </w:pP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21,139</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29,333</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Gary Roughead</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7,045</w:t>
            </w:r>
          </w:p>
        </w:tc>
        <w:tc>
          <w:tcPr>
            <w:tcW w:w="1160" w:type="dxa"/>
            <w:vAlign w:val="bottom"/>
          </w:tcPr>
          <w:p>
            <w:pPr>
              <w:jc w:val="right"/>
              <w:spacing w:after="0"/>
              <w:rPr>
                <w:sz w:val="20"/>
                <w:szCs w:val="20"/>
                <w:color w:val="auto"/>
              </w:rPr>
            </w:pPr>
            <w:r>
              <w:rPr>
                <w:rFonts w:ascii="Arial" w:cs="Arial" w:eastAsia="Arial" w:hAnsi="Arial"/>
                <w:sz w:val="16"/>
                <w:szCs w:val="16"/>
                <w:color w:val="auto"/>
              </w:rPr>
              <w:t>7,045</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Thomas M. Schoewe</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3,160</w:t>
            </w:r>
          </w:p>
        </w:tc>
        <w:tc>
          <w:tcPr>
            <w:tcW w:w="640" w:type="dxa"/>
            <w:vAlign w:val="bottom"/>
            <w:shd w:val="clear" w:color="auto" w:fill="BECFDE"/>
          </w:tcPr>
          <w:p>
            <w:pPr>
              <w:spacing w:after="0"/>
              <w:rPr>
                <w:sz w:val="23"/>
                <w:szCs w:val="23"/>
                <w:color w:val="auto"/>
              </w:rPr>
            </w:pP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8,241</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11,401</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James S. Turley</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2,319</w:t>
            </w:r>
          </w:p>
        </w:tc>
        <w:tc>
          <w:tcPr>
            <w:tcW w:w="1160" w:type="dxa"/>
            <w:vAlign w:val="bottom"/>
          </w:tcPr>
          <w:p>
            <w:pPr>
              <w:jc w:val="right"/>
              <w:spacing w:after="0"/>
              <w:rPr>
                <w:sz w:val="20"/>
                <w:szCs w:val="20"/>
                <w:color w:val="auto"/>
              </w:rPr>
            </w:pPr>
            <w:r>
              <w:rPr>
                <w:rFonts w:ascii="Arial" w:cs="Arial" w:eastAsia="Arial" w:hAnsi="Arial"/>
                <w:sz w:val="16"/>
                <w:szCs w:val="16"/>
                <w:color w:val="auto"/>
              </w:rPr>
              <w:t>2,319</w:t>
            </w:r>
          </w:p>
        </w:tc>
        <w:tc>
          <w:tcPr>
            <w:tcW w:w="360" w:type="dxa"/>
            <w:vAlign w:val="bottom"/>
          </w:tcPr>
          <w:p>
            <w:pPr>
              <w:spacing w:after="0"/>
              <w:rPr>
                <w:sz w:val="21"/>
                <w:szCs w:val="21"/>
                <w:color w:val="auto"/>
              </w:rPr>
            </w:pPr>
          </w:p>
        </w:tc>
      </w:tr>
      <w:tr>
        <w:trPr>
          <w:trHeight w:val="260"/>
        </w:trPr>
        <w:tc>
          <w:tcPr>
            <w:tcW w:w="5260" w:type="dxa"/>
            <w:vAlign w:val="bottom"/>
            <w:tcBorders>
              <w:bottom w:val="single" w:sz="8" w:color="276092"/>
            </w:tcBorders>
            <w:shd w:val="clear" w:color="auto" w:fill="BECFDE"/>
          </w:tcPr>
          <w:p>
            <w:pPr>
              <w:ind w:left="400"/>
              <w:spacing w:after="0"/>
              <w:rPr>
                <w:sz w:val="20"/>
                <w:szCs w:val="20"/>
                <w:color w:val="auto"/>
              </w:rPr>
            </w:pPr>
            <w:r>
              <w:rPr>
                <w:rFonts w:ascii="Arial" w:cs="Arial" w:eastAsia="Arial" w:hAnsi="Arial"/>
                <w:sz w:val="16"/>
                <w:szCs w:val="16"/>
                <w:color w:val="auto"/>
              </w:rPr>
              <w:t>Mark A. Welsh III</w:t>
            </w:r>
          </w:p>
        </w:tc>
        <w:tc>
          <w:tcPr>
            <w:tcW w:w="1960" w:type="dxa"/>
            <w:vAlign w:val="bottom"/>
            <w:tcBorders>
              <w:bottom w:val="single" w:sz="8" w:color="276092"/>
            </w:tcBorders>
            <w:shd w:val="clear" w:color="auto" w:fill="BECFDE"/>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276092"/>
            </w:tcBorders>
            <w:shd w:val="clear" w:color="auto" w:fill="BECFDE"/>
          </w:tcPr>
          <w:p>
            <w:pPr>
              <w:spacing w:after="0"/>
              <w:rPr>
                <w:sz w:val="22"/>
                <w:szCs w:val="22"/>
                <w:color w:val="auto"/>
              </w:rPr>
            </w:pPr>
          </w:p>
        </w:tc>
        <w:tc>
          <w:tcPr>
            <w:tcW w:w="1640" w:type="dxa"/>
            <w:vAlign w:val="bottom"/>
            <w:tcBorders>
              <w:bottom w:val="single" w:sz="8" w:color="276092"/>
            </w:tcBorders>
            <w:shd w:val="clear" w:color="auto" w:fill="BECFDE"/>
          </w:tcPr>
          <w:p>
            <w:pPr>
              <w:jc w:val="right"/>
              <w:ind w:right="300"/>
              <w:spacing w:after="0"/>
              <w:rPr>
                <w:sz w:val="20"/>
                <w:szCs w:val="20"/>
                <w:color w:val="auto"/>
              </w:rPr>
            </w:pPr>
            <w:r>
              <w:rPr>
                <w:rFonts w:ascii="Arial" w:cs="Arial" w:eastAsia="Arial" w:hAnsi="Arial"/>
                <w:sz w:val="16"/>
                <w:szCs w:val="16"/>
                <w:color w:val="auto"/>
              </w:rPr>
              <w:t>889</w:t>
            </w:r>
          </w:p>
        </w:tc>
        <w:tc>
          <w:tcPr>
            <w:tcW w:w="1160" w:type="dxa"/>
            <w:vAlign w:val="bottom"/>
            <w:tcBorders>
              <w:bottom w:val="single" w:sz="8" w:color="276092"/>
            </w:tcBorders>
            <w:shd w:val="clear" w:color="auto" w:fill="BECFDE"/>
          </w:tcPr>
          <w:p>
            <w:pPr>
              <w:jc w:val="right"/>
              <w:spacing w:after="0"/>
              <w:rPr>
                <w:sz w:val="20"/>
                <w:szCs w:val="20"/>
                <w:color w:val="auto"/>
              </w:rPr>
            </w:pPr>
            <w:r>
              <w:rPr>
                <w:rFonts w:ascii="Arial" w:cs="Arial" w:eastAsia="Arial" w:hAnsi="Arial"/>
                <w:sz w:val="16"/>
                <w:szCs w:val="16"/>
                <w:color w:val="auto"/>
              </w:rPr>
              <w:t>889</w:t>
            </w:r>
          </w:p>
        </w:tc>
        <w:tc>
          <w:tcPr>
            <w:tcW w:w="360" w:type="dxa"/>
            <w:vAlign w:val="bottom"/>
            <w:tcBorders>
              <w:bottom w:val="single" w:sz="8" w:color="276092"/>
            </w:tcBorders>
            <w:shd w:val="clear" w:color="auto" w:fill="BECFDE"/>
          </w:tcPr>
          <w:p>
            <w:pPr>
              <w:spacing w:after="0"/>
              <w:rPr>
                <w:sz w:val="22"/>
                <w:szCs w:val="22"/>
                <w:color w:val="auto"/>
              </w:rPr>
            </w:pPr>
          </w:p>
        </w:tc>
      </w:tr>
      <w:tr>
        <w:trPr>
          <w:trHeight w:val="247"/>
        </w:trPr>
        <w:tc>
          <w:tcPr>
            <w:tcW w:w="5260" w:type="dxa"/>
            <w:vAlign w:val="bottom"/>
          </w:tcPr>
          <w:p>
            <w:pPr>
              <w:ind w:left="60"/>
              <w:spacing w:after="0"/>
              <w:rPr>
                <w:sz w:val="20"/>
                <w:szCs w:val="20"/>
                <w:color w:val="auto"/>
              </w:rPr>
            </w:pPr>
            <w:r>
              <w:rPr>
                <w:rFonts w:ascii="Arial" w:cs="Arial" w:eastAsia="Arial" w:hAnsi="Arial"/>
                <w:sz w:val="16"/>
                <w:szCs w:val="16"/>
                <w:b w:val="1"/>
                <w:bCs w:val="1"/>
                <w:color w:val="auto"/>
              </w:rPr>
              <w:t>Named Executive Officers</w:t>
            </w:r>
          </w:p>
        </w:tc>
        <w:tc>
          <w:tcPr>
            <w:tcW w:w="19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Wesley G. Bush (3)</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430,162</w:t>
            </w:r>
          </w:p>
        </w:tc>
        <w:tc>
          <w:tcPr>
            <w:tcW w:w="640" w:type="dxa"/>
            <w:vAlign w:val="bottom"/>
            <w:shd w:val="clear" w:color="auto" w:fill="BECFDE"/>
          </w:tcPr>
          <w:p>
            <w:pPr>
              <w:jc w:val="right"/>
              <w:ind w:right="279"/>
              <w:spacing w:after="0"/>
              <w:rPr>
                <w:sz w:val="20"/>
                <w:szCs w:val="20"/>
                <w:color w:val="auto"/>
              </w:rPr>
            </w:pPr>
            <w:r>
              <w:rPr>
                <w:rFonts w:ascii="Arial" w:cs="Arial" w:eastAsia="Arial" w:hAnsi="Arial"/>
                <w:sz w:val="16"/>
                <w:szCs w:val="16"/>
                <w:color w:val="auto"/>
              </w:rPr>
              <w:t>(4)</w:t>
            </w: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5,560</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435,722</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Kenneth L. Bedingfield</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34,340</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34,340</w:t>
            </w:r>
          </w:p>
        </w:tc>
        <w:tc>
          <w:tcPr>
            <w:tcW w:w="360" w:type="dxa"/>
            <w:vAlign w:val="bottom"/>
          </w:tcPr>
          <w:p>
            <w:pPr>
              <w:spacing w:after="0"/>
              <w:rPr>
                <w:sz w:val="21"/>
                <w:szCs w:val="21"/>
                <w:color w:val="auto"/>
              </w:rPr>
            </w:pPr>
          </w:p>
        </w:tc>
      </w:tr>
      <w:tr>
        <w:trPr>
          <w:trHeight w:val="266"/>
        </w:trPr>
        <w:tc>
          <w:tcPr>
            <w:tcW w:w="5260" w:type="dxa"/>
            <w:vAlign w:val="bottom"/>
            <w:shd w:val="clear" w:color="auto" w:fill="BECFDE"/>
          </w:tcPr>
          <w:p>
            <w:pPr>
              <w:ind w:left="400"/>
              <w:spacing w:after="0"/>
              <w:rPr>
                <w:sz w:val="20"/>
                <w:szCs w:val="20"/>
                <w:color w:val="auto"/>
              </w:rPr>
            </w:pPr>
            <w:r>
              <w:rPr>
                <w:rFonts w:ascii="Arial" w:cs="Arial" w:eastAsia="Arial" w:hAnsi="Arial"/>
                <w:sz w:val="16"/>
                <w:szCs w:val="16"/>
                <w:color w:val="auto"/>
              </w:rPr>
              <w:t>Gloria A. Flach (5)</w:t>
            </w:r>
          </w:p>
        </w:tc>
        <w:tc>
          <w:tcPr>
            <w:tcW w:w="1960" w:type="dxa"/>
            <w:vAlign w:val="bottom"/>
            <w:shd w:val="clear" w:color="auto" w:fill="BECFDE"/>
          </w:tcPr>
          <w:p>
            <w:pPr>
              <w:jc w:val="right"/>
              <w:ind w:right="20"/>
              <w:spacing w:after="0"/>
              <w:rPr>
                <w:sz w:val="20"/>
                <w:szCs w:val="20"/>
                <w:color w:val="auto"/>
              </w:rPr>
            </w:pPr>
            <w:r>
              <w:rPr>
                <w:rFonts w:ascii="Arial" w:cs="Arial" w:eastAsia="Arial" w:hAnsi="Arial"/>
                <w:sz w:val="16"/>
                <w:szCs w:val="16"/>
                <w:color w:val="auto"/>
              </w:rPr>
              <w:t>87,668</w:t>
            </w:r>
          </w:p>
        </w:tc>
        <w:tc>
          <w:tcPr>
            <w:tcW w:w="640" w:type="dxa"/>
            <w:vAlign w:val="bottom"/>
            <w:shd w:val="clear" w:color="auto" w:fill="BECFDE"/>
          </w:tcPr>
          <w:p>
            <w:pPr>
              <w:spacing w:after="0"/>
              <w:rPr>
                <w:sz w:val="23"/>
                <w:szCs w:val="23"/>
                <w:color w:val="auto"/>
              </w:rPr>
            </w:pPr>
          </w:p>
        </w:tc>
        <w:tc>
          <w:tcPr>
            <w:tcW w:w="1640" w:type="dxa"/>
            <w:vAlign w:val="bottom"/>
            <w:shd w:val="clear" w:color="auto" w:fill="BECFDE"/>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BECFDE"/>
          </w:tcPr>
          <w:p>
            <w:pPr>
              <w:jc w:val="right"/>
              <w:spacing w:after="0"/>
              <w:rPr>
                <w:sz w:val="20"/>
                <w:szCs w:val="20"/>
                <w:color w:val="auto"/>
              </w:rPr>
            </w:pPr>
            <w:r>
              <w:rPr>
                <w:rFonts w:ascii="Arial" w:cs="Arial" w:eastAsia="Arial" w:hAnsi="Arial"/>
                <w:sz w:val="16"/>
                <w:szCs w:val="16"/>
                <w:color w:val="auto"/>
              </w:rPr>
              <w:t>87,668</w:t>
            </w:r>
          </w:p>
        </w:tc>
        <w:tc>
          <w:tcPr>
            <w:tcW w:w="360" w:type="dxa"/>
            <w:vAlign w:val="bottom"/>
            <w:shd w:val="clear" w:color="auto" w:fill="BECFDE"/>
          </w:tcPr>
          <w:p>
            <w:pPr>
              <w:spacing w:after="0"/>
              <w:rPr>
                <w:sz w:val="23"/>
                <w:szCs w:val="23"/>
                <w:color w:val="auto"/>
              </w:rPr>
            </w:pPr>
          </w:p>
        </w:tc>
      </w:tr>
      <w:tr>
        <w:trPr>
          <w:trHeight w:val="247"/>
        </w:trPr>
        <w:tc>
          <w:tcPr>
            <w:tcW w:w="5260" w:type="dxa"/>
            <w:vAlign w:val="bottom"/>
          </w:tcPr>
          <w:p>
            <w:pPr>
              <w:ind w:left="400"/>
              <w:spacing w:after="0"/>
              <w:rPr>
                <w:sz w:val="20"/>
                <w:szCs w:val="20"/>
                <w:color w:val="auto"/>
              </w:rPr>
            </w:pPr>
            <w:r>
              <w:rPr>
                <w:rFonts w:ascii="Arial" w:cs="Arial" w:eastAsia="Arial" w:hAnsi="Arial"/>
                <w:sz w:val="16"/>
                <w:szCs w:val="16"/>
                <w:color w:val="auto"/>
              </w:rPr>
              <w:t>Janis G. Pamiljans</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6,677</w:t>
            </w:r>
          </w:p>
        </w:tc>
        <w:tc>
          <w:tcPr>
            <w:tcW w:w="640" w:type="dxa"/>
            <w:vAlign w:val="bottom"/>
          </w:tcPr>
          <w:p>
            <w:pPr>
              <w:spacing w:after="0"/>
              <w:rPr>
                <w:sz w:val="21"/>
                <w:szCs w:val="21"/>
                <w:color w:val="auto"/>
              </w:rPr>
            </w:pP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6,224</w:t>
            </w:r>
          </w:p>
        </w:tc>
        <w:tc>
          <w:tcPr>
            <w:tcW w:w="1160" w:type="dxa"/>
            <w:vAlign w:val="bottom"/>
          </w:tcPr>
          <w:p>
            <w:pPr>
              <w:jc w:val="right"/>
              <w:spacing w:after="0"/>
              <w:rPr>
                <w:sz w:val="20"/>
                <w:szCs w:val="20"/>
                <w:color w:val="auto"/>
              </w:rPr>
            </w:pPr>
            <w:r>
              <w:rPr>
                <w:rFonts w:ascii="Arial" w:cs="Arial" w:eastAsia="Arial" w:hAnsi="Arial"/>
                <w:sz w:val="16"/>
                <w:szCs w:val="16"/>
                <w:color w:val="auto"/>
              </w:rPr>
              <w:t>12,901</w:t>
            </w:r>
          </w:p>
        </w:tc>
        <w:tc>
          <w:tcPr>
            <w:tcW w:w="360" w:type="dxa"/>
            <w:vAlign w:val="bottom"/>
          </w:tcPr>
          <w:p>
            <w:pPr>
              <w:spacing w:after="0"/>
              <w:rPr>
                <w:sz w:val="21"/>
                <w:szCs w:val="21"/>
                <w:color w:val="auto"/>
              </w:rPr>
            </w:pPr>
          </w:p>
        </w:tc>
      </w:tr>
      <w:tr>
        <w:trPr>
          <w:trHeight w:val="260"/>
        </w:trPr>
        <w:tc>
          <w:tcPr>
            <w:tcW w:w="5260" w:type="dxa"/>
            <w:vAlign w:val="bottom"/>
            <w:tcBorders>
              <w:bottom w:val="single" w:sz="8" w:color="276092"/>
            </w:tcBorders>
            <w:shd w:val="clear" w:color="auto" w:fill="BECFDE"/>
          </w:tcPr>
          <w:p>
            <w:pPr>
              <w:ind w:left="400"/>
              <w:spacing w:after="0"/>
              <w:rPr>
                <w:sz w:val="20"/>
                <w:szCs w:val="20"/>
                <w:color w:val="auto"/>
              </w:rPr>
            </w:pPr>
            <w:r>
              <w:rPr>
                <w:rFonts w:ascii="Arial" w:cs="Arial" w:eastAsia="Arial" w:hAnsi="Arial"/>
                <w:sz w:val="16"/>
                <w:szCs w:val="16"/>
                <w:color w:val="auto"/>
              </w:rPr>
              <w:t>Kathy J. Warden</w:t>
            </w:r>
          </w:p>
        </w:tc>
        <w:tc>
          <w:tcPr>
            <w:tcW w:w="1960" w:type="dxa"/>
            <w:vAlign w:val="bottom"/>
            <w:tcBorders>
              <w:bottom w:val="single" w:sz="8" w:color="276092"/>
            </w:tcBorders>
            <w:shd w:val="clear" w:color="auto" w:fill="BECFDE"/>
          </w:tcPr>
          <w:p>
            <w:pPr>
              <w:jc w:val="right"/>
              <w:ind w:right="20"/>
              <w:spacing w:after="0"/>
              <w:rPr>
                <w:sz w:val="20"/>
                <w:szCs w:val="20"/>
                <w:color w:val="auto"/>
              </w:rPr>
            </w:pPr>
            <w:r>
              <w:rPr>
                <w:rFonts w:ascii="Arial" w:cs="Arial" w:eastAsia="Arial" w:hAnsi="Arial"/>
                <w:sz w:val="16"/>
                <w:szCs w:val="16"/>
                <w:color w:val="auto"/>
              </w:rPr>
              <w:t>88,011</w:t>
            </w:r>
          </w:p>
        </w:tc>
        <w:tc>
          <w:tcPr>
            <w:tcW w:w="640" w:type="dxa"/>
            <w:vAlign w:val="bottom"/>
            <w:tcBorders>
              <w:bottom w:val="single" w:sz="8" w:color="276092"/>
            </w:tcBorders>
            <w:shd w:val="clear" w:color="auto" w:fill="BECFDE"/>
          </w:tcPr>
          <w:p>
            <w:pPr>
              <w:spacing w:after="0"/>
              <w:rPr>
                <w:sz w:val="22"/>
                <w:szCs w:val="22"/>
                <w:color w:val="auto"/>
              </w:rPr>
            </w:pPr>
          </w:p>
        </w:tc>
        <w:tc>
          <w:tcPr>
            <w:tcW w:w="1640" w:type="dxa"/>
            <w:vAlign w:val="bottom"/>
            <w:tcBorders>
              <w:bottom w:val="single" w:sz="8" w:color="276092"/>
            </w:tcBorders>
            <w:shd w:val="clear" w:color="auto" w:fill="BECFDE"/>
          </w:tcPr>
          <w:p>
            <w:pPr>
              <w:jc w:val="right"/>
              <w:ind w:right="3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276092"/>
            </w:tcBorders>
            <w:shd w:val="clear" w:color="auto" w:fill="BECFDE"/>
          </w:tcPr>
          <w:p>
            <w:pPr>
              <w:jc w:val="right"/>
              <w:spacing w:after="0"/>
              <w:rPr>
                <w:sz w:val="20"/>
                <w:szCs w:val="20"/>
                <w:color w:val="auto"/>
              </w:rPr>
            </w:pPr>
            <w:r>
              <w:rPr>
                <w:rFonts w:ascii="Arial" w:cs="Arial" w:eastAsia="Arial" w:hAnsi="Arial"/>
                <w:sz w:val="16"/>
                <w:szCs w:val="16"/>
                <w:color w:val="auto"/>
              </w:rPr>
              <w:t>88,011</w:t>
            </w:r>
          </w:p>
        </w:tc>
        <w:tc>
          <w:tcPr>
            <w:tcW w:w="360" w:type="dxa"/>
            <w:vAlign w:val="bottom"/>
            <w:tcBorders>
              <w:bottom w:val="single" w:sz="8" w:color="276092"/>
            </w:tcBorders>
            <w:shd w:val="clear" w:color="auto" w:fill="BECFDE"/>
          </w:tcPr>
          <w:p>
            <w:pPr>
              <w:spacing w:after="0"/>
              <w:rPr>
                <w:sz w:val="22"/>
                <w:szCs w:val="22"/>
                <w:color w:val="auto"/>
              </w:rPr>
            </w:pPr>
          </w:p>
        </w:tc>
      </w:tr>
      <w:tr>
        <w:trPr>
          <w:trHeight w:val="250"/>
        </w:trPr>
        <w:tc>
          <w:tcPr>
            <w:tcW w:w="5260" w:type="dxa"/>
            <w:vAlign w:val="bottom"/>
            <w:tcBorders>
              <w:bottom w:val="single" w:sz="8" w:color="276092"/>
            </w:tcBorders>
          </w:tcPr>
          <w:p>
            <w:pPr>
              <w:ind w:left="60"/>
              <w:spacing w:after="0"/>
              <w:rPr>
                <w:sz w:val="20"/>
                <w:szCs w:val="20"/>
                <w:color w:val="auto"/>
              </w:rPr>
            </w:pPr>
            <w:r>
              <w:rPr>
                <w:rFonts w:ascii="Arial" w:cs="Arial" w:eastAsia="Arial" w:hAnsi="Arial"/>
                <w:sz w:val="16"/>
                <w:szCs w:val="16"/>
                <w:color w:val="auto"/>
              </w:rPr>
              <w:t>Other Executive Officers</w:t>
            </w:r>
          </w:p>
        </w:tc>
        <w:tc>
          <w:tcPr>
            <w:tcW w:w="1960" w:type="dxa"/>
            <w:vAlign w:val="bottom"/>
            <w:tcBorders>
              <w:bottom w:val="single" w:sz="8" w:color="276092"/>
            </w:tcBorders>
          </w:tcPr>
          <w:p>
            <w:pPr>
              <w:jc w:val="right"/>
              <w:ind w:right="20"/>
              <w:spacing w:after="0"/>
              <w:rPr>
                <w:sz w:val="20"/>
                <w:szCs w:val="20"/>
                <w:color w:val="auto"/>
              </w:rPr>
            </w:pPr>
            <w:r>
              <w:rPr>
                <w:rFonts w:ascii="Arial" w:cs="Arial" w:eastAsia="Arial" w:hAnsi="Arial"/>
                <w:sz w:val="16"/>
                <w:szCs w:val="16"/>
                <w:color w:val="auto"/>
              </w:rPr>
              <w:t>245,957</w:t>
            </w:r>
          </w:p>
        </w:tc>
        <w:tc>
          <w:tcPr>
            <w:tcW w:w="640" w:type="dxa"/>
            <w:vAlign w:val="bottom"/>
            <w:tcBorders>
              <w:bottom w:val="single" w:sz="8" w:color="276092"/>
            </w:tcBorders>
          </w:tcPr>
          <w:p>
            <w:pPr>
              <w:spacing w:after="0"/>
              <w:rPr>
                <w:sz w:val="21"/>
                <w:szCs w:val="21"/>
                <w:color w:val="auto"/>
              </w:rPr>
            </w:pPr>
          </w:p>
        </w:tc>
        <w:tc>
          <w:tcPr>
            <w:tcW w:w="1640" w:type="dxa"/>
            <w:vAlign w:val="bottom"/>
            <w:tcBorders>
              <w:bottom w:val="single" w:sz="8" w:color="276092"/>
            </w:tcBorders>
          </w:tcPr>
          <w:p>
            <w:pPr>
              <w:jc w:val="right"/>
              <w:ind w:right="300"/>
              <w:spacing w:after="0"/>
              <w:rPr>
                <w:sz w:val="20"/>
                <w:szCs w:val="20"/>
                <w:color w:val="auto"/>
              </w:rPr>
            </w:pPr>
            <w:r>
              <w:rPr>
                <w:rFonts w:ascii="Arial" w:cs="Arial" w:eastAsia="Arial" w:hAnsi="Arial"/>
                <w:sz w:val="16"/>
                <w:szCs w:val="16"/>
                <w:color w:val="auto"/>
              </w:rPr>
              <w:t>9,176</w:t>
            </w:r>
          </w:p>
        </w:tc>
        <w:tc>
          <w:tcPr>
            <w:tcW w:w="1160" w:type="dxa"/>
            <w:vAlign w:val="bottom"/>
            <w:tcBorders>
              <w:bottom w:val="single" w:sz="8" w:color="276092"/>
            </w:tcBorders>
          </w:tcPr>
          <w:p>
            <w:pPr>
              <w:jc w:val="right"/>
              <w:spacing w:after="0"/>
              <w:rPr>
                <w:sz w:val="20"/>
                <w:szCs w:val="20"/>
                <w:color w:val="auto"/>
              </w:rPr>
            </w:pPr>
            <w:r>
              <w:rPr>
                <w:rFonts w:ascii="Arial" w:cs="Arial" w:eastAsia="Arial" w:hAnsi="Arial"/>
                <w:sz w:val="16"/>
                <w:szCs w:val="16"/>
                <w:color w:val="auto"/>
              </w:rPr>
              <w:t>255,133</w:t>
            </w:r>
          </w:p>
        </w:tc>
        <w:tc>
          <w:tcPr>
            <w:tcW w:w="360" w:type="dxa"/>
            <w:vAlign w:val="bottom"/>
            <w:tcBorders>
              <w:bottom w:val="single" w:sz="8" w:color="276092"/>
            </w:tcBorders>
          </w:tcPr>
          <w:p>
            <w:pPr>
              <w:spacing w:after="0"/>
              <w:rPr>
                <w:sz w:val="21"/>
                <w:szCs w:val="21"/>
                <w:color w:val="auto"/>
              </w:rPr>
            </w:pPr>
          </w:p>
        </w:tc>
      </w:tr>
      <w:tr>
        <w:trPr>
          <w:trHeight w:val="250"/>
        </w:trPr>
        <w:tc>
          <w:tcPr>
            <w:tcW w:w="526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b w:val="1"/>
                <w:bCs w:val="1"/>
                <w:color w:val="auto"/>
              </w:rPr>
              <w:t>All Directors and Executive Officers as a Group (27 persons)</w:t>
            </w:r>
          </w:p>
        </w:tc>
        <w:tc>
          <w:tcPr>
            <w:tcW w:w="1960" w:type="dxa"/>
            <w:vAlign w:val="bottom"/>
            <w:tcBorders>
              <w:bottom w:val="single" w:sz="8" w:color="276092"/>
            </w:tcBorders>
            <w:shd w:val="clear" w:color="auto" w:fill="BECFDE"/>
          </w:tcPr>
          <w:p>
            <w:pPr>
              <w:jc w:val="right"/>
              <w:ind w:right="20"/>
              <w:spacing w:after="0"/>
              <w:rPr>
                <w:sz w:val="20"/>
                <w:szCs w:val="20"/>
                <w:color w:val="auto"/>
              </w:rPr>
            </w:pPr>
            <w:r>
              <w:rPr>
                <w:rFonts w:ascii="Arial" w:cs="Arial" w:eastAsia="Arial" w:hAnsi="Arial"/>
                <w:sz w:val="16"/>
                <w:szCs w:val="16"/>
                <w:color w:val="auto"/>
              </w:rPr>
              <w:t>924,601</w:t>
            </w:r>
          </w:p>
        </w:tc>
        <w:tc>
          <w:tcPr>
            <w:tcW w:w="640" w:type="dxa"/>
            <w:vAlign w:val="bottom"/>
            <w:tcBorders>
              <w:bottom w:val="single" w:sz="8" w:color="276092"/>
            </w:tcBorders>
            <w:shd w:val="clear" w:color="auto" w:fill="BECFDE"/>
          </w:tcPr>
          <w:p>
            <w:pPr>
              <w:spacing w:after="0"/>
              <w:rPr>
                <w:sz w:val="21"/>
                <w:szCs w:val="21"/>
                <w:color w:val="auto"/>
              </w:rPr>
            </w:pPr>
          </w:p>
        </w:tc>
        <w:tc>
          <w:tcPr>
            <w:tcW w:w="1640" w:type="dxa"/>
            <w:vAlign w:val="bottom"/>
            <w:tcBorders>
              <w:bottom w:val="single" w:sz="8" w:color="276092"/>
            </w:tcBorders>
            <w:shd w:val="clear" w:color="auto" w:fill="BECFDE"/>
          </w:tcPr>
          <w:p>
            <w:pPr>
              <w:jc w:val="right"/>
              <w:ind w:right="320"/>
              <w:spacing w:after="0"/>
              <w:rPr>
                <w:sz w:val="20"/>
                <w:szCs w:val="20"/>
                <w:color w:val="auto"/>
              </w:rPr>
            </w:pPr>
            <w:r>
              <w:rPr>
                <w:rFonts w:ascii="Arial" w:cs="Arial" w:eastAsia="Arial" w:hAnsi="Arial"/>
                <w:sz w:val="16"/>
                <w:szCs w:val="16"/>
                <w:color w:val="auto"/>
              </w:rPr>
              <w:t>155,910</w:t>
            </w:r>
          </w:p>
        </w:tc>
        <w:tc>
          <w:tcPr>
            <w:tcW w:w="1160" w:type="dxa"/>
            <w:vAlign w:val="bottom"/>
            <w:tcBorders>
              <w:bottom w:val="single" w:sz="8" w:color="276092"/>
            </w:tcBorders>
            <w:shd w:val="clear" w:color="auto" w:fill="BECFDE"/>
          </w:tcPr>
          <w:p>
            <w:pPr>
              <w:jc w:val="right"/>
              <w:spacing w:after="0"/>
              <w:rPr>
                <w:sz w:val="20"/>
                <w:szCs w:val="20"/>
                <w:color w:val="auto"/>
              </w:rPr>
            </w:pPr>
            <w:r>
              <w:rPr>
                <w:rFonts w:ascii="Arial" w:cs="Arial" w:eastAsia="Arial" w:hAnsi="Arial"/>
                <w:sz w:val="16"/>
                <w:szCs w:val="16"/>
                <w:color w:val="auto"/>
              </w:rPr>
              <w:t>1,080,511</w:t>
            </w:r>
          </w:p>
        </w:tc>
        <w:tc>
          <w:tcPr>
            <w:tcW w:w="360" w:type="dxa"/>
            <w:vAlign w:val="bottom"/>
            <w:tcBorders>
              <w:bottom w:val="single" w:sz="8" w:color="276092"/>
            </w:tcBorders>
            <w:shd w:val="clear" w:color="auto" w:fill="BECFDE"/>
          </w:tcPr>
          <w:p>
            <w:pPr>
              <w:jc w:val="right"/>
              <w:spacing w:after="0"/>
              <w:rPr>
                <w:sz w:val="20"/>
                <w:szCs w:val="20"/>
                <w:color w:val="auto"/>
              </w:rPr>
            </w:pPr>
            <w:r>
              <w:rPr>
                <w:rFonts w:ascii="Arial" w:cs="Arial" w:eastAsia="Arial" w:hAnsi="Arial"/>
                <w:sz w:val="16"/>
                <w:szCs w:val="16"/>
                <w:color w:val="auto"/>
              </w:rPr>
              <w:t>(6)</w:t>
            </w:r>
          </w:p>
        </w:tc>
      </w:tr>
    </w:tbl>
    <w:p>
      <w:pPr>
        <w:spacing w:after="0" w:line="242" w:lineRule="exact"/>
        <w:rPr>
          <w:sz w:val="20"/>
          <w:szCs w:val="20"/>
          <w:color w:val="auto"/>
        </w:rPr>
      </w:pPr>
    </w:p>
    <w:p>
      <w:pPr>
        <w:ind w:left="640" w:right="20" w:hanging="436"/>
        <w:spacing w:after="0" w:line="239"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107"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1,141 shares held in our Dividend Reinvestment Plan.</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Bush is also Chairman of the Board.</w:t>
      </w:r>
    </w:p>
    <w:p>
      <w:pPr>
        <w:spacing w:after="0" w:line="117" w:lineRule="exact"/>
        <w:rPr>
          <w:rFonts w:ascii="Arial" w:cs="Arial" w:eastAsia="Arial" w:hAnsi="Arial"/>
          <w:sz w:val="18"/>
          <w:szCs w:val="18"/>
          <w:color w:val="auto"/>
        </w:rPr>
      </w:pPr>
    </w:p>
    <w:p>
      <w:pPr>
        <w:ind w:left="640" w:right="360" w:hanging="436"/>
        <w:spacing w:after="0" w:line="246"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259,053 shares held in the W.G. and N.F. Bush Family Trust, 63,980 shares held in the Bush Trust Number 4 Trust, and 63,979 shares held in the Wesley G. Bush Revocable Trust, each of which Mr. Bush and his wife serve as trustees.</w:t>
      </w:r>
    </w:p>
    <w:p>
      <w:pPr>
        <w:spacing w:after="0" w:line="102"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Flach retired from the Company on December 31, 2017.</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represents 0.62% of the outstanding common stock as of March 20, 2018.</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29</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We currently maintain two equity compensation plans: the 2011 Plan and the 1993 Stock Plan for Non-Employee Directors, as amended (1993 Directors Plan). Each of these plans has been approved by our shareholders.</w:t>
      </w:r>
    </w:p>
    <w:p>
      <w:pPr>
        <w:spacing w:after="0" w:line="89"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following table sets forth the number of shares of our common stock to be issued upon payout of outstanding awards and the number of shares remaining available for future award grants under these equity compensation plans as of December 31, 2017.</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1"/>
        </w:trPr>
        <w:tc>
          <w:tcPr>
            <w:tcW w:w="4080" w:type="dxa"/>
            <w:vAlign w:val="bottom"/>
            <w:shd w:val="clear" w:color="auto" w:fill="276092"/>
          </w:tcPr>
          <w:p>
            <w:pPr>
              <w:spacing w:after="0"/>
              <w:rPr>
                <w:sz w:val="18"/>
                <w:szCs w:val="18"/>
                <w:color w:val="auto"/>
              </w:rPr>
            </w:pPr>
          </w:p>
        </w:tc>
        <w:tc>
          <w:tcPr>
            <w:tcW w:w="2440" w:type="dxa"/>
            <w:vAlign w:val="bottom"/>
            <w:shd w:val="clear" w:color="auto" w:fill="276092"/>
          </w:tcPr>
          <w:p>
            <w:pPr>
              <w:spacing w:after="0"/>
              <w:rPr>
                <w:sz w:val="18"/>
                <w:szCs w:val="18"/>
                <w:color w:val="auto"/>
              </w:rPr>
            </w:pPr>
          </w:p>
        </w:tc>
        <w:tc>
          <w:tcPr>
            <w:tcW w:w="1880" w:type="dxa"/>
            <w:vAlign w:val="bottom"/>
            <w:shd w:val="clear" w:color="auto" w:fill="276092"/>
          </w:tcPr>
          <w:p>
            <w:pPr>
              <w:spacing w:after="0"/>
              <w:rPr>
                <w:sz w:val="18"/>
                <w:szCs w:val="18"/>
                <w:color w:val="auto"/>
              </w:rPr>
            </w:pP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Number of shares of</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spacing w:after="0"/>
              <w:rPr>
                <w:sz w:val="16"/>
                <w:szCs w:val="16"/>
                <w:color w:val="auto"/>
              </w:rPr>
            </w:pPr>
          </w:p>
        </w:tc>
        <w:tc>
          <w:tcPr>
            <w:tcW w:w="1880" w:type="dxa"/>
            <w:vAlign w:val="bottom"/>
            <w:shd w:val="clear" w:color="auto" w:fill="276092"/>
          </w:tcPr>
          <w:p>
            <w:pPr>
              <w:spacing w:after="0"/>
              <w:rPr>
                <w:sz w:val="16"/>
                <w:szCs w:val="16"/>
                <w:color w:val="auto"/>
              </w:rPr>
            </w:pP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common stock</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spacing w:after="0"/>
              <w:rPr>
                <w:sz w:val="16"/>
                <w:szCs w:val="16"/>
                <w:color w:val="auto"/>
              </w:rPr>
            </w:pPr>
          </w:p>
        </w:tc>
        <w:tc>
          <w:tcPr>
            <w:tcW w:w="1880" w:type="dxa"/>
            <w:vAlign w:val="bottom"/>
            <w:shd w:val="clear" w:color="auto" w:fill="276092"/>
          </w:tcPr>
          <w:p>
            <w:pPr>
              <w:spacing w:after="0"/>
              <w:rPr>
                <w:sz w:val="16"/>
                <w:szCs w:val="16"/>
                <w:color w:val="auto"/>
              </w:rPr>
            </w:pP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remaining available for future</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Number of shares of</w:t>
            </w:r>
          </w:p>
        </w:tc>
        <w:tc>
          <w:tcPr>
            <w:tcW w:w="1880" w:type="dxa"/>
            <w:vAlign w:val="bottom"/>
            <w:shd w:val="clear" w:color="auto" w:fill="276092"/>
          </w:tcPr>
          <w:p>
            <w:pPr>
              <w:spacing w:after="0"/>
              <w:rPr>
                <w:sz w:val="16"/>
                <w:szCs w:val="16"/>
                <w:color w:val="auto"/>
              </w:rPr>
            </w:pP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issuance under equity</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common stock to be</w:t>
            </w:r>
          </w:p>
        </w:tc>
        <w:tc>
          <w:tcPr>
            <w:tcW w:w="18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Weighted-average</w:t>
            </w: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compensation plans</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issued upon exercise</w:t>
            </w:r>
          </w:p>
        </w:tc>
        <w:tc>
          <w:tcPr>
            <w:tcW w:w="18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(excluding</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of outstanding options and</w:t>
            </w:r>
          </w:p>
        </w:tc>
        <w:tc>
          <w:tcPr>
            <w:tcW w:w="18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shares reflected in the</w:t>
            </w:r>
          </w:p>
        </w:tc>
      </w:tr>
      <w:tr>
        <w:trPr>
          <w:trHeight w:val="189"/>
        </w:trPr>
        <w:tc>
          <w:tcPr>
            <w:tcW w:w="4080" w:type="dxa"/>
            <w:vAlign w:val="bottom"/>
            <w:shd w:val="clear" w:color="auto" w:fill="276092"/>
          </w:tcPr>
          <w:p>
            <w:pPr>
              <w:spacing w:after="0"/>
              <w:rPr>
                <w:sz w:val="16"/>
                <w:szCs w:val="16"/>
                <w:color w:val="auto"/>
              </w:rPr>
            </w:pP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payout of outstanding</w:t>
            </w:r>
          </w:p>
        </w:tc>
        <w:tc>
          <w:tcPr>
            <w:tcW w:w="18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(2)</w:t>
            </w: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first column) (3)</w:t>
            </w:r>
          </w:p>
        </w:tc>
      </w:tr>
      <w:tr>
        <w:trPr>
          <w:trHeight w:val="234"/>
        </w:trPr>
        <w:tc>
          <w:tcPr>
            <w:tcW w:w="4080" w:type="dxa"/>
            <w:vAlign w:val="bottom"/>
            <w:shd w:val="clear" w:color="auto" w:fill="276092"/>
          </w:tcPr>
          <w:p>
            <w:pPr>
              <w:ind w:left="80"/>
              <w:spacing w:after="0"/>
              <w:rPr>
                <w:sz w:val="20"/>
                <w:szCs w:val="20"/>
                <w:color w:val="auto"/>
              </w:rPr>
            </w:pPr>
            <w:r>
              <w:rPr>
                <w:rFonts w:ascii="Arial" w:cs="Arial" w:eastAsia="Arial" w:hAnsi="Arial"/>
                <w:sz w:val="16"/>
                <w:szCs w:val="16"/>
                <w:b w:val="1"/>
                <w:bCs w:val="1"/>
                <w:color w:val="FFFFFF"/>
              </w:rPr>
              <w:t>Plan category</w:t>
            </w:r>
          </w:p>
        </w:tc>
        <w:tc>
          <w:tcPr>
            <w:tcW w:w="24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awards (1) (#)</w:t>
            </w:r>
          </w:p>
        </w:tc>
        <w:tc>
          <w:tcPr>
            <w:tcW w:w="18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w:t>
            </w:r>
          </w:p>
        </w:tc>
        <w:tc>
          <w:tcPr>
            <w:tcW w:w="26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w:t>
            </w:r>
          </w:p>
        </w:tc>
      </w:tr>
      <w:tr>
        <w:trPr>
          <w:trHeight w:val="257"/>
        </w:trPr>
        <w:tc>
          <w:tcPr>
            <w:tcW w:w="4080" w:type="dxa"/>
            <w:vAlign w:val="bottom"/>
            <w:shd w:val="clear" w:color="auto" w:fill="BECFDE"/>
          </w:tcPr>
          <w:p>
            <w:pPr>
              <w:ind w:left="60"/>
              <w:spacing w:after="0"/>
              <w:rPr>
                <w:sz w:val="20"/>
                <w:szCs w:val="20"/>
                <w:color w:val="auto"/>
              </w:rPr>
            </w:pPr>
            <w:r>
              <w:rPr>
                <w:rFonts w:ascii="Arial" w:cs="Arial" w:eastAsia="Arial" w:hAnsi="Arial"/>
                <w:sz w:val="16"/>
                <w:szCs w:val="16"/>
                <w:color w:val="auto"/>
              </w:rPr>
              <w:t>Equity compensation plans approved by shareholders</w:t>
            </w:r>
          </w:p>
        </w:tc>
        <w:tc>
          <w:tcPr>
            <w:tcW w:w="2440" w:type="dxa"/>
            <w:vAlign w:val="bottom"/>
            <w:shd w:val="clear" w:color="auto" w:fill="BECFDE"/>
          </w:tcPr>
          <w:p>
            <w:pPr>
              <w:jc w:val="right"/>
              <w:ind w:right="439"/>
              <w:spacing w:after="0"/>
              <w:rPr>
                <w:sz w:val="20"/>
                <w:szCs w:val="20"/>
                <w:color w:val="auto"/>
              </w:rPr>
            </w:pPr>
            <w:r>
              <w:rPr>
                <w:rFonts w:ascii="Arial" w:cs="Arial" w:eastAsia="Arial" w:hAnsi="Arial"/>
                <w:sz w:val="16"/>
                <w:szCs w:val="16"/>
                <w:color w:val="auto"/>
              </w:rPr>
              <w:t>1,989,372</w:t>
            </w:r>
          </w:p>
        </w:tc>
        <w:tc>
          <w:tcPr>
            <w:tcW w:w="1880" w:type="dxa"/>
            <w:vAlign w:val="bottom"/>
            <w:shd w:val="clear" w:color="auto" w:fill="BECFDE"/>
          </w:tcPr>
          <w:p>
            <w:pPr>
              <w:ind w:left="940"/>
              <w:spacing w:after="0"/>
              <w:rPr>
                <w:sz w:val="20"/>
                <w:szCs w:val="20"/>
                <w:color w:val="auto"/>
              </w:rPr>
            </w:pPr>
            <w:r>
              <w:rPr>
                <w:rFonts w:ascii="Arial" w:cs="Arial" w:eastAsia="Arial" w:hAnsi="Arial"/>
                <w:sz w:val="16"/>
                <w:szCs w:val="16"/>
                <w:color w:val="auto"/>
              </w:rPr>
              <w:t>N/A</w:t>
            </w:r>
          </w:p>
        </w:tc>
        <w:tc>
          <w:tcPr>
            <w:tcW w:w="2620" w:type="dxa"/>
            <w:vAlign w:val="bottom"/>
            <w:shd w:val="clear" w:color="auto" w:fill="BECFDE"/>
          </w:tcPr>
          <w:p>
            <w:pPr>
              <w:ind w:left="1200"/>
              <w:spacing w:after="0"/>
              <w:rPr>
                <w:sz w:val="20"/>
                <w:szCs w:val="20"/>
                <w:color w:val="auto"/>
              </w:rPr>
            </w:pPr>
            <w:r>
              <w:rPr>
                <w:rFonts w:ascii="Arial" w:cs="Arial" w:eastAsia="Arial" w:hAnsi="Arial"/>
                <w:sz w:val="16"/>
                <w:szCs w:val="16"/>
                <w:color w:val="auto"/>
              </w:rPr>
              <w:t>6,295,076</w:t>
            </w:r>
          </w:p>
        </w:tc>
      </w:tr>
      <w:tr>
        <w:trPr>
          <w:trHeight w:val="231"/>
        </w:trPr>
        <w:tc>
          <w:tcPr>
            <w:tcW w:w="408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w:t>
            </w:r>
          </w:p>
        </w:tc>
        <w:tc>
          <w:tcPr>
            <w:tcW w:w="2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08"/>
        </w:trPr>
        <w:tc>
          <w:tcPr>
            <w:tcW w:w="4080" w:type="dxa"/>
            <w:vAlign w:val="bottom"/>
            <w:tcBorders>
              <w:bottom w:val="single" w:sz="8" w:color="276092"/>
            </w:tcBorders>
          </w:tcPr>
          <w:p>
            <w:pPr>
              <w:ind w:left="60"/>
              <w:spacing w:after="0"/>
              <w:rPr>
                <w:sz w:val="20"/>
                <w:szCs w:val="20"/>
                <w:color w:val="auto"/>
              </w:rPr>
            </w:pPr>
            <w:r>
              <w:rPr>
                <w:rFonts w:ascii="Arial" w:cs="Arial" w:eastAsia="Arial" w:hAnsi="Arial"/>
                <w:sz w:val="16"/>
                <w:szCs w:val="16"/>
                <w:color w:val="auto"/>
              </w:rPr>
              <w:t>shareholders</w:t>
            </w:r>
          </w:p>
        </w:tc>
        <w:tc>
          <w:tcPr>
            <w:tcW w:w="2440" w:type="dxa"/>
            <w:vAlign w:val="bottom"/>
            <w:tcBorders>
              <w:bottom w:val="single" w:sz="8" w:color="276092"/>
            </w:tcBorders>
          </w:tcPr>
          <w:p>
            <w:pPr>
              <w:jc w:val="right"/>
              <w:ind w:right="439"/>
              <w:spacing w:after="0"/>
              <w:rPr>
                <w:sz w:val="20"/>
                <w:szCs w:val="20"/>
                <w:color w:val="auto"/>
              </w:rPr>
            </w:pPr>
            <w:r>
              <w:rPr>
                <w:rFonts w:ascii="Arial" w:cs="Arial" w:eastAsia="Arial" w:hAnsi="Arial"/>
                <w:sz w:val="16"/>
                <w:szCs w:val="16"/>
                <w:color w:val="auto"/>
              </w:rPr>
              <w:t>N/A</w:t>
            </w:r>
          </w:p>
        </w:tc>
        <w:tc>
          <w:tcPr>
            <w:tcW w:w="1880" w:type="dxa"/>
            <w:vAlign w:val="bottom"/>
            <w:tcBorders>
              <w:bottom w:val="single" w:sz="8" w:color="276092"/>
            </w:tcBorders>
          </w:tcPr>
          <w:p>
            <w:pPr>
              <w:ind w:left="940"/>
              <w:spacing w:after="0"/>
              <w:rPr>
                <w:sz w:val="20"/>
                <w:szCs w:val="20"/>
                <w:color w:val="auto"/>
              </w:rPr>
            </w:pPr>
            <w:r>
              <w:rPr>
                <w:rFonts w:ascii="Arial" w:cs="Arial" w:eastAsia="Arial" w:hAnsi="Arial"/>
                <w:sz w:val="16"/>
                <w:szCs w:val="16"/>
                <w:color w:val="auto"/>
              </w:rPr>
              <w:t>N/A</w:t>
            </w:r>
          </w:p>
        </w:tc>
        <w:tc>
          <w:tcPr>
            <w:tcW w:w="2620" w:type="dxa"/>
            <w:vAlign w:val="bottom"/>
            <w:tcBorders>
              <w:bottom w:val="single" w:sz="8" w:color="276092"/>
            </w:tcBorders>
          </w:tcPr>
          <w:p>
            <w:pPr>
              <w:ind w:left="1660"/>
              <w:spacing w:after="0"/>
              <w:rPr>
                <w:sz w:val="20"/>
                <w:szCs w:val="20"/>
                <w:color w:val="auto"/>
              </w:rPr>
            </w:pPr>
            <w:r>
              <w:rPr>
                <w:rFonts w:ascii="Arial" w:cs="Arial" w:eastAsia="Arial" w:hAnsi="Arial"/>
                <w:sz w:val="16"/>
                <w:szCs w:val="16"/>
                <w:color w:val="auto"/>
              </w:rPr>
              <w:t>N/A</w:t>
            </w:r>
          </w:p>
        </w:tc>
      </w:tr>
      <w:tr>
        <w:trPr>
          <w:trHeight w:val="250"/>
        </w:trPr>
        <w:tc>
          <w:tcPr>
            <w:tcW w:w="408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b w:val="1"/>
                <w:bCs w:val="1"/>
                <w:color w:val="auto"/>
              </w:rPr>
              <w:t>Total</w:t>
            </w:r>
          </w:p>
        </w:tc>
        <w:tc>
          <w:tcPr>
            <w:tcW w:w="2440" w:type="dxa"/>
            <w:vAlign w:val="bottom"/>
            <w:tcBorders>
              <w:bottom w:val="single" w:sz="8" w:color="276092"/>
            </w:tcBorders>
            <w:shd w:val="clear" w:color="auto" w:fill="BECFDE"/>
          </w:tcPr>
          <w:p>
            <w:pPr>
              <w:jc w:val="right"/>
              <w:ind w:right="439"/>
              <w:spacing w:after="0"/>
              <w:rPr>
                <w:sz w:val="20"/>
                <w:szCs w:val="20"/>
                <w:color w:val="auto"/>
              </w:rPr>
            </w:pPr>
            <w:r>
              <w:rPr>
                <w:rFonts w:ascii="Arial" w:cs="Arial" w:eastAsia="Arial" w:hAnsi="Arial"/>
                <w:sz w:val="16"/>
                <w:szCs w:val="16"/>
                <w:color w:val="auto"/>
              </w:rPr>
              <w:t>1,989,372</w:t>
            </w:r>
          </w:p>
        </w:tc>
        <w:tc>
          <w:tcPr>
            <w:tcW w:w="1880" w:type="dxa"/>
            <w:vAlign w:val="bottom"/>
            <w:tcBorders>
              <w:bottom w:val="single" w:sz="8" w:color="276092"/>
            </w:tcBorders>
            <w:shd w:val="clear" w:color="auto" w:fill="BECFDE"/>
          </w:tcPr>
          <w:p>
            <w:pPr>
              <w:ind w:left="940"/>
              <w:spacing w:after="0"/>
              <w:rPr>
                <w:sz w:val="20"/>
                <w:szCs w:val="20"/>
                <w:color w:val="auto"/>
              </w:rPr>
            </w:pPr>
            <w:r>
              <w:rPr>
                <w:rFonts w:ascii="Arial" w:cs="Arial" w:eastAsia="Arial" w:hAnsi="Arial"/>
                <w:sz w:val="16"/>
                <w:szCs w:val="16"/>
                <w:color w:val="auto"/>
              </w:rPr>
              <w:t>N/A</w:t>
            </w:r>
          </w:p>
        </w:tc>
        <w:tc>
          <w:tcPr>
            <w:tcW w:w="2620" w:type="dxa"/>
            <w:vAlign w:val="bottom"/>
            <w:tcBorders>
              <w:bottom w:val="single" w:sz="8" w:color="276092"/>
            </w:tcBorders>
            <w:shd w:val="clear" w:color="auto" w:fill="BECFDE"/>
          </w:tcPr>
          <w:p>
            <w:pPr>
              <w:ind w:left="1200"/>
              <w:spacing w:after="0"/>
              <w:rPr>
                <w:sz w:val="20"/>
                <w:szCs w:val="20"/>
                <w:color w:val="auto"/>
              </w:rPr>
            </w:pPr>
            <w:r>
              <w:rPr>
                <w:rFonts w:ascii="Arial" w:cs="Arial" w:eastAsia="Arial" w:hAnsi="Arial"/>
                <w:sz w:val="16"/>
                <w:szCs w:val="16"/>
                <w:color w:val="auto"/>
              </w:rPr>
              <w:t>6,295,076  (4)</w:t>
            </w:r>
          </w:p>
        </w:tc>
      </w:tr>
    </w:tbl>
    <w:p>
      <w:pPr>
        <w:spacing w:after="0" w:line="242" w:lineRule="exact"/>
        <w:rPr>
          <w:sz w:val="20"/>
          <w:szCs w:val="20"/>
          <w:color w:val="auto"/>
        </w:rPr>
      </w:pPr>
    </w:p>
    <w:p>
      <w:pPr>
        <w:ind w:left="640" w:right="140" w:hanging="436"/>
        <w:spacing w:after="0" w:line="238"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number includes 955,588 shares that were subject to outstanding stock awards granted under the 2011 Plan, 462,245 awards earned at year end but pending distribution subject to final performance adjustments, 136,019 shares subject to outstanding stock unit credited under the 2011 Plan and 1993 Directors Plan, and additional performance shares of 435,521, which reflect the number of shares deliverable under payment of outstanding restricted performance stock rights, assuming maximum performance criteria have been achieved.</w:t>
      </w:r>
    </w:p>
    <w:p>
      <w:pPr>
        <w:spacing w:after="0" w:line="108" w:lineRule="exact"/>
        <w:rPr>
          <w:rFonts w:ascii="Arial" w:cs="Arial" w:eastAsia="Arial" w:hAnsi="Arial"/>
          <w:sz w:val="18"/>
          <w:szCs w:val="18"/>
          <w:color w:val="auto"/>
        </w:rPr>
      </w:pPr>
    </w:p>
    <w:p>
      <w:pPr>
        <w:ind w:left="640" w:hanging="43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were no options outstanding as of December 31, 2017.</w:t>
      </w:r>
    </w:p>
    <w:p>
      <w:pPr>
        <w:spacing w:after="0" w:line="117" w:lineRule="exact"/>
        <w:rPr>
          <w:rFonts w:ascii="Arial" w:cs="Arial" w:eastAsia="Arial" w:hAnsi="Arial"/>
          <w:sz w:val="18"/>
          <w:szCs w:val="18"/>
          <w:color w:val="auto"/>
        </w:rPr>
      </w:pPr>
    </w:p>
    <w:p>
      <w:pPr>
        <w:ind w:left="640" w:right="140" w:hanging="436"/>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 the aggregate number of shares that remained available for future issuance, 6,295,076 were available under the 2011 Plan as of December 31, 2017. No new awards may be granted under the 1993 Directors Plan.</w:t>
      </w:r>
    </w:p>
    <w:p>
      <w:pPr>
        <w:spacing w:after="0" w:line="102" w:lineRule="exact"/>
        <w:rPr>
          <w:rFonts w:ascii="Arial" w:cs="Arial" w:eastAsia="Arial" w:hAnsi="Arial"/>
          <w:sz w:val="18"/>
          <w:szCs w:val="18"/>
          <w:color w:val="auto"/>
        </w:rPr>
      </w:pPr>
    </w:p>
    <w:p>
      <w:pPr>
        <w:ind w:left="640" w:right="520" w:hanging="436"/>
        <w:spacing w:after="0" w:line="246"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After giving effect to our February 2018 awards, the number of shares of common stock remaining available for future issuance would be 5,900,763 (assuming maximum payout of such awards).</w:t>
      </w:r>
    </w:p>
    <w:p>
      <w:pPr>
        <w:spacing w:after="0" w:line="127" w:lineRule="exact"/>
        <w:rPr>
          <w:sz w:val="20"/>
          <w:szCs w:val="20"/>
          <w:color w:val="auto"/>
        </w:rPr>
      </w:pPr>
    </w:p>
    <w:p>
      <w:pPr>
        <w:ind w:left="460" w:hanging="256"/>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TWO: ADVISORY VOTE ON 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 on our 2017 executive compensation programs and policies for our NEOs. The vote does not address any specific item of compensation and is not binding on the Board; however, as an expression of our shareholders’ views, the Compensation Committee seriously considers the vote when making future executive compensation decisions. The Board has adopted a policy of providing for annual advisory votes on the compensation of our NEOs.</w:t>
      </w:r>
    </w:p>
    <w:p>
      <w:pPr>
        <w:spacing w:after="0" w:line="97"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108" w:lineRule="exact"/>
        <w:rPr>
          <w:sz w:val="20"/>
          <w:szCs w:val="20"/>
          <w:color w:val="auto"/>
        </w:rPr>
      </w:pPr>
    </w:p>
    <w:p>
      <w:pPr>
        <w:ind w:left="520" w:right="180" w:hanging="316"/>
        <w:spacing w:after="0" w:line="246" w:lineRule="auto"/>
        <w:tabs>
          <w:tab w:leader="none" w:pos="520" w:val="left"/>
        </w:tabs>
        <w:numPr>
          <w:ilvl w:val="0"/>
          <w:numId w:val="53"/>
        </w:numPr>
        <w:rPr>
          <w:rFonts w:ascii="Arial" w:cs="Arial" w:eastAsia="Arial" w:hAnsi="Arial"/>
          <w:sz w:val="18"/>
          <w:szCs w:val="18"/>
          <w:color w:val="276092"/>
        </w:rPr>
      </w:pPr>
      <w:r>
        <w:rPr>
          <w:rFonts w:ascii="Arial" w:cs="Arial" w:eastAsia="Arial" w:hAnsi="Arial"/>
          <w:sz w:val="18"/>
          <w:szCs w:val="18"/>
          <w:color w:val="auto"/>
        </w:rPr>
        <w:t>Double-trigger provisions for change in control situations, and no excise tax gross-ups for payments upon termination after a change in control;</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53"/>
        </w:numPr>
        <w:rPr>
          <w:rFonts w:ascii="Arial" w:cs="Arial" w:eastAsia="Arial" w:hAnsi="Arial"/>
          <w:sz w:val="18"/>
          <w:szCs w:val="18"/>
          <w:color w:val="276092"/>
        </w:rPr>
      </w:pPr>
      <w:r>
        <w:rPr>
          <w:rFonts w:ascii="Arial" w:cs="Arial" w:eastAsia="Arial" w:hAnsi="Arial"/>
          <w:sz w:val="18"/>
          <w:szCs w:val="18"/>
          <w:color w:val="auto"/>
        </w:rPr>
        <w:t>A recoupment policy applicable to cash and equity incentive compensation payments;</w:t>
      </w:r>
    </w:p>
    <w:p>
      <w:pPr>
        <w:spacing w:after="0" w:line="130" w:lineRule="exact"/>
        <w:rPr>
          <w:rFonts w:ascii="Arial" w:cs="Arial" w:eastAsia="Arial" w:hAnsi="Arial"/>
          <w:sz w:val="18"/>
          <w:szCs w:val="18"/>
          <w:color w:val="276092"/>
        </w:rPr>
      </w:pPr>
    </w:p>
    <w:p>
      <w:pPr>
        <w:ind w:left="520" w:right="20" w:hanging="316"/>
        <w:spacing w:after="0" w:line="246" w:lineRule="auto"/>
        <w:tabs>
          <w:tab w:leader="none" w:pos="520" w:val="left"/>
        </w:tabs>
        <w:numPr>
          <w:ilvl w:val="0"/>
          <w:numId w:val="53"/>
        </w:numPr>
        <w:rPr>
          <w:rFonts w:ascii="Arial" w:cs="Arial" w:eastAsia="Arial" w:hAnsi="Arial"/>
          <w:sz w:val="18"/>
          <w:szCs w:val="18"/>
          <w:color w:val="276092"/>
        </w:rPr>
      </w:pPr>
      <w:r>
        <w:rPr>
          <w:rFonts w:ascii="Arial" w:cs="Arial" w:eastAsia="Arial" w:hAnsi="Arial"/>
          <w:sz w:val="18"/>
          <w:szCs w:val="18"/>
          <w:color w:val="auto"/>
        </w:rPr>
        <w:t>Stock ownership guidelines of 7x base salary for the CEO and 3x base salary for other NEOs, and stock holding requirements of three years from the vesting date for equity awards; and</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53"/>
        </w:numPr>
        <w:rPr>
          <w:rFonts w:ascii="Arial" w:cs="Arial" w:eastAsia="Arial" w:hAnsi="Arial"/>
          <w:sz w:val="18"/>
          <w:szCs w:val="18"/>
          <w:color w:val="276092"/>
        </w:rPr>
      </w:pPr>
      <w:r>
        <w:rPr>
          <w:rFonts w:ascii="Arial" w:cs="Arial" w:eastAsia="Arial" w:hAnsi="Arial"/>
          <w:sz w:val="18"/>
          <w:szCs w:val="18"/>
          <w:color w:val="auto"/>
        </w:rPr>
        <w:t>Prohibitions on hedging or pledging of Company stock.</w:t>
      </w:r>
    </w:p>
    <w:p>
      <w:pPr>
        <w:spacing w:after="0" w:line="117" w:lineRule="exact"/>
        <w:rPr>
          <w:sz w:val="20"/>
          <w:szCs w:val="20"/>
          <w:color w:val="auto"/>
        </w:rPr>
      </w:pPr>
    </w:p>
    <w:p>
      <w:pPr>
        <w:ind w:left="200" w:right="180"/>
        <w:spacing w:after="0" w:line="261" w:lineRule="auto"/>
        <w:rPr>
          <w:sz w:val="20"/>
          <w:szCs w:val="20"/>
          <w:color w:val="auto"/>
        </w:rPr>
      </w:pPr>
      <w:r>
        <w:rPr>
          <w:rFonts w:ascii="Arial" w:cs="Arial" w:eastAsia="Arial" w:hAnsi="Arial"/>
          <w:sz w:val="17"/>
          <w:szCs w:val="17"/>
          <w:color w:val="auto"/>
        </w:rPr>
        <w:t>For a more extensive list of our best practices, refer to page 33 of this Proxy Statement. In addition, our Compensation Discussion and Analysis (CD&amp;A) provides a detailed discussion of our performance-based approach to executive compensation. We encourage you to read the CD&amp;A, the rest of this Proxy Statement and our 2017 Form 10-K, which describes our business and 2017 results in more detail.</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Recommendation</w:t>
      </w:r>
    </w:p>
    <w:p>
      <w:pPr>
        <w:spacing w:after="0" w:line="12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95" w:lineRule="exact"/>
        <w:rPr>
          <w:sz w:val="20"/>
          <w:szCs w:val="20"/>
          <w:color w:val="auto"/>
        </w:rPr>
      </w:pPr>
    </w:p>
    <w:p>
      <w:pPr>
        <w:ind w:left="200" w:right="480"/>
        <w:spacing w:after="0"/>
        <w:rPr>
          <w:sz w:val="20"/>
          <w:szCs w:val="20"/>
          <w:color w:val="auto"/>
        </w:rPr>
      </w:pPr>
      <w:r>
        <w:rPr>
          <w:rFonts w:ascii="Arial" w:cs="Arial" w:eastAsia="Arial" w:hAnsi="Arial"/>
          <w:sz w:val="18"/>
          <w:szCs w:val="18"/>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142875</wp:posOffset>
            </wp:positionV>
            <wp:extent cx="7014845" cy="308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14845" cy="308610"/>
                    </a:xfrm>
                    <a:prstGeom prst="rect">
                      <a:avLst/>
                    </a:prstGeom>
                    <a:noFill/>
                  </pic:spPr>
                </pic:pic>
              </a:graphicData>
            </a:graphic>
          </wp:anchor>
        </w:drawing>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21"/>
          <w:szCs w:val="21"/>
          <w:color w:val="276092"/>
        </w:rPr>
        <w:t>THE BOARD OF DIRECTORS UNANIMOUSLY RECOMMENDS THAT YOU VOTE “FOR” PROPOSAL TWO.</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7"/>
          <w:szCs w:val="17"/>
          <w:color w:val="auto"/>
        </w:rPr>
        <w:t>In this CD&amp;A, we provide an overview of our executive compensation programs and the underlying philosophy used to develop the programs. We describe the material components of our executive compensation programs for our 2017 NEOs and explain how and why our Board’s Compensation Committee arrived at certain specific compensation policies and decisions. We refer to certain non-GAAP (accounting principles generally accepted in the United States of America) financial measures, which are identified with asterisks. For more information, including definitions, reconciliations to the most directly comparable GAAP measure and why we believe these measures may be useful to investors, see “Appendix A - Use of Non-GAAP Financial Measures.” The 2017 NEO compensation is provided in the Summary Compensation Table on page 49 and other compensation tables contained in this Proxy Statement.</w:t>
      </w:r>
    </w:p>
    <w:p>
      <w:pPr>
        <w:spacing w:after="0" w:line="52"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2017 NEOs</w:t>
      </w:r>
    </w:p>
    <w:p>
      <w:pPr>
        <w:spacing w:after="0" w:line="8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WESLEY G. BUSH</w:t>
      </w:r>
    </w:p>
    <w:p>
      <w:pPr>
        <w:spacing w:after="0" w:line="1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KENNETH L. BEDINGFIELD</w:t>
      </w:r>
    </w:p>
    <w:p>
      <w:pPr>
        <w:jc w:val="center"/>
        <w:ind w:right="-419"/>
        <w:spacing w:after="0" w:line="234" w:lineRule="auto"/>
        <w:rPr>
          <w:sz w:val="20"/>
          <w:szCs w:val="20"/>
          <w:color w:val="auto"/>
        </w:rPr>
      </w:pPr>
      <w:r>
        <w:rPr>
          <w:rFonts w:ascii="Arial" w:cs="Arial" w:eastAsia="Arial" w:hAnsi="Arial"/>
          <w:sz w:val="18"/>
          <w:szCs w:val="18"/>
          <w:b w:val="1"/>
          <w:bCs w:val="1"/>
          <w:color w:val="auto"/>
        </w:rPr>
        <w:t xml:space="preserve">GLORIA A. FLACH </w:t>
      </w:r>
      <w:r>
        <w:rPr>
          <w:rFonts w:ascii="Arial" w:cs="Arial" w:eastAsia="Arial" w:hAnsi="Arial"/>
          <w:sz w:val="15"/>
          <w:szCs w:val="15"/>
          <w:b w:val="1"/>
          <w:bCs w:val="1"/>
          <w:color w:val="auto"/>
        </w:rPr>
        <w:t>(1)</w:t>
      </w:r>
    </w:p>
    <w:p>
      <w:pPr>
        <w:jc w:val="center"/>
        <w:ind w:right="-419"/>
        <w:spacing w:after="0" w:line="238" w:lineRule="auto"/>
        <w:rPr>
          <w:sz w:val="20"/>
          <w:szCs w:val="20"/>
          <w:color w:val="auto"/>
        </w:rPr>
      </w:pPr>
      <w:r>
        <w:rPr>
          <w:rFonts w:ascii="Arial" w:cs="Arial" w:eastAsia="Arial" w:hAnsi="Arial"/>
          <w:sz w:val="18"/>
          <w:szCs w:val="18"/>
          <w:b w:val="1"/>
          <w:bCs w:val="1"/>
          <w:color w:val="auto"/>
        </w:rPr>
        <w:t xml:space="preserve">JANIS G. PAMILJANS </w:t>
      </w:r>
      <w:r>
        <w:rPr>
          <w:rFonts w:ascii="Arial" w:cs="Arial" w:eastAsia="Arial" w:hAnsi="Arial"/>
          <w:sz w:val="15"/>
          <w:szCs w:val="15"/>
          <w:b w:val="1"/>
          <w:bCs w:val="1"/>
          <w:color w:val="auto"/>
        </w:rPr>
        <w:t>(2)</w:t>
      </w:r>
    </w:p>
    <w:p>
      <w:pPr>
        <w:spacing w:after="0" w:line="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KATHY J. WARDEN</w:t>
      </w:r>
    </w:p>
    <w:p>
      <w:pPr>
        <w:spacing w:after="0" w:line="99" w:lineRule="exact"/>
        <w:rPr>
          <w:sz w:val="20"/>
          <w:szCs w:val="20"/>
          <w:color w:val="auto"/>
        </w:rPr>
      </w:pPr>
    </w:p>
    <w:p>
      <w:pPr>
        <w:ind w:left="440" w:hanging="236"/>
        <w:spacing w:after="0"/>
        <w:tabs>
          <w:tab w:leader="none" w:pos="4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Ms. Flach retired from the Company on December 31, 2017.</w:t>
      </w:r>
    </w:p>
    <w:p>
      <w:pPr>
        <w:ind w:left="200" w:right="220" w:firstLine="4"/>
        <w:spacing w:after="0"/>
        <w:tabs>
          <w:tab w:leader="none" w:pos="437" w:val="left"/>
        </w:tabs>
        <w:numPr>
          <w:ilvl w:val="0"/>
          <w:numId w:val="54"/>
        </w:numPr>
        <w:rPr>
          <w:rFonts w:ascii="Arial" w:cs="Arial" w:eastAsia="Arial" w:hAnsi="Arial"/>
          <w:sz w:val="15"/>
          <w:szCs w:val="15"/>
          <w:color w:val="auto"/>
        </w:rPr>
      </w:pPr>
      <w:r>
        <w:rPr>
          <w:rFonts w:ascii="Arial" w:cs="Arial" w:eastAsia="Arial" w:hAnsi="Arial"/>
          <w:sz w:val="18"/>
          <w:szCs w:val="18"/>
          <w:color w:val="auto"/>
        </w:rPr>
        <w:t>Mr. Pamiljans was elected Corporate Vice President and President, Aerospace Systems (President, Aerospace Systems) effective April 1, 2017. References to Mr. Pamiljans’ compensation prior to April 1, 2017 in this CD&amp;A include compensation for service as an appointed officer in the role of Vice President and General Manager.</w:t>
      </w:r>
    </w:p>
    <w:p>
      <w:pPr>
        <w:spacing w:after="0" w:line="133" w:lineRule="exact"/>
        <w:rPr>
          <w:sz w:val="20"/>
          <w:szCs w:val="20"/>
          <w:color w:val="auto"/>
        </w:rPr>
      </w:pPr>
    </w:p>
    <w:p>
      <w:pPr>
        <w:ind w:left="460" w:hanging="256"/>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E</w:t>
      </w:r>
      <w:r>
        <w:rPr>
          <w:rFonts w:ascii="Arial" w:cs="Arial" w:eastAsia="Arial" w:hAnsi="Arial"/>
          <w:sz w:val="18"/>
          <w:szCs w:val="18"/>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8"/>
          <w:szCs w:val="18"/>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Summary of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8"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Our executive compensation philosophy is to provide a complementary set of compensation programs to our NEOs with attractive, flexible and market-based total compensation tied to annual and long-term performance and aligned with the interests of our shareholders. The key elements of our compensation programs for our NEOs are summarized below.</w:t>
      </w:r>
    </w:p>
    <w:p>
      <w:pPr>
        <w:sectPr>
          <w:pgSz w:w="11900" w:h="16838" w:orient="portrait"/>
          <w:cols w:equalWidth="0" w:num="1">
            <w:col w:w="11220"/>
          </w:cols>
          <w:pgMar w:left="240" w:top="459" w:right="439" w:bottom="1440" w:gutter="0" w:footer="0" w:header="0"/>
        </w:sectPr>
      </w:pPr>
    </w:p>
    <w:p>
      <w:pPr>
        <w:spacing w:after="0" w:line="208" w:lineRule="exact"/>
        <w:rPr>
          <w:sz w:val="20"/>
          <w:szCs w:val="20"/>
          <w:color w:val="auto"/>
        </w:rPr>
      </w:pPr>
    </w:p>
    <w:tbl>
      <w:tblPr>
        <w:tblLayout w:type="fixed"/>
        <w:tblInd w:w="230" w:type="dxa"/>
        <w:tblCellMar>
          <w:top w:w="0" w:type="dxa"/>
          <w:left w:w="0" w:type="dxa"/>
          <w:bottom w:w="0" w:type="dxa"/>
          <w:right w:w="0" w:type="dxa"/>
        </w:tblCellMar>
      </w:tblPr>
      <w:tr>
        <w:trPr>
          <w:trHeight w:val="239"/>
        </w:trPr>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Compensation Element</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9"/>
              </w:rPr>
              <w:t>Purpose</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5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8"/>
        </w:trPr>
        <w:tc>
          <w:tcPr>
            <w:tcW w:w="1540" w:type="dxa"/>
            <w:vAlign w:val="bottom"/>
            <w:tcBorders>
              <w:left w:val="single" w:sz="8" w:color="auto"/>
              <w:right w:val="single" w:sz="8" w:color="auto"/>
            </w:tcBorders>
            <w:shd w:val="clear" w:color="auto" w:fill="B2B2B2"/>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Base Salary</w:t>
            </w:r>
          </w:p>
        </w:tc>
        <w:tc>
          <w:tcPr>
            <w:tcW w:w="1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Compensate fairly and competitively</w:t>
            </w:r>
          </w:p>
        </w:tc>
        <w:tc>
          <w:tcPr>
            <w:tcW w:w="0" w:type="dxa"/>
            <w:vAlign w:val="bottom"/>
          </w:tcPr>
          <w:p>
            <w:pPr>
              <w:spacing w:after="0"/>
              <w:rPr>
                <w:sz w:val="1"/>
                <w:szCs w:val="1"/>
                <w:color w:val="auto"/>
              </w:rPr>
            </w:pPr>
          </w:p>
        </w:tc>
      </w:tr>
      <w:tr>
        <w:trPr>
          <w:trHeight w:val="195"/>
        </w:trPr>
        <w:tc>
          <w:tcPr>
            <w:tcW w:w="1540" w:type="dxa"/>
            <w:vAlign w:val="bottom"/>
            <w:tcBorders>
              <w:left w:val="single" w:sz="8" w:color="auto"/>
              <w:bottom w:val="single" w:sz="8" w:color="B2B2B2"/>
              <w:right w:val="single" w:sz="8" w:color="auto"/>
            </w:tcBorders>
            <w:vMerge w:val="restart"/>
            <w:shd w:val="clear" w:color="auto" w:fill="B2B2B2"/>
          </w:tcPr>
          <w:p>
            <w:pPr>
              <w:jc w:val="center"/>
              <w:spacing w:after="0"/>
              <w:rPr>
                <w:sz w:val="20"/>
                <w:szCs w:val="20"/>
                <w:color w:val="auto"/>
              </w:rPr>
            </w:pPr>
            <w:r>
              <w:rPr>
                <w:rFonts w:ascii="Arial" w:cs="Arial" w:eastAsia="Arial" w:hAnsi="Arial"/>
                <w:sz w:val="18"/>
                <w:szCs w:val="18"/>
                <w:b w:val="1"/>
                <w:bCs w:val="1"/>
                <w:color w:val="FFFFFF"/>
                <w:w w:val="97"/>
              </w:rPr>
              <w:t>Fixed</w:t>
            </w:r>
          </w:p>
        </w:tc>
        <w:tc>
          <w:tcPr>
            <w:tcW w:w="160" w:type="dxa"/>
            <w:vAlign w:val="bottom"/>
            <w:tcBorders>
              <w:right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540" w:type="dxa"/>
            <w:vAlign w:val="bottom"/>
            <w:tcBorders>
              <w:left w:val="single" w:sz="8" w:color="auto"/>
              <w:bottom w:val="single" w:sz="8" w:color="B2B2B2"/>
              <w:right w:val="single" w:sz="8" w:color="auto"/>
            </w:tcBorders>
            <w:vMerge w:val="continue"/>
            <w:shd w:val="clear" w:color="auto" w:fill="B2B2B2"/>
          </w:tcPr>
          <w:p>
            <w:pPr>
              <w:spacing w:after="0"/>
              <w:rPr>
                <w:sz w:val="6"/>
                <w:szCs w:val="6"/>
                <w:color w:val="auto"/>
              </w:rPr>
            </w:pPr>
          </w:p>
        </w:tc>
        <w:tc>
          <w:tcPr>
            <w:tcW w:w="160" w:type="dxa"/>
            <w:vAlign w:val="bottom"/>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540" w:type="dxa"/>
            <w:vAlign w:val="bottom"/>
            <w:tcBorders>
              <w:left w:val="single" w:sz="8" w:color="auto"/>
              <w:right w:val="single" w:sz="8" w:color="auto"/>
            </w:tcBorders>
            <w:shd w:val="clear" w:color="auto" w:fill="B2B2B2"/>
          </w:tcPr>
          <w:p>
            <w:pPr>
              <w:jc w:val="center"/>
              <w:ind w:right="10"/>
              <w:spacing w:after="0"/>
              <w:rPr>
                <w:sz w:val="20"/>
                <w:szCs w:val="20"/>
                <w:color w:val="auto"/>
              </w:rPr>
            </w:pPr>
            <w:r>
              <w:rPr>
                <w:rFonts w:ascii="Arial" w:cs="Arial" w:eastAsia="Arial" w:hAnsi="Arial"/>
                <w:sz w:val="18"/>
                <w:szCs w:val="18"/>
                <w:b w:val="1"/>
                <w:bCs w:val="1"/>
                <w:color w:val="FFFFFF"/>
                <w:w w:val="99"/>
              </w:rPr>
              <w:t>Component</w:t>
            </w:r>
          </w:p>
        </w:tc>
        <w:tc>
          <w:tcPr>
            <w:tcW w:w="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Long-Term Incentive Plan</w:t>
            </w:r>
          </w:p>
        </w:tc>
        <w:tc>
          <w:tcPr>
            <w:tcW w:w="16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Link the interests of our executive</w:t>
            </w:r>
          </w:p>
        </w:tc>
        <w:tc>
          <w:tcPr>
            <w:tcW w:w="0" w:type="dxa"/>
            <w:vAlign w:val="bottom"/>
          </w:tcPr>
          <w:p>
            <w:pPr>
              <w:spacing w:after="0"/>
              <w:rPr>
                <w:sz w:val="1"/>
                <w:szCs w:val="1"/>
                <w:color w:val="auto"/>
              </w:rPr>
            </w:pPr>
          </w:p>
        </w:tc>
      </w:tr>
      <w:tr>
        <w:trPr>
          <w:trHeight w:val="189"/>
        </w:trPr>
        <w:tc>
          <w:tcPr>
            <w:tcW w:w="1540" w:type="dxa"/>
            <w:vAlign w:val="bottom"/>
            <w:tcBorders>
              <w:left w:val="single" w:sz="8" w:color="auto"/>
              <w:right w:val="single" w:sz="8" w:color="auto"/>
            </w:tcBorders>
            <w:shd w:val="clear" w:color="auto" w:fill="B2B2B2"/>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(LTIP) Restricted Stock</w:t>
            </w:r>
          </w:p>
        </w:tc>
        <w:tc>
          <w:tcPr>
            <w:tcW w:w="16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officers to shareholders and retain</w:t>
            </w:r>
          </w:p>
        </w:tc>
        <w:tc>
          <w:tcPr>
            <w:tcW w:w="0" w:type="dxa"/>
            <w:vAlign w:val="bottom"/>
          </w:tcPr>
          <w:p>
            <w:pPr>
              <w:spacing w:after="0"/>
              <w:rPr>
                <w:sz w:val="1"/>
                <w:szCs w:val="1"/>
                <w:color w:val="auto"/>
              </w:rPr>
            </w:pPr>
          </w:p>
        </w:tc>
      </w:tr>
      <w:tr>
        <w:trPr>
          <w:trHeight w:val="268"/>
        </w:trPr>
        <w:tc>
          <w:tcPr>
            <w:tcW w:w="1540" w:type="dxa"/>
            <w:vAlign w:val="bottom"/>
            <w:tcBorders>
              <w:left w:val="single" w:sz="8" w:color="auto"/>
              <w:bottom w:val="single" w:sz="8" w:color="B2B2B2"/>
              <w:right w:val="single" w:sz="8" w:color="auto"/>
            </w:tcBorders>
            <w:shd w:val="clear" w:color="auto" w:fill="B2B2B2"/>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Rights (RSRs)</w:t>
            </w:r>
          </w:p>
        </w:tc>
        <w:tc>
          <w:tcPr>
            <w:tcW w:w="16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executive talent</w:t>
            </w:r>
          </w:p>
        </w:tc>
        <w:tc>
          <w:tcPr>
            <w:tcW w:w="0" w:type="dxa"/>
            <w:vAlign w:val="bottom"/>
          </w:tcPr>
          <w:p>
            <w:pPr>
              <w:spacing w:after="0"/>
              <w:rPr>
                <w:sz w:val="1"/>
                <w:szCs w:val="1"/>
                <w:color w:val="auto"/>
              </w:rPr>
            </w:pPr>
          </w:p>
        </w:tc>
      </w:tr>
      <w:tr>
        <w:trPr>
          <w:trHeight w:val="75"/>
        </w:trPr>
        <w:tc>
          <w:tcPr>
            <w:tcW w:w="1540" w:type="dxa"/>
            <w:vAlign w:val="bottom"/>
            <w:tcBorders>
              <w:top w:val="single" w:sz="8" w:color="auto"/>
              <w:bottom w:val="single" w:sz="8" w:color="276092"/>
            </w:tcBorders>
          </w:tcPr>
          <w:p>
            <w:pPr>
              <w:spacing w:after="0"/>
              <w:rPr>
                <w:sz w:val="6"/>
                <w:szCs w:val="6"/>
                <w:color w:val="auto"/>
              </w:rPr>
            </w:pPr>
          </w:p>
        </w:tc>
        <w:tc>
          <w:tcPr>
            <w:tcW w:w="160" w:type="dxa"/>
            <w:vAlign w:val="bottom"/>
          </w:tcPr>
          <w:p>
            <w:pPr>
              <w:spacing w:after="0"/>
              <w:rPr>
                <w:sz w:val="6"/>
                <w:szCs w:val="6"/>
                <w:color w:val="auto"/>
              </w:rPr>
            </w:pPr>
          </w:p>
        </w:tc>
        <w:tc>
          <w:tcPr>
            <w:tcW w:w="2160" w:type="dxa"/>
            <w:vAlign w:val="bottom"/>
            <w:tcBorders>
              <w:top w:val="single" w:sz="8" w:color="auto"/>
              <w:bottom w:val="single" w:sz="8" w:color="276092"/>
            </w:tcBorders>
          </w:tcPr>
          <w:p>
            <w:pPr>
              <w:spacing w:after="0"/>
              <w:rPr>
                <w:sz w:val="6"/>
                <w:szCs w:val="6"/>
                <w:color w:val="auto"/>
              </w:rPr>
            </w:pPr>
          </w:p>
        </w:tc>
        <w:tc>
          <w:tcPr>
            <w:tcW w:w="160" w:type="dxa"/>
            <w:vAlign w:val="bottom"/>
          </w:tcPr>
          <w:p>
            <w:pPr>
              <w:spacing w:after="0"/>
              <w:rPr>
                <w:sz w:val="6"/>
                <w:szCs w:val="6"/>
                <w:color w:val="auto"/>
              </w:rPr>
            </w:pPr>
          </w:p>
        </w:tc>
        <w:tc>
          <w:tcPr>
            <w:tcW w:w="2820" w:type="dxa"/>
            <w:vAlign w:val="bottom"/>
            <w:tcBorders>
              <w:top w:val="single" w:sz="8" w:color="auto"/>
              <w:bottom w:val="single" w:sz="8" w:color="276092"/>
            </w:tcBorders>
          </w:tcPr>
          <w:p>
            <w:pPr>
              <w:spacing w:after="0"/>
              <w:rPr>
                <w:sz w:val="6"/>
                <w:szCs w:val="6"/>
                <w:color w:val="auto"/>
              </w:rPr>
            </w:pPr>
          </w:p>
        </w:tc>
        <w:tc>
          <w:tcPr>
            <w:tcW w:w="0" w:type="dxa"/>
            <w:vAlign w:val="bottom"/>
          </w:tcPr>
          <w:p>
            <w:pPr>
              <w:spacing w:after="0"/>
              <w:rPr>
                <w:sz w:val="1"/>
                <w:szCs w:val="1"/>
                <w:color w:val="auto"/>
              </w:rPr>
            </w:pPr>
          </w:p>
        </w:tc>
      </w:tr>
      <w:tr>
        <w:trPr>
          <w:trHeight w:val="684"/>
        </w:trPr>
        <w:tc>
          <w:tcPr>
            <w:tcW w:w="1540" w:type="dxa"/>
            <w:vAlign w:val="bottom"/>
            <w:tcBorders>
              <w:left w:val="single" w:sz="8" w:color="276092"/>
              <w:right w:val="single" w:sz="8" w:color="276092"/>
            </w:tcBorders>
            <w:shd w:val="clear" w:color="auto" w:fill="276092"/>
          </w:tcPr>
          <w:p>
            <w:pPr>
              <w:spacing w:after="0"/>
              <w:rPr>
                <w:sz w:val="24"/>
                <w:szCs w:val="24"/>
                <w:color w:val="auto"/>
              </w:rPr>
            </w:pPr>
          </w:p>
        </w:tc>
        <w:tc>
          <w:tcPr>
            <w:tcW w:w="160" w:type="dxa"/>
            <w:vAlign w:val="bottom"/>
            <w:tcBorders>
              <w:right w:val="single" w:sz="8" w:color="276092"/>
            </w:tcBorders>
          </w:tcPr>
          <w:p>
            <w:pPr>
              <w:spacing w:after="0"/>
              <w:rPr>
                <w:sz w:val="24"/>
                <w:szCs w:val="24"/>
                <w:color w:val="auto"/>
              </w:rPr>
            </w:pPr>
          </w:p>
        </w:tc>
        <w:tc>
          <w:tcPr>
            <w:tcW w:w="216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Annual Incentive Plan (AIP)</w:t>
            </w:r>
          </w:p>
        </w:tc>
        <w:tc>
          <w:tcPr>
            <w:tcW w:w="160" w:type="dxa"/>
            <w:vAlign w:val="bottom"/>
            <w:tcBorders>
              <w:right w:val="single" w:sz="8" w:color="276092"/>
            </w:tcBorders>
          </w:tcPr>
          <w:p>
            <w:pPr>
              <w:spacing w:after="0"/>
              <w:rPr>
                <w:sz w:val="24"/>
                <w:szCs w:val="24"/>
                <w:color w:val="auto"/>
              </w:rPr>
            </w:pPr>
          </w:p>
        </w:tc>
        <w:tc>
          <w:tcPr>
            <w:tcW w:w="2820" w:type="dxa"/>
            <w:vAlign w:val="bottom"/>
            <w:tcBorders>
              <w:right w:val="single" w:sz="8" w:color="276092"/>
            </w:tcBorders>
          </w:tcPr>
          <w:p>
            <w:pPr>
              <w:jc w:val="center"/>
              <w:spacing w:after="0"/>
              <w:rPr>
                <w:sz w:val="20"/>
                <w:szCs w:val="20"/>
                <w:color w:val="auto"/>
              </w:rPr>
            </w:pPr>
            <w:r>
              <w:rPr>
                <w:rFonts w:ascii="Arial" w:cs="Arial" w:eastAsia="Arial" w:hAnsi="Arial"/>
                <w:sz w:val="16"/>
                <w:szCs w:val="16"/>
                <w:color w:val="auto"/>
              </w:rPr>
              <w:t>Motivate and reward achievement of</w:t>
            </w:r>
          </w:p>
        </w:tc>
        <w:tc>
          <w:tcPr>
            <w:tcW w:w="0" w:type="dxa"/>
            <w:vAlign w:val="bottom"/>
          </w:tcPr>
          <w:p>
            <w:pPr>
              <w:spacing w:after="0"/>
              <w:rPr>
                <w:sz w:val="1"/>
                <w:szCs w:val="1"/>
                <w:color w:val="auto"/>
              </w:rPr>
            </w:pPr>
          </w:p>
        </w:tc>
      </w:tr>
      <w:tr>
        <w:trPr>
          <w:trHeight w:val="100"/>
        </w:trPr>
        <w:tc>
          <w:tcPr>
            <w:tcW w:w="1540" w:type="dxa"/>
            <w:vAlign w:val="bottom"/>
            <w:tcBorders>
              <w:left w:val="single" w:sz="8" w:color="276092"/>
              <w:right w:val="single" w:sz="8" w:color="276092"/>
            </w:tcBorders>
            <w:shd w:val="clear" w:color="auto" w:fill="276092"/>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160" w:type="dxa"/>
            <w:vAlign w:val="bottom"/>
            <w:tcBorders>
              <w:right w:val="single" w:sz="8" w:color="276092"/>
            </w:tcBorders>
            <w:vMerge w:val="continue"/>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82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annual business objectives</w:t>
            </w:r>
          </w:p>
        </w:tc>
        <w:tc>
          <w:tcPr>
            <w:tcW w:w="0" w:type="dxa"/>
            <w:vAlign w:val="bottom"/>
          </w:tcPr>
          <w:p>
            <w:pPr>
              <w:spacing w:after="0"/>
              <w:rPr>
                <w:sz w:val="1"/>
                <w:szCs w:val="1"/>
                <w:color w:val="auto"/>
              </w:rPr>
            </w:pPr>
          </w:p>
        </w:tc>
      </w:tr>
      <w:tr>
        <w:trPr>
          <w:trHeight w:val="95"/>
        </w:trPr>
        <w:tc>
          <w:tcPr>
            <w:tcW w:w="1540" w:type="dxa"/>
            <w:vAlign w:val="bottom"/>
            <w:tcBorders>
              <w:left w:val="single" w:sz="8" w:color="276092"/>
              <w:right w:val="single" w:sz="8" w:color="276092"/>
            </w:tcBorders>
            <w:shd w:val="clear" w:color="auto" w:fill="276092"/>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160" w:type="dxa"/>
            <w:vAlign w:val="bottom"/>
            <w:tcBorders>
              <w:right w:val="single" w:sz="8" w:color="276092"/>
            </w:tcBorders>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820" w:type="dxa"/>
            <w:vAlign w:val="bottom"/>
            <w:tcBorders>
              <w:right w:val="single" w:sz="8" w:color="27609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1540" w:type="dxa"/>
            <w:vAlign w:val="bottom"/>
            <w:tcBorders>
              <w:left w:val="single" w:sz="8" w:color="276092"/>
              <w:right w:val="single" w:sz="8" w:color="276092"/>
            </w:tcBorders>
            <w:shd w:val="clear" w:color="auto" w:fill="276092"/>
          </w:tcPr>
          <w:p>
            <w:pPr>
              <w:jc w:val="center"/>
              <w:ind w:right="10"/>
              <w:spacing w:after="0"/>
              <w:rPr>
                <w:sz w:val="20"/>
                <w:szCs w:val="20"/>
                <w:color w:val="auto"/>
              </w:rPr>
            </w:pPr>
            <w:r>
              <w:rPr>
                <w:rFonts w:ascii="Arial" w:cs="Arial" w:eastAsia="Arial" w:hAnsi="Arial"/>
                <w:sz w:val="18"/>
                <w:szCs w:val="18"/>
                <w:b w:val="1"/>
                <w:bCs w:val="1"/>
                <w:color w:val="FFFFFF"/>
                <w:w w:val="99"/>
              </w:rPr>
              <w:t>Performance-</w:t>
            </w:r>
          </w:p>
        </w:tc>
        <w:tc>
          <w:tcPr>
            <w:tcW w:w="160" w:type="dxa"/>
            <w:vAlign w:val="bottom"/>
            <w:tcBorders>
              <w:right w:val="single" w:sz="8" w:color="276092"/>
            </w:tcBorders>
          </w:tcPr>
          <w:p>
            <w:pPr>
              <w:spacing w:after="0"/>
              <w:rPr>
                <w:sz w:val="24"/>
                <w:szCs w:val="24"/>
                <w:color w:val="auto"/>
              </w:rPr>
            </w:pPr>
          </w:p>
        </w:tc>
        <w:tc>
          <w:tcPr>
            <w:tcW w:w="2160" w:type="dxa"/>
            <w:vAlign w:val="bottom"/>
            <w:tcBorders>
              <w:right w:val="single" w:sz="8" w:color="276092"/>
            </w:tcBorders>
          </w:tcPr>
          <w:p>
            <w:pPr>
              <w:spacing w:after="0"/>
              <w:rPr>
                <w:sz w:val="24"/>
                <w:szCs w:val="24"/>
                <w:color w:val="auto"/>
              </w:rPr>
            </w:pPr>
          </w:p>
        </w:tc>
        <w:tc>
          <w:tcPr>
            <w:tcW w:w="160" w:type="dxa"/>
            <w:vAlign w:val="bottom"/>
            <w:tcBorders>
              <w:right w:val="single" w:sz="8" w:color="276092"/>
            </w:tcBorders>
          </w:tcPr>
          <w:p>
            <w:pPr>
              <w:spacing w:after="0"/>
              <w:rPr>
                <w:sz w:val="24"/>
                <w:szCs w:val="24"/>
                <w:color w:val="auto"/>
              </w:rPr>
            </w:pPr>
          </w:p>
        </w:tc>
        <w:tc>
          <w:tcPr>
            <w:tcW w:w="2820" w:type="dxa"/>
            <w:vAlign w:val="bottom"/>
            <w:tcBorders>
              <w:right w:val="single" w:sz="8" w:color="276092"/>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40" w:type="dxa"/>
            <w:vAlign w:val="bottom"/>
            <w:tcBorders>
              <w:left w:val="single" w:sz="8" w:color="276092"/>
              <w:bottom w:val="single" w:sz="8" w:color="276092"/>
              <w:right w:val="single" w:sz="8" w:color="276092"/>
            </w:tcBorders>
            <w:shd w:val="clear" w:color="auto" w:fill="276092"/>
          </w:tcPr>
          <w:p>
            <w:pPr>
              <w:jc w:val="center"/>
              <w:spacing w:after="0" w:line="165" w:lineRule="exact"/>
              <w:rPr>
                <w:sz w:val="20"/>
                <w:szCs w:val="20"/>
                <w:color w:val="auto"/>
              </w:rPr>
            </w:pPr>
            <w:r>
              <w:rPr>
                <w:rFonts w:ascii="Arial" w:cs="Arial" w:eastAsia="Arial" w:hAnsi="Arial"/>
                <w:sz w:val="18"/>
                <w:szCs w:val="18"/>
                <w:b w:val="1"/>
                <w:bCs w:val="1"/>
                <w:color w:val="FFFFFF"/>
                <w:w w:val="99"/>
              </w:rPr>
              <w:t>Based</w:t>
            </w:r>
          </w:p>
        </w:tc>
        <w:tc>
          <w:tcPr>
            <w:tcW w:w="160" w:type="dxa"/>
            <w:vAlign w:val="bottom"/>
            <w:tcBorders>
              <w:right w:val="single" w:sz="8" w:color="276092"/>
            </w:tcBorders>
          </w:tcPr>
          <w:p>
            <w:pPr>
              <w:spacing w:after="0"/>
              <w:rPr>
                <w:sz w:val="14"/>
                <w:szCs w:val="14"/>
                <w:color w:val="auto"/>
              </w:rPr>
            </w:pPr>
          </w:p>
        </w:tc>
        <w:tc>
          <w:tcPr>
            <w:tcW w:w="2160" w:type="dxa"/>
            <w:vAlign w:val="bottom"/>
            <w:tcBorders>
              <w:bottom w:val="single" w:sz="8" w:color="276092"/>
              <w:right w:val="single" w:sz="8" w:color="276092"/>
            </w:tcBorders>
          </w:tcPr>
          <w:p>
            <w:pPr>
              <w:spacing w:after="0"/>
              <w:rPr>
                <w:sz w:val="14"/>
                <w:szCs w:val="14"/>
                <w:color w:val="auto"/>
              </w:rPr>
            </w:pPr>
          </w:p>
        </w:tc>
        <w:tc>
          <w:tcPr>
            <w:tcW w:w="160" w:type="dxa"/>
            <w:vAlign w:val="bottom"/>
            <w:tcBorders>
              <w:right w:val="single" w:sz="8" w:color="276092"/>
            </w:tcBorders>
          </w:tcPr>
          <w:p>
            <w:pPr>
              <w:spacing w:after="0"/>
              <w:rPr>
                <w:sz w:val="14"/>
                <w:szCs w:val="14"/>
                <w:color w:val="auto"/>
              </w:rPr>
            </w:pPr>
          </w:p>
        </w:tc>
        <w:tc>
          <w:tcPr>
            <w:tcW w:w="2820" w:type="dxa"/>
            <w:vAlign w:val="bottom"/>
            <w:tcBorders>
              <w:bottom w:val="single" w:sz="8" w:color="276092"/>
              <w:right w:val="single" w:sz="8" w:color="276092"/>
            </w:tcBorders>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540" w:type="dxa"/>
            <w:vAlign w:val="bottom"/>
            <w:tcBorders>
              <w:left w:val="single" w:sz="8" w:color="276092"/>
              <w:bottom w:val="single" w:sz="8" w:color="276092"/>
              <w:right w:val="single" w:sz="8" w:color="276092"/>
            </w:tcBorders>
            <w:vMerge w:val="restart"/>
            <w:shd w:val="clear" w:color="auto" w:fill="276092"/>
          </w:tcPr>
          <w:p>
            <w:pPr>
              <w:jc w:val="center"/>
              <w:ind w:right="10"/>
              <w:spacing w:after="0"/>
              <w:rPr>
                <w:sz w:val="20"/>
                <w:szCs w:val="20"/>
                <w:color w:val="auto"/>
              </w:rPr>
            </w:pPr>
            <w:r>
              <w:rPr>
                <w:rFonts w:ascii="Arial" w:cs="Arial" w:eastAsia="Arial" w:hAnsi="Arial"/>
                <w:sz w:val="18"/>
                <w:szCs w:val="18"/>
                <w:b w:val="1"/>
                <w:bCs w:val="1"/>
                <w:color w:val="FFFFFF"/>
                <w:w w:val="99"/>
              </w:rPr>
              <w:t>Component</w:t>
            </w:r>
          </w:p>
        </w:tc>
        <w:tc>
          <w:tcPr>
            <w:tcW w:w="160" w:type="dxa"/>
            <w:vAlign w:val="bottom"/>
          </w:tcPr>
          <w:p>
            <w:pPr>
              <w:spacing w:after="0"/>
              <w:rPr>
                <w:sz w:val="6"/>
                <w:szCs w:val="6"/>
                <w:color w:val="auto"/>
              </w:rPr>
            </w:pPr>
          </w:p>
        </w:tc>
        <w:tc>
          <w:tcPr>
            <w:tcW w:w="2160" w:type="dxa"/>
            <w:vAlign w:val="bottom"/>
            <w:tcBorders>
              <w:bottom w:val="single" w:sz="8" w:color="276092"/>
            </w:tcBorders>
          </w:tcPr>
          <w:p>
            <w:pPr>
              <w:spacing w:after="0"/>
              <w:rPr>
                <w:sz w:val="6"/>
                <w:szCs w:val="6"/>
                <w:color w:val="auto"/>
              </w:rPr>
            </w:pPr>
          </w:p>
        </w:tc>
        <w:tc>
          <w:tcPr>
            <w:tcW w:w="160" w:type="dxa"/>
            <w:vAlign w:val="bottom"/>
          </w:tcPr>
          <w:p>
            <w:pPr>
              <w:spacing w:after="0"/>
              <w:rPr>
                <w:sz w:val="6"/>
                <w:szCs w:val="6"/>
                <w:color w:val="auto"/>
              </w:rPr>
            </w:pPr>
          </w:p>
        </w:tc>
        <w:tc>
          <w:tcPr>
            <w:tcW w:w="2820" w:type="dxa"/>
            <w:vAlign w:val="bottom"/>
            <w:tcBorders>
              <w:bottom w:val="single" w:sz="8" w:color="276092"/>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1540" w:type="dxa"/>
            <w:vAlign w:val="bottom"/>
            <w:tcBorders>
              <w:left w:val="single" w:sz="8" w:color="276092"/>
              <w:right w:val="single" w:sz="8" w:color="276092"/>
            </w:tcBorders>
            <w:vMerge w:val="continue"/>
            <w:shd w:val="clear" w:color="auto" w:fill="276092"/>
          </w:tcPr>
          <w:p>
            <w:pPr>
              <w:spacing w:after="0"/>
              <w:rPr>
                <w:sz w:val="13"/>
                <w:szCs w:val="13"/>
                <w:color w:val="auto"/>
              </w:rPr>
            </w:pPr>
          </w:p>
        </w:tc>
        <w:tc>
          <w:tcPr>
            <w:tcW w:w="160" w:type="dxa"/>
            <w:vAlign w:val="bottom"/>
            <w:tcBorders>
              <w:right w:val="single" w:sz="8" w:color="276092"/>
            </w:tcBorders>
          </w:tcPr>
          <w:p>
            <w:pPr>
              <w:spacing w:after="0"/>
              <w:rPr>
                <w:sz w:val="13"/>
                <w:szCs w:val="13"/>
                <w:color w:val="auto"/>
              </w:rPr>
            </w:pPr>
          </w:p>
        </w:tc>
        <w:tc>
          <w:tcPr>
            <w:tcW w:w="2160" w:type="dxa"/>
            <w:vAlign w:val="bottom"/>
            <w:tcBorders>
              <w:right w:val="single" w:sz="8" w:color="276092"/>
            </w:tcBorders>
          </w:tcPr>
          <w:p>
            <w:pPr>
              <w:spacing w:after="0"/>
              <w:rPr>
                <w:sz w:val="13"/>
                <w:szCs w:val="13"/>
                <w:color w:val="auto"/>
              </w:rPr>
            </w:pPr>
          </w:p>
        </w:tc>
        <w:tc>
          <w:tcPr>
            <w:tcW w:w="160" w:type="dxa"/>
            <w:vAlign w:val="bottom"/>
            <w:tcBorders>
              <w:right w:val="single" w:sz="8" w:color="276092"/>
            </w:tcBorders>
          </w:tcPr>
          <w:p>
            <w:pPr>
              <w:spacing w:after="0"/>
              <w:rPr>
                <w:sz w:val="13"/>
                <w:szCs w:val="13"/>
                <w:color w:val="auto"/>
              </w:rPr>
            </w:pPr>
          </w:p>
        </w:tc>
        <w:tc>
          <w:tcPr>
            <w:tcW w:w="282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Link the interests of our executive</w:t>
            </w:r>
          </w:p>
        </w:tc>
        <w:tc>
          <w:tcPr>
            <w:tcW w:w="0" w:type="dxa"/>
            <w:vAlign w:val="bottom"/>
          </w:tcPr>
          <w:p>
            <w:pPr>
              <w:spacing w:after="0"/>
              <w:rPr>
                <w:sz w:val="1"/>
                <w:szCs w:val="1"/>
                <w:color w:val="auto"/>
              </w:rPr>
            </w:pPr>
          </w:p>
        </w:tc>
      </w:tr>
      <w:tr>
        <w:trPr>
          <w:trHeight w:val="150"/>
        </w:trPr>
        <w:tc>
          <w:tcPr>
            <w:tcW w:w="1540" w:type="dxa"/>
            <w:vAlign w:val="bottom"/>
            <w:tcBorders>
              <w:left w:val="single" w:sz="8" w:color="276092"/>
              <w:right w:val="single" w:sz="8" w:color="276092"/>
            </w:tcBorders>
            <w:shd w:val="clear" w:color="auto" w:fill="276092"/>
          </w:tcPr>
          <w:p>
            <w:pPr>
              <w:spacing w:after="0"/>
              <w:rPr>
                <w:sz w:val="13"/>
                <w:szCs w:val="13"/>
                <w:color w:val="auto"/>
              </w:rPr>
            </w:pPr>
          </w:p>
        </w:tc>
        <w:tc>
          <w:tcPr>
            <w:tcW w:w="160" w:type="dxa"/>
            <w:vAlign w:val="bottom"/>
            <w:tcBorders>
              <w:right w:val="single" w:sz="8" w:color="276092"/>
            </w:tcBorders>
          </w:tcPr>
          <w:p>
            <w:pPr>
              <w:spacing w:after="0"/>
              <w:rPr>
                <w:sz w:val="13"/>
                <w:szCs w:val="13"/>
                <w:color w:val="auto"/>
              </w:rPr>
            </w:pPr>
          </w:p>
        </w:tc>
        <w:tc>
          <w:tcPr>
            <w:tcW w:w="2160" w:type="dxa"/>
            <w:vAlign w:val="bottom"/>
            <w:tcBorders>
              <w:right w:val="single" w:sz="8" w:color="276092"/>
            </w:tcBorders>
          </w:tcPr>
          <w:p>
            <w:pPr>
              <w:spacing w:after="0"/>
              <w:rPr>
                <w:sz w:val="13"/>
                <w:szCs w:val="13"/>
                <w:color w:val="auto"/>
              </w:rPr>
            </w:pPr>
          </w:p>
        </w:tc>
        <w:tc>
          <w:tcPr>
            <w:tcW w:w="160" w:type="dxa"/>
            <w:vAlign w:val="bottom"/>
            <w:tcBorders>
              <w:right w:val="single" w:sz="8" w:color="276092"/>
            </w:tcBorders>
          </w:tcPr>
          <w:p>
            <w:pPr>
              <w:spacing w:after="0"/>
              <w:rPr>
                <w:sz w:val="13"/>
                <w:szCs w:val="13"/>
                <w:color w:val="auto"/>
              </w:rPr>
            </w:pPr>
          </w:p>
        </w:tc>
        <w:tc>
          <w:tcPr>
            <w:tcW w:w="2820" w:type="dxa"/>
            <w:vAlign w:val="bottom"/>
            <w:tcBorders>
              <w:right w:val="single" w:sz="8" w:color="276092"/>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40" w:type="dxa"/>
            <w:vAlign w:val="bottom"/>
            <w:tcBorders>
              <w:left w:val="single" w:sz="8" w:color="276092"/>
              <w:right w:val="single" w:sz="8" w:color="276092"/>
            </w:tcBorders>
            <w:shd w:val="clear" w:color="auto" w:fill="276092"/>
          </w:tcPr>
          <w:p>
            <w:pPr>
              <w:spacing w:after="0"/>
              <w:rPr>
                <w:sz w:val="16"/>
                <w:szCs w:val="16"/>
                <w:color w:val="auto"/>
              </w:rPr>
            </w:pPr>
          </w:p>
        </w:tc>
        <w:tc>
          <w:tcPr>
            <w:tcW w:w="160" w:type="dxa"/>
            <w:vAlign w:val="bottom"/>
            <w:tcBorders>
              <w:right w:val="single" w:sz="8" w:color="276092"/>
            </w:tcBorders>
          </w:tcPr>
          <w:p>
            <w:pPr>
              <w:spacing w:after="0"/>
              <w:rPr>
                <w:sz w:val="16"/>
                <w:szCs w:val="16"/>
                <w:color w:val="auto"/>
              </w:rPr>
            </w:pPr>
          </w:p>
        </w:tc>
        <w:tc>
          <w:tcPr>
            <w:tcW w:w="216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LTIP Restricted Performance</w:t>
            </w:r>
          </w:p>
        </w:tc>
        <w:tc>
          <w:tcPr>
            <w:tcW w:w="160" w:type="dxa"/>
            <w:vAlign w:val="bottom"/>
            <w:tcBorders>
              <w:right w:val="single" w:sz="8" w:color="276092"/>
            </w:tcBorders>
          </w:tcPr>
          <w:p>
            <w:pPr>
              <w:spacing w:after="0"/>
              <w:rPr>
                <w:sz w:val="16"/>
                <w:szCs w:val="16"/>
                <w:color w:val="auto"/>
              </w:rPr>
            </w:pPr>
          </w:p>
        </w:tc>
        <w:tc>
          <w:tcPr>
            <w:tcW w:w="2820" w:type="dxa"/>
            <w:vAlign w:val="bottom"/>
            <w:tcBorders>
              <w:right w:val="single" w:sz="8" w:color="276092"/>
            </w:tcBorders>
          </w:tcPr>
          <w:p>
            <w:pPr>
              <w:jc w:val="center"/>
              <w:spacing w:after="0"/>
              <w:rPr>
                <w:sz w:val="20"/>
                <w:szCs w:val="20"/>
                <w:color w:val="auto"/>
              </w:rPr>
            </w:pPr>
            <w:r>
              <w:rPr>
                <w:rFonts w:ascii="Arial" w:cs="Arial" w:eastAsia="Arial" w:hAnsi="Arial"/>
                <w:sz w:val="16"/>
                <w:szCs w:val="16"/>
                <w:color w:val="auto"/>
              </w:rPr>
              <w:t>officers to shareholders, motivate and</w:t>
            </w:r>
          </w:p>
        </w:tc>
        <w:tc>
          <w:tcPr>
            <w:tcW w:w="0" w:type="dxa"/>
            <w:vAlign w:val="bottom"/>
          </w:tcPr>
          <w:p>
            <w:pPr>
              <w:spacing w:after="0"/>
              <w:rPr>
                <w:sz w:val="1"/>
                <w:szCs w:val="1"/>
                <w:color w:val="auto"/>
              </w:rPr>
            </w:pPr>
          </w:p>
        </w:tc>
      </w:tr>
      <w:tr>
        <w:trPr>
          <w:trHeight w:val="95"/>
        </w:trPr>
        <w:tc>
          <w:tcPr>
            <w:tcW w:w="1540" w:type="dxa"/>
            <w:vAlign w:val="bottom"/>
            <w:tcBorders>
              <w:left w:val="single" w:sz="8" w:color="276092"/>
              <w:right w:val="single" w:sz="8" w:color="276092"/>
            </w:tcBorders>
            <w:shd w:val="clear" w:color="auto" w:fill="276092"/>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160" w:type="dxa"/>
            <w:vAlign w:val="bottom"/>
            <w:tcBorders>
              <w:right w:val="single" w:sz="8" w:color="276092"/>
            </w:tcBorders>
            <w:vMerge w:val="continue"/>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82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reward achievement of long-term</w:t>
            </w:r>
          </w:p>
        </w:tc>
        <w:tc>
          <w:tcPr>
            <w:tcW w:w="0" w:type="dxa"/>
            <w:vAlign w:val="bottom"/>
          </w:tcPr>
          <w:p>
            <w:pPr>
              <w:spacing w:after="0"/>
              <w:rPr>
                <w:sz w:val="1"/>
                <w:szCs w:val="1"/>
                <w:color w:val="auto"/>
              </w:rPr>
            </w:pPr>
          </w:p>
        </w:tc>
      </w:tr>
      <w:tr>
        <w:trPr>
          <w:trHeight w:val="95"/>
        </w:trPr>
        <w:tc>
          <w:tcPr>
            <w:tcW w:w="1540" w:type="dxa"/>
            <w:vAlign w:val="bottom"/>
            <w:tcBorders>
              <w:left w:val="single" w:sz="8" w:color="276092"/>
              <w:right w:val="single" w:sz="8" w:color="276092"/>
            </w:tcBorders>
            <w:shd w:val="clear" w:color="auto" w:fill="276092"/>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16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Stock Rights (RPSRs)</w:t>
            </w:r>
          </w:p>
        </w:tc>
        <w:tc>
          <w:tcPr>
            <w:tcW w:w="160" w:type="dxa"/>
            <w:vAlign w:val="bottom"/>
            <w:tcBorders>
              <w:right w:val="single" w:sz="8" w:color="276092"/>
            </w:tcBorders>
          </w:tcPr>
          <w:p>
            <w:pPr>
              <w:spacing w:after="0"/>
              <w:rPr>
                <w:sz w:val="8"/>
                <w:szCs w:val="8"/>
                <w:color w:val="auto"/>
              </w:rPr>
            </w:pPr>
          </w:p>
        </w:tc>
        <w:tc>
          <w:tcPr>
            <w:tcW w:w="2820" w:type="dxa"/>
            <w:vAlign w:val="bottom"/>
            <w:tcBorders>
              <w:right w:val="single" w:sz="8" w:color="276092"/>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40" w:type="dxa"/>
            <w:vAlign w:val="bottom"/>
            <w:tcBorders>
              <w:left w:val="single" w:sz="8" w:color="276092"/>
              <w:right w:val="single" w:sz="8" w:color="276092"/>
            </w:tcBorders>
            <w:shd w:val="clear" w:color="auto" w:fill="276092"/>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160" w:type="dxa"/>
            <w:vAlign w:val="bottom"/>
            <w:tcBorders>
              <w:right w:val="single" w:sz="8" w:color="276092"/>
            </w:tcBorders>
            <w:vMerge w:val="continue"/>
          </w:tcPr>
          <w:p>
            <w:pPr>
              <w:spacing w:after="0"/>
              <w:rPr>
                <w:sz w:val="8"/>
                <w:szCs w:val="8"/>
                <w:color w:val="auto"/>
              </w:rPr>
            </w:pPr>
          </w:p>
        </w:tc>
        <w:tc>
          <w:tcPr>
            <w:tcW w:w="160" w:type="dxa"/>
            <w:vAlign w:val="bottom"/>
            <w:tcBorders>
              <w:right w:val="single" w:sz="8" w:color="276092"/>
            </w:tcBorders>
          </w:tcPr>
          <w:p>
            <w:pPr>
              <w:spacing w:after="0"/>
              <w:rPr>
                <w:sz w:val="8"/>
                <w:szCs w:val="8"/>
                <w:color w:val="auto"/>
              </w:rPr>
            </w:pPr>
          </w:p>
        </w:tc>
        <w:tc>
          <w:tcPr>
            <w:tcW w:w="2820" w:type="dxa"/>
            <w:vAlign w:val="bottom"/>
            <w:tcBorders>
              <w:right w:val="single" w:sz="8" w:color="276092"/>
            </w:tcBorders>
            <w:vMerge w:val="restart"/>
          </w:tcPr>
          <w:p>
            <w:pPr>
              <w:jc w:val="center"/>
              <w:spacing w:after="0"/>
              <w:rPr>
                <w:sz w:val="20"/>
                <w:szCs w:val="20"/>
                <w:color w:val="auto"/>
              </w:rPr>
            </w:pPr>
            <w:r>
              <w:rPr>
                <w:rFonts w:ascii="Arial" w:cs="Arial" w:eastAsia="Arial" w:hAnsi="Arial"/>
                <w:sz w:val="16"/>
                <w:szCs w:val="16"/>
                <w:color w:val="auto"/>
              </w:rPr>
              <w:t>strategic goals and retain executive</w:t>
            </w:r>
          </w:p>
        </w:tc>
        <w:tc>
          <w:tcPr>
            <w:tcW w:w="0" w:type="dxa"/>
            <w:vAlign w:val="bottom"/>
          </w:tcPr>
          <w:p>
            <w:pPr>
              <w:spacing w:after="0"/>
              <w:rPr>
                <w:sz w:val="1"/>
                <w:szCs w:val="1"/>
                <w:color w:val="auto"/>
              </w:rPr>
            </w:pPr>
          </w:p>
        </w:tc>
      </w:tr>
      <w:tr>
        <w:trPr>
          <w:trHeight w:val="89"/>
        </w:trPr>
        <w:tc>
          <w:tcPr>
            <w:tcW w:w="1540" w:type="dxa"/>
            <w:vAlign w:val="bottom"/>
            <w:tcBorders>
              <w:left w:val="single" w:sz="8" w:color="276092"/>
              <w:right w:val="single" w:sz="8" w:color="276092"/>
            </w:tcBorders>
            <w:shd w:val="clear" w:color="auto" w:fill="276092"/>
          </w:tcPr>
          <w:p>
            <w:pPr>
              <w:spacing w:after="0"/>
              <w:rPr>
                <w:sz w:val="7"/>
                <w:szCs w:val="7"/>
                <w:color w:val="auto"/>
              </w:rPr>
            </w:pPr>
          </w:p>
        </w:tc>
        <w:tc>
          <w:tcPr>
            <w:tcW w:w="160" w:type="dxa"/>
            <w:vAlign w:val="bottom"/>
            <w:tcBorders>
              <w:right w:val="single" w:sz="8" w:color="276092"/>
            </w:tcBorders>
          </w:tcPr>
          <w:p>
            <w:pPr>
              <w:spacing w:after="0"/>
              <w:rPr>
                <w:sz w:val="7"/>
                <w:szCs w:val="7"/>
                <w:color w:val="auto"/>
              </w:rPr>
            </w:pPr>
          </w:p>
        </w:tc>
        <w:tc>
          <w:tcPr>
            <w:tcW w:w="2160" w:type="dxa"/>
            <w:vAlign w:val="bottom"/>
            <w:tcBorders>
              <w:right w:val="single" w:sz="8" w:color="276092"/>
            </w:tcBorders>
          </w:tcPr>
          <w:p>
            <w:pPr>
              <w:spacing w:after="0"/>
              <w:rPr>
                <w:sz w:val="7"/>
                <w:szCs w:val="7"/>
                <w:color w:val="auto"/>
              </w:rPr>
            </w:pPr>
          </w:p>
        </w:tc>
        <w:tc>
          <w:tcPr>
            <w:tcW w:w="160" w:type="dxa"/>
            <w:vAlign w:val="bottom"/>
            <w:tcBorders>
              <w:right w:val="single" w:sz="8" w:color="276092"/>
            </w:tcBorders>
          </w:tcPr>
          <w:p>
            <w:pPr>
              <w:spacing w:after="0"/>
              <w:rPr>
                <w:sz w:val="7"/>
                <w:szCs w:val="7"/>
                <w:color w:val="auto"/>
              </w:rPr>
            </w:pPr>
          </w:p>
        </w:tc>
        <w:tc>
          <w:tcPr>
            <w:tcW w:w="2820" w:type="dxa"/>
            <w:vAlign w:val="bottom"/>
            <w:tcBorders>
              <w:right w:val="single" w:sz="8" w:color="27609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540" w:type="dxa"/>
            <w:vAlign w:val="bottom"/>
            <w:tcBorders>
              <w:left w:val="single" w:sz="8" w:color="276092"/>
              <w:right w:val="single" w:sz="8" w:color="276092"/>
            </w:tcBorders>
            <w:shd w:val="clear" w:color="auto" w:fill="276092"/>
          </w:tcPr>
          <w:p>
            <w:pPr>
              <w:spacing w:after="0"/>
              <w:rPr>
                <w:sz w:val="16"/>
                <w:szCs w:val="16"/>
                <w:color w:val="auto"/>
              </w:rPr>
            </w:pPr>
          </w:p>
        </w:tc>
        <w:tc>
          <w:tcPr>
            <w:tcW w:w="160" w:type="dxa"/>
            <w:vAlign w:val="bottom"/>
            <w:tcBorders>
              <w:right w:val="single" w:sz="8" w:color="276092"/>
            </w:tcBorders>
          </w:tcPr>
          <w:p>
            <w:pPr>
              <w:spacing w:after="0"/>
              <w:rPr>
                <w:sz w:val="16"/>
                <w:szCs w:val="16"/>
                <w:color w:val="auto"/>
              </w:rPr>
            </w:pPr>
          </w:p>
        </w:tc>
        <w:tc>
          <w:tcPr>
            <w:tcW w:w="2160" w:type="dxa"/>
            <w:vAlign w:val="bottom"/>
            <w:tcBorders>
              <w:right w:val="single" w:sz="8" w:color="276092"/>
            </w:tcBorders>
          </w:tcPr>
          <w:p>
            <w:pPr>
              <w:spacing w:after="0"/>
              <w:rPr>
                <w:sz w:val="16"/>
                <w:szCs w:val="16"/>
                <w:color w:val="auto"/>
              </w:rPr>
            </w:pPr>
          </w:p>
        </w:tc>
        <w:tc>
          <w:tcPr>
            <w:tcW w:w="160" w:type="dxa"/>
            <w:vAlign w:val="bottom"/>
            <w:tcBorders>
              <w:right w:val="single" w:sz="8" w:color="276092"/>
            </w:tcBorders>
          </w:tcPr>
          <w:p>
            <w:pPr>
              <w:spacing w:after="0"/>
              <w:rPr>
                <w:sz w:val="16"/>
                <w:szCs w:val="16"/>
                <w:color w:val="auto"/>
              </w:rPr>
            </w:pPr>
          </w:p>
        </w:tc>
        <w:tc>
          <w:tcPr>
            <w:tcW w:w="2820" w:type="dxa"/>
            <w:vAlign w:val="bottom"/>
            <w:tcBorders>
              <w:right w:val="single" w:sz="8" w:color="276092"/>
            </w:tcBorders>
          </w:tcPr>
          <w:p>
            <w:pPr>
              <w:jc w:val="center"/>
              <w:spacing w:after="0"/>
              <w:rPr>
                <w:sz w:val="20"/>
                <w:szCs w:val="20"/>
                <w:color w:val="auto"/>
              </w:rPr>
            </w:pPr>
            <w:r>
              <w:rPr>
                <w:rFonts w:ascii="Arial" w:cs="Arial" w:eastAsia="Arial" w:hAnsi="Arial"/>
                <w:sz w:val="16"/>
                <w:szCs w:val="16"/>
                <w:color w:val="auto"/>
              </w:rPr>
              <w:t>talent</w:t>
            </w:r>
          </w:p>
        </w:tc>
        <w:tc>
          <w:tcPr>
            <w:tcW w:w="0" w:type="dxa"/>
            <w:vAlign w:val="bottom"/>
          </w:tcPr>
          <w:p>
            <w:pPr>
              <w:spacing w:after="0"/>
              <w:rPr>
                <w:sz w:val="1"/>
                <w:szCs w:val="1"/>
                <w:color w:val="auto"/>
              </w:rPr>
            </w:pPr>
          </w:p>
        </w:tc>
      </w:tr>
      <w:tr>
        <w:trPr>
          <w:trHeight w:val="128"/>
        </w:trPr>
        <w:tc>
          <w:tcPr>
            <w:tcW w:w="1540" w:type="dxa"/>
            <w:vAlign w:val="bottom"/>
            <w:tcBorders>
              <w:left w:val="single" w:sz="8" w:color="276092"/>
              <w:bottom w:val="single" w:sz="8" w:color="276092"/>
              <w:right w:val="single" w:sz="8" w:color="276092"/>
            </w:tcBorders>
            <w:shd w:val="clear" w:color="auto" w:fill="276092"/>
          </w:tcPr>
          <w:p>
            <w:pPr>
              <w:spacing w:after="0"/>
              <w:rPr>
                <w:sz w:val="11"/>
                <w:szCs w:val="11"/>
                <w:color w:val="auto"/>
              </w:rPr>
            </w:pPr>
          </w:p>
        </w:tc>
        <w:tc>
          <w:tcPr>
            <w:tcW w:w="160" w:type="dxa"/>
            <w:vAlign w:val="bottom"/>
            <w:tcBorders>
              <w:right w:val="single" w:sz="8" w:color="276092"/>
            </w:tcBorders>
          </w:tcPr>
          <w:p>
            <w:pPr>
              <w:spacing w:after="0"/>
              <w:rPr>
                <w:sz w:val="11"/>
                <w:szCs w:val="11"/>
                <w:color w:val="auto"/>
              </w:rPr>
            </w:pPr>
          </w:p>
        </w:tc>
        <w:tc>
          <w:tcPr>
            <w:tcW w:w="2160" w:type="dxa"/>
            <w:vAlign w:val="bottom"/>
            <w:tcBorders>
              <w:bottom w:val="single" w:sz="8" w:color="276092"/>
              <w:right w:val="single" w:sz="8" w:color="276092"/>
            </w:tcBorders>
          </w:tcPr>
          <w:p>
            <w:pPr>
              <w:spacing w:after="0"/>
              <w:rPr>
                <w:sz w:val="11"/>
                <w:szCs w:val="11"/>
                <w:color w:val="auto"/>
              </w:rPr>
            </w:pPr>
          </w:p>
        </w:tc>
        <w:tc>
          <w:tcPr>
            <w:tcW w:w="160" w:type="dxa"/>
            <w:vAlign w:val="bottom"/>
            <w:tcBorders>
              <w:right w:val="single" w:sz="8" w:color="276092"/>
            </w:tcBorders>
          </w:tcPr>
          <w:p>
            <w:pPr>
              <w:spacing w:after="0"/>
              <w:rPr>
                <w:sz w:val="11"/>
                <w:szCs w:val="11"/>
                <w:color w:val="auto"/>
              </w:rPr>
            </w:pPr>
          </w:p>
        </w:tc>
        <w:tc>
          <w:tcPr>
            <w:tcW w:w="2820" w:type="dxa"/>
            <w:vAlign w:val="bottom"/>
            <w:tcBorders>
              <w:bottom w:val="single" w:sz="8" w:color="276092"/>
              <w:right w:val="single" w:sz="8" w:color="276092"/>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114935</wp:posOffset>
            </wp:positionV>
            <wp:extent cx="2564130" cy="3346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64130" cy="3346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45720</wp:posOffset>
            </wp:positionV>
            <wp:extent cx="25558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6" w:lineRule="exact"/>
        <w:rPr>
          <w:sz w:val="20"/>
          <w:szCs w:val="20"/>
          <w:color w:val="auto"/>
        </w:rPr>
      </w:pPr>
    </w:p>
    <w:p>
      <w:pPr>
        <w:jc w:val="center"/>
        <w:ind w:left="100" w:right="40"/>
        <w:spacing w:after="0" w:line="260" w:lineRule="auto"/>
        <w:rPr>
          <w:sz w:val="20"/>
          <w:szCs w:val="20"/>
          <w:color w:val="auto"/>
        </w:rPr>
      </w:pPr>
      <w:r>
        <w:rPr>
          <w:rFonts w:ascii="Arial" w:cs="Arial" w:eastAsia="Arial" w:hAnsi="Arial"/>
          <w:sz w:val="16"/>
          <w:szCs w:val="16"/>
          <w:color w:val="auto"/>
        </w:rPr>
        <w:t>Determined by level of responsibility, competitive market pay assessment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564130" cy="4546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64130" cy="454660"/>
                    </a:xfrm>
                    <a:prstGeom prst="rect">
                      <a:avLst/>
                    </a:prstGeom>
                    <a:noFill/>
                  </pic:spPr>
                </pic:pic>
              </a:graphicData>
            </a:graphic>
          </wp:anchor>
        </w:drawing>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30% of annual LTIP grant</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Three-year cliff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156210</wp:posOffset>
            </wp:positionV>
            <wp:extent cx="2564130" cy="900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64130" cy="900430"/>
                    </a:xfrm>
                    <a:prstGeom prst="rect">
                      <a:avLst/>
                    </a:prstGeom>
                    <a:noFill/>
                  </pic:spPr>
                </pic:pic>
              </a:graphicData>
            </a:graphic>
          </wp:anchor>
        </w:drawing>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Financial Metrics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Pension-adjusted Operating Margin (OM) Rate*,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Cash Flow from Operations Conversion* and Pension-</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adjusted Net Income* Growth</w:t>
      </w:r>
    </w:p>
    <w:p>
      <w:pPr>
        <w:spacing w:after="0" w:line="127" w:lineRule="exact"/>
        <w:rPr>
          <w:sz w:val="20"/>
          <w:szCs w:val="20"/>
          <w:color w:val="auto"/>
        </w:rPr>
      </w:pPr>
    </w:p>
    <w:p>
      <w:pPr>
        <w:jc w:val="center"/>
        <w:ind w:left="20" w:right="40"/>
        <w:spacing w:after="0" w:line="260" w:lineRule="auto"/>
        <w:rPr>
          <w:sz w:val="20"/>
          <w:szCs w:val="20"/>
          <w:color w:val="auto"/>
        </w:rPr>
      </w:pPr>
      <w:r>
        <w:rPr>
          <w:rFonts w:ascii="Arial" w:cs="Arial" w:eastAsia="Arial" w:hAnsi="Arial"/>
          <w:sz w:val="16"/>
          <w:szCs w:val="16"/>
          <w:color w:val="auto"/>
        </w:rPr>
        <w:t>Subject to downward adjustment for failure to achieve non-financial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131445</wp:posOffset>
            </wp:positionV>
            <wp:extent cx="2564130" cy="780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4130" cy="78041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70% of annual LTIP grant</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Three-year performance period</w:t>
      </w:r>
    </w:p>
    <w:p>
      <w:pPr>
        <w:spacing w:after="0" w:line="127" w:lineRule="exact"/>
        <w:rPr>
          <w:sz w:val="20"/>
          <w:szCs w:val="20"/>
          <w:color w:val="auto"/>
        </w:rPr>
      </w:pPr>
    </w:p>
    <w:p>
      <w:pPr>
        <w:jc w:val="center"/>
        <w:ind w:left="140" w:right="40"/>
        <w:spacing w:after="0" w:line="253" w:lineRule="auto"/>
        <w:rPr>
          <w:sz w:val="20"/>
          <w:szCs w:val="20"/>
          <w:color w:val="auto"/>
        </w:rPr>
      </w:pPr>
      <w:r>
        <w:rPr>
          <w:rFonts w:ascii="Arial" w:cs="Arial" w:eastAsia="Arial" w:hAnsi="Arial"/>
          <w:sz w:val="16"/>
          <w:szCs w:val="16"/>
          <w:color w:val="auto"/>
        </w:rPr>
        <w:t>Actual shares earned are weighted 50% to relative TSR and 50% to Cumulative Free Cash Flow* (Cumulative FCF*)</w:t>
      </w:r>
    </w:p>
    <w:p>
      <w:pPr>
        <w:spacing w:after="0" w:line="52" w:lineRule="exact"/>
        <w:rPr>
          <w:sz w:val="20"/>
          <w:szCs w:val="20"/>
          <w:color w:val="auto"/>
        </w:rPr>
      </w:pPr>
    </w:p>
    <w:p>
      <w:pPr>
        <w:sectPr>
          <w:pgSz w:w="11900" w:h="16838" w:orient="portrait"/>
          <w:cols w:equalWidth="0" w:num="2">
            <w:col w:w="7060" w:space="220"/>
            <w:col w:w="3940"/>
          </w:cols>
          <w:pgMar w:left="240" w:top="459" w:right="43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32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Our Compensation Pay Practices (pages 36 - 47)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compensation programs incorporate best practices, including the following:</w:t>
      </w: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276092"/>
        </w:rPr>
        <w:t>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42545</wp:posOffset>
            </wp:positionV>
            <wp:extent cx="6997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177" w:lineRule="exact"/>
        <w:rPr>
          <w:sz w:val="20"/>
          <w:szCs w:val="20"/>
          <w:color w:val="auto"/>
        </w:rPr>
      </w:pPr>
    </w:p>
    <w:p>
      <w:pPr>
        <w:ind w:left="420" w:hanging="216"/>
        <w:spacing w:after="0"/>
        <w:tabs>
          <w:tab w:leader="none" w:pos="420" w:val="left"/>
        </w:tabs>
        <w:numPr>
          <w:ilvl w:val="0"/>
          <w:numId w:val="56"/>
        </w:numPr>
        <w:rPr>
          <w:rFonts w:ascii="Arial" w:cs="Arial" w:eastAsia="Arial" w:hAnsi="Arial"/>
          <w:sz w:val="16"/>
          <w:szCs w:val="16"/>
          <w:color w:val="276092"/>
        </w:rPr>
      </w:pPr>
      <w:r>
        <w:rPr>
          <w:rFonts w:ascii="Arial" w:cs="Arial" w:eastAsia="Arial" w:hAnsi="Arial"/>
          <w:sz w:val="16"/>
          <w:szCs w:val="16"/>
          <w:color w:val="auto"/>
        </w:rPr>
        <w:t>Pay for Performance</w:t>
      </w:r>
    </w:p>
    <w:p>
      <w:pPr>
        <w:spacing w:after="0" w:line="140" w:lineRule="exact"/>
        <w:rPr>
          <w:rFonts w:ascii="Arial" w:cs="Arial" w:eastAsia="Arial" w:hAnsi="Arial"/>
          <w:sz w:val="16"/>
          <w:szCs w:val="16"/>
          <w:color w:val="276092"/>
        </w:rPr>
      </w:pPr>
    </w:p>
    <w:p>
      <w:pPr>
        <w:ind w:left="460" w:right="100" w:hanging="256"/>
        <w:spacing w:after="0" w:line="262" w:lineRule="auto"/>
        <w:tabs>
          <w:tab w:leader="none" w:pos="411" w:val="left"/>
        </w:tabs>
        <w:numPr>
          <w:ilvl w:val="0"/>
          <w:numId w:val="56"/>
        </w:numPr>
        <w:rPr>
          <w:rFonts w:ascii="Arial" w:cs="Arial" w:eastAsia="Arial" w:hAnsi="Arial"/>
          <w:sz w:val="16"/>
          <w:szCs w:val="16"/>
          <w:color w:val="276092"/>
        </w:rPr>
      </w:pPr>
      <w:r>
        <w:rPr>
          <w:rFonts w:ascii="Arial" w:cs="Arial" w:eastAsia="Arial" w:hAnsi="Arial"/>
          <w:sz w:val="16"/>
          <w:szCs w:val="16"/>
          <w:color w:val="auto"/>
        </w:rPr>
        <w:t>Above Target and Maximum Annual Incentive Payouts Only When We Outperform Our Peer Benchmarks</w:t>
      </w:r>
    </w:p>
    <w:p>
      <w:pPr>
        <w:spacing w:after="0" w:line="99" w:lineRule="exact"/>
        <w:rPr>
          <w:rFonts w:ascii="Arial" w:cs="Arial" w:eastAsia="Arial" w:hAnsi="Arial"/>
          <w:sz w:val="16"/>
          <w:szCs w:val="16"/>
          <w:color w:val="276092"/>
        </w:rPr>
      </w:pPr>
    </w:p>
    <w:p>
      <w:pPr>
        <w:ind w:left="420" w:hanging="216"/>
        <w:spacing w:after="0"/>
        <w:tabs>
          <w:tab w:leader="none" w:pos="420" w:val="left"/>
        </w:tabs>
        <w:numPr>
          <w:ilvl w:val="0"/>
          <w:numId w:val="56"/>
        </w:numPr>
        <w:rPr>
          <w:rFonts w:ascii="Arial" w:cs="Arial" w:eastAsia="Arial" w:hAnsi="Arial"/>
          <w:sz w:val="16"/>
          <w:szCs w:val="16"/>
          <w:color w:val="276092"/>
        </w:rPr>
      </w:pPr>
      <w:r>
        <w:rPr>
          <w:rFonts w:ascii="Arial" w:cs="Arial" w:eastAsia="Arial" w:hAnsi="Arial"/>
          <w:sz w:val="16"/>
          <w:szCs w:val="16"/>
          <w:color w:val="auto"/>
        </w:rPr>
        <w:t>Long-Term Incentives Focused on Performance</w:t>
      </w:r>
    </w:p>
    <w:p>
      <w:pPr>
        <w:spacing w:after="0" w:line="140" w:lineRule="exact"/>
        <w:rPr>
          <w:rFonts w:ascii="Arial" w:cs="Arial" w:eastAsia="Arial" w:hAnsi="Arial"/>
          <w:sz w:val="16"/>
          <w:szCs w:val="16"/>
          <w:color w:val="276092"/>
        </w:rPr>
      </w:pPr>
    </w:p>
    <w:p>
      <w:pPr>
        <w:jc w:val="both"/>
        <w:ind w:left="460" w:right="300" w:hanging="256"/>
        <w:spacing w:after="0" w:line="278" w:lineRule="auto"/>
        <w:tabs>
          <w:tab w:leader="none" w:pos="420" w:val="left"/>
        </w:tabs>
        <w:numPr>
          <w:ilvl w:val="0"/>
          <w:numId w:val="56"/>
        </w:numPr>
        <w:rPr>
          <w:rFonts w:ascii="Arial" w:cs="Arial" w:eastAsia="Arial" w:hAnsi="Arial"/>
          <w:sz w:val="16"/>
          <w:szCs w:val="16"/>
          <w:color w:val="276092"/>
        </w:rPr>
      </w:pPr>
      <w:r>
        <w:rPr>
          <w:rFonts w:ascii="Arial" w:cs="Arial" w:eastAsia="Arial" w:hAnsi="Arial"/>
          <w:sz w:val="16"/>
          <w:szCs w:val="16"/>
          <w:color w:val="auto"/>
        </w:rPr>
        <w:t>Cap on Annual Bonuses and Performance-Based Long-Term Incentive Share Payouts</w:t>
      </w:r>
    </w:p>
    <w:p>
      <w:pPr>
        <w:spacing w:after="0" w:line="86" w:lineRule="exact"/>
        <w:rPr>
          <w:rFonts w:ascii="Arial" w:cs="Arial" w:eastAsia="Arial" w:hAnsi="Arial"/>
          <w:sz w:val="16"/>
          <w:szCs w:val="16"/>
          <w:color w:val="276092"/>
        </w:rPr>
      </w:pPr>
    </w:p>
    <w:p>
      <w:pPr>
        <w:ind w:left="460" w:right="340" w:hanging="256"/>
        <w:spacing w:after="0" w:line="278" w:lineRule="auto"/>
        <w:tabs>
          <w:tab w:leader="none" w:pos="417" w:val="left"/>
        </w:tabs>
        <w:numPr>
          <w:ilvl w:val="0"/>
          <w:numId w:val="56"/>
        </w:numPr>
        <w:rPr>
          <w:rFonts w:ascii="Arial" w:cs="Arial" w:eastAsia="Arial" w:hAnsi="Arial"/>
          <w:sz w:val="16"/>
          <w:szCs w:val="16"/>
          <w:color w:val="276092"/>
        </w:rPr>
      </w:pPr>
      <w:r>
        <w:rPr>
          <w:rFonts w:ascii="Arial" w:cs="Arial" w:eastAsia="Arial" w:hAnsi="Arial"/>
          <w:sz w:val="16"/>
          <w:szCs w:val="16"/>
          <w:color w:val="auto"/>
        </w:rPr>
        <w:t>Total Direct Target Compensation Aimed at Market Median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2" w:hanging="202"/>
        <w:spacing w:after="0"/>
        <w:tabs>
          <w:tab w:leader="none" w:pos="202" w:val="left"/>
        </w:tabs>
        <w:numPr>
          <w:ilvl w:val="0"/>
          <w:numId w:val="57"/>
        </w:numPr>
        <w:rPr>
          <w:rFonts w:ascii="Arial" w:cs="Arial" w:eastAsia="Arial" w:hAnsi="Arial"/>
          <w:sz w:val="16"/>
          <w:szCs w:val="16"/>
          <w:color w:val="276092"/>
        </w:rPr>
      </w:pPr>
      <w:r>
        <w:rPr>
          <w:rFonts w:ascii="Arial" w:cs="Arial" w:eastAsia="Arial" w:hAnsi="Arial"/>
          <w:sz w:val="16"/>
          <w:szCs w:val="16"/>
          <w:color w:val="auto"/>
        </w:rPr>
        <w:t>Annual Peer Group Review</w:t>
      </w:r>
    </w:p>
    <w:p>
      <w:pPr>
        <w:spacing w:after="0" w:line="140" w:lineRule="exact"/>
        <w:rPr>
          <w:rFonts w:ascii="Arial" w:cs="Arial" w:eastAsia="Arial" w:hAnsi="Arial"/>
          <w:sz w:val="16"/>
          <w:szCs w:val="16"/>
          <w:color w:val="276092"/>
        </w:rPr>
      </w:pPr>
    </w:p>
    <w:p>
      <w:pPr>
        <w:ind w:left="262" w:right="300" w:hanging="262"/>
        <w:spacing w:after="0" w:line="278" w:lineRule="auto"/>
        <w:tabs>
          <w:tab w:leader="none" w:pos="221" w:val="left"/>
        </w:tabs>
        <w:numPr>
          <w:ilvl w:val="0"/>
          <w:numId w:val="57"/>
        </w:numPr>
        <w:rPr>
          <w:rFonts w:ascii="Arial" w:cs="Arial" w:eastAsia="Arial" w:hAnsi="Arial"/>
          <w:sz w:val="16"/>
          <w:szCs w:val="16"/>
          <w:color w:val="276092"/>
        </w:rPr>
      </w:pPr>
      <w:r>
        <w:rPr>
          <w:rFonts w:ascii="Arial" w:cs="Arial" w:eastAsia="Arial" w:hAnsi="Arial"/>
          <w:sz w:val="16"/>
          <w:szCs w:val="16"/>
          <w:color w:val="auto"/>
        </w:rPr>
        <w:t>Independent Consultant Reports Directly to Compensation Committee</w:t>
      </w:r>
    </w:p>
    <w:p>
      <w:pPr>
        <w:spacing w:after="0" w:line="86" w:lineRule="exact"/>
        <w:rPr>
          <w:rFonts w:ascii="Arial" w:cs="Arial" w:eastAsia="Arial" w:hAnsi="Arial"/>
          <w:sz w:val="16"/>
          <w:szCs w:val="16"/>
          <w:color w:val="276092"/>
        </w:rPr>
      </w:pPr>
    </w:p>
    <w:p>
      <w:pPr>
        <w:ind w:left="262" w:right="340" w:hanging="262"/>
        <w:spacing w:after="0" w:line="278" w:lineRule="auto"/>
        <w:tabs>
          <w:tab w:leader="none" w:pos="221" w:val="left"/>
        </w:tabs>
        <w:numPr>
          <w:ilvl w:val="0"/>
          <w:numId w:val="57"/>
        </w:numPr>
        <w:rPr>
          <w:rFonts w:ascii="Arial" w:cs="Arial" w:eastAsia="Arial" w:hAnsi="Arial"/>
          <w:sz w:val="16"/>
          <w:szCs w:val="16"/>
          <w:color w:val="276092"/>
        </w:rPr>
      </w:pPr>
      <w:r>
        <w:rPr>
          <w:rFonts w:ascii="Arial" w:cs="Arial" w:eastAsia="Arial" w:hAnsi="Arial"/>
          <w:sz w:val="16"/>
          <w:szCs w:val="16"/>
          <w:color w:val="auto"/>
        </w:rPr>
        <w:t>Double Trigger Provisions for Change in Control</w:t>
      </w:r>
    </w:p>
    <w:p>
      <w:pPr>
        <w:spacing w:after="0" w:line="86" w:lineRule="exact"/>
        <w:rPr>
          <w:rFonts w:ascii="Arial" w:cs="Arial" w:eastAsia="Arial" w:hAnsi="Arial"/>
          <w:sz w:val="16"/>
          <w:szCs w:val="16"/>
          <w:color w:val="276092"/>
        </w:rPr>
      </w:pPr>
    </w:p>
    <w:p>
      <w:pPr>
        <w:ind w:left="222" w:hanging="222"/>
        <w:spacing w:after="0"/>
        <w:tabs>
          <w:tab w:leader="none" w:pos="222" w:val="left"/>
        </w:tabs>
        <w:numPr>
          <w:ilvl w:val="0"/>
          <w:numId w:val="57"/>
        </w:numPr>
        <w:rPr>
          <w:rFonts w:ascii="Arial" w:cs="Arial" w:eastAsia="Arial" w:hAnsi="Arial"/>
          <w:sz w:val="16"/>
          <w:szCs w:val="16"/>
          <w:color w:val="276092"/>
        </w:rPr>
      </w:pPr>
      <w:r>
        <w:rPr>
          <w:rFonts w:ascii="Arial" w:cs="Arial" w:eastAsia="Arial" w:hAnsi="Arial"/>
          <w:sz w:val="16"/>
          <w:szCs w:val="16"/>
          <w:color w:val="auto"/>
        </w:rPr>
        <w:t>No Individual Change in Control Agreements</w:t>
      </w:r>
    </w:p>
    <w:p>
      <w:pPr>
        <w:spacing w:after="0" w:line="140" w:lineRule="exact"/>
        <w:rPr>
          <w:rFonts w:ascii="Arial" w:cs="Arial" w:eastAsia="Arial" w:hAnsi="Arial"/>
          <w:sz w:val="16"/>
          <w:szCs w:val="16"/>
          <w:color w:val="276092"/>
        </w:rPr>
      </w:pPr>
    </w:p>
    <w:p>
      <w:pPr>
        <w:ind w:left="262" w:right="40" w:hanging="262"/>
        <w:spacing w:after="0" w:line="262" w:lineRule="auto"/>
        <w:tabs>
          <w:tab w:leader="none" w:pos="221" w:val="left"/>
        </w:tabs>
        <w:numPr>
          <w:ilvl w:val="0"/>
          <w:numId w:val="57"/>
        </w:numPr>
        <w:rPr>
          <w:rFonts w:ascii="Arial" w:cs="Arial" w:eastAsia="Arial" w:hAnsi="Arial"/>
          <w:sz w:val="16"/>
          <w:szCs w:val="16"/>
          <w:color w:val="276092"/>
        </w:rPr>
      </w:pPr>
      <w:r>
        <w:rPr>
          <w:rFonts w:ascii="Arial" w:cs="Arial" w:eastAsia="Arial" w:hAnsi="Arial"/>
          <w:sz w:val="16"/>
          <w:szCs w:val="16"/>
          <w:color w:val="auto"/>
        </w:rPr>
        <w:t>No Excise Tax Gross-ups for Payments Received Upon Termination After a Change in Control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09" w:hanging="209"/>
        <w:spacing w:after="0"/>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No Hedging or Pledging of Company Stock</w:t>
      </w:r>
    </w:p>
    <w:p>
      <w:pPr>
        <w:spacing w:after="0" w:line="140" w:lineRule="exact"/>
        <w:rPr>
          <w:rFonts w:ascii="Arial" w:cs="Arial" w:eastAsia="Arial" w:hAnsi="Arial"/>
          <w:sz w:val="16"/>
          <w:szCs w:val="16"/>
          <w:color w:val="276092"/>
        </w:rPr>
      </w:pPr>
    </w:p>
    <w:p>
      <w:pPr>
        <w:ind w:left="209" w:hanging="209"/>
        <w:spacing w:after="0"/>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Dividends Paid Upon Vesting</w:t>
      </w:r>
    </w:p>
    <w:p>
      <w:pPr>
        <w:spacing w:after="0" w:line="140" w:lineRule="exact"/>
        <w:rPr>
          <w:rFonts w:ascii="Arial" w:cs="Arial" w:eastAsia="Arial" w:hAnsi="Arial"/>
          <w:sz w:val="16"/>
          <w:szCs w:val="16"/>
          <w:color w:val="276092"/>
        </w:rPr>
      </w:pPr>
    </w:p>
    <w:p>
      <w:pPr>
        <w:ind w:left="249" w:right="20" w:hanging="249"/>
        <w:spacing w:after="0" w:line="278" w:lineRule="auto"/>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Recoupment Policy on Incentive Compensation Payments</w:t>
      </w:r>
    </w:p>
    <w:p>
      <w:pPr>
        <w:spacing w:after="0" w:line="86" w:lineRule="exact"/>
        <w:rPr>
          <w:rFonts w:ascii="Arial" w:cs="Arial" w:eastAsia="Arial" w:hAnsi="Arial"/>
          <w:sz w:val="16"/>
          <w:szCs w:val="16"/>
          <w:color w:val="276092"/>
        </w:rPr>
      </w:pPr>
    </w:p>
    <w:p>
      <w:pPr>
        <w:ind w:left="249" w:right="20" w:hanging="249"/>
        <w:spacing w:after="0" w:line="278" w:lineRule="auto"/>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Stock Ownership Guidelines and Stock Holding Requirements</w:t>
      </w:r>
    </w:p>
    <w:p>
      <w:pPr>
        <w:spacing w:after="0" w:line="86" w:lineRule="exact"/>
        <w:rPr>
          <w:rFonts w:ascii="Arial" w:cs="Arial" w:eastAsia="Arial" w:hAnsi="Arial"/>
          <w:sz w:val="16"/>
          <w:szCs w:val="16"/>
          <w:color w:val="276092"/>
        </w:rPr>
      </w:pPr>
    </w:p>
    <w:p>
      <w:pPr>
        <w:ind w:left="209" w:hanging="209"/>
        <w:spacing w:after="0"/>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Regular Risk Assessments Performed</w:t>
      </w:r>
    </w:p>
    <w:p>
      <w:pPr>
        <w:spacing w:after="0" w:line="140" w:lineRule="exact"/>
        <w:rPr>
          <w:rFonts w:ascii="Arial" w:cs="Arial" w:eastAsia="Arial" w:hAnsi="Arial"/>
          <w:sz w:val="16"/>
          <w:szCs w:val="16"/>
          <w:color w:val="276092"/>
        </w:rPr>
      </w:pPr>
    </w:p>
    <w:p>
      <w:pPr>
        <w:ind w:left="249" w:right="300" w:hanging="249"/>
        <w:spacing w:after="0" w:line="278" w:lineRule="auto"/>
        <w:tabs>
          <w:tab w:leader="none" w:pos="209" w:val="left"/>
        </w:tabs>
        <w:numPr>
          <w:ilvl w:val="0"/>
          <w:numId w:val="58"/>
        </w:numPr>
        <w:rPr>
          <w:rFonts w:ascii="Arial" w:cs="Arial" w:eastAsia="Arial" w:hAnsi="Arial"/>
          <w:sz w:val="16"/>
          <w:szCs w:val="16"/>
          <w:color w:val="276092"/>
        </w:rPr>
      </w:pPr>
      <w:r>
        <w:rPr>
          <w:rFonts w:ascii="Arial" w:cs="Arial" w:eastAsia="Arial" w:hAnsi="Arial"/>
          <w:sz w:val="16"/>
          <w:szCs w:val="16"/>
          <w:color w:val="auto"/>
        </w:rPr>
        <w:t>No Employment Contracts for CEO or other NEOs</w:t>
      </w:r>
    </w:p>
    <w:p>
      <w:pPr>
        <w:spacing w:after="0" w:line="122" w:lineRule="exact"/>
        <w:rPr>
          <w:sz w:val="20"/>
          <w:szCs w:val="20"/>
          <w:color w:val="auto"/>
        </w:rPr>
      </w:pPr>
    </w:p>
    <w:p>
      <w:pPr>
        <w:sectPr>
          <w:pgSz w:w="11900" w:h="16838" w:orient="portrait"/>
          <w:cols w:equalWidth="0" w:num="3">
            <w:col w:w="3840" w:space="118"/>
            <w:col w:w="3422" w:space="211"/>
            <w:col w:w="3629"/>
          </w:cols>
          <w:pgMar w:left="240" w:top="459" w:right="439" w:bottom="1440" w:gutter="0" w:footer="0" w:header="0"/>
          <w:type w:val="continuous"/>
        </w:sect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33</w:t>
      </w:r>
    </w:p>
    <w:p>
      <w:pPr>
        <w:sectPr>
          <w:pgSz w:w="11900" w:h="16838" w:orient="portrait"/>
          <w:cols w:equalWidth="0" w:num="1">
            <w:col w:w="11220"/>
          </w:cols>
          <w:pgMar w:left="24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E</w:t>
      </w:r>
      <w:r>
        <w:rPr>
          <w:rFonts w:ascii="Arial" w:cs="Arial" w:eastAsia="Arial" w:hAnsi="Arial"/>
          <w:sz w:val="18"/>
          <w:szCs w:val="18"/>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8"/>
          <w:szCs w:val="18"/>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continued to generate strong financial results in 2017, including higher segment operating income and, excluding 2017 tax reform and our related discretionary pension contribution impacts, higher earnings, cash from operations and free cash flow*. 2017 diluted earnings per share were $11.47 and excluding 2017 tax reform and our related discretionary pension contribution impacts were $13.28*. Our strong cash generation allowed us to invest $928 million in our business and return more than $1 billion to our shareholders through share repurchases and dividends. Operational performance and effective capital deployment supported a 33.9% TSR in 2017.</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166370</wp:posOffset>
            </wp:positionV>
            <wp:extent cx="4339590" cy="26587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3959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166370</wp:posOffset>
            </wp:positionV>
            <wp:extent cx="4288155" cy="26587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8815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ectPr>
          <w:pgSz w:w="11900" w:h="16838" w:orient="portrait"/>
          <w:cols w:equalWidth="0" w:num="1">
            <w:col w:w="11200"/>
          </w:cols>
          <w:pgMar w:left="240" w:top="459" w:right="459" w:bottom="1440" w:gutter="0" w:footer="0" w:header="0"/>
        </w:sectPr>
      </w:pPr>
    </w:p>
    <w:p>
      <w:pPr>
        <w:spacing w:after="0" w:line="148" w:lineRule="exact"/>
        <w:rPr>
          <w:sz w:val="20"/>
          <w:szCs w:val="20"/>
          <w:color w:val="auto"/>
        </w:rPr>
      </w:pPr>
    </w:p>
    <w:p>
      <w:pPr>
        <w:ind w:left="460" w:hanging="256"/>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E</w:t>
      </w:r>
      <w:r>
        <w:rPr>
          <w:rFonts w:ascii="Arial" w:cs="Arial" w:eastAsia="Arial" w:hAnsi="Arial"/>
          <w:sz w:val="18"/>
          <w:szCs w:val="18"/>
          <w:b w:val="1"/>
          <w:bCs w:val="1"/>
          <w:color w:val="FFFFFF"/>
        </w:rPr>
        <w:t>XECUTIVE</w:t>
      </w:r>
      <w:r>
        <w:rPr>
          <w:rFonts w:ascii="Arial" w:cs="Arial" w:eastAsia="Arial" w:hAnsi="Arial"/>
          <w:sz w:val="22"/>
          <w:szCs w:val="22"/>
          <w:b w:val="1"/>
          <w:bCs w:val="1"/>
          <w:color w:val="FFFFFF"/>
        </w:rPr>
        <w:t xml:space="preserve"> S</w:t>
      </w:r>
      <w:r>
        <w:rPr>
          <w:rFonts w:ascii="Arial" w:cs="Arial" w:eastAsia="Arial" w:hAnsi="Arial"/>
          <w:sz w:val="18"/>
          <w:szCs w:val="18"/>
          <w:b w:val="1"/>
          <w:bCs w:val="1"/>
          <w:color w:val="FFFFFF"/>
        </w:rPr>
        <w:t>UMMARY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Management and the Compensation Committee believe our executive compensation programs are competitive and support achieving strong financial performance while investing for profitable growth and value creation over the long-term. A 96% shareholder majority approved last year’s say-on-pay proposal, and our ongoing shareholder engagement indicates continued support for the structure and elements of our executive incentive compensation programs.</w:t>
      </w:r>
    </w:p>
    <w:p>
      <w:pPr>
        <w:spacing w:after="0" w:line="32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Performance Incentive Compensation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results, which have been adjusted to exclude the impacts of the Tax Cuts and Jobs Act (the “2017 Tax Act”), for AIP metrics:</w:t>
      </w:r>
    </w:p>
    <w:p>
      <w:pPr>
        <w:spacing w:after="0" w:line="117" w:lineRule="exact"/>
        <w:rPr>
          <w:sz w:val="20"/>
          <w:szCs w:val="20"/>
          <w:color w:val="auto"/>
        </w:rPr>
      </w:pPr>
    </w:p>
    <w:p>
      <w:pPr>
        <w:ind w:left="520" w:hanging="316"/>
        <w:spacing w:after="0"/>
        <w:tabs>
          <w:tab w:leader="none" w:pos="520" w:val="left"/>
        </w:tabs>
        <w:numPr>
          <w:ilvl w:val="0"/>
          <w:numId w:val="60"/>
        </w:numPr>
        <w:rPr>
          <w:rFonts w:ascii="Arial" w:cs="Arial" w:eastAsia="Arial" w:hAnsi="Arial"/>
          <w:sz w:val="18"/>
          <w:szCs w:val="18"/>
          <w:color w:val="276092"/>
        </w:rPr>
      </w:pPr>
      <w:r>
        <w:rPr>
          <w:rFonts w:ascii="Arial" w:cs="Arial" w:eastAsia="Arial" w:hAnsi="Arial"/>
          <w:sz w:val="18"/>
          <w:szCs w:val="18"/>
          <w:color w:val="auto"/>
        </w:rPr>
        <w:t>Pension-adjusted OM Rate*: 10.5%</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60"/>
        </w:numPr>
        <w:rPr>
          <w:rFonts w:ascii="Arial" w:cs="Arial" w:eastAsia="Arial" w:hAnsi="Arial"/>
          <w:sz w:val="18"/>
          <w:szCs w:val="18"/>
          <w:color w:val="276092"/>
        </w:rPr>
      </w:pPr>
      <w:r>
        <w:rPr>
          <w:rFonts w:ascii="Arial" w:cs="Arial" w:eastAsia="Arial" w:hAnsi="Arial"/>
          <w:sz w:val="18"/>
          <w:szCs w:val="18"/>
          <w:color w:val="auto"/>
        </w:rPr>
        <w:t>Cash Flow from Operations Conversion*: 127%</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60"/>
        </w:numPr>
        <w:rPr>
          <w:rFonts w:ascii="Arial" w:cs="Arial" w:eastAsia="Arial" w:hAnsi="Arial"/>
          <w:sz w:val="18"/>
          <w:szCs w:val="18"/>
          <w:color w:val="276092"/>
        </w:rPr>
      </w:pPr>
      <w:r>
        <w:rPr>
          <w:rFonts w:ascii="Arial" w:cs="Arial" w:eastAsia="Arial" w:hAnsi="Arial"/>
          <w:sz w:val="18"/>
          <w:szCs w:val="18"/>
          <w:color w:val="auto"/>
        </w:rPr>
        <w:t>Pension-adjusted Net Income* Growth: $1.93B</w:t>
      </w:r>
    </w:p>
    <w:p>
      <w:pPr>
        <w:spacing w:after="0" w:line="11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For the LTIP, our three-year TSR score covering 2015-2017 was at the 89th percentile as measured against the 2015 Performance Peer Group identified on page 38 and the 96th percentile as measured against the S&amp;P industrials. Over the last three years, the weighting of our LTIP RPSR metrics has transitioned from 100% TSR in 2015-2017 to 70% TSR and 30% Cumulative FCF* in 2016-2018 to the current 50% TSR and 50% Cumulative FCF* weighting. The weighting transition reflects a desire for a better balance between relative TSR performance and an operational metric more directly impacted by management decisions and behaviors.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have a balanced pay for performance compensation structure that places an appropriate level of compensation at risk, based on our financial and non-financial performance measures and relative TSR. The AIP award is determined by our financial performance and is subject to a downward only adjustment for performance against non-financial goals. For NEOs, the value of LTIP RPSR compensation is weighted 50% to relative TSR and 50% to Cumulative FCF*. Achievement of both annual and long-term incentive goals will result in individual awards commensurate with results; however, if absolute TSR is negative, the maximum relative TSR payout is capped at 100%, even if the relative TSR would have resulted in a higher score. The following charts show performance-based compensation elements at target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146685</wp:posOffset>
            </wp:positionV>
            <wp:extent cx="5188585" cy="26498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8858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35</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We provide an attractive, flexible and market-based total compensation program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9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Our goal is to lead our industry in sustainable performance, while maintaining strong, enduring values. The targets and thresholds of our AIP are based on the performance of our peers and the market. Our 2017 LTIP metrics are based on (1) TSR relative to our Performance Peer Group and the S&amp;P Industrials and (2) Cumulative FCF*. For each plan, we selected metrics that drive shareholder value and benchmark our performance against our peers and the market. Our executive compensation and benefit programs are guided by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146685</wp:posOffset>
            </wp:positionV>
            <wp:extent cx="7006590" cy="4718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06590" cy="471805"/>
                    </a:xfrm>
                    <a:prstGeom prst="rect">
                      <a:avLst/>
                    </a:prstGeom>
                    <a:noFill/>
                  </pic:spPr>
                </pic:pic>
              </a:graphicData>
            </a:graphic>
          </wp:anchor>
        </w:drawing>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Pay for Performance</w:t>
      </w:r>
    </w:p>
    <w:p>
      <w:pPr>
        <w:spacing w:after="0" w:line="180" w:lineRule="exact"/>
        <w:rPr>
          <w:sz w:val="20"/>
          <w:szCs w:val="20"/>
          <w:color w:val="auto"/>
        </w:rPr>
      </w:pPr>
    </w:p>
    <w:p>
      <w:pPr>
        <w:ind w:left="680" w:hanging="265"/>
        <w:spacing w:after="0"/>
        <w:tabs>
          <w:tab w:leader="none" w:pos="680" w:val="left"/>
        </w:tabs>
        <w:numPr>
          <w:ilvl w:val="0"/>
          <w:numId w:val="61"/>
        </w:numPr>
        <w:rPr>
          <w:rFonts w:ascii="Arial" w:cs="Arial" w:eastAsia="Arial" w:hAnsi="Arial"/>
          <w:sz w:val="16"/>
          <w:szCs w:val="16"/>
          <w:color w:val="276092"/>
        </w:rPr>
      </w:pPr>
      <w:r>
        <w:rPr>
          <w:rFonts w:ascii="Arial" w:cs="Arial" w:eastAsia="Arial" w:hAnsi="Arial"/>
          <w:sz w:val="16"/>
          <w:szCs w:val="16"/>
          <w:color w:val="auto"/>
        </w:rPr>
        <w:t>Our incentive plans are based on peer and market benchmarked performance metrics.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Leadership Retention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-160655</wp:posOffset>
            </wp:positionV>
            <wp:extent cx="7006590" cy="6343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06590" cy="634365"/>
                    </a:xfrm>
                    <a:prstGeom prst="rect">
                      <a:avLst/>
                    </a:prstGeom>
                    <a:noFill/>
                  </pic:spPr>
                </pic:pic>
              </a:graphicData>
            </a:graphic>
          </wp:anchor>
        </w:drawing>
      </w:r>
    </w:p>
    <w:p>
      <w:pPr>
        <w:spacing w:after="0" w:line="119" w:lineRule="exact"/>
        <w:rPr>
          <w:sz w:val="20"/>
          <w:szCs w:val="20"/>
          <w:color w:val="auto"/>
        </w:rPr>
      </w:pPr>
    </w:p>
    <w:p>
      <w:pPr>
        <w:ind w:left="680" w:hanging="265"/>
        <w:spacing w:after="0"/>
        <w:tabs>
          <w:tab w:leader="none" w:pos="680" w:val="left"/>
        </w:tabs>
        <w:numPr>
          <w:ilvl w:val="0"/>
          <w:numId w:val="62"/>
        </w:numPr>
        <w:rPr>
          <w:rFonts w:ascii="Arial" w:cs="Arial" w:eastAsia="Arial" w:hAnsi="Arial"/>
          <w:sz w:val="16"/>
          <w:szCs w:val="16"/>
          <w:color w:val="276092"/>
        </w:rPr>
      </w:pPr>
      <w:r>
        <w:rPr>
          <w:rFonts w:ascii="Arial" w:cs="Arial" w:eastAsia="Arial" w:hAnsi="Arial"/>
          <w:sz w:val="16"/>
          <w:szCs w:val="16"/>
          <w:color w:val="auto"/>
        </w:rPr>
        <w:t>Compensation is designed to be competitive within our industry and retain top talent.</w:t>
      </w:r>
    </w:p>
    <w:p>
      <w:pPr>
        <w:spacing w:after="0" w:line="153" w:lineRule="exact"/>
        <w:rPr>
          <w:rFonts w:ascii="Arial" w:cs="Arial" w:eastAsia="Arial" w:hAnsi="Arial"/>
          <w:sz w:val="16"/>
          <w:szCs w:val="16"/>
          <w:color w:val="276092"/>
        </w:rPr>
      </w:pPr>
    </w:p>
    <w:p>
      <w:pPr>
        <w:ind w:left="680" w:hanging="265"/>
        <w:spacing w:after="0"/>
        <w:tabs>
          <w:tab w:leader="none" w:pos="680" w:val="left"/>
        </w:tabs>
        <w:numPr>
          <w:ilvl w:val="0"/>
          <w:numId w:val="62"/>
        </w:numPr>
        <w:rPr>
          <w:rFonts w:ascii="Arial" w:cs="Arial" w:eastAsia="Arial" w:hAnsi="Arial"/>
          <w:sz w:val="16"/>
          <w:szCs w:val="16"/>
          <w:color w:val="276092"/>
        </w:rPr>
      </w:pPr>
      <w:r>
        <w:rPr>
          <w:rFonts w:ascii="Arial" w:cs="Arial" w:eastAsia="Arial" w:hAnsi="Arial"/>
          <w:sz w:val="16"/>
          <w:szCs w:val="16"/>
          <w:color w:val="auto"/>
        </w:rPr>
        <w:t>Programs are designed to motivate and reward NEOs for delivering operational and strategic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7006590" cy="5918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06590" cy="591820"/>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Sustainable Performance</w:t>
      </w:r>
    </w:p>
    <w:p>
      <w:pPr>
        <w:spacing w:after="0" w:line="180" w:lineRule="exact"/>
        <w:rPr>
          <w:sz w:val="20"/>
          <w:szCs w:val="20"/>
          <w:color w:val="auto"/>
        </w:rPr>
      </w:pPr>
    </w:p>
    <w:p>
      <w:pPr>
        <w:ind w:left="740" w:hanging="325"/>
        <w:spacing w:after="0" w:line="278" w:lineRule="auto"/>
        <w:tabs>
          <w:tab w:leader="none" w:pos="683" w:val="left"/>
        </w:tabs>
        <w:numPr>
          <w:ilvl w:val="0"/>
          <w:numId w:val="63"/>
        </w:numPr>
        <w:rPr>
          <w:rFonts w:ascii="Arial" w:cs="Arial" w:eastAsia="Arial" w:hAnsi="Arial"/>
          <w:sz w:val="16"/>
          <w:szCs w:val="16"/>
          <w:color w:val="276092"/>
        </w:rPr>
      </w:pPr>
      <w:r>
        <w:rPr>
          <w:rFonts w:ascii="Arial" w:cs="Arial" w:eastAsia="Arial" w:hAnsi="Arial"/>
          <w:sz w:val="16"/>
          <w:szCs w:val="16"/>
          <w:color w:val="auto"/>
        </w:rPr>
        <w:t>Our AIP includes both financial and non-financial metrics to ensure we are building a strong foundation for long-term sustainable performance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7006590" cy="10890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06590" cy="1089025"/>
                    </a:xfrm>
                    <a:prstGeom prst="rect">
                      <a:avLst/>
                    </a:prstGeom>
                    <a:noFill/>
                  </pic:spPr>
                </pic:pic>
              </a:graphicData>
            </a:graphic>
          </wp:anchor>
        </w:drawing>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Alignment with Shareholder Interests</w:t>
      </w:r>
    </w:p>
    <w:p>
      <w:pPr>
        <w:spacing w:after="0" w:line="180" w:lineRule="exact"/>
        <w:rPr>
          <w:sz w:val="20"/>
          <w:szCs w:val="20"/>
          <w:color w:val="auto"/>
        </w:rPr>
      </w:pPr>
    </w:p>
    <w:p>
      <w:pPr>
        <w:ind w:left="680" w:hanging="265"/>
        <w:spacing w:after="0"/>
        <w:tabs>
          <w:tab w:leader="none" w:pos="680" w:val="left"/>
        </w:tabs>
        <w:numPr>
          <w:ilvl w:val="0"/>
          <w:numId w:val="64"/>
        </w:numPr>
        <w:rPr>
          <w:rFonts w:ascii="Arial" w:cs="Arial" w:eastAsia="Arial" w:hAnsi="Arial"/>
          <w:sz w:val="16"/>
          <w:szCs w:val="16"/>
          <w:color w:val="276092"/>
        </w:rPr>
      </w:pPr>
      <w:r>
        <w:rPr>
          <w:rFonts w:ascii="Arial" w:cs="Arial" w:eastAsia="Arial" w:hAnsi="Arial"/>
          <w:sz w:val="16"/>
          <w:szCs w:val="16"/>
          <w:color w:val="auto"/>
        </w:rPr>
        <w:t>Our compensation structure places an appropriate amount of compensation at risk based on annual and long-term results.</w:t>
      </w:r>
    </w:p>
    <w:p>
      <w:pPr>
        <w:spacing w:after="0" w:line="140" w:lineRule="exact"/>
        <w:rPr>
          <w:rFonts w:ascii="Arial" w:cs="Arial" w:eastAsia="Arial" w:hAnsi="Arial"/>
          <w:sz w:val="16"/>
          <w:szCs w:val="16"/>
          <w:color w:val="276092"/>
        </w:rPr>
      </w:pPr>
    </w:p>
    <w:p>
      <w:pPr>
        <w:ind w:left="680" w:hanging="265"/>
        <w:spacing w:after="0"/>
        <w:tabs>
          <w:tab w:leader="none" w:pos="680" w:val="left"/>
        </w:tabs>
        <w:numPr>
          <w:ilvl w:val="0"/>
          <w:numId w:val="64"/>
        </w:numPr>
        <w:rPr>
          <w:rFonts w:ascii="Arial" w:cs="Arial" w:eastAsia="Arial" w:hAnsi="Arial"/>
          <w:sz w:val="16"/>
          <w:szCs w:val="16"/>
          <w:color w:val="276092"/>
        </w:rPr>
      </w:pPr>
      <w:r>
        <w:rPr>
          <w:rFonts w:ascii="Arial" w:cs="Arial" w:eastAsia="Arial" w:hAnsi="Arial"/>
          <w:sz w:val="16"/>
          <w:szCs w:val="16"/>
          <w:color w:val="auto"/>
        </w:rPr>
        <w:t>At-risk compensation is based on financial and non-financial performance measures and relative TSR.</w:t>
      </w:r>
    </w:p>
    <w:p>
      <w:pPr>
        <w:spacing w:after="0" w:line="140" w:lineRule="exact"/>
        <w:rPr>
          <w:rFonts w:ascii="Arial" w:cs="Arial" w:eastAsia="Arial" w:hAnsi="Arial"/>
          <w:sz w:val="16"/>
          <w:szCs w:val="16"/>
          <w:color w:val="276092"/>
        </w:rPr>
      </w:pPr>
    </w:p>
    <w:p>
      <w:pPr>
        <w:ind w:left="680" w:hanging="265"/>
        <w:spacing w:after="0"/>
        <w:tabs>
          <w:tab w:leader="none" w:pos="680" w:val="left"/>
        </w:tabs>
        <w:numPr>
          <w:ilvl w:val="0"/>
          <w:numId w:val="64"/>
        </w:numPr>
        <w:rPr>
          <w:rFonts w:ascii="Arial" w:cs="Arial" w:eastAsia="Arial" w:hAnsi="Arial"/>
          <w:sz w:val="16"/>
          <w:szCs w:val="16"/>
          <w:color w:val="276092"/>
        </w:rPr>
      </w:pPr>
      <w:r>
        <w:rPr>
          <w:rFonts w:ascii="Arial" w:cs="Arial" w:eastAsia="Arial" w:hAnsi="Arial"/>
          <w:sz w:val="16"/>
          <w:szCs w:val="16"/>
          <w:color w:val="auto"/>
        </w:rPr>
        <w:t>A significant portion of compensation is delivered in equity, the vesting and value of which provides alignment with shareholder returns.</w:t>
      </w:r>
    </w:p>
    <w:p>
      <w:pPr>
        <w:spacing w:after="0" w:line="140" w:lineRule="exact"/>
        <w:rPr>
          <w:rFonts w:ascii="Arial" w:cs="Arial" w:eastAsia="Arial" w:hAnsi="Arial"/>
          <w:sz w:val="16"/>
          <w:szCs w:val="16"/>
          <w:color w:val="276092"/>
        </w:rPr>
      </w:pPr>
    </w:p>
    <w:p>
      <w:pPr>
        <w:ind w:left="680" w:hanging="265"/>
        <w:spacing w:after="0"/>
        <w:tabs>
          <w:tab w:leader="none" w:pos="680" w:val="left"/>
        </w:tabs>
        <w:numPr>
          <w:ilvl w:val="0"/>
          <w:numId w:val="64"/>
        </w:numPr>
        <w:rPr>
          <w:rFonts w:ascii="Arial" w:cs="Arial" w:eastAsia="Arial" w:hAnsi="Arial"/>
          <w:sz w:val="16"/>
          <w:szCs w:val="16"/>
          <w:color w:val="276092"/>
        </w:rPr>
      </w:pPr>
      <w:r>
        <w:rPr>
          <w:rFonts w:ascii="Arial" w:cs="Arial" w:eastAsia="Arial" w:hAnsi="Arial"/>
          <w:sz w:val="16"/>
          <w:szCs w:val="16"/>
          <w:color w:val="auto"/>
        </w:rPr>
        <w:t>Stock ownership guidelines, holding requirements for equity awards and our recoupment policy further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104775</wp:posOffset>
            </wp:positionV>
            <wp:extent cx="7006590" cy="11233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06590" cy="1123315"/>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Benchmarking</w:t>
      </w:r>
    </w:p>
    <w:p>
      <w:pPr>
        <w:spacing w:after="0" w:line="180" w:lineRule="exact"/>
        <w:rPr>
          <w:sz w:val="20"/>
          <w:szCs w:val="20"/>
          <w:color w:val="auto"/>
        </w:rPr>
      </w:pPr>
    </w:p>
    <w:p>
      <w:pPr>
        <w:ind w:left="740" w:right="540" w:hanging="325"/>
        <w:spacing w:after="0" w:line="278" w:lineRule="auto"/>
        <w:tabs>
          <w:tab w:leader="none" w:pos="683" w:val="left"/>
        </w:tabs>
        <w:numPr>
          <w:ilvl w:val="0"/>
          <w:numId w:val="65"/>
        </w:numPr>
        <w:rPr>
          <w:rFonts w:ascii="Arial" w:cs="Arial" w:eastAsia="Arial" w:hAnsi="Arial"/>
          <w:sz w:val="16"/>
          <w:szCs w:val="16"/>
          <w:color w:val="276092"/>
        </w:rPr>
      </w:pPr>
      <w:r>
        <w:rPr>
          <w:rFonts w:ascii="Arial" w:cs="Arial" w:eastAsia="Arial" w:hAnsi="Arial"/>
          <w:sz w:val="16"/>
          <w:szCs w:val="16"/>
          <w:color w:val="auto"/>
        </w:rPr>
        <w:t>Compensation program provisions and financial objectives are evaluated on an annual basis and modified in accordance with industry and business conditions.</w:t>
      </w:r>
    </w:p>
    <w:p>
      <w:pPr>
        <w:spacing w:after="0" w:line="86" w:lineRule="exact"/>
        <w:rPr>
          <w:rFonts w:ascii="Arial" w:cs="Arial" w:eastAsia="Arial" w:hAnsi="Arial"/>
          <w:sz w:val="16"/>
          <w:szCs w:val="16"/>
          <w:color w:val="276092"/>
        </w:rPr>
      </w:pPr>
    </w:p>
    <w:p>
      <w:pPr>
        <w:ind w:left="680" w:hanging="265"/>
        <w:spacing w:after="0"/>
        <w:tabs>
          <w:tab w:leader="none" w:pos="680" w:val="left"/>
        </w:tabs>
        <w:numPr>
          <w:ilvl w:val="0"/>
          <w:numId w:val="65"/>
        </w:numPr>
        <w:rPr>
          <w:rFonts w:ascii="Arial" w:cs="Arial" w:eastAsia="Arial" w:hAnsi="Arial"/>
          <w:sz w:val="16"/>
          <w:szCs w:val="16"/>
          <w:color w:val="276092"/>
        </w:rPr>
      </w:pPr>
      <w:r>
        <w:rPr>
          <w:rFonts w:ascii="Arial" w:cs="Arial" w:eastAsia="Arial" w:hAnsi="Arial"/>
          <w:sz w:val="16"/>
          <w:szCs w:val="16"/>
          <w:color w:val="auto"/>
        </w:rPr>
        <w:t>We seek to outperform our peers (a group of top global defense companies identified as the Performance Peer Group on page 38).</w:t>
      </w:r>
    </w:p>
    <w:p>
      <w:pPr>
        <w:spacing w:after="0" w:line="140" w:lineRule="exact"/>
        <w:rPr>
          <w:rFonts w:ascii="Arial" w:cs="Arial" w:eastAsia="Arial" w:hAnsi="Arial"/>
          <w:sz w:val="16"/>
          <w:szCs w:val="16"/>
          <w:color w:val="276092"/>
        </w:rPr>
      </w:pPr>
    </w:p>
    <w:p>
      <w:pPr>
        <w:ind w:left="740" w:hanging="325"/>
        <w:spacing w:after="0" w:line="278" w:lineRule="auto"/>
        <w:tabs>
          <w:tab w:leader="none" w:pos="683" w:val="left"/>
        </w:tabs>
        <w:numPr>
          <w:ilvl w:val="0"/>
          <w:numId w:val="65"/>
        </w:numPr>
        <w:rPr>
          <w:rFonts w:ascii="Arial" w:cs="Arial" w:eastAsia="Arial" w:hAnsi="Arial"/>
          <w:sz w:val="16"/>
          <w:szCs w:val="16"/>
          <w:color w:val="276092"/>
        </w:rPr>
      </w:pPr>
      <w:r>
        <w:rPr>
          <w:rFonts w:ascii="Arial" w:cs="Arial" w:eastAsia="Arial" w:hAnsi="Arial"/>
          <w:sz w:val="16"/>
          <w:szCs w:val="16"/>
          <w:color w:val="auto"/>
        </w:rPr>
        <w:t>We use a Target Industry Peer Group (identified on page 39) for broader market executive compensation analyses that includes companies based on a peer-of-peers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71120</wp:posOffset>
            </wp:positionV>
            <wp:extent cx="7006590" cy="11233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06590" cy="1123315"/>
                    </a:xfrm>
                    <a:prstGeom prst="rect">
                      <a:avLst/>
                    </a:prstGeom>
                    <a:noFill/>
                  </pic:spPr>
                </pic:pic>
              </a:graphicData>
            </a:graphic>
          </wp:anchor>
        </w:drawing>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23"/>
          <w:szCs w:val="23"/>
          <w:b w:val="1"/>
          <w:bCs w:val="1"/>
          <w:color w:val="276092"/>
        </w:rPr>
        <w:t>Compensation Risk Management</w:t>
      </w:r>
    </w:p>
    <w:p>
      <w:pPr>
        <w:spacing w:after="0" w:line="180" w:lineRule="exact"/>
        <w:rPr>
          <w:sz w:val="20"/>
          <w:szCs w:val="20"/>
          <w:color w:val="auto"/>
        </w:rPr>
      </w:pPr>
    </w:p>
    <w:p>
      <w:pPr>
        <w:ind w:left="740" w:right="360" w:hanging="325"/>
        <w:spacing w:after="0" w:line="278" w:lineRule="auto"/>
        <w:tabs>
          <w:tab w:leader="none" w:pos="680" w:val="left"/>
        </w:tabs>
        <w:numPr>
          <w:ilvl w:val="0"/>
          <w:numId w:val="66"/>
        </w:numPr>
        <w:rPr>
          <w:rFonts w:ascii="Arial" w:cs="Arial" w:eastAsia="Arial" w:hAnsi="Arial"/>
          <w:sz w:val="16"/>
          <w:szCs w:val="16"/>
          <w:color w:val="276092"/>
        </w:rPr>
      </w:pPr>
      <w:r>
        <w:rPr>
          <w:rFonts w:ascii="Arial" w:cs="Arial" w:eastAsia="Arial" w:hAnsi="Arial"/>
          <w:sz w:val="16"/>
          <w:szCs w:val="16"/>
          <w:color w:val="auto"/>
        </w:rPr>
        <w:t>The Compensation Committee, together with its independent compensation consultant, conducts an annual assessment of the compensation programs to determine if there are potential material risks to the Company.</w:t>
      </w:r>
    </w:p>
    <w:p>
      <w:pPr>
        <w:spacing w:after="0" w:line="86" w:lineRule="exact"/>
        <w:rPr>
          <w:rFonts w:ascii="Arial" w:cs="Arial" w:eastAsia="Arial" w:hAnsi="Arial"/>
          <w:sz w:val="16"/>
          <w:szCs w:val="16"/>
          <w:color w:val="276092"/>
        </w:rPr>
      </w:pPr>
    </w:p>
    <w:p>
      <w:pPr>
        <w:ind w:left="740" w:right="620" w:hanging="325"/>
        <w:spacing w:after="0" w:line="278" w:lineRule="auto"/>
        <w:tabs>
          <w:tab w:leader="none" w:pos="683" w:val="left"/>
        </w:tabs>
        <w:numPr>
          <w:ilvl w:val="0"/>
          <w:numId w:val="66"/>
        </w:numPr>
        <w:rPr>
          <w:rFonts w:ascii="Arial" w:cs="Arial" w:eastAsia="Arial" w:hAnsi="Arial"/>
          <w:sz w:val="16"/>
          <w:szCs w:val="16"/>
          <w:color w:val="276092"/>
        </w:rPr>
      </w:pPr>
      <w:r>
        <w:rPr>
          <w:rFonts w:ascii="Arial" w:cs="Arial" w:eastAsia="Arial" w:hAnsi="Arial"/>
          <w:sz w:val="16"/>
          <w:szCs w:val="16"/>
          <w:color w:val="auto"/>
        </w:rPr>
        <w:t>Both the Compensation Committee and its independent compensation consultant evaluate the mix of at-risk compensation linked to stock appreciation.</w:t>
      </w:r>
    </w:p>
    <w:p>
      <w:pPr>
        <w:spacing w:after="0" w:line="86" w:lineRule="exact"/>
        <w:rPr>
          <w:rFonts w:ascii="Arial" w:cs="Arial" w:eastAsia="Arial" w:hAnsi="Arial"/>
          <w:sz w:val="16"/>
          <w:szCs w:val="16"/>
          <w:color w:val="276092"/>
        </w:rPr>
      </w:pPr>
    </w:p>
    <w:p>
      <w:pPr>
        <w:ind w:left="680" w:hanging="265"/>
        <w:spacing w:after="0"/>
        <w:tabs>
          <w:tab w:leader="none" w:pos="680" w:val="left"/>
        </w:tabs>
        <w:numPr>
          <w:ilvl w:val="0"/>
          <w:numId w:val="66"/>
        </w:numPr>
        <w:rPr>
          <w:rFonts w:ascii="Arial" w:cs="Arial" w:eastAsia="Arial" w:hAnsi="Arial"/>
          <w:sz w:val="16"/>
          <w:szCs w:val="16"/>
          <w:color w:val="276092"/>
        </w:rPr>
      </w:pPr>
      <w:r>
        <w:rPr>
          <w:rFonts w:ascii="Arial" w:cs="Arial" w:eastAsia="Arial" w:hAnsi="Arial"/>
          <w:sz w:val="16"/>
          <w:szCs w:val="16"/>
          <w:color w:val="auto"/>
        </w:rPr>
        <w:t>The assessment is to confirm there is an appropriate balance in the executive compensation programs, practices and policies.</w:t>
      </w:r>
    </w:p>
    <w:p>
      <w:pPr>
        <w:spacing w:after="0" w:line="229" w:lineRule="exact"/>
        <w:rPr>
          <w:sz w:val="20"/>
          <w:szCs w:val="20"/>
          <w:color w:val="auto"/>
        </w:rPr>
      </w:pPr>
    </w:p>
    <w:p>
      <w:pPr>
        <w:ind w:left="460" w:hanging="256"/>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40"/>
          </w:cols>
          <w:pgMar w:left="24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How We Make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Role of the Compensation Committee</w:t>
      </w:r>
    </w:p>
    <w:p>
      <w:pPr>
        <w:spacing w:after="0" w:line="12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Compensation Committee is responsible for overseeing our compensation policies, incentive and equity compensation plans and approving payments or grants under these plans for elected officers (other than the CEO). The Compensation Committee recommends the compensation for our CEO to the independent directors of the Board for approval and approves the compensation for the other NEOs. In performing its duties, the Compensation Committee:</w:t>
      </w:r>
    </w:p>
    <w:p>
      <w:pPr>
        <w:spacing w:after="0" w:line="107" w:lineRule="exact"/>
        <w:rPr>
          <w:sz w:val="20"/>
          <w:szCs w:val="20"/>
          <w:color w:val="auto"/>
        </w:rPr>
      </w:pPr>
    </w:p>
    <w:p>
      <w:pPr>
        <w:ind w:left="520" w:right="500" w:hanging="316"/>
        <w:spacing w:after="0" w:line="246" w:lineRule="auto"/>
        <w:tabs>
          <w:tab w:leader="none" w:pos="520" w:val="left"/>
        </w:tabs>
        <w:numPr>
          <w:ilvl w:val="0"/>
          <w:numId w:val="68"/>
        </w:numPr>
        <w:rPr>
          <w:rFonts w:ascii="Arial" w:cs="Arial" w:eastAsia="Arial" w:hAnsi="Arial"/>
          <w:sz w:val="18"/>
          <w:szCs w:val="18"/>
          <w:color w:val="276092"/>
        </w:rPr>
      </w:pPr>
      <w:r>
        <w:rPr>
          <w:rFonts w:ascii="Arial" w:cs="Arial" w:eastAsia="Arial" w:hAnsi="Arial"/>
          <w:sz w:val="18"/>
          <w:szCs w:val="18"/>
          <w:color w:val="auto"/>
        </w:rPr>
        <w:t>retains an independent compensation consultant which reports directly to the Compensation Committee and is discussed further below;</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68"/>
        </w:numPr>
        <w:rPr>
          <w:rFonts w:ascii="Arial" w:cs="Arial" w:eastAsia="Arial" w:hAnsi="Arial"/>
          <w:sz w:val="18"/>
          <w:szCs w:val="18"/>
          <w:color w:val="276092"/>
        </w:rPr>
      </w:pPr>
      <w:r>
        <w:rPr>
          <w:rFonts w:ascii="Arial" w:cs="Arial" w:eastAsia="Arial" w:hAnsi="Arial"/>
          <w:sz w:val="18"/>
          <w:szCs w:val="18"/>
          <w:color w:val="auto"/>
        </w:rPr>
        <w:t>reviews market data and other input from its independent compensation consultant;</w:t>
      </w:r>
    </w:p>
    <w:p>
      <w:pPr>
        <w:spacing w:after="0" w:line="130" w:lineRule="exact"/>
        <w:rPr>
          <w:rFonts w:ascii="Arial" w:cs="Arial" w:eastAsia="Arial" w:hAnsi="Arial"/>
          <w:sz w:val="18"/>
          <w:szCs w:val="18"/>
          <w:color w:val="276092"/>
        </w:rPr>
      </w:pPr>
    </w:p>
    <w:p>
      <w:pPr>
        <w:ind w:left="520" w:right="500" w:hanging="316"/>
        <w:spacing w:after="0" w:line="246" w:lineRule="auto"/>
        <w:tabs>
          <w:tab w:leader="none" w:pos="520" w:val="left"/>
        </w:tabs>
        <w:numPr>
          <w:ilvl w:val="0"/>
          <w:numId w:val="68"/>
        </w:numPr>
        <w:rPr>
          <w:rFonts w:ascii="Arial" w:cs="Arial" w:eastAsia="Arial" w:hAnsi="Arial"/>
          <w:sz w:val="18"/>
          <w:szCs w:val="18"/>
          <w:color w:val="276092"/>
        </w:rPr>
      </w:pPr>
      <w:r>
        <w:rPr>
          <w:rFonts w:ascii="Arial" w:cs="Arial" w:eastAsia="Arial" w:hAnsi="Arial"/>
          <w:sz w:val="18"/>
          <w:szCs w:val="18"/>
          <w:color w:val="auto"/>
        </w:rPr>
        <w:t>reviews and approves incentive goals and objectives (CEO goals and objectives are reviewed and approved by the independent directors);</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68"/>
        </w:numPr>
        <w:rPr>
          <w:rFonts w:ascii="Arial" w:cs="Arial" w:eastAsia="Arial" w:hAnsi="Arial"/>
          <w:sz w:val="18"/>
          <w:szCs w:val="18"/>
          <w:color w:val="276092"/>
        </w:rPr>
      </w:pPr>
      <w:r>
        <w:rPr>
          <w:rFonts w:ascii="Arial" w:cs="Arial" w:eastAsia="Arial" w:hAnsi="Arial"/>
          <w:sz w:val="18"/>
          <w:szCs w:val="18"/>
          <w:color w:val="auto"/>
        </w:rPr>
        <w:t>evaluates and approves executive benefit and perquisite programs;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68"/>
        </w:numPr>
        <w:rPr>
          <w:rFonts w:ascii="Arial" w:cs="Arial" w:eastAsia="Arial" w:hAnsi="Arial"/>
          <w:sz w:val="18"/>
          <w:szCs w:val="18"/>
          <w:color w:val="276092"/>
        </w:rPr>
      </w:pPr>
      <w:r>
        <w:rPr>
          <w:rFonts w:ascii="Arial" w:cs="Arial" w:eastAsia="Arial" w:hAnsi="Arial"/>
          <w:sz w:val="18"/>
          <w:szCs w:val="18"/>
          <w:color w:val="auto"/>
        </w:rPr>
        <w:t>evaluates the competitiveness of each elected officer’s total compensation package.</w:t>
      </w:r>
    </w:p>
    <w:p>
      <w:pPr>
        <w:spacing w:after="0" w:line="117"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In addition, the Compensation Committee annually reviews and discusses with management the CD&amp;A and provides a Compensation Committee Report for inclusion in the proxy statement.</w:t>
      </w:r>
    </w:p>
    <w:p>
      <w:pPr>
        <w:spacing w:after="0" w:line="89"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For more information regarding the composition of the Compensation Committee and its duties and responsibilities, see “Corporate Governance – Committees of the Board of Directors – Compensation Committee.”</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2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Compensation Committee retains an independent compensation consultant, Frederic W. Cook &amp; Co. (the Compensation Consultant). The Compensation Consultant reports directly to the Compensation Committee, and the Compensation Committee may replace the Compensation Consultant or hire additional consultants at any time. A representative of the Compensation Consultant regularly attends meetings of the Compensation Committee and communicates with the Compensation Committee Chairperson between meetings as needed; however, the Compensation Committee and the independent directors of the Board make final decisions on the compensation actions for the NEOs. The Compensation Consultant regularly meets in executive session with the Compensation Committee. Other than the fees paid to the Compensation Consultant pursuant to its engagement by the Compensation Committee for its advice on executive and director compensation, the Compensation Consultant does not receive any fees or income from the Company.</w:t>
      </w:r>
    </w:p>
    <w:p>
      <w:pPr>
        <w:spacing w:after="0" w:line="10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Compensation Consultant’s role is to provide an independent review of market data and to advise the Compensation Committee on the levels and structure of our executive compensation policies and procedures, including compensation matters for NEOs. The Compensation Consultant utilizes aerospace and defense industry market data and conducts an independent review of publicly available data.</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roles of the Compensation Consultant include:</w:t>
      </w:r>
    </w:p>
    <w:p>
      <w:pPr>
        <w:spacing w:after="0" w:line="117" w:lineRule="exact"/>
        <w:rPr>
          <w:sz w:val="20"/>
          <w:szCs w:val="20"/>
          <w:color w:val="auto"/>
        </w:rPr>
      </w:pPr>
    </w:p>
    <w:p>
      <w:pPr>
        <w:ind w:left="520" w:right="540" w:hanging="316"/>
        <w:spacing w:after="0" w:line="246" w:lineRule="auto"/>
        <w:tabs>
          <w:tab w:leader="none" w:pos="520" w:val="left"/>
        </w:tabs>
        <w:numPr>
          <w:ilvl w:val="0"/>
          <w:numId w:val="69"/>
        </w:numPr>
        <w:rPr>
          <w:rFonts w:ascii="Arial" w:cs="Arial" w:eastAsia="Arial" w:hAnsi="Arial"/>
          <w:sz w:val="18"/>
          <w:szCs w:val="18"/>
          <w:color w:val="276092"/>
        </w:rPr>
      </w:pPr>
      <w:r>
        <w:rPr>
          <w:rFonts w:ascii="Arial" w:cs="Arial" w:eastAsia="Arial" w:hAnsi="Arial"/>
          <w:sz w:val="18"/>
          <w:szCs w:val="18"/>
          <w:color w:val="auto"/>
        </w:rPr>
        <w:t>reviewing and advising the Compensation Committee on our total compensation philosophy, peer groups and target competitive positioning;</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69"/>
        </w:numPr>
        <w:rPr>
          <w:rFonts w:ascii="Arial" w:cs="Arial" w:eastAsia="Arial" w:hAnsi="Arial"/>
          <w:sz w:val="18"/>
          <w:szCs w:val="18"/>
          <w:color w:val="276092"/>
        </w:rPr>
      </w:pPr>
      <w:r>
        <w:rPr>
          <w:rFonts w:ascii="Arial" w:cs="Arial" w:eastAsia="Arial" w:hAnsi="Arial"/>
          <w:sz w:val="18"/>
          <w:szCs w:val="18"/>
          <w:color w:val="auto"/>
        </w:rPr>
        <w:t>identifying market trends and practices and advising the Compensation Committee on program design implications;</w:t>
      </w:r>
    </w:p>
    <w:p>
      <w:pPr>
        <w:spacing w:after="0" w:line="130" w:lineRule="exact"/>
        <w:rPr>
          <w:rFonts w:ascii="Arial" w:cs="Arial" w:eastAsia="Arial" w:hAnsi="Arial"/>
          <w:sz w:val="18"/>
          <w:szCs w:val="18"/>
          <w:color w:val="276092"/>
        </w:rPr>
      </w:pPr>
    </w:p>
    <w:p>
      <w:pPr>
        <w:ind w:left="520" w:right="340" w:hanging="316"/>
        <w:spacing w:after="0"/>
        <w:tabs>
          <w:tab w:leader="none" w:pos="520" w:val="left"/>
        </w:tabs>
        <w:numPr>
          <w:ilvl w:val="0"/>
          <w:numId w:val="69"/>
        </w:numPr>
        <w:rPr>
          <w:rFonts w:ascii="Arial" w:cs="Arial" w:eastAsia="Arial" w:hAnsi="Arial"/>
          <w:sz w:val="18"/>
          <w:szCs w:val="18"/>
          <w:color w:val="276092"/>
        </w:rPr>
      </w:pPr>
      <w:r>
        <w:rPr>
          <w:rFonts w:ascii="Arial" w:cs="Arial" w:eastAsia="Arial" w:hAnsi="Arial"/>
          <w:sz w:val="18"/>
          <w:szCs w:val="18"/>
          <w:color w:val="auto"/>
        </w:rPr>
        <w:t>providing proactive advice to the Compensation Committee on best practices for Board governance of executive compensation, compensation-related risk management, and any areas for program design to most appropriately support the Company’s business strategy and organizational values; and</w:t>
      </w:r>
    </w:p>
    <w:p>
      <w:pPr>
        <w:spacing w:after="0" w:line="108" w:lineRule="exact"/>
        <w:rPr>
          <w:rFonts w:ascii="Arial" w:cs="Arial" w:eastAsia="Arial" w:hAnsi="Arial"/>
          <w:sz w:val="18"/>
          <w:szCs w:val="18"/>
          <w:color w:val="276092"/>
        </w:rPr>
      </w:pPr>
    </w:p>
    <w:p>
      <w:pPr>
        <w:ind w:left="520" w:right="180" w:hanging="316"/>
        <w:spacing w:after="0" w:line="246" w:lineRule="auto"/>
        <w:tabs>
          <w:tab w:leader="none" w:pos="520" w:val="left"/>
        </w:tabs>
        <w:numPr>
          <w:ilvl w:val="0"/>
          <w:numId w:val="69"/>
        </w:numPr>
        <w:rPr>
          <w:rFonts w:ascii="Arial" w:cs="Arial" w:eastAsia="Arial" w:hAnsi="Arial"/>
          <w:sz w:val="18"/>
          <w:szCs w:val="18"/>
          <w:color w:val="276092"/>
        </w:rPr>
      </w:pPr>
      <w:r>
        <w:rPr>
          <w:rFonts w:ascii="Arial" w:cs="Arial" w:eastAsia="Arial" w:hAnsi="Arial"/>
          <w:sz w:val="18"/>
          <w:szCs w:val="18"/>
          <w:color w:val="auto"/>
        </w:rPr>
        <w:t>serving as a resource to the Compensation Committee Chairperson on setting agenda items for Compensation Committee meetings and undertaking special projects.</w:t>
      </w:r>
    </w:p>
    <w:p>
      <w:pPr>
        <w:spacing w:after="0" w:line="89"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In February 2018, the Compensation Committee determined that there were no relationships between the Compensation Consultant and the Company or any of the Company’s directors or executive officers that raised a conflict of interest.</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Role of Management</w:t>
      </w:r>
    </w:p>
    <w:p>
      <w:pPr>
        <w:spacing w:after="0" w:line="121" w:lineRule="exact"/>
        <w:rPr>
          <w:sz w:val="20"/>
          <w:szCs w:val="20"/>
          <w:color w:val="auto"/>
        </w:rPr>
      </w:pPr>
    </w:p>
    <w:p>
      <w:pPr>
        <w:jc w:val="both"/>
        <w:ind w:left="200" w:right="40"/>
        <w:spacing w:after="0"/>
        <w:rPr>
          <w:sz w:val="20"/>
          <w:szCs w:val="20"/>
          <w:color w:val="auto"/>
        </w:rPr>
      </w:pPr>
      <w:r>
        <w:rPr>
          <w:rFonts w:ascii="Arial" w:cs="Arial" w:eastAsia="Arial" w:hAnsi="Arial"/>
          <w:sz w:val="18"/>
          <w:szCs w:val="18"/>
          <w:color w:val="auto"/>
        </w:rPr>
        <w:t>Our CEO makes compensation-related recommendations for elected officers to the Compensation Committee for its review and approval. The CEO’s evaluation is based on each officer’s compensation relative to market and the overall framework, philosophy and objectives for our executive compensation programs set by the Compensation Committee.</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37</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recommendations for elected officers are based on an assessment of each executive’s performance, skills and industry knowledge, market compensation benchmarks, and succession and retention considerations. The Chief Human Resources Officer provides a summary of historical compensation and benefits-related data when compensation decisions are considered by the Compensation Committee to ensure compensation decisions are made within our total compensation framework.</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Management also provides recommendations to the Compensation Committee regarding executive incentive and benefit plan designs and strategies. These recommendations include financial and non-financial operational goals and criteria for our annual and long-term incentive plans.</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Use of Competitive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Performance Peer Group: Set Performance Targets and Evaluate Performance</w:t>
      </w:r>
    </w:p>
    <w:p>
      <w:pPr>
        <w:spacing w:after="0" w:line="121"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Compensation Committee uses the Performance Peer Group for purposes of setting performance targets and evaluating performance for our AIP and LTIP. The Performance Peer Group is comprised of the largest global defense companies by government revenues within the aerospace and defense market space. AIP goals for 2017 and goals for the LTIP grants made during 2017 that will vest in 2019 were established based on the 2017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146050</wp:posOffset>
            </wp:positionV>
            <wp:extent cx="6165850" cy="2317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65850" cy="231775"/>
                    </a:xfrm>
                    <a:prstGeom prst="rect">
                      <a:avLst/>
                    </a:prstGeom>
                    <a:noFill/>
                  </pic:spPr>
                </pic:pic>
              </a:graphicData>
            </a:graphic>
          </wp:anchor>
        </w:drawing>
      </w:r>
    </w:p>
    <w:p>
      <w:pPr>
        <w:spacing w:after="0" w:line="273"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FFFFFF"/>
        </w:rPr>
        <w:t>2017 PERFORMANCE PEER GROUP</w:t>
      </w:r>
    </w:p>
    <w:p>
      <w:pPr>
        <w:spacing w:after="0" w:line="118" w:lineRule="exact"/>
        <w:rPr>
          <w:sz w:val="20"/>
          <w:szCs w:val="20"/>
          <w:color w:val="auto"/>
        </w:rPr>
      </w:pPr>
    </w:p>
    <w:tbl>
      <w:tblPr>
        <w:tblLayout w:type="fixed"/>
        <w:tblInd w:w="880" w:type="dxa"/>
        <w:tblCellMar>
          <w:top w:w="0" w:type="dxa"/>
          <w:left w:w="0" w:type="dxa"/>
          <w:bottom w:w="0" w:type="dxa"/>
          <w:right w:w="0" w:type="dxa"/>
        </w:tblCellMar>
      </w:tblPr>
      <w:tr>
        <w:trPr>
          <w:trHeight w:val="243"/>
        </w:trPr>
        <w:tc>
          <w:tcPr>
            <w:tcW w:w="31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BAE Systems</w:t>
            </w:r>
          </w:p>
        </w:tc>
        <w:tc>
          <w:tcPr>
            <w:tcW w:w="2540" w:type="dxa"/>
            <w:vAlign w:val="bottom"/>
            <w:shd w:val="clear" w:color="auto" w:fill="BECFDE"/>
          </w:tcPr>
          <w:p>
            <w:pPr>
              <w:ind w:left="160"/>
              <w:spacing w:after="0"/>
              <w:rPr>
                <w:sz w:val="20"/>
                <w:szCs w:val="20"/>
                <w:color w:val="auto"/>
              </w:rPr>
            </w:pPr>
            <w:r>
              <w:rPr>
                <w:rFonts w:ascii="Arial" w:cs="Arial" w:eastAsia="Arial" w:hAnsi="Arial"/>
                <w:sz w:val="16"/>
                <w:szCs w:val="16"/>
                <w:color w:val="auto"/>
              </w:rPr>
              <w:t>Harris Corporation</w:t>
            </w:r>
          </w:p>
        </w:tc>
        <w:tc>
          <w:tcPr>
            <w:tcW w:w="4000" w:type="dxa"/>
            <w:vAlign w:val="bottom"/>
            <w:shd w:val="clear" w:color="auto" w:fill="BECFDE"/>
          </w:tcPr>
          <w:p>
            <w:pPr>
              <w:ind w:left="860"/>
              <w:spacing w:after="0"/>
              <w:rPr>
                <w:sz w:val="20"/>
                <w:szCs w:val="20"/>
                <w:color w:val="auto"/>
              </w:rPr>
            </w:pPr>
            <w:r>
              <w:rPr>
                <w:rFonts w:ascii="Arial" w:cs="Arial" w:eastAsia="Arial" w:hAnsi="Arial"/>
                <w:sz w:val="16"/>
                <w:szCs w:val="16"/>
                <w:color w:val="auto"/>
              </w:rPr>
              <w:t>Lockheed Martin Corporation</w:t>
            </w:r>
          </w:p>
        </w:tc>
      </w:tr>
      <w:tr>
        <w:trPr>
          <w:trHeight w:val="240"/>
        </w:trPr>
        <w:tc>
          <w:tcPr>
            <w:tcW w:w="3140" w:type="dxa"/>
            <w:vAlign w:val="bottom"/>
          </w:tcPr>
          <w:p>
            <w:pPr>
              <w:ind w:left="60"/>
              <w:spacing w:after="0"/>
              <w:rPr>
                <w:sz w:val="20"/>
                <w:szCs w:val="20"/>
                <w:color w:val="auto"/>
              </w:rPr>
            </w:pPr>
            <w:r>
              <w:rPr>
                <w:rFonts w:ascii="Arial" w:cs="Arial" w:eastAsia="Arial" w:hAnsi="Arial"/>
                <w:sz w:val="16"/>
                <w:szCs w:val="16"/>
                <w:color w:val="auto"/>
              </w:rPr>
              <w:t>The Boeing Company</w:t>
            </w:r>
          </w:p>
        </w:tc>
        <w:tc>
          <w:tcPr>
            <w:tcW w:w="2540" w:type="dxa"/>
            <w:vAlign w:val="bottom"/>
          </w:tcPr>
          <w:p>
            <w:pPr>
              <w:ind w:left="160"/>
              <w:spacing w:after="0"/>
              <w:rPr>
                <w:sz w:val="20"/>
                <w:szCs w:val="20"/>
                <w:color w:val="auto"/>
              </w:rPr>
            </w:pPr>
            <w:r>
              <w:rPr>
                <w:rFonts w:ascii="Arial" w:cs="Arial" w:eastAsia="Arial" w:hAnsi="Arial"/>
                <w:sz w:val="16"/>
                <w:szCs w:val="16"/>
                <w:color w:val="auto"/>
              </w:rPr>
              <w:t>L3 Technologies, Inc.</w:t>
            </w:r>
          </w:p>
        </w:tc>
        <w:tc>
          <w:tcPr>
            <w:tcW w:w="4000" w:type="dxa"/>
            <w:vAlign w:val="bottom"/>
          </w:tcPr>
          <w:p>
            <w:pPr>
              <w:ind w:left="860"/>
              <w:spacing w:after="0"/>
              <w:rPr>
                <w:sz w:val="20"/>
                <w:szCs w:val="20"/>
                <w:color w:val="auto"/>
              </w:rPr>
            </w:pPr>
            <w:r>
              <w:rPr>
                <w:rFonts w:ascii="Arial" w:cs="Arial" w:eastAsia="Arial" w:hAnsi="Arial"/>
                <w:sz w:val="16"/>
                <w:szCs w:val="16"/>
                <w:color w:val="auto"/>
              </w:rPr>
              <w:t>Raytheon Company</w:t>
            </w:r>
          </w:p>
        </w:tc>
      </w:tr>
      <w:tr>
        <w:trPr>
          <w:trHeight w:val="246"/>
        </w:trPr>
        <w:tc>
          <w:tcPr>
            <w:tcW w:w="31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Booz Allen Hamilton Holding Corporation</w:t>
            </w:r>
          </w:p>
        </w:tc>
        <w:tc>
          <w:tcPr>
            <w:tcW w:w="2540" w:type="dxa"/>
            <w:vAlign w:val="bottom"/>
            <w:shd w:val="clear" w:color="auto" w:fill="BECFDE"/>
          </w:tcPr>
          <w:p>
            <w:pPr>
              <w:ind w:left="160"/>
              <w:spacing w:after="0"/>
              <w:rPr>
                <w:sz w:val="20"/>
                <w:szCs w:val="20"/>
                <w:color w:val="auto"/>
              </w:rPr>
            </w:pPr>
            <w:r>
              <w:rPr>
                <w:rFonts w:ascii="Arial" w:cs="Arial" w:eastAsia="Arial" w:hAnsi="Arial"/>
                <w:sz w:val="16"/>
                <w:szCs w:val="16"/>
                <w:color w:val="auto"/>
              </w:rPr>
              <w:t>Leidos Holdings, Inc.</w:t>
            </w:r>
          </w:p>
        </w:tc>
        <w:tc>
          <w:tcPr>
            <w:tcW w:w="4000" w:type="dxa"/>
            <w:vAlign w:val="bottom"/>
            <w:shd w:val="clear" w:color="auto" w:fill="BECFDE"/>
          </w:tcPr>
          <w:p>
            <w:pPr>
              <w:ind w:left="860"/>
              <w:spacing w:after="0"/>
              <w:rPr>
                <w:sz w:val="20"/>
                <w:szCs w:val="20"/>
                <w:color w:val="auto"/>
              </w:rPr>
            </w:pPr>
            <w:r>
              <w:rPr>
                <w:rFonts w:ascii="Arial" w:cs="Arial" w:eastAsia="Arial" w:hAnsi="Arial"/>
                <w:sz w:val="16"/>
                <w:szCs w:val="16"/>
                <w:color w:val="auto"/>
              </w:rPr>
              <w:t>Thales Group</w:t>
            </w:r>
          </w:p>
        </w:tc>
      </w:tr>
      <w:tr>
        <w:trPr>
          <w:trHeight w:val="240"/>
        </w:trPr>
        <w:tc>
          <w:tcPr>
            <w:tcW w:w="3140" w:type="dxa"/>
            <w:vAlign w:val="bottom"/>
            <w:tcBorders>
              <w:bottom w:val="single" w:sz="8" w:color="276092"/>
            </w:tcBorders>
          </w:tcPr>
          <w:p>
            <w:pPr>
              <w:ind w:left="60"/>
              <w:spacing w:after="0"/>
              <w:rPr>
                <w:sz w:val="20"/>
                <w:szCs w:val="20"/>
                <w:color w:val="auto"/>
              </w:rPr>
            </w:pPr>
            <w:r>
              <w:rPr>
                <w:rFonts w:ascii="Arial" w:cs="Arial" w:eastAsia="Arial" w:hAnsi="Arial"/>
                <w:sz w:val="16"/>
                <w:szCs w:val="16"/>
                <w:color w:val="auto"/>
              </w:rPr>
              <w:t>General Dynamics Corporation</w:t>
            </w:r>
          </w:p>
        </w:tc>
        <w:tc>
          <w:tcPr>
            <w:tcW w:w="2540" w:type="dxa"/>
            <w:vAlign w:val="bottom"/>
            <w:tcBorders>
              <w:bottom w:val="single" w:sz="8" w:color="276092"/>
            </w:tcBorders>
          </w:tcPr>
          <w:p>
            <w:pPr>
              <w:ind w:left="160"/>
              <w:spacing w:after="0"/>
              <w:rPr>
                <w:sz w:val="20"/>
                <w:szCs w:val="20"/>
                <w:color w:val="auto"/>
              </w:rPr>
            </w:pPr>
            <w:r>
              <w:rPr>
                <w:rFonts w:ascii="Arial" w:cs="Arial" w:eastAsia="Arial" w:hAnsi="Arial"/>
                <w:sz w:val="16"/>
                <w:szCs w:val="16"/>
                <w:color w:val="auto"/>
              </w:rPr>
              <w:t>Leonardo</w:t>
            </w:r>
          </w:p>
        </w:tc>
        <w:tc>
          <w:tcPr>
            <w:tcW w:w="4000" w:type="dxa"/>
            <w:vAlign w:val="bottom"/>
            <w:tcBorders>
              <w:bottom w:val="single" w:sz="8" w:color="276092"/>
            </w:tcBorders>
          </w:tcPr>
          <w:p>
            <w:pPr>
              <w:spacing w:after="0"/>
              <w:rPr>
                <w:sz w:val="20"/>
                <w:szCs w:val="20"/>
                <w:color w:val="auto"/>
              </w:rPr>
            </w:pPr>
          </w:p>
        </w:tc>
      </w:tr>
    </w:tbl>
    <w:p>
      <w:pPr>
        <w:spacing w:after="0" w:line="107"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Performance targets for the LTIP grants for the three-year performance period vesting in 2017 were established in 2015, based on the 2015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142875</wp:posOffset>
            </wp:positionV>
            <wp:extent cx="6165850" cy="2317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65850" cy="231775"/>
                    </a:xfrm>
                    <a:prstGeom prst="rect">
                      <a:avLst/>
                    </a:prstGeom>
                    <a:noFill/>
                  </pic:spPr>
                </pic:pic>
              </a:graphicData>
            </a:graphic>
          </wp:anchor>
        </w:drawing>
      </w: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FFFFFF"/>
        </w:rPr>
        <w:t>2015 PERFORMANCE PEER GROUP</w:t>
      </w:r>
    </w:p>
    <w:p>
      <w:pPr>
        <w:spacing w:after="0" w:line="50" w:lineRule="exact"/>
        <w:rPr>
          <w:sz w:val="20"/>
          <w:szCs w:val="20"/>
          <w:color w:val="auto"/>
        </w:rPr>
      </w:pPr>
    </w:p>
    <w:tbl>
      <w:tblPr>
        <w:tblLayout w:type="fixed"/>
        <w:tblInd w:w="880" w:type="dxa"/>
        <w:tblCellMar>
          <w:top w:w="0" w:type="dxa"/>
          <w:left w:w="0" w:type="dxa"/>
          <w:bottom w:w="0" w:type="dxa"/>
          <w:right w:w="0" w:type="dxa"/>
        </w:tblCellMar>
      </w:tblPr>
      <w:tr>
        <w:trPr>
          <w:trHeight w:val="310"/>
        </w:trPr>
        <w:tc>
          <w:tcPr>
            <w:tcW w:w="31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BAE Systems</w:t>
            </w:r>
          </w:p>
        </w:tc>
        <w:tc>
          <w:tcPr>
            <w:tcW w:w="3140" w:type="dxa"/>
            <w:vAlign w:val="bottom"/>
            <w:shd w:val="clear" w:color="auto" w:fill="BECFDE"/>
          </w:tcPr>
          <w:p>
            <w:pPr>
              <w:ind w:left="160"/>
              <w:spacing w:after="0"/>
              <w:rPr>
                <w:sz w:val="20"/>
                <w:szCs w:val="20"/>
                <w:color w:val="auto"/>
              </w:rPr>
            </w:pPr>
            <w:r>
              <w:rPr>
                <w:rFonts w:ascii="Arial" w:cs="Arial" w:eastAsia="Arial" w:hAnsi="Arial"/>
                <w:sz w:val="16"/>
                <w:szCs w:val="16"/>
                <w:color w:val="auto"/>
              </w:rPr>
              <w:t xml:space="preserve">Finmeccanica </w:t>
            </w:r>
            <w:r>
              <w:rPr>
                <w:rFonts w:ascii="Arial" w:cs="Arial" w:eastAsia="Arial" w:hAnsi="Arial"/>
                <w:sz w:val="27"/>
                <w:szCs w:val="27"/>
                <w:color w:val="auto"/>
                <w:vertAlign w:val="superscript"/>
              </w:rPr>
              <w:t>(1)</w:t>
            </w:r>
          </w:p>
        </w:tc>
        <w:tc>
          <w:tcPr>
            <w:tcW w:w="3400" w:type="dxa"/>
            <w:vAlign w:val="bottom"/>
            <w:shd w:val="clear" w:color="auto" w:fill="BECFDE"/>
          </w:tcPr>
          <w:p>
            <w:pPr>
              <w:ind w:left="260"/>
              <w:spacing w:after="0"/>
              <w:rPr>
                <w:sz w:val="20"/>
                <w:szCs w:val="20"/>
                <w:color w:val="auto"/>
              </w:rPr>
            </w:pPr>
            <w:r>
              <w:rPr>
                <w:rFonts w:ascii="Arial" w:cs="Arial" w:eastAsia="Arial" w:hAnsi="Arial"/>
                <w:sz w:val="16"/>
                <w:szCs w:val="16"/>
                <w:color w:val="auto"/>
              </w:rPr>
              <w:t>Lockheed Martin Corporation</w:t>
            </w:r>
          </w:p>
        </w:tc>
      </w:tr>
      <w:tr>
        <w:trPr>
          <w:trHeight w:val="240"/>
        </w:trPr>
        <w:tc>
          <w:tcPr>
            <w:tcW w:w="3140" w:type="dxa"/>
            <w:vAlign w:val="bottom"/>
          </w:tcPr>
          <w:p>
            <w:pPr>
              <w:ind w:left="60"/>
              <w:spacing w:after="0"/>
              <w:rPr>
                <w:sz w:val="20"/>
                <w:szCs w:val="20"/>
                <w:color w:val="auto"/>
              </w:rPr>
            </w:pPr>
            <w:r>
              <w:rPr>
                <w:rFonts w:ascii="Arial" w:cs="Arial" w:eastAsia="Arial" w:hAnsi="Arial"/>
                <w:sz w:val="16"/>
                <w:szCs w:val="16"/>
                <w:color w:val="auto"/>
              </w:rPr>
              <w:t>The Boeing Company</w:t>
            </w:r>
          </w:p>
        </w:tc>
        <w:tc>
          <w:tcPr>
            <w:tcW w:w="3140" w:type="dxa"/>
            <w:vAlign w:val="bottom"/>
          </w:tcPr>
          <w:p>
            <w:pPr>
              <w:ind w:left="160"/>
              <w:spacing w:after="0"/>
              <w:rPr>
                <w:sz w:val="20"/>
                <w:szCs w:val="20"/>
                <w:color w:val="auto"/>
              </w:rPr>
            </w:pPr>
            <w:r>
              <w:rPr>
                <w:rFonts w:ascii="Arial" w:cs="Arial" w:eastAsia="Arial" w:hAnsi="Arial"/>
                <w:sz w:val="16"/>
                <w:szCs w:val="16"/>
                <w:color w:val="auto"/>
              </w:rPr>
              <w:t>General Dynamics Corporation</w:t>
            </w:r>
          </w:p>
        </w:tc>
        <w:tc>
          <w:tcPr>
            <w:tcW w:w="3400" w:type="dxa"/>
            <w:vAlign w:val="bottom"/>
          </w:tcPr>
          <w:p>
            <w:pPr>
              <w:ind w:left="260"/>
              <w:spacing w:after="0"/>
              <w:rPr>
                <w:sz w:val="20"/>
                <w:szCs w:val="20"/>
                <w:color w:val="auto"/>
              </w:rPr>
            </w:pPr>
            <w:r>
              <w:rPr>
                <w:rFonts w:ascii="Arial" w:cs="Arial" w:eastAsia="Arial" w:hAnsi="Arial"/>
                <w:sz w:val="16"/>
                <w:szCs w:val="16"/>
                <w:color w:val="auto"/>
              </w:rPr>
              <w:t>Raytheon Company</w:t>
            </w:r>
          </w:p>
        </w:tc>
      </w:tr>
      <w:tr>
        <w:trPr>
          <w:trHeight w:val="246"/>
        </w:trPr>
        <w:tc>
          <w:tcPr>
            <w:tcW w:w="3140" w:type="dxa"/>
            <w:vAlign w:val="bottom"/>
            <w:shd w:val="clear" w:color="auto" w:fill="BECFDE"/>
          </w:tcPr>
          <w:p>
            <w:pPr>
              <w:ind w:left="60"/>
              <w:spacing w:after="0"/>
              <w:rPr>
                <w:sz w:val="20"/>
                <w:szCs w:val="20"/>
                <w:color w:val="auto"/>
              </w:rPr>
            </w:pPr>
            <w:r>
              <w:rPr>
                <w:rFonts w:ascii="Arial" w:cs="Arial" w:eastAsia="Arial" w:hAnsi="Arial"/>
                <w:sz w:val="16"/>
                <w:szCs w:val="16"/>
                <w:color w:val="auto"/>
              </w:rPr>
              <w:t>Booz Allen Hamilton Holding Corporation</w:t>
            </w:r>
          </w:p>
        </w:tc>
        <w:tc>
          <w:tcPr>
            <w:tcW w:w="3140" w:type="dxa"/>
            <w:vAlign w:val="bottom"/>
            <w:shd w:val="clear" w:color="auto" w:fill="BECFDE"/>
          </w:tcPr>
          <w:p>
            <w:pPr>
              <w:ind w:left="160"/>
              <w:spacing w:after="0" w:line="246" w:lineRule="exact"/>
              <w:rPr>
                <w:sz w:val="20"/>
                <w:szCs w:val="20"/>
                <w:color w:val="auto"/>
              </w:rPr>
            </w:pPr>
            <w:r>
              <w:rPr>
                <w:rFonts w:ascii="Arial" w:cs="Arial" w:eastAsia="Arial" w:hAnsi="Arial"/>
                <w:sz w:val="16"/>
                <w:szCs w:val="16"/>
                <w:color w:val="auto"/>
              </w:rPr>
              <w:t xml:space="preserve">L-3 Communications Holdings, Inc. </w:t>
            </w:r>
            <w:r>
              <w:rPr>
                <w:rFonts w:ascii="Arial" w:cs="Arial" w:eastAsia="Arial" w:hAnsi="Arial"/>
                <w:sz w:val="27"/>
                <w:szCs w:val="27"/>
                <w:color w:val="auto"/>
                <w:vertAlign w:val="superscript"/>
              </w:rPr>
              <w:t>(2)</w:t>
            </w:r>
          </w:p>
        </w:tc>
        <w:tc>
          <w:tcPr>
            <w:tcW w:w="3400" w:type="dxa"/>
            <w:vAlign w:val="bottom"/>
            <w:shd w:val="clear" w:color="auto" w:fill="BECFDE"/>
          </w:tcPr>
          <w:p>
            <w:pPr>
              <w:ind w:left="260"/>
              <w:spacing w:after="0"/>
              <w:rPr>
                <w:sz w:val="20"/>
                <w:szCs w:val="20"/>
                <w:color w:val="auto"/>
              </w:rPr>
            </w:pPr>
            <w:r>
              <w:rPr>
                <w:rFonts w:ascii="Arial" w:cs="Arial" w:eastAsia="Arial" w:hAnsi="Arial"/>
                <w:sz w:val="16"/>
                <w:szCs w:val="16"/>
                <w:color w:val="auto"/>
              </w:rPr>
              <w:t>Thales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0</wp:posOffset>
            </wp:positionV>
            <wp:extent cx="61575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ind w:left="1160" w:hanging="218"/>
        <w:spacing w:after="0" w:line="182" w:lineRule="auto"/>
        <w:tabs>
          <w:tab w:leader="none" w:pos="1160" w:val="left"/>
        </w:tabs>
        <w:numPr>
          <w:ilvl w:val="0"/>
          <w:numId w:val="70"/>
        </w:numPr>
        <w:rPr>
          <w:rFonts w:ascii="Arial" w:cs="Arial" w:eastAsia="Arial" w:hAnsi="Arial"/>
          <w:sz w:val="24"/>
          <w:szCs w:val="24"/>
          <w:color w:val="auto"/>
          <w:vertAlign w:val="superscript"/>
        </w:rPr>
      </w:pPr>
      <w:r>
        <w:rPr>
          <w:rFonts w:ascii="Arial" w:cs="Arial" w:eastAsia="Arial" w:hAnsi="Arial"/>
          <w:sz w:val="15"/>
          <w:szCs w:val="15"/>
          <w:color w:val="auto"/>
        </w:rPr>
        <w:t>Finmeccanica changed its name to Leonardo in 2016</w:t>
      </w:r>
    </w:p>
    <w:p>
      <w:pPr>
        <w:spacing w:after="0" w:line="8" w:lineRule="exact"/>
        <w:rPr>
          <w:rFonts w:ascii="Arial" w:cs="Arial" w:eastAsia="Arial" w:hAnsi="Arial"/>
          <w:sz w:val="24"/>
          <w:szCs w:val="24"/>
          <w:color w:val="auto"/>
          <w:vertAlign w:val="superscript"/>
        </w:rPr>
      </w:pPr>
    </w:p>
    <w:p>
      <w:pPr>
        <w:ind w:left="1160" w:hanging="218"/>
        <w:spacing w:after="0" w:line="184" w:lineRule="auto"/>
        <w:tabs>
          <w:tab w:leader="none" w:pos="116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L-3 Communications Holdings, Inc. changed its name to L3 Technologies, Inc. in 2016</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Target Industry Peer Group: Benchmark Executive Compensation Practices</w:t>
      </w:r>
    </w:p>
    <w:p>
      <w:pPr>
        <w:spacing w:after="0" w:line="12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Compensation Committee benchmarks our executive compensation levels and practices against a Target Industry Peer Group of 14 companies, as well as against a subset of the Target Industry Peer Group containing six direct peers. Prior to the beginning of the year, the Compensation Committee sets the Target Industry Peer Group and the subset of direct peers used to benchmark compensation for the following year. To identify peer companies for compensation benchmarking purposes, the Compensation Consultant employed an objective criteria-based methodology where:</w:t>
      </w:r>
    </w:p>
    <w:p>
      <w:pPr>
        <w:spacing w:after="0" w:line="108" w:lineRule="exact"/>
        <w:rPr>
          <w:sz w:val="20"/>
          <w:szCs w:val="20"/>
          <w:color w:val="auto"/>
        </w:rPr>
      </w:pPr>
    </w:p>
    <w:p>
      <w:pPr>
        <w:ind w:left="520" w:hanging="316"/>
        <w:spacing w:after="0"/>
        <w:tabs>
          <w:tab w:leader="none" w:pos="520" w:val="left"/>
        </w:tabs>
        <w:numPr>
          <w:ilvl w:val="0"/>
          <w:numId w:val="71"/>
        </w:numPr>
        <w:rPr>
          <w:rFonts w:ascii="Arial" w:cs="Arial" w:eastAsia="Arial" w:hAnsi="Arial"/>
          <w:sz w:val="18"/>
          <w:szCs w:val="18"/>
          <w:color w:val="276092"/>
        </w:rPr>
      </w:pPr>
      <w:r>
        <w:rPr>
          <w:rFonts w:ascii="Arial" w:cs="Arial" w:eastAsia="Arial" w:hAnsi="Arial"/>
          <w:sz w:val="18"/>
          <w:szCs w:val="18"/>
          <w:color w:val="auto"/>
        </w:rPr>
        <w:t>the company was identified as a peer by at least two aerospace and defense peers or proxy advisory services;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71"/>
        </w:numPr>
        <w:rPr>
          <w:rFonts w:ascii="Arial" w:cs="Arial" w:eastAsia="Arial" w:hAnsi="Arial"/>
          <w:sz w:val="18"/>
          <w:szCs w:val="18"/>
          <w:color w:val="276092"/>
        </w:rPr>
      </w:pPr>
      <w:r>
        <w:rPr>
          <w:rFonts w:ascii="Arial" w:cs="Arial" w:eastAsia="Arial" w:hAnsi="Arial"/>
          <w:sz w:val="18"/>
          <w:szCs w:val="18"/>
          <w:color w:val="auto"/>
        </w:rPr>
        <w:t>the company participated in the annual Aon Hewitt executive compensation study;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71"/>
        </w:numPr>
        <w:rPr>
          <w:rFonts w:ascii="Arial" w:cs="Arial" w:eastAsia="Arial" w:hAnsi="Arial"/>
          <w:sz w:val="18"/>
          <w:szCs w:val="18"/>
          <w:color w:val="276092"/>
        </w:rPr>
      </w:pPr>
      <w:r>
        <w:rPr>
          <w:rFonts w:ascii="Arial" w:cs="Arial" w:eastAsia="Arial" w:hAnsi="Arial"/>
          <w:sz w:val="18"/>
          <w:szCs w:val="18"/>
          <w:color w:val="auto"/>
        </w:rPr>
        <w:t>revenues, total employees and market capitalization of the company were broadly similar to those of the Company.</w:t>
      </w:r>
    </w:p>
    <w:p>
      <w:pPr>
        <w:spacing w:after="0" w:line="276" w:lineRule="exact"/>
        <w:rPr>
          <w:sz w:val="20"/>
          <w:szCs w:val="20"/>
          <w:color w:val="auto"/>
        </w:rPr>
      </w:pPr>
    </w:p>
    <w:p>
      <w:pPr>
        <w:ind w:left="460" w:hanging="256"/>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RINCIPLES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200" w:right="160"/>
        <w:spacing w:after="0"/>
        <w:rPr>
          <w:sz w:val="20"/>
          <w:szCs w:val="20"/>
          <w:color w:val="auto"/>
        </w:rPr>
      </w:pPr>
      <w:r>
        <w:rPr>
          <w:rFonts w:ascii="Arial" w:cs="Arial" w:eastAsia="Arial" w:hAnsi="Arial"/>
          <w:sz w:val="18"/>
          <w:szCs w:val="18"/>
          <w:color w:val="auto"/>
        </w:rPr>
        <w:t>While the Target Industry Peer Group is reviewed annually by the Compensation Committee with the Compensation Consultant, our goal is to keep it as consistent as reasonably possible on a year-over-year basis. The companies that comprise the 2017 Target Industry Peer Group are listed in the following table:</w:t>
      </w:r>
    </w:p>
    <w:p>
      <w:pPr>
        <w:spacing w:after="0" w:line="231" w:lineRule="exact"/>
        <w:rPr>
          <w:sz w:val="20"/>
          <w:szCs w:val="20"/>
          <w:color w:val="auto"/>
        </w:rPr>
      </w:pPr>
    </w:p>
    <w:tbl>
      <w:tblPr>
        <w:tblLayout w:type="fixed"/>
        <w:tblInd w:w="820" w:type="dxa"/>
        <w:tblCellMar>
          <w:top w:w="0" w:type="dxa"/>
          <w:left w:w="0" w:type="dxa"/>
          <w:bottom w:w="0" w:type="dxa"/>
          <w:right w:w="0" w:type="dxa"/>
        </w:tblCellMar>
      </w:tblPr>
      <w:tr>
        <w:trPr>
          <w:trHeight w:val="278"/>
        </w:trPr>
        <w:tc>
          <w:tcPr>
            <w:tcW w:w="2940" w:type="dxa"/>
            <w:vAlign w:val="bottom"/>
            <w:shd w:val="clear" w:color="auto" w:fill="276092"/>
          </w:tcPr>
          <w:p>
            <w:pPr>
              <w:spacing w:after="0"/>
              <w:rPr>
                <w:sz w:val="24"/>
                <w:szCs w:val="24"/>
                <w:color w:val="auto"/>
              </w:rPr>
            </w:pPr>
          </w:p>
        </w:tc>
        <w:tc>
          <w:tcPr>
            <w:tcW w:w="6860" w:type="dxa"/>
            <w:vAlign w:val="bottom"/>
            <w:shd w:val="clear" w:color="auto" w:fill="276092"/>
          </w:tcPr>
          <w:p>
            <w:pPr>
              <w:ind w:left="420"/>
              <w:spacing w:after="0"/>
              <w:rPr>
                <w:sz w:val="20"/>
                <w:szCs w:val="20"/>
                <w:color w:val="auto"/>
              </w:rPr>
            </w:pPr>
            <w:r>
              <w:rPr>
                <w:rFonts w:ascii="Arial" w:cs="Arial" w:eastAsia="Arial" w:hAnsi="Arial"/>
                <w:sz w:val="16"/>
                <w:szCs w:val="16"/>
                <w:b w:val="1"/>
                <w:bCs w:val="1"/>
                <w:color w:val="FFFFFF"/>
              </w:rPr>
              <w:t>2017 TARGET INDUSTRY PEER GROUP</w:t>
            </w:r>
          </w:p>
        </w:tc>
      </w:tr>
      <w:tr>
        <w:trPr>
          <w:trHeight w:val="87"/>
        </w:trPr>
        <w:tc>
          <w:tcPr>
            <w:tcW w:w="2940" w:type="dxa"/>
            <w:vAlign w:val="bottom"/>
            <w:shd w:val="clear" w:color="auto" w:fill="276092"/>
          </w:tcPr>
          <w:p>
            <w:pPr>
              <w:spacing w:after="0"/>
              <w:rPr>
                <w:sz w:val="7"/>
                <w:szCs w:val="7"/>
                <w:color w:val="auto"/>
              </w:rPr>
            </w:pPr>
          </w:p>
        </w:tc>
        <w:tc>
          <w:tcPr>
            <w:tcW w:w="6860" w:type="dxa"/>
            <w:vAlign w:val="bottom"/>
            <w:shd w:val="clear" w:color="auto" w:fill="276092"/>
          </w:tcPr>
          <w:p>
            <w:pPr>
              <w:spacing w:after="0"/>
              <w:rPr>
                <w:sz w:val="7"/>
                <w:szCs w:val="7"/>
                <w:color w:val="auto"/>
              </w:rPr>
            </w:pPr>
          </w:p>
        </w:tc>
      </w:tr>
      <w:tr>
        <w:trPr>
          <w:trHeight w:val="243"/>
        </w:trPr>
        <w:tc>
          <w:tcPr>
            <w:tcW w:w="2940" w:type="dxa"/>
            <w:vAlign w:val="bottom"/>
            <w:shd w:val="clear" w:color="auto" w:fill="BECFDE"/>
          </w:tcPr>
          <w:p>
            <w:pPr>
              <w:ind w:left="80"/>
              <w:spacing w:after="0"/>
              <w:rPr>
                <w:sz w:val="20"/>
                <w:szCs w:val="20"/>
                <w:color w:val="auto"/>
              </w:rPr>
            </w:pPr>
            <w:r>
              <w:rPr>
                <w:rFonts w:ascii="Arial" w:cs="Arial" w:eastAsia="Arial" w:hAnsi="Arial"/>
                <w:sz w:val="16"/>
                <w:szCs w:val="16"/>
                <w:color w:val="auto"/>
              </w:rPr>
              <w:t>3M Company</w:t>
            </w:r>
          </w:p>
        </w:tc>
        <w:tc>
          <w:tcPr>
            <w:tcW w:w="6860" w:type="dxa"/>
            <w:vAlign w:val="bottom"/>
            <w:shd w:val="clear" w:color="auto" w:fill="BECFDE"/>
          </w:tcPr>
          <w:p>
            <w:pPr>
              <w:ind w:left="2140"/>
              <w:spacing w:after="0"/>
              <w:rPr>
                <w:sz w:val="20"/>
                <w:szCs w:val="20"/>
                <w:color w:val="auto"/>
              </w:rPr>
            </w:pPr>
            <w:r>
              <w:rPr>
                <w:rFonts w:ascii="Arial" w:cs="Arial" w:eastAsia="Arial" w:hAnsi="Arial"/>
                <w:sz w:val="16"/>
                <w:szCs w:val="16"/>
                <w:color w:val="auto"/>
              </w:rPr>
              <w:t>Johnson Controls International</w:t>
            </w:r>
          </w:p>
        </w:tc>
      </w:tr>
      <w:tr>
        <w:trPr>
          <w:trHeight w:val="243"/>
        </w:trPr>
        <w:tc>
          <w:tcPr>
            <w:tcW w:w="2940" w:type="dxa"/>
            <w:vAlign w:val="bottom"/>
          </w:tcPr>
          <w:p>
            <w:pPr>
              <w:ind w:left="80"/>
              <w:spacing w:after="0" w:line="242" w:lineRule="exact"/>
              <w:rPr>
                <w:sz w:val="20"/>
                <w:szCs w:val="20"/>
                <w:color w:val="auto"/>
              </w:rPr>
            </w:pPr>
            <w:r>
              <w:rPr>
                <w:rFonts w:ascii="Arial" w:cs="Arial" w:eastAsia="Arial" w:hAnsi="Arial"/>
                <w:sz w:val="16"/>
                <w:szCs w:val="16"/>
                <w:color w:val="auto"/>
              </w:rPr>
              <w:t xml:space="preserve">The Boeing Company </w:t>
            </w:r>
            <w:r>
              <w:rPr>
                <w:rFonts w:ascii="Arial" w:cs="Arial" w:eastAsia="Arial" w:hAnsi="Arial"/>
                <w:sz w:val="27"/>
                <w:szCs w:val="27"/>
                <w:color w:val="auto"/>
                <w:vertAlign w:val="superscript"/>
              </w:rPr>
              <w:t>(1)</w:t>
            </w:r>
          </w:p>
        </w:tc>
        <w:tc>
          <w:tcPr>
            <w:tcW w:w="6860" w:type="dxa"/>
            <w:vAlign w:val="bottom"/>
          </w:tcPr>
          <w:p>
            <w:pPr>
              <w:ind w:left="2140"/>
              <w:spacing w:after="0" w:line="242" w:lineRule="exact"/>
              <w:rPr>
                <w:sz w:val="20"/>
                <w:szCs w:val="20"/>
                <w:color w:val="auto"/>
              </w:rPr>
            </w:pPr>
            <w:r>
              <w:rPr>
                <w:rFonts w:ascii="Arial" w:cs="Arial" w:eastAsia="Arial" w:hAnsi="Arial"/>
                <w:sz w:val="16"/>
                <w:szCs w:val="16"/>
                <w:color w:val="auto"/>
              </w:rPr>
              <w:t xml:space="preserve">L3 Technologies, Inc. </w:t>
            </w:r>
            <w:r>
              <w:rPr>
                <w:rFonts w:ascii="Arial" w:cs="Arial" w:eastAsia="Arial" w:hAnsi="Arial"/>
                <w:sz w:val="27"/>
                <w:szCs w:val="27"/>
                <w:color w:val="auto"/>
                <w:vertAlign w:val="superscript"/>
              </w:rPr>
              <w:t>(1)</w:t>
            </w:r>
          </w:p>
        </w:tc>
      </w:tr>
      <w:tr>
        <w:trPr>
          <w:trHeight w:val="243"/>
        </w:trPr>
        <w:tc>
          <w:tcPr>
            <w:tcW w:w="2940" w:type="dxa"/>
            <w:vAlign w:val="bottom"/>
            <w:shd w:val="clear" w:color="auto" w:fill="BECFDE"/>
          </w:tcPr>
          <w:p>
            <w:pPr>
              <w:ind w:left="80"/>
              <w:spacing w:after="0"/>
              <w:rPr>
                <w:sz w:val="20"/>
                <w:szCs w:val="20"/>
                <w:color w:val="auto"/>
              </w:rPr>
            </w:pPr>
            <w:r>
              <w:rPr>
                <w:rFonts w:ascii="Arial" w:cs="Arial" w:eastAsia="Arial" w:hAnsi="Arial"/>
                <w:sz w:val="16"/>
                <w:szCs w:val="16"/>
                <w:color w:val="auto"/>
              </w:rPr>
              <w:t>Caterpillar Inc.</w:t>
            </w:r>
          </w:p>
        </w:tc>
        <w:tc>
          <w:tcPr>
            <w:tcW w:w="6860" w:type="dxa"/>
            <w:vAlign w:val="bottom"/>
            <w:shd w:val="clear" w:color="auto" w:fill="BECFDE"/>
          </w:tcPr>
          <w:p>
            <w:pPr>
              <w:ind w:left="2140"/>
              <w:spacing w:after="0" w:line="242" w:lineRule="exact"/>
              <w:rPr>
                <w:sz w:val="20"/>
                <w:szCs w:val="20"/>
                <w:color w:val="auto"/>
              </w:rPr>
            </w:pPr>
            <w:r>
              <w:rPr>
                <w:rFonts w:ascii="Arial" w:cs="Arial" w:eastAsia="Arial" w:hAnsi="Arial"/>
                <w:sz w:val="16"/>
                <w:szCs w:val="16"/>
                <w:color w:val="auto"/>
              </w:rPr>
              <w:t xml:space="preserve">Lockheed Martin Corporation </w:t>
            </w:r>
            <w:r>
              <w:rPr>
                <w:rFonts w:ascii="Arial" w:cs="Arial" w:eastAsia="Arial" w:hAnsi="Arial"/>
                <w:sz w:val="27"/>
                <w:szCs w:val="27"/>
                <w:color w:val="auto"/>
                <w:vertAlign w:val="superscript"/>
              </w:rPr>
              <w:t>(1)</w:t>
            </w:r>
          </w:p>
        </w:tc>
      </w:tr>
      <w:tr>
        <w:trPr>
          <w:trHeight w:val="243"/>
        </w:trPr>
        <w:tc>
          <w:tcPr>
            <w:tcW w:w="2940" w:type="dxa"/>
            <w:vAlign w:val="bottom"/>
          </w:tcPr>
          <w:p>
            <w:pPr>
              <w:ind w:left="80"/>
              <w:spacing w:after="0"/>
              <w:rPr>
                <w:sz w:val="20"/>
                <w:szCs w:val="20"/>
                <w:color w:val="auto"/>
              </w:rPr>
            </w:pPr>
            <w:r>
              <w:rPr>
                <w:rFonts w:ascii="Arial" w:cs="Arial" w:eastAsia="Arial" w:hAnsi="Arial"/>
                <w:sz w:val="16"/>
                <w:szCs w:val="16"/>
                <w:color w:val="auto"/>
              </w:rPr>
              <w:t>Eaton Corporation</w:t>
            </w:r>
          </w:p>
        </w:tc>
        <w:tc>
          <w:tcPr>
            <w:tcW w:w="6860" w:type="dxa"/>
            <w:vAlign w:val="bottom"/>
          </w:tcPr>
          <w:p>
            <w:pPr>
              <w:ind w:left="2140"/>
              <w:spacing w:after="0" w:line="242" w:lineRule="exact"/>
              <w:rPr>
                <w:sz w:val="20"/>
                <w:szCs w:val="20"/>
                <w:color w:val="auto"/>
              </w:rPr>
            </w:pPr>
            <w:r>
              <w:rPr>
                <w:rFonts w:ascii="Arial" w:cs="Arial" w:eastAsia="Arial" w:hAnsi="Arial"/>
                <w:sz w:val="16"/>
                <w:szCs w:val="16"/>
                <w:color w:val="auto"/>
              </w:rPr>
              <w:t xml:space="preserve">Raytheon Company </w:t>
            </w:r>
            <w:r>
              <w:rPr>
                <w:rFonts w:ascii="Arial" w:cs="Arial" w:eastAsia="Arial" w:hAnsi="Arial"/>
                <w:sz w:val="27"/>
                <w:szCs w:val="27"/>
                <w:color w:val="auto"/>
                <w:vertAlign w:val="superscript"/>
              </w:rPr>
              <w:t>(1)</w:t>
            </w:r>
          </w:p>
        </w:tc>
      </w:tr>
      <w:tr>
        <w:trPr>
          <w:trHeight w:val="243"/>
        </w:trPr>
        <w:tc>
          <w:tcPr>
            <w:tcW w:w="2940" w:type="dxa"/>
            <w:vAlign w:val="bottom"/>
            <w:shd w:val="clear" w:color="auto" w:fill="BECFDE"/>
          </w:tcPr>
          <w:p>
            <w:pPr>
              <w:ind w:left="80"/>
              <w:spacing w:after="0"/>
              <w:rPr>
                <w:sz w:val="20"/>
                <w:szCs w:val="20"/>
                <w:color w:val="auto"/>
              </w:rPr>
            </w:pPr>
            <w:r>
              <w:rPr>
                <w:rFonts w:ascii="Arial" w:cs="Arial" w:eastAsia="Arial" w:hAnsi="Arial"/>
                <w:sz w:val="16"/>
                <w:szCs w:val="16"/>
                <w:color w:val="auto"/>
              </w:rPr>
              <w:t>Emerson Electric Company</w:t>
            </w:r>
          </w:p>
        </w:tc>
        <w:tc>
          <w:tcPr>
            <w:tcW w:w="6860" w:type="dxa"/>
            <w:vAlign w:val="bottom"/>
            <w:shd w:val="clear" w:color="auto" w:fill="BECFDE"/>
          </w:tcPr>
          <w:p>
            <w:pPr>
              <w:ind w:left="2140"/>
              <w:spacing w:after="0"/>
              <w:rPr>
                <w:sz w:val="20"/>
                <w:szCs w:val="20"/>
                <w:color w:val="auto"/>
              </w:rPr>
            </w:pPr>
            <w:r>
              <w:rPr>
                <w:rFonts w:ascii="Arial" w:cs="Arial" w:eastAsia="Arial" w:hAnsi="Arial"/>
                <w:sz w:val="16"/>
                <w:szCs w:val="16"/>
                <w:color w:val="auto"/>
              </w:rPr>
              <w:t>Rockwell Collins, Inc.</w:t>
            </w:r>
          </w:p>
        </w:tc>
      </w:tr>
      <w:tr>
        <w:trPr>
          <w:trHeight w:val="243"/>
        </w:trPr>
        <w:tc>
          <w:tcPr>
            <w:tcW w:w="2940" w:type="dxa"/>
            <w:vAlign w:val="bottom"/>
          </w:tcPr>
          <w:p>
            <w:pPr>
              <w:ind w:left="80"/>
              <w:spacing w:after="0" w:line="242" w:lineRule="exact"/>
              <w:rPr>
                <w:sz w:val="20"/>
                <w:szCs w:val="20"/>
                <w:color w:val="auto"/>
              </w:rPr>
            </w:pPr>
            <w:r>
              <w:rPr>
                <w:rFonts w:ascii="Arial" w:cs="Arial" w:eastAsia="Arial" w:hAnsi="Arial"/>
                <w:sz w:val="16"/>
                <w:szCs w:val="16"/>
                <w:color w:val="auto"/>
              </w:rPr>
              <w:t xml:space="preserve">General Dynamics Corporation </w:t>
            </w:r>
            <w:r>
              <w:rPr>
                <w:rFonts w:ascii="Arial" w:cs="Arial" w:eastAsia="Arial" w:hAnsi="Arial"/>
                <w:sz w:val="27"/>
                <w:szCs w:val="27"/>
                <w:color w:val="auto"/>
                <w:vertAlign w:val="superscript"/>
              </w:rPr>
              <w:t>(1)</w:t>
            </w:r>
          </w:p>
        </w:tc>
        <w:tc>
          <w:tcPr>
            <w:tcW w:w="6860" w:type="dxa"/>
            <w:vAlign w:val="bottom"/>
          </w:tcPr>
          <w:p>
            <w:pPr>
              <w:ind w:left="2140"/>
              <w:spacing w:after="0"/>
              <w:rPr>
                <w:sz w:val="20"/>
                <w:szCs w:val="20"/>
                <w:color w:val="auto"/>
              </w:rPr>
            </w:pPr>
            <w:r>
              <w:rPr>
                <w:rFonts w:ascii="Arial" w:cs="Arial" w:eastAsia="Arial" w:hAnsi="Arial"/>
                <w:sz w:val="16"/>
                <w:szCs w:val="16"/>
                <w:color w:val="auto"/>
              </w:rPr>
              <w:t>Textron Inc.</w:t>
            </w:r>
          </w:p>
        </w:tc>
      </w:tr>
      <w:tr>
        <w:trPr>
          <w:trHeight w:val="243"/>
        </w:trPr>
        <w:tc>
          <w:tcPr>
            <w:tcW w:w="2940" w:type="dxa"/>
            <w:vAlign w:val="bottom"/>
            <w:tcBorders>
              <w:bottom w:val="single" w:sz="8" w:color="276092"/>
            </w:tcBorders>
            <w:shd w:val="clear" w:color="auto" w:fill="BECFDE"/>
          </w:tcPr>
          <w:p>
            <w:pPr>
              <w:ind w:left="80"/>
              <w:spacing w:after="0" w:line="242" w:lineRule="exact"/>
              <w:rPr>
                <w:sz w:val="20"/>
                <w:szCs w:val="20"/>
                <w:color w:val="auto"/>
              </w:rPr>
            </w:pPr>
            <w:r>
              <w:rPr>
                <w:rFonts w:ascii="Arial" w:cs="Arial" w:eastAsia="Arial" w:hAnsi="Arial"/>
                <w:sz w:val="16"/>
                <w:szCs w:val="16"/>
                <w:color w:val="auto"/>
              </w:rPr>
              <w:t xml:space="preserve">Honeywell International Inc. </w:t>
            </w:r>
            <w:r>
              <w:rPr>
                <w:rFonts w:ascii="Arial" w:cs="Arial" w:eastAsia="Arial" w:hAnsi="Arial"/>
                <w:sz w:val="27"/>
                <w:szCs w:val="27"/>
                <w:color w:val="auto"/>
                <w:vertAlign w:val="superscript"/>
              </w:rPr>
              <w:t>(1)</w:t>
            </w:r>
          </w:p>
        </w:tc>
        <w:tc>
          <w:tcPr>
            <w:tcW w:w="6860" w:type="dxa"/>
            <w:vAlign w:val="bottom"/>
            <w:tcBorders>
              <w:bottom w:val="single" w:sz="8" w:color="276092"/>
            </w:tcBorders>
            <w:shd w:val="clear" w:color="auto" w:fill="BECFDE"/>
          </w:tcPr>
          <w:p>
            <w:pPr>
              <w:ind w:left="2140"/>
              <w:spacing w:after="0"/>
              <w:rPr>
                <w:sz w:val="20"/>
                <w:szCs w:val="20"/>
                <w:color w:val="auto"/>
              </w:rPr>
            </w:pPr>
            <w:r>
              <w:rPr>
                <w:rFonts w:ascii="Arial" w:cs="Arial" w:eastAsia="Arial" w:hAnsi="Arial"/>
                <w:sz w:val="16"/>
                <w:szCs w:val="16"/>
                <w:color w:val="auto"/>
              </w:rPr>
              <w:t>United Technologies Corporation</w:t>
            </w:r>
          </w:p>
        </w:tc>
      </w:tr>
    </w:tbl>
    <w:p>
      <w:pPr>
        <w:ind w:left="1020" w:hanging="208"/>
        <w:spacing w:after="0" w:line="197" w:lineRule="auto"/>
        <w:tabs>
          <w:tab w:leader="none" w:pos="1020" w:val="left"/>
        </w:tabs>
        <w:numPr>
          <w:ilvl w:val="0"/>
          <w:numId w:val="73"/>
        </w:numPr>
        <w:rPr>
          <w:rFonts w:ascii="Arial" w:cs="Arial" w:eastAsia="Arial" w:hAnsi="Arial"/>
          <w:sz w:val="25"/>
          <w:szCs w:val="25"/>
          <w:color w:val="auto"/>
          <w:vertAlign w:val="superscript"/>
        </w:rPr>
      </w:pPr>
      <w:r>
        <w:rPr>
          <w:rFonts w:ascii="Arial" w:cs="Arial" w:eastAsia="Arial" w:hAnsi="Arial"/>
          <w:sz w:val="15"/>
          <w:szCs w:val="15"/>
          <w:color w:val="auto"/>
        </w:rPr>
        <w:t>Included in the subset of six direct peers also used for compensation benchmarking</w:t>
      </w:r>
    </w:p>
    <w:p>
      <w:pPr>
        <w:spacing w:after="0" w:line="114"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It is the Company’s pay philosophy to provide the CEO a compensation package that comprises competitive elements of base salary and target variable pay relative to the Target Industry Peer Group. In 2017, the CEO’s target total direct compensation approximated the median of the Target Industry Peer Group.</w:t>
      </w:r>
    </w:p>
    <w:p>
      <w:pPr>
        <w:spacing w:after="0" w:line="95"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Another element of the Company’s pay philosophy is to tie a significant portion of the CEO’s pay to performance. As a result, the CEO’s actual compensation may differ from this market median based on the Company’s actual performance.</w:t>
      </w:r>
    </w:p>
    <w:p>
      <w:pPr>
        <w:spacing w:after="0" w:line="89" w:lineRule="exact"/>
        <w:rPr>
          <w:sz w:val="20"/>
          <w:szCs w:val="20"/>
          <w:color w:val="auto"/>
        </w:rPr>
      </w:pPr>
    </w:p>
    <w:p>
      <w:pPr>
        <w:ind w:left="200" w:right="80"/>
        <w:spacing w:after="0" w:line="255" w:lineRule="auto"/>
        <w:rPr>
          <w:sz w:val="20"/>
          <w:szCs w:val="20"/>
          <w:color w:val="auto"/>
        </w:rPr>
      </w:pPr>
      <w:r>
        <w:rPr>
          <w:rFonts w:ascii="Arial" w:cs="Arial" w:eastAsia="Arial" w:hAnsi="Arial"/>
          <w:sz w:val="17"/>
          <w:szCs w:val="17"/>
          <w:color w:val="auto"/>
        </w:rPr>
        <w:t>In determining the base salary and target variable pay elements for the other NEOs, the Compensation Committee does not set any specific benchmark relative to the Target Industry Peer Group; rather, the Compensation Committee considers several factors in determining their compensation, including executive compensation levels and practices of the Target Industry Peer Group,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39</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Under our shareholder-approved 2002 Incentive Compensation Plan (the Plan), the Compensation Committee approves the annual incentive compensation target payout percentage for each NEO other than the CEO. For the CEO, such percentage is approved by the independent directors of the Board.</w:t>
      </w:r>
    </w:p>
    <w:p>
      <w:pPr>
        <w:spacing w:after="0" w:line="95"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The target incentive award (target bonus) represents a percentage of each NEO’s base salary. Following the completion of the fiscal year, the target bonus is used by the Compensation Committee, together with its assessment of Company performance against pre-determined performance criteria, to determine the final bonus award amount.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Annual Incentive Plan</w:t>
      </w:r>
    </w:p>
    <w:p>
      <w:pPr>
        <w:spacing w:after="0" w:line="12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The 2017 target bonus for the CEO was 180% of base salary, which was unchanged from 2016. For each of the other NEOs, the 2017 target bonus was 100% of base salary, which was also unchanged from 2016. Upon Mr. Pamiljans’ promotion effective April 1, 2017, his target bonus was increased to 100% of base salary. Mr. Pamiljans’ 2017 target bonus and final bonus award were prorated to reflect the time he served in his role as an elected officer and as an appointed officer.</w:t>
      </w:r>
    </w:p>
    <w:p>
      <w:pPr>
        <w:spacing w:after="0" w:line="94"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The final bonus award for each NEO was determined by multiplying the Northrop Grumman Company Performance Factor (CPF) by the target bonus. The CPF can range from 0% to 200% in the annual incentive formula described below.</w:t>
      </w:r>
    </w:p>
    <w:p>
      <w:pPr>
        <w:spacing w:after="0" w:line="6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Annual Incentive Formula for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88900</wp:posOffset>
            </wp:positionV>
            <wp:extent cx="2684145" cy="16033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8414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At the end of each year, the CEO conducts an annual performance evaluation for each NEO, other than himself, and then reviews the evaluation with the Compensation Committee. The Compensation Committee reviews Company performance information, as well as the comparison to market data.</w:t>
      </w:r>
    </w:p>
    <w:p>
      <w:pPr>
        <w:spacing w:after="0" w:line="95" w:lineRule="exact"/>
        <w:rPr>
          <w:sz w:val="20"/>
          <w:szCs w:val="20"/>
          <w:color w:val="auto"/>
        </w:rPr>
      </w:pPr>
    </w:p>
    <w:p>
      <w:pPr>
        <w:ind w:left="200" w:right="40"/>
        <w:spacing w:after="0" w:line="253" w:lineRule="auto"/>
        <w:rPr>
          <w:sz w:val="20"/>
          <w:szCs w:val="20"/>
          <w:color w:val="auto"/>
        </w:rPr>
      </w:pPr>
      <w:r>
        <w:rPr>
          <w:rFonts w:ascii="Arial" w:cs="Arial" w:eastAsia="Arial" w:hAnsi="Arial"/>
          <w:sz w:val="17"/>
          <w:szCs w:val="17"/>
          <w:color w:val="auto"/>
        </w:rPr>
        <w:t>The Compensation Committee approves bonus amounts for all NEOs except the CEO, whose annual bonus is recommended by the Compensation Committee to the independent members of the Board for approval. The Compensation Committee has discretion to make adjustments to the annual bonus payouts for NEOs, except the CEO, if it determines such adjustment is warranted. For example, in instances where Company performance has been impacted by unforeseen or unusual events (e.g., the 2017 Tax Act), the Compensation Committee has exercised its authority to increase the final awards as necessary to preserve the intended incentives and benefits. The Compensation Committee has also adjusted payouts downward in the past despite performance targets having been met when it determined that particular circumstances had a negative impact on the Company but were not reflected in the performance calculation.</w:t>
      </w:r>
    </w:p>
    <w:p>
      <w:pPr>
        <w:spacing w:after="0" w:line="121" w:lineRule="exact"/>
        <w:rPr>
          <w:sz w:val="20"/>
          <w:szCs w:val="20"/>
          <w:color w:val="auto"/>
        </w:rPr>
      </w:pPr>
    </w:p>
    <w:p>
      <w:pPr>
        <w:ind w:left="460" w:hanging="256"/>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40"/>
          </w:cols>
          <w:pgMar w:left="24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-147955</wp:posOffset>
            </wp:positionV>
            <wp:extent cx="6997700" cy="325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3257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Annual Incentive Goals and Results</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300" w:type="dxa"/>
            <w:vAlign w:val="bottom"/>
            <w:shd w:val="clear" w:color="auto" w:fill="276092"/>
          </w:tcPr>
          <w:p>
            <w:pPr>
              <w:ind w:left="40"/>
              <w:spacing w:after="0"/>
              <w:rPr>
                <w:sz w:val="20"/>
                <w:szCs w:val="20"/>
                <w:color w:val="auto"/>
              </w:rPr>
            </w:pPr>
            <w:r>
              <w:rPr>
                <w:rFonts w:ascii="Arial" w:cs="Arial" w:eastAsia="Arial" w:hAnsi="Arial"/>
                <w:sz w:val="16"/>
                <w:szCs w:val="16"/>
                <w:b w:val="1"/>
                <w:bCs w:val="1"/>
                <w:color w:val="FFFFFF"/>
              </w:rPr>
              <w:t>2016 Financial Metrics</w:t>
            </w:r>
          </w:p>
        </w:tc>
        <w:tc>
          <w:tcPr>
            <w:tcW w:w="1360" w:type="dxa"/>
            <w:vAlign w:val="bottom"/>
            <w:shd w:val="clear" w:color="auto" w:fill="276092"/>
          </w:tcPr>
          <w:p>
            <w:pPr>
              <w:jc w:val="center"/>
              <w:ind w:left="59"/>
              <w:spacing w:after="0"/>
              <w:rPr>
                <w:sz w:val="20"/>
                <w:szCs w:val="20"/>
                <w:color w:val="auto"/>
              </w:rPr>
            </w:pPr>
            <w:r>
              <w:rPr>
                <w:rFonts w:ascii="Arial" w:cs="Arial" w:eastAsia="Arial" w:hAnsi="Arial"/>
                <w:sz w:val="16"/>
                <w:szCs w:val="16"/>
                <w:b w:val="1"/>
                <w:bCs w:val="1"/>
                <w:color w:val="FFFFFF"/>
              </w:rPr>
              <w:t>Weighting</w:t>
            </w:r>
          </w:p>
        </w:tc>
        <w:tc>
          <w:tcPr>
            <w:tcW w:w="680" w:type="dxa"/>
            <w:vAlign w:val="bottom"/>
          </w:tcPr>
          <w:p>
            <w:pPr>
              <w:spacing w:after="0"/>
              <w:rPr>
                <w:sz w:val="22"/>
                <w:szCs w:val="22"/>
                <w:color w:val="auto"/>
              </w:rPr>
            </w:pPr>
          </w:p>
        </w:tc>
        <w:tc>
          <w:tcPr>
            <w:tcW w:w="3400" w:type="dxa"/>
            <w:vAlign w:val="bottom"/>
            <w:shd w:val="clear" w:color="auto" w:fill="276092"/>
          </w:tcPr>
          <w:p>
            <w:pPr>
              <w:ind w:left="140"/>
              <w:spacing w:after="0"/>
              <w:rPr>
                <w:sz w:val="20"/>
                <w:szCs w:val="20"/>
                <w:color w:val="auto"/>
              </w:rPr>
            </w:pPr>
            <w:r>
              <w:rPr>
                <w:rFonts w:ascii="Arial" w:cs="Arial" w:eastAsia="Arial" w:hAnsi="Arial"/>
                <w:sz w:val="16"/>
                <w:szCs w:val="16"/>
                <w:b w:val="1"/>
                <w:bCs w:val="1"/>
                <w:color w:val="FFFFFF"/>
              </w:rPr>
              <w:t>2017 Financial Metrics</w:t>
            </w:r>
          </w:p>
        </w:tc>
        <w:tc>
          <w:tcPr>
            <w:tcW w:w="1380" w:type="dxa"/>
            <w:vAlign w:val="bottom"/>
            <w:shd w:val="clear" w:color="auto" w:fill="276092"/>
          </w:tcPr>
          <w:p>
            <w:pPr>
              <w:jc w:val="center"/>
              <w:ind w:left="39"/>
              <w:spacing w:after="0"/>
              <w:rPr>
                <w:sz w:val="20"/>
                <w:szCs w:val="20"/>
                <w:color w:val="auto"/>
              </w:rPr>
            </w:pPr>
            <w:r>
              <w:rPr>
                <w:rFonts w:ascii="Arial" w:cs="Arial" w:eastAsia="Arial" w:hAnsi="Arial"/>
                <w:sz w:val="16"/>
                <w:szCs w:val="16"/>
                <w:b w:val="1"/>
                <w:bCs w:val="1"/>
                <w:color w:val="FFFFFF"/>
              </w:rPr>
              <w:t>Weighting</w:t>
            </w:r>
          </w:p>
        </w:tc>
      </w:tr>
      <w:tr>
        <w:trPr>
          <w:trHeight w:val="257"/>
        </w:trPr>
        <w:tc>
          <w:tcPr>
            <w:tcW w:w="3300" w:type="dxa"/>
            <w:vAlign w:val="bottom"/>
            <w:shd w:val="clear" w:color="auto" w:fill="BECFDE"/>
          </w:tcPr>
          <w:p>
            <w:pPr>
              <w:ind w:left="40"/>
              <w:spacing w:after="0"/>
              <w:rPr>
                <w:sz w:val="20"/>
                <w:szCs w:val="20"/>
                <w:color w:val="auto"/>
              </w:rPr>
            </w:pPr>
            <w:r>
              <w:rPr>
                <w:rFonts w:ascii="Arial" w:cs="Arial" w:eastAsia="Arial" w:hAnsi="Arial"/>
                <w:sz w:val="16"/>
                <w:szCs w:val="16"/>
                <w:color w:val="auto"/>
              </w:rPr>
              <w:t>Pension-adjusted OM Rate*</w:t>
            </w:r>
          </w:p>
        </w:tc>
        <w:tc>
          <w:tcPr>
            <w:tcW w:w="1360" w:type="dxa"/>
            <w:vAlign w:val="bottom"/>
            <w:shd w:val="clear" w:color="auto" w:fill="BECFDE"/>
          </w:tcPr>
          <w:p>
            <w:pPr>
              <w:jc w:val="center"/>
              <w:ind w:left="79"/>
              <w:spacing w:after="0"/>
              <w:rPr>
                <w:sz w:val="20"/>
                <w:szCs w:val="20"/>
                <w:color w:val="auto"/>
              </w:rPr>
            </w:pPr>
            <w:r>
              <w:rPr>
                <w:rFonts w:ascii="Arial" w:cs="Arial" w:eastAsia="Arial" w:hAnsi="Arial"/>
                <w:sz w:val="16"/>
                <w:szCs w:val="16"/>
                <w:color w:val="auto"/>
                <w:w w:val="99"/>
              </w:rPr>
              <w:t>30%</w:t>
            </w:r>
          </w:p>
        </w:tc>
        <w:tc>
          <w:tcPr>
            <w:tcW w:w="680" w:type="dxa"/>
            <w:vAlign w:val="bottom"/>
          </w:tcPr>
          <w:p>
            <w:pPr>
              <w:spacing w:after="0"/>
              <w:rPr>
                <w:sz w:val="22"/>
                <w:szCs w:val="22"/>
                <w:color w:val="auto"/>
              </w:rPr>
            </w:pPr>
          </w:p>
        </w:tc>
        <w:tc>
          <w:tcPr>
            <w:tcW w:w="3400" w:type="dxa"/>
            <w:vAlign w:val="bottom"/>
            <w:shd w:val="clear" w:color="auto" w:fill="BECFDE"/>
          </w:tcPr>
          <w:p>
            <w:pPr>
              <w:ind w:left="140"/>
              <w:spacing w:after="0"/>
              <w:rPr>
                <w:sz w:val="20"/>
                <w:szCs w:val="20"/>
                <w:color w:val="auto"/>
              </w:rPr>
            </w:pPr>
            <w:r>
              <w:rPr>
                <w:rFonts w:ascii="Arial" w:cs="Arial" w:eastAsia="Arial" w:hAnsi="Arial"/>
                <w:sz w:val="16"/>
                <w:szCs w:val="16"/>
                <w:color w:val="auto"/>
              </w:rPr>
              <w:t>Pension-adjusted OM Rate*</w:t>
            </w:r>
          </w:p>
        </w:tc>
        <w:tc>
          <w:tcPr>
            <w:tcW w:w="1380" w:type="dxa"/>
            <w:vAlign w:val="bottom"/>
            <w:shd w:val="clear" w:color="auto" w:fill="BECFDE"/>
          </w:tcPr>
          <w:p>
            <w:pPr>
              <w:jc w:val="center"/>
              <w:ind w:left="99"/>
              <w:spacing w:after="0"/>
              <w:rPr>
                <w:sz w:val="20"/>
                <w:szCs w:val="20"/>
                <w:color w:val="auto"/>
              </w:rPr>
            </w:pPr>
            <w:r>
              <w:rPr>
                <w:rFonts w:ascii="Arial" w:cs="Arial" w:eastAsia="Arial" w:hAnsi="Arial"/>
                <w:sz w:val="16"/>
                <w:szCs w:val="16"/>
                <w:color w:val="auto"/>
              </w:rPr>
              <w:t>1/3</w:t>
            </w:r>
          </w:p>
        </w:tc>
      </w:tr>
      <w:tr>
        <w:trPr>
          <w:trHeight w:val="247"/>
        </w:trPr>
        <w:tc>
          <w:tcPr>
            <w:tcW w:w="3300" w:type="dxa"/>
            <w:vAlign w:val="bottom"/>
          </w:tcPr>
          <w:p>
            <w:pPr>
              <w:ind w:left="40"/>
              <w:spacing w:after="0"/>
              <w:rPr>
                <w:sz w:val="20"/>
                <w:szCs w:val="20"/>
                <w:color w:val="auto"/>
              </w:rPr>
            </w:pPr>
            <w:r>
              <w:rPr>
                <w:rFonts w:ascii="Arial" w:cs="Arial" w:eastAsia="Arial" w:hAnsi="Arial"/>
                <w:sz w:val="16"/>
                <w:szCs w:val="16"/>
                <w:color w:val="auto"/>
              </w:rPr>
              <w:t>Cash Flow from Operations Conversion*</w:t>
            </w:r>
          </w:p>
        </w:tc>
        <w:tc>
          <w:tcPr>
            <w:tcW w:w="1360" w:type="dxa"/>
            <w:vAlign w:val="bottom"/>
          </w:tcPr>
          <w:p>
            <w:pPr>
              <w:jc w:val="center"/>
              <w:ind w:left="79"/>
              <w:spacing w:after="0"/>
              <w:rPr>
                <w:sz w:val="20"/>
                <w:szCs w:val="20"/>
                <w:color w:val="auto"/>
              </w:rPr>
            </w:pPr>
            <w:r>
              <w:rPr>
                <w:rFonts w:ascii="Arial" w:cs="Arial" w:eastAsia="Arial" w:hAnsi="Arial"/>
                <w:sz w:val="16"/>
                <w:szCs w:val="16"/>
                <w:color w:val="auto"/>
                <w:w w:val="99"/>
              </w:rPr>
              <w:t>30%</w:t>
            </w:r>
          </w:p>
        </w:tc>
        <w:tc>
          <w:tcPr>
            <w:tcW w:w="680" w:type="dxa"/>
            <w:vAlign w:val="bottom"/>
          </w:tcPr>
          <w:p>
            <w:pPr>
              <w:spacing w:after="0"/>
              <w:rPr>
                <w:sz w:val="21"/>
                <w:szCs w:val="21"/>
                <w:color w:val="auto"/>
              </w:rPr>
            </w:pPr>
          </w:p>
        </w:tc>
        <w:tc>
          <w:tcPr>
            <w:tcW w:w="3400" w:type="dxa"/>
            <w:vAlign w:val="bottom"/>
          </w:tcPr>
          <w:p>
            <w:pPr>
              <w:ind w:left="140"/>
              <w:spacing w:after="0"/>
              <w:rPr>
                <w:sz w:val="20"/>
                <w:szCs w:val="20"/>
                <w:color w:val="auto"/>
              </w:rPr>
            </w:pPr>
            <w:r>
              <w:rPr>
                <w:rFonts w:ascii="Arial" w:cs="Arial" w:eastAsia="Arial" w:hAnsi="Arial"/>
                <w:sz w:val="16"/>
                <w:szCs w:val="16"/>
                <w:color w:val="auto"/>
              </w:rPr>
              <w:t>Cash Flow from Operations Conversion*</w:t>
            </w:r>
          </w:p>
        </w:tc>
        <w:tc>
          <w:tcPr>
            <w:tcW w:w="1380" w:type="dxa"/>
            <w:vAlign w:val="bottom"/>
          </w:tcPr>
          <w:p>
            <w:pPr>
              <w:jc w:val="center"/>
              <w:ind w:left="99"/>
              <w:spacing w:after="0"/>
              <w:rPr>
                <w:sz w:val="20"/>
                <w:szCs w:val="20"/>
                <w:color w:val="auto"/>
              </w:rPr>
            </w:pPr>
            <w:r>
              <w:rPr>
                <w:rFonts w:ascii="Arial" w:cs="Arial" w:eastAsia="Arial" w:hAnsi="Arial"/>
                <w:sz w:val="16"/>
                <w:szCs w:val="16"/>
                <w:color w:val="auto"/>
              </w:rPr>
              <w:t>1/3</w:t>
            </w:r>
          </w:p>
        </w:tc>
      </w:tr>
      <w:tr>
        <w:trPr>
          <w:trHeight w:val="266"/>
        </w:trPr>
        <w:tc>
          <w:tcPr>
            <w:tcW w:w="3300" w:type="dxa"/>
            <w:vAlign w:val="bottom"/>
            <w:shd w:val="clear" w:color="auto" w:fill="BECFDE"/>
          </w:tcPr>
          <w:p>
            <w:pPr>
              <w:ind w:left="40"/>
              <w:spacing w:after="0"/>
              <w:rPr>
                <w:sz w:val="20"/>
                <w:szCs w:val="20"/>
                <w:color w:val="auto"/>
              </w:rPr>
            </w:pPr>
            <w:r>
              <w:rPr>
                <w:rFonts w:ascii="Arial" w:cs="Arial" w:eastAsia="Arial" w:hAnsi="Arial"/>
                <w:sz w:val="16"/>
                <w:szCs w:val="16"/>
                <w:color w:val="auto"/>
              </w:rPr>
              <w:t>Pension-adjusted Net Income* Growth</w:t>
            </w:r>
          </w:p>
        </w:tc>
        <w:tc>
          <w:tcPr>
            <w:tcW w:w="1360" w:type="dxa"/>
            <w:vAlign w:val="bottom"/>
            <w:shd w:val="clear" w:color="auto" w:fill="BECFDE"/>
          </w:tcPr>
          <w:p>
            <w:pPr>
              <w:jc w:val="center"/>
              <w:ind w:left="79"/>
              <w:spacing w:after="0"/>
              <w:rPr>
                <w:sz w:val="20"/>
                <w:szCs w:val="20"/>
                <w:color w:val="auto"/>
              </w:rPr>
            </w:pPr>
            <w:r>
              <w:rPr>
                <w:rFonts w:ascii="Arial" w:cs="Arial" w:eastAsia="Arial" w:hAnsi="Arial"/>
                <w:sz w:val="16"/>
                <w:szCs w:val="16"/>
                <w:color w:val="auto"/>
                <w:w w:val="99"/>
              </w:rPr>
              <w:t>30%</w:t>
            </w:r>
          </w:p>
        </w:tc>
        <w:tc>
          <w:tcPr>
            <w:tcW w:w="680" w:type="dxa"/>
            <w:vAlign w:val="bottom"/>
          </w:tcPr>
          <w:p>
            <w:pPr>
              <w:spacing w:after="0"/>
              <w:rPr>
                <w:sz w:val="23"/>
                <w:szCs w:val="23"/>
                <w:color w:val="auto"/>
              </w:rPr>
            </w:pPr>
          </w:p>
        </w:tc>
        <w:tc>
          <w:tcPr>
            <w:tcW w:w="3400" w:type="dxa"/>
            <w:vAlign w:val="bottom"/>
            <w:tcBorders>
              <w:bottom w:val="single" w:sz="8" w:color="276092"/>
            </w:tcBorders>
            <w:shd w:val="clear" w:color="auto" w:fill="BECFDE"/>
          </w:tcPr>
          <w:p>
            <w:pPr>
              <w:ind w:left="140"/>
              <w:spacing w:after="0"/>
              <w:rPr>
                <w:sz w:val="20"/>
                <w:szCs w:val="20"/>
                <w:color w:val="auto"/>
              </w:rPr>
            </w:pPr>
            <w:r>
              <w:rPr>
                <w:rFonts w:ascii="Arial" w:cs="Arial" w:eastAsia="Arial" w:hAnsi="Arial"/>
                <w:sz w:val="16"/>
                <w:szCs w:val="16"/>
                <w:color w:val="auto"/>
              </w:rPr>
              <w:t>Pension-adjusted Net Income* Growth</w:t>
            </w:r>
          </w:p>
        </w:tc>
        <w:tc>
          <w:tcPr>
            <w:tcW w:w="1380" w:type="dxa"/>
            <w:vAlign w:val="bottom"/>
            <w:tcBorders>
              <w:bottom w:val="single" w:sz="8" w:color="276092"/>
            </w:tcBorders>
            <w:shd w:val="clear" w:color="auto" w:fill="BECFDE"/>
          </w:tcPr>
          <w:p>
            <w:pPr>
              <w:jc w:val="center"/>
              <w:ind w:left="99"/>
              <w:spacing w:after="0"/>
              <w:rPr>
                <w:sz w:val="20"/>
                <w:szCs w:val="20"/>
                <w:color w:val="auto"/>
              </w:rPr>
            </w:pPr>
            <w:r>
              <w:rPr>
                <w:rFonts w:ascii="Arial" w:cs="Arial" w:eastAsia="Arial" w:hAnsi="Arial"/>
                <w:sz w:val="16"/>
                <w:szCs w:val="16"/>
                <w:color w:val="auto"/>
              </w:rPr>
              <w:t>1/3</w:t>
            </w:r>
          </w:p>
        </w:tc>
      </w:tr>
      <w:tr>
        <w:trPr>
          <w:trHeight w:val="217"/>
        </w:trPr>
        <w:tc>
          <w:tcPr>
            <w:tcW w:w="3300" w:type="dxa"/>
            <w:vAlign w:val="bottom"/>
          </w:tcPr>
          <w:p>
            <w:pPr>
              <w:ind w:left="40"/>
              <w:spacing w:after="0"/>
              <w:rPr>
                <w:sz w:val="20"/>
                <w:szCs w:val="20"/>
                <w:color w:val="auto"/>
              </w:rPr>
            </w:pPr>
            <w:r>
              <w:rPr>
                <w:rFonts w:ascii="Arial" w:cs="Arial" w:eastAsia="Arial" w:hAnsi="Arial"/>
                <w:sz w:val="16"/>
                <w:szCs w:val="16"/>
                <w:color w:val="auto"/>
              </w:rPr>
              <w:t>Awards (Book-to-Bill)</w:t>
            </w:r>
          </w:p>
        </w:tc>
        <w:tc>
          <w:tcPr>
            <w:tcW w:w="1360" w:type="dxa"/>
            <w:vAlign w:val="bottom"/>
          </w:tcPr>
          <w:p>
            <w:pPr>
              <w:jc w:val="center"/>
              <w:ind w:left="79"/>
              <w:spacing w:after="0"/>
              <w:rPr>
                <w:sz w:val="20"/>
                <w:szCs w:val="20"/>
                <w:color w:val="auto"/>
              </w:rPr>
            </w:pPr>
            <w:r>
              <w:rPr>
                <w:rFonts w:ascii="Arial" w:cs="Arial" w:eastAsia="Arial" w:hAnsi="Arial"/>
                <w:sz w:val="16"/>
                <w:szCs w:val="16"/>
                <w:color w:val="auto"/>
                <w:w w:val="99"/>
              </w:rPr>
              <w:t>10%</w:t>
            </w:r>
          </w:p>
        </w:tc>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wp:posOffset>
            </wp:positionV>
            <wp:extent cx="64319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-484505</wp:posOffset>
            </wp:positionV>
            <wp:extent cx="394335" cy="3429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94335" cy="342900"/>
                    </a:xfrm>
                    <a:prstGeom prst="rect">
                      <a:avLst/>
                    </a:prstGeom>
                    <a:noFill/>
                  </pic:spPr>
                </pic:pic>
              </a:graphicData>
            </a:graphic>
          </wp:anchor>
        </w:drawing>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110"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For the AIP, we use a mix of financial and non-financial metrics to measure our performance. For 2017, the Compensation Committee refined our AIP financial metrics and weightings, reflecting our commitment to investing for and achieving long-term profitable growth; maintaining alignment with shareholders’ interests; and incentivizing top performance against our industry peers. The Compensation Committee approved the following metrics, equally weighted at 1/3:</w:t>
      </w:r>
    </w:p>
    <w:p>
      <w:pPr>
        <w:spacing w:after="0" w:line="85" w:lineRule="exact"/>
        <w:rPr>
          <w:sz w:val="20"/>
          <w:szCs w:val="20"/>
          <w:color w:val="auto"/>
        </w:rPr>
      </w:pPr>
    </w:p>
    <w:p>
      <w:pPr>
        <w:ind w:left="520" w:right="160" w:hanging="316"/>
        <w:spacing w:after="0" w:line="247" w:lineRule="auto"/>
        <w:tabs>
          <w:tab w:leader="none" w:pos="520" w:val="left"/>
        </w:tabs>
        <w:numPr>
          <w:ilvl w:val="0"/>
          <w:numId w:val="75"/>
        </w:numPr>
        <w:rPr>
          <w:rFonts w:ascii="Arial" w:cs="Arial" w:eastAsia="Arial" w:hAnsi="Arial"/>
          <w:sz w:val="18"/>
          <w:szCs w:val="18"/>
          <w:color w:val="276092"/>
        </w:rPr>
      </w:pPr>
      <w:r>
        <w:rPr>
          <w:rFonts w:ascii="Arial" w:cs="Arial" w:eastAsia="Arial" w:hAnsi="Arial"/>
          <w:sz w:val="18"/>
          <w:szCs w:val="18"/>
          <w:b w:val="1"/>
          <w:bCs w:val="1"/>
          <w:color w:val="auto"/>
        </w:rPr>
        <w:t xml:space="preserve">Pension-adjusted OM Rate*: </w:t>
      </w:r>
      <w:r>
        <w:rPr>
          <w:rFonts w:ascii="Arial" w:cs="Arial" w:eastAsia="Arial" w:hAnsi="Arial"/>
          <w:sz w:val="18"/>
          <w:szCs w:val="18"/>
          <w:color w:val="auto"/>
        </w:rPr>
        <w:t>establishes high program performance expectations for the Company and is calculated as OM rate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margin divided by sales) before net FAS/CAS pension adjustment* (the difference between pension expense charged to contracts and included as cost in segment operating income in accordance with U.S. Government Cost Accounting Standards (CAS) and pension expense determined in accordance with GAAP (FAS)).</w:t>
      </w:r>
    </w:p>
    <w:p>
      <w:pPr>
        <w:spacing w:after="0" w:line="79" w:lineRule="exact"/>
        <w:rPr>
          <w:rFonts w:ascii="Arial" w:cs="Arial" w:eastAsia="Arial" w:hAnsi="Arial"/>
          <w:sz w:val="18"/>
          <w:szCs w:val="18"/>
          <w:color w:val="276092"/>
        </w:rPr>
      </w:pPr>
    </w:p>
    <w:p>
      <w:pPr>
        <w:ind w:left="520" w:hanging="316"/>
        <w:spacing w:after="0" w:line="247" w:lineRule="auto"/>
        <w:tabs>
          <w:tab w:leader="none" w:pos="520" w:val="left"/>
        </w:tabs>
        <w:numPr>
          <w:ilvl w:val="0"/>
          <w:numId w:val="75"/>
        </w:numPr>
        <w:rPr>
          <w:rFonts w:ascii="Arial" w:cs="Arial" w:eastAsia="Arial" w:hAnsi="Arial"/>
          <w:sz w:val="18"/>
          <w:szCs w:val="18"/>
          <w:color w:val="276092"/>
        </w:rPr>
      </w:pPr>
      <w:r>
        <w:rPr>
          <w:rFonts w:ascii="Arial" w:cs="Arial" w:eastAsia="Arial" w:hAnsi="Arial"/>
          <w:sz w:val="18"/>
          <w:szCs w:val="18"/>
          <w:b w:val="1"/>
          <w:bCs w:val="1"/>
          <w:color w:val="auto"/>
        </w:rPr>
        <w:t xml:space="preserve">Cash Flow from Operations Conversion*: </w:t>
      </w:r>
      <w:r>
        <w:rPr>
          <w:rFonts w:ascii="Arial" w:cs="Arial" w:eastAsia="Arial" w:hAnsi="Arial"/>
          <w:sz w:val="18"/>
          <w:szCs w:val="18"/>
          <w:color w:val="auto"/>
        </w:rPr>
        <w:t>recognizes the importance of converting net income into cash. The metric is calculated as</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operating activities before the after-tax impact of discretionary pension contributions* divided by net income. Cash Flow from Operations Conversion* enables management to make capital investment decisions that support long-term profitable growth without impacting performance-based incentive compensation.</w:t>
      </w:r>
    </w:p>
    <w:p>
      <w:pPr>
        <w:spacing w:after="0" w:line="79" w:lineRule="exact"/>
        <w:rPr>
          <w:rFonts w:ascii="Arial" w:cs="Arial" w:eastAsia="Arial" w:hAnsi="Arial"/>
          <w:sz w:val="18"/>
          <w:szCs w:val="18"/>
          <w:color w:val="276092"/>
        </w:rPr>
      </w:pPr>
    </w:p>
    <w:p>
      <w:pPr>
        <w:ind w:left="520" w:hanging="316"/>
        <w:spacing w:after="0" w:line="253" w:lineRule="auto"/>
        <w:tabs>
          <w:tab w:leader="none" w:pos="520" w:val="left"/>
        </w:tabs>
        <w:numPr>
          <w:ilvl w:val="0"/>
          <w:numId w:val="75"/>
        </w:numPr>
        <w:rPr>
          <w:rFonts w:ascii="Arial" w:cs="Arial" w:eastAsia="Arial" w:hAnsi="Arial"/>
          <w:sz w:val="18"/>
          <w:szCs w:val="18"/>
          <w:color w:val="276092"/>
        </w:rPr>
      </w:pPr>
      <w:r>
        <w:rPr>
          <w:rFonts w:ascii="Arial" w:cs="Arial" w:eastAsia="Arial" w:hAnsi="Arial"/>
          <w:sz w:val="18"/>
          <w:szCs w:val="18"/>
          <w:b w:val="1"/>
          <w:bCs w:val="1"/>
          <w:color w:val="auto"/>
        </w:rPr>
        <w:t xml:space="preserve">Pension-adjusted Net Income* Growth: </w:t>
      </w:r>
      <w:r>
        <w:rPr>
          <w:rFonts w:ascii="Arial" w:cs="Arial" w:eastAsia="Arial" w:hAnsi="Arial"/>
          <w:sz w:val="18"/>
          <w:szCs w:val="18"/>
          <w:color w:val="auto"/>
        </w:rPr>
        <w:t>incentivizes management to achieve relative long-term profitable growth greater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projected industry growth rate. Pension-adjusted Net Income* Growth is calculated as net income before the after-tax impact of the net FAS/CAS pension adjustment* and is based on a three-year growth trajectory.</w:t>
      </w:r>
    </w:p>
    <w:p>
      <w:pPr>
        <w:spacing w:after="0" w:line="83"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In addition to these financial goals, we established non-financial goals to align our objectives with all our stakeholders. Performance against non-financial metrics can result only in a downward adjustment to the financial metric score. For 2017, we selected the following non-financial metrics:</w:t>
      </w:r>
    </w:p>
    <w:p>
      <w:pPr>
        <w:spacing w:after="0" w:line="108" w:lineRule="exact"/>
        <w:rPr>
          <w:sz w:val="20"/>
          <w:szCs w:val="20"/>
          <w:color w:val="auto"/>
        </w:rPr>
      </w:pPr>
    </w:p>
    <w:p>
      <w:pPr>
        <w:ind w:left="520" w:right="12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Customer Satisfaction: measured in terms of customer feedback, including customer-generated performance scores, award fees and verbal and written feedback.</w:t>
      </w:r>
    </w:p>
    <w:p>
      <w:pPr>
        <w:spacing w:after="0" w:line="102" w:lineRule="exact"/>
        <w:rPr>
          <w:rFonts w:ascii="Arial" w:cs="Arial" w:eastAsia="Arial" w:hAnsi="Arial"/>
          <w:sz w:val="18"/>
          <w:szCs w:val="18"/>
          <w:color w:val="276092"/>
        </w:rPr>
      </w:pPr>
    </w:p>
    <w:p>
      <w:pPr>
        <w:ind w:left="520" w:right="12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Quality: measured using program-specific objectives, including defect rates, process quality, supplier quality, planning quality or other appropriate criteria for program type and phase.</w:t>
      </w:r>
    </w:p>
    <w:p>
      <w:pPr>
        <w:spacing w:after="0" w:line="102" w:lineRule="exact"/>
        <w:rPr>
          <w:rFonts w:ascii="Arial" w:cs="Arial" w:eastAsia="Arial" w:hAnsi="Arial"/>
          <w:sz w:val="18"/>
          <w:szCs w:val="18"/>
          <w:color w:val="276092"/>
        </w:rPr>
      </w:pPr>
    </w:p>
    <w:p>
      <w:pPr>
        <w:ind w:left="520" w:right="4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Engagement &amp; Inclusion: measured based on performance at or above the global high performing norm for engagement and inclusion indices and an accountability metric (as reported in a company-wide employee survey).</w:t>
      </w:r>
    </w:p>
    <w:p>
      <w:pPr>
        <w:spacing w:after="0" w:line="102" w:lineRule="exact"/>
        <w:rPr>
          <w:rFonts w:ascii="Arial" w:cs="Arial" w:eastAsia="Arial" w:hAnsi="Arial"/>
          <w:sz w:val="18"/>
          <w:szCs w:val="18"/>
          <w:color w:val="276092"/>
        </w:rPr>
      </w:pPr>
    </w:p>
    <w:p>
      <w:pPr>
        <w:ind w:left="52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Diversity: measured in terms of improving representation of females and people of color in all management level positions with respect to internal and external benchmarks.</w:t>
      </w:r>
    </w:p>
    <w:p>
      <w:pPr>
        <w:spacing w:after="0" w:line="102" w:lineRule="exact"/>
        <w:rPr>
          <w:rFonts w:ascii="Arial" w:cs="Arial" w:eastAsia="Arial" w:hAnsi="Arial"/>
          <w:sz w:val="18"/>
          <w:szCs w:val="18"/>
          <w:color w:val="276092"/>
        </w:rPr>
      </w:pPr>
    </w:p>
    <w:p>
      <w:pPr>
        <w:ind w:left="520" w:right="6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Safety: measured by total case rate, defined as the number of Occupational Safety &amp; Health Administration recordable injuries as well as by lost work day rate associated with those injuries.</w:t>
      </w:r>
    </w:p>
    <w:p>
      <w:pPr>
        <w:spacing w:after="0" w:line="102" w:lineRule="exact"/>
        <w:rPr>
          <w:rFonts w:ascii="Arial" w:cs="Arial" w:eastAsia="Arial" w:hAnsi="Arial"/>
          <w:sz w:val="18"/>
          <w:szCs w:val="18"/>
          <w:color w:val="276092"/>
        </w:rPr>
      </w:pPr>
    </w:p>
    <w:p>
      <w:pPr>
        <w:ind w:left="520" w:right="820" w:hanging="316"/>
        <w:spacing w:after="0" w:line="246" w:lineRule="auto"/>
        <w:tabs>
          <w:tab w:leader="none" w:pos="520" w:val="left"/>
        </w:tabs>
        <w:numPr>
          <w:ilvl w:val="0"/>
          <w:numId w:val="76"/>
        </w:numPr>
        <w:rPr>
          <w:rFonts w:ascii="Arial" w:cs="Arial" w:eastAsia="Arial" w:hAnsi="Arial"/>
          <w:sz w:val="18"/>
          <w:szCs w:val="18"/>
          <w:color w:val="276092"/>
        </w:rPr>
      </w:pPr>
      <w:r>
        <w:rPr>
          <w:rFonts w:ascii="Arial" w:cs="Arial" w:eastAsia="Arial" w:hAnsi="Arial"/>
          <w:sz w:val="18"/>
          <w:szCs w:val="18"/>
          <w:color w:val="auto"/>
        </w:rPr>
        <w:t>Environmental Sustainability: measured in terms of reductions in absolute greenhouse gas emissions and potable water use consumption, and improvement in solid waste diversion (i.e., waste diverted from landfill disposal).</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41</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AIP provides for payout levels from 0% to 200% of target. The minimum, target and maximum performance levels are derived based on an analysis of the past performance of our Performance Peer Group (Pension-adjusted Net Income* Growth is based on projected market growth rates). Specific values are identified for each metric at selected points in the range between minimum and maximum and other values are determined by linear interpolation between these points. No payout is made if performance is below the minimum. Above target payout can be earned only if the Company’s performance exceeds the performance threshold noted in the table below. The maximum 200% payout is based upon top quartile past performance of the Performance Peer Group. This structure rewards superior performance by aligning above-target payouts to outperforming our peer benchmarks and provides reduced awards for below target performance. Based on Company performance for the three financial metrics shown in the table below, which have been adjusted to exclude the impact of the 2017 Tax Act, the 2017 CPF was 131%. No downward adjustment was made for non-financial metric performance as the Compensation Committee determined that performance, in aggregate, against the non-financial goals, met the Company’s stated objectives.</w:t>
      </w:r>
    </w:p>
    <w:p>
      <w:pPr>
        <w:spacing w:after="0" w:line="23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180" w:type="dxa"/>
            <w:vAlign w:val="bottom"/>
            <w:shd w:val="clear" w:color="auto" w:fill="276092"/>
          </w:tcPr>
          <w:p>
            <w:pPr>
              <w:spacing w:after="0"/>
              <w:rPr>
                <w:sz w:val="16"/>
                <w:szCs w:val="16"/>
                <w:color w:val="auto"/>
              </w:rPr>
            </w:pPr>
          </w:p>
        </w:tc>
        <w:tc>
          <w:tcPr>
            <w:tcW w:w="1160" w:type="dxa"/>
            <w:vAlign w:val="bottom"/>
            <w:shd w:val="clear" w:color="auto" w:fill="276092"/>
          </w:tcPr>
          <w:p>
            <w:pPr>
              <w:spacing w:after="0"/>
              <w:rPr>
                <w:sz w:val="16"/>
                <w:szCs w:val="16"/>
                <w:color w:val="auto"/>
              </w:rPr>
            </w:pPr>
          </w:p>
        </w:tc>
        <w:tc>
          <w:tcPr>
            <w:tcW w:w="22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Performance to Achieve</w:t>
            </w:r>
          </w:p>
        </w:tc>
        <w:tc>
          <w:tcPr>
            <w:tcW w:w="138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2017</w:t>
            </w:r>
          </w:p>
        </w:tc>
        <w:tc>
          <w:tcPr>
            <w:tcW w:w="1320" w:type="dxa"/>
            <w:vAlign w:val="bottom"/>
            <w:shd w:val="clear" w:color="auto" w:fill="276092"/>
          </w:tcPr>
          <w:p>
            <w:pPr>
              <w:spacing w:after="0"/>
              <w:rPr>
                <w:sz w:val="16"/>
                <w:szCs w:val="16"/>
                <w:color w:val="auto"/>
              </w:rPr>
            </w:pPr>
          </w:p>
        </w:tc>
      </w:tr>
      <w:tr>
        <w:trPr>
          <w:trHeight w:val="234"/>
        </w:trPr>
        <w:tc>
          <w:tcPr>
            <w:tcW w:w="3180" w:type="dxa"/>
            <w:vAlign w:val="bottom"/>
            <w:shd w:val="clear" w:color="auto" w:fill="276092"/>
          </w:tcPr>
          <w:p>
            <w:pPr>
              <w:ind w:left="100"/>
              <w:spacing w:after="0"/>
              <w:rPr>
                <w:sz w:val="20"/>
                <w:szCs w:val="20"/>
                <w:color w:val="auto"/>
              </w:rPr>
            </w:pPr>
            <w:r>
              <w:rPr>
                <w:rFonts w:ascii="Arial" w:cs="Arial" w:eastAsia="Arial" w:hAnsi="Arial"/>
                <w:sz w:val="16"/>
                <w:szCs w:val="16"/>
                <w:b w:val="1"/>
                <w:bCs w:val="1"/>
                <w:color w:val="FFFFFF"/>
              </w:rPr>
              <w:t>Metric/Goal</w:t>
            </w:r>
          </w:p>
        </w:tc>
        <w:tc>
          <w:tcPr>
            <w:tcW w:w="116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Weighting</w:t>
            </w:r>
          </w:p>
        </w:tc>
        <w:tc>
          <w:tcPr>
            <w:tcW w:w="22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w w:val="99"/>
              </w:rPr>
              <w:t>Target Payout</w:t>
            </w:r>
          </w:p>
        </w:tc>
        <w:tc>
          <w:tcPr>
            <w:tcW w:w="1380" w:type="dxa"/>
            <w:vAlign w:val="bottom"/>
            <w:shd w:val="clear" w:color="auto" w:fill="276092"/>
          </w:tcPr>
          <w:p>
            <w:pPr>
              <w:ind w:left="200"/>
              <w:spacing w:after="0"/>
              <w:rPr>
                <w:sz w:val="20"/>
                <w:szCs w:val="20"/>
                <w:color w:val="auto"/>
              </w:rPr>
            </w:pPr>
            <w:r>
              <w:rPr>
                <w:rFonts w:ascii="Arial" w:cs="Arial" w:eastAsia="Arial" w:hAnsi="Arial"/>
                <w:sz w:val="16"/>
                <w:szCs w:val="16"/>
                <w:b w:val="1"/>
                <w:bCs w:val="1"/>
                <w:color w:val="FFFFFF"/>
              </w:rPr>
              <w:t>Performance</w:t>
            </w:r>
          </w:p>
        </w:tc>
        <w:tc>
          <w:tcPr>
            <w:tcW w:w="1320" w:type="dxa"/>
            <w:vAlign w:val="bottom"/>
            <w:shd w:val="clear" w:color="auto" w:fill="276092"/>
          </w:tcPr>
          <w:p>
            <w:pPr>
              <w:ind w:left="180"/>
              <w:spacing w:after="0"/>
              <w:rPr>
                <w:sz w:val="20"/>
                <w:szCs w:val="20"/>
                <w:color w:val="auto"/>
              </w:rPr>
            </w:pPr>
            <w:r>
              <w:rPr>
                <w:rFonts w:ascii="Arial" w:cs="Arial" w:eastAsia="Arial" w:hAnsi="Arial"/>
                <w:sz w:val="16"/>
                <w:szCs w:val="16"/>
                <w:b w:val="1"/>
                <w:bCs w:val="1"/>
                <w:color w:val="FFFFFF"/>
              </w:rPr>
              <w:t>2017 Score</w:t>
            </w:r>
          </w:p>
        </w:tc>
      </w:tr>
      <w:tr>
        <w:trPr>
          <w:trHeight w:val="230"/>
        </w:trPr>
        <w:tc>
          <w:tcPr>
            <w:tcW w:w="3180" w:type="dxa"/>
            <w:vAlign w:val="bottom"/>
            <w:shd w:val="clear" w:color="auto" w:fill="BECFDE"/>
          </w:tcPr>
          <w:p>
            <w:pPr>
              <w:ind w:left="80"/>
              <w:spacing w:after="0"/>
              <w:rPr>
                <w:sz w:val="20"/>
                <w:szCs w:val="20"/>
                <w:color w:val="auto"/>
              </w:rPr>
            </w:pPr>
            <w:r>
              <w:rPr>
                <w:rFonts w:ascii="Arial" w:cs="Arial" w:eastAsia="Arial" w:hAnsi="Arial"/>
                <w:sz w:val="16"/>
                <w:szCs w:val="16"/>
                <w:color w:val="auto"/>
              </w:rPr>
              <w:t>Pension-adjusted OM Rate*</w:t>
            </w:r>
          </w:p>
        </w:tc>
        <w:tc>
          <w:tcPr>
            <w:tcW w:w="116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8"/>
              </w:rPr>
              <w:t>1/3</w:t>
            </w:r>
          </w:p>
        </w:tc>
        <w:tc>
          <w:tcPr>
            <w:tcW w:w="222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10.5%</w:t>
            </w:r>
          </w:p>
        </w:tc>
        <w:tc>
          <w:tcPr>
            <w:tcW w:w="1320" w:type="dxa"/>
            <w:vAlign w:val="bottom"/>
            <w:shd w:val="clear" w:color="auto" w:fill="BECFDE"/>
          </w:tcPr>
          <w:p>
            <w:pPr>
              <w:jc w:val="center"/>
              <w:ind w:left="119"/>
              <w:spacing w:after="0"/>
              <w:rPr>
                <w:sz w:val="20"/>
                <w:szCs w:val="20"/>
                <w:color w:val="auto"/>
              </w:rPr>
            </w:pPr>
            <w:r>
              <w:rPr>
                <w:rFonts w:ascii="Arial" w:cs="Arial" w:eastAsia="Arial" w:hAnsi="Arial"/>
                <w:sz w:val="16"/>
                <w:szCs w:val="16"/>
                <w:color w:val="auto"/>
                <w:w w:val="99"/>
              </w:rPr>
              <w:t>44%</w:t>
            </w:r>
          </w:p>
        </w:tc>
      </w:tr>
      <w:tr>
        <w:trPr>
          <w:trHeight w:val="220"/>
        </w:trPr>
        <w:tc>
          <w:tcPr>
            <w:tcW w:w="3180" w:type="dxa"/>
            <w:vAlign w:val="bottom"/>
          </w:tcPr>
          <w:p>
            <w:pPr>
              <w:ind w:left="80"/>
              <w:spacing w:after="0"/>
              <w:rPr>
                <w:sz w:val="20"/>
                <w:szCs w:val="20"/>
                <w:color w:val="auto"/>
              </w:rPr>
            </w:pPr>
            <w:r>
              <w:rPr>
                <w:rFonts w:ascii="Arial" w:cs="Arial" w:eastAsia="Arial" w:hAnsi="Arial"/>
                <w:sz w:val="16"/>
                <w:szCs w:val="16"/>
                <w:color w:val="auto"/>
              </w:rPr>
              <w:t>Cash Flow from Operations Conversion*</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2220" w:type="dxa"/>
            <w:vAlign w:val="bottom"/>
          </w:tcPr>
          <w:p>
            <w:pPr>
              <w:jc w:val="center"/>
              <w:spacing w:after="0"/>
              <w:rPr>
                <w:sz w:val="20"/>
                <w:szCs w:val="20"/>
                <w:color w:val="auto"/>
              </w:rPr>
            </w:pPr>
            <w:r>
              <w:rPr>
                <w:rFonts w:ascii="Arial" w:cs="Arial" w:eastAsia="Arial" w:hAnsi="Arial"/>
                <w:sz w:val="16"/>
                <w:szCs w:val="16"/>
                <w:color w:val="auto"/>
              </w:rPr>
              <w:t>145%</w:t>
            </w:r>
          </w:p>
        </w:tc>
        <w:tc>
          <w:tcPr>
            <w:tcW w:w="1380" w:type="dxa"/>
            <w:vAlign w:val="bottom"/>
          </w:tcPr>
          <w:p>
            <w:pPr>
              <w:jc w:val="center"/>
              <w:spacing w:after="0"/>
              <w:rPr>
                <w:sz w:val="20"/>
                <w:szCs w:val="20"/>
                <w:color w:val="auto"/>
              </w:rPr>
            </w:pPr>
            <w:r>
              <w:rPr>
                <w:rFonts w:ascii="Arial" w:cs="Arial" w:eastAsia="Arial" w:hAnsi="Arial"/>
                <w:sz w:val="16"/>
                <w:szCs w:val="16"/>
                <w:color w:val="auto"/>
              </w:rPr>
              <w:t>127%</w:t>
            </w:r>
          </w:p>
        </w:tc>
        <w:tc>
          <w:tcPr>
            <w:tcW w:w="1320" w:type="dxa"/>
            <w:vAlign w:val="bottom"/>
          </w:tcPr>
          <w:p>
            <w:pPr>
              <w:jc w:val="center"/>
              <w:ind w:left="119"/>
              <w:spacing w:after="0"/>
              <w:rPr>
                <w:sz w:val="20"/>
                <w:szCs w:val="20"/>
                <w:color w:val="auto"/>
              </w:rPr>
            </w:pPr>
            <w:r>
              <w:rPr>
                <w:rFonts w:ascii="Arial" w:cs="Arial" w:eastAsia="Arial" w:hAnsi="Arial"/>
                <w:sz w:val="16"/>
                <w:szCs w:val="16"/>
                <w:color w:val="auto"/>
                <w:w w:val="99"/>
              </w:rPr>
              <w:t>20%</w:t>
            </w:r>
          </w:p>
        </w:tc>
      </w:tr>
      <w:tr>
        <w:trPr>
          <w:trHeight w:val="233"/>
        </w:trPr>
        <w:tc>
          <w:tcPr>
            <w:tcW w:w="318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6"/>
                <w:szCs w:val="16"/>
                <w:color w:val="auto"/>
              </w:rPr>
              <w:t>Pension-adjusted Net Income* Growth</w:t>
            </w:r>
          </w:p>
        </w:tc>
        <w:tc>
          <w:tcPr>
            <w:tcW w:w="11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6"/>
                <w:szCs w:val="16"/>
                <w:color w:val="auto"/>
                <w:w w:val="98"/>
              </w:rPr>
              <w:t>1/3</w:t>
            </w:r>
          </w:p>
        </w:tc>
        <w:tc>
          <w:tcPr>
            <w:tcW w:w="22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6"/>
                <w:szCs w:val="16"/>
                <w:color w:val="auto"/>
              </w:rPr>
              <w:t>$1.67B</w:t>
            </w:r>
          </w:p>
        </w:tc>
        <w:tc>
          <w:tcPr>
            <w:tcW w:w="138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6"/>
                <w:szCs w:val="16"/>
                <w:color w:val="auto"/>
                <w:w w:val="98"/>
              </w:rPr>
              <w:t>$1.93B</w:t>
            </w:r>
          </w:p>
        </w:tc>
        <w:tc>
          <w:tcPr>
            <w:tcW w:w="1320" w:type="dxa"/>
            <w:vAlign w:val="bottom"/>
            <w:tcBorders>
              <w:bottom w:val="single" w:sz="8" w:color="276092"/>
            </w:tcBorders>
            <w:shd w:val="clear" w:color="auto" w:fill="BECFDE"/>
          </w:tcPr>
          <w:p>
            <w:pPr>
              <w:jc w:val="center"/>
              <w:ind w:left="119"/>
              <w:spacing w:after="0"/>
              <w:rPr>
                <w:sz w:val="20"/>
                <w:szCs w:val="20"/>
                <w:color w:val="auto"/>
              </w:rPr>
            </w:pPr>
            <w:r>
              <w:rPr>
                <w:rFonts w:ascii="Arial" w:cs="Arial" w:eastAsia="Arial" w:hAnsi="Arial"/>
                <w:sz w:val="16"/>
                <w:szCs w:val="16"/>
                <w:color w:val="auto"/>
                <w:w w:val="99"/>
              </w:rPr>
              <w:t>67%</w:t>
            </w:r>
          </w:p>
        </w:tc>
      </w:tr>
      <w:tr>
        <w:trPr>
          <w:trHeight w:val="215"/>
        </w:trPr>
        <w:tc>
          <w:tcPr>
            <w:tcW w:w="3180" w:type="dxa"/>
            <w:vAlign w:val="bottom"/>
          </w:tcPr>
          <w:p>
            <w:pPr>
              <w:ind w:left="80"/>
              <w:spacing w:after="0"/>
              <w:rPr>
                <w:sz w:val="20"/>
                <w:szCs w:val="20"/>
                <w:color w:val="auto"/>
              </w:rPr>
            </w:pPr>
            <w:r>
              <w:rPr>
                <w:rFonts w:ascii="Arial" w:cs="Arial" w:eastAsia="Arial" w:hAnsi="Arial"/>
                <w:sz w:val="16"/>
                <w:szCs w:val="16"/>
                <w:b w:val="1"/>
                <w:bCs w:val="1"/>
                <w:color w:val="auto"/>
              </w:rPr>
              <w:t>Company Performance Factor</w:t>
            </w:r>
          </w:p>
        </w:tc>
        <w:tc>
          <w:tcPr>
            <w:tcW w:w="1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20" w:type="dxa"/>
            <w:vAlign w:val="bottom"/>
          </w:tcPr>
          <w:p>
            <w:pPr>
              <w:jc w:val="center"/>
              <w:ind w:left="99"/>
              <w:spacing w:after="0"/>
              <w:rPr>
                <w:sz w:val="20"/>
                <w:szCs w:val="20"/>
                <w:color w:val="auto"/>
              </w:rPr>
            </w:pPr>
            <w:r>
              <w:rPr>
                <w:rFonts w:ascii="Arial" w:cs="Arial" w:eastAsia="Arial" w:hAnsi="Arial"/>
                <w:sz w:val="16"/>
                <w:szCs w:val="16"/>
                <w:b w:val="1"/>
                <w:bCs w:val="1"/>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9525</wp:posOffset>
            </wp:positionV>
            <wp:extent cx="58743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0" w:lineRule="exact"/>
        <w:rPr>
          <w:sz w:val="20"/>
          <w:szCs w:val="20"/>
          <w:color w:val="auto"/>
        </w:rPr>
      </w:pPr>
    </w:p>
    <w:p>
      <w:pPr>
        <w:ind w:left="1180" w:right="1600" w:hanging="5"/>
        <w:spacing w:after="0" w:line="260" w:lineRule="auto"/>
        <w:tabs>
          <w:tab w:leader="none" w:pos="128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metric is a non-GAAP financial measure. For more information, see “Appendix A - Use of Non-GAAP Financial Measures.”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Decisions for 2017</w:t>
      </w:r>
    </w:p>
    <w:p>
      <w:pPr>
        <w:spacing w:after="0" w:line="12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In February 2018, the Compensation Committee applied the CPF to Mr. Bush’s target bonus. Based on the CPF, in February 2018, the Committee recommended, and the independent members of our Board approved, a 2017 annual incentive award of $3,662,000 for Mr. Bush. Based on the CPF, the CEO recommended, and the Compensation Committee approved, the other NEOs’ annual incentive awards.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2260" w:type="dxa"/>
            <w:vAlign w:val="bottom"/>
            <w:shd w:val="clear" w:color="auto" w:fill="276092"/>
          </w:tcPr>
          <w:p>
            <w:pPr>
              <w:spacing w:after="0"/>
              <w:rPr>
                <w:sz w:val="16"/>
                <w:szCs w:val="16"/>
                <w:color w:val="auto"/>
              </w:rPr>
            </w:pPr>
          </w:p>
        </w:tc>
        <w:tc>
          <w:tcPr>
            <w:tcW w:w="1960" w:type="dxa"/>
            <w:vAlign w:val="bottom"/>
            <w:shd w:val="clear" w:color="auto" w:fill="276092"/>
          </w:tcPr>
          <w:p>
            <w:pPr>
              <w:jc w:val="center"/>
              <w:ind w:left="159"/>
              <w:spacing w:after="0"/>
              <w:rPr>
                <w:sz w:val="20"/>
                <w:szCs w:val="20"/>
                <w:color w:val="auto"/>
              </w:rPr>
            </w:pPr>
            <w:r>
              <w:rPr>
                <w:rFonts w:ascii="Arial" w:cs="Arial" w:eastAsia="Arial" w:hAnsi="Arial"/>
                <w:sz w:val="16"/>
                <w:szCs w:val="16"/>
                <w:b w:val="1"/>
                <w:bCs w:val="1"/>
                <w:color w:val="FFFFFF"/>
              </w:rPr>
              <w:t>Target Payout</w:t>
            </w:r>
          </w:p>
        </w:tc>
        <w:tc>
          <w:tcPr>
            <w:tcW w:w="17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Payout Range</w:t>
            </w:r>
          </w:p>
        </w:tc>
        <w:tc>
          <w:tcPr>
            <w:tcW w:w="176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Actual Payout</w:t>
            </w:r>
          </w:p>
        </w:tc>
        <w:tc>
          <w:tcPr>
            <w:tcW w:w="1860" w:type="dxa"/>
            <w:vAlign w:val="bottom"/>
            <w:vMerge w:val="restart"/>
            <w:shd w:val="clear" w:color="auto" w:fill="276092"/>
          </w:tcPr>
          <w:p>
            <w:pPr>
              <w:ind w:left="340"/>
              <w:spacing w:after="0"/>
              <w:rPr>
                <w:sz w:val="20"/>
                <w:szCs w:val="20"/>
                <w:color w:val="auto"/>
              </w:rPr>
            </w:pPr>
            <w:r>
              <w:rPr>
                <w:rFonts w:ascii="Arial" w:cs="Arial" w:eastAsia="Arial" w:hAnsi="Arial"/>
                <w:sz w:val="16"/>
                <w:szCs w:val="16"/>
                <w:b w:val="1"/>
                <w:bCs w:val="1"/>
                <w:color w:val="FFFFFF"/>
              </w:rPr>
              <w:t xml:space="preserve">Actual Payout </w:t>
            </w:r>
            <w:r>
              <w:rPr>
                <w:rFonts w:ascii="Arial" w:cs="Arial" w:eastAsia="Arial" w:hAnsi="Arial"/>
                <w:sz w:val="27"/>
                <w:szCs w:val="27"/>
                <w:b w:val="1"/>
                <w:bCs w:val="1"/>
                <w:color w:val="FFFFFF"/>
                <w:vertAlign w:val="superscript"/>
              </w:rPr>
              <w:t>(1)</w:t>
            </w:r>
          </w:p>
        </w:tc>
        <w:tc>
          <w:tcPr>
            <w:tcW w:w="0" w:type="dxa"/>
            <w:vAlign w:val="bottom"/>
          </w:tcPr>
          <w:p>
            <w:pPr>
              <w:spacing w:after="0"/>
              <w:rPr>
                <w:sz w:val="1"/>
                <w:szCs w:val="1"/>
                <w:color w:val="auto"/>
              </w:rPr>
            </w:pPr>
          </w:p>
        </w:tc>
      </w:tr>
      <w:tr>
        <w:trPr>
          <w:trHeight w:val="234"/>
        </w:trPr>
        <w:tc>
          <w:tcPr>
            <w:tcW w:w="2260" w:type="dxa"/>
            <w:vAlign w:val="bottom"/>
            <w:shd w:val="clear" w:color="auto" w:fill="276092"/>
          </w:tcPr>
          <w:p>
            <w:pPr>
              <w:ind w:left="100"/>
              <w:spacing w:after="0"/>
              <w:rPr>
                <w:sz w:val="20"/>
                <w:szCs w:val="20"/>
                <w:color w:val="auto"/>
              </w:rPr>
            </w:pPr>
            <w:r>
              <w:rPr>
                <w:rFonts w:ascii="Arial" w:cs="Arial" w:eastAsia="Arial" w:hAnsi="Arial"/>
                <w:sz w:val="16"/>
                <w:szCs w:val="16"/>
                <w:b w:val="1"/>
                <w:bCs w:val="1"/>
                <w:color w:val="FFFFFF"/>
              </w:rPr>
              <w:t>Name</w:t>
            </w:r>
          </w:p>
        </w:tc>
        <w:tc>
          <w:tcPr>
            <w:tcW w:w="1960" w:type="dxa"/>
            <w:vAlign w:val="bottom"/>
            <w:shd w:val="clear" w:color="auto" w:fill="276092"/>
          </w:tcPr>
          <w:p>
            <w:pPr>
              <w:jc w:val="center"/>
              <w:ind w:left="159"/>
              <w:spacing w:after="0"/>
              <w:rPr>
                <w:sz w:val="20"/>
                <w:szCs w:val="20"/>
                <w:color w:val="auto"/>
              </w:rPr>
            </w:pPr>
            <w:r>
              <w:rPr>
                <w:rFonts w:ascii="Arial" w:cs="Arial" w:eastAsia="Arial" w:hAnsi="Arial"/>
                <w:sz w:val="16"/>
                <w:szCs w:val="16"/>
                <w:b w:val="1"/>
                <w:bCs w:val="1"/>
                <w:color w:val="FFFFFF"/>
              </w:rPr>
              <w:t>% of Salary</w:t>
            </w:r>
          </w:p>
        </w:tc>
        <w:tc>
          <w:tcPr>
            <w:tcW w:w="17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w w:val="99"/>
              </w:rPr>
              <w:t>% of Salary</w:t>
            </w:r>
          </w:p>
        </w:tc>
        <w:tc>
          <w:tcPr>
            <w:tcW w:w="176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w w:val="99"/>
              </w:rPr>
              <w:t>% of Salary</w:t>
            </w:r>
          </w:p>
        </w:tc>
        <w:tc>
          <w:tcPr>
            <w:tcW w:w="1860" w:type="dxa"/>
            <w:vAlign w:val="bottom"/>
            <w:vMerge w:val="continue"/>
            <w:shd w:val="clear" w:color="auto" w:fill="27609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BECFDE"/>
          </w:tcPr>
          <w:p>
            <w:pPr>
              <w:ind w:left="80"/>
              <w:spacing w:after="0"/>
              <w:rPr>
                <w:sz w:val="20"/>
                <w:szCs w:val="20"/>
                <w:color w:val="auto"/>
              </w:rPr>
            </w:pPr>
            <w:r>
              <w:rPr>
                <w:rFonts w:ascii="Arial" w:cs="Arial" w:eastAsia="Arial" w:hAnsi="Arial"/>
                <w:sz w:val="16"/>
                <w:szCs w:val="16"/>
                <w:color w:val="auto"/>
              </w:rPr>
              <w:t>Wesley G. Bush</w:t>
            </w:r>
          </w:p>
        </w:tc>
        <w:tc>
          <w:tcPr>
            <w:tcW w:w="1960" w:type="dxa"/>
            <w:vAlign w:val="bottom"/>
            <w:shd w:val="clear" w:color="auto" w:fill="BECFDE"/>
          </w:tcPr>
          <w:p>
            <w:pPr>
              <w:jc w:val="center"/>
              <w:ind w:left="139"/>
              <w:spacing w:after="0"/>
              <w:rPr>
                <w:sz w:val="20"/>
                <w:szCs w:val="20"/>
                <w:color w:val="auto"/>
              </w:rPr>
            </w:pPr>
            <w:r>
              <w:rPr>
                <w:rFonts w:ascii="Arial" w:cs="Arial" w:eastAsia="Arial" w:hAnsi="Arial"/>
                <w:sz w:val="16"/>
                <w:szCs w:val="16"/>
                <w:color w:val="auto"/>
              </w:rPr>
              <w:t>180%</w:t>
            </w:r>
          </w:p>
        </w:tc>
        <w:tc>
          <w:tcPr>
            <w:tcW w:w="174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0% - 360%</w:t>
            </w:r>
          </w:p>
        </w:tc>
        <w:tc>
          <w:tcPr>
            <w:tcW w:w="1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236%</w:t>
            </w:r>
          </w:p>
        </w:tc>
        <w:tc>
          <w:tcPr>
            <w:tcW w:w="1860" w:type="dxa"/>
            <w:vAlign w:val="bottom"/>
            <w:shd w:val="clear" w:color="auto" w:fill="BECFDE"/>
          </w:tcPr>
          <w:p>
            <w:pPr>
              <w:jc w:val="center"/>
              <w:ind w:left="259"/>
              <w:spacing w:after="0"/>
              <w:rPr>
                <w:sz w:val="20"/>
                <w:szCs w:val="20"/>
                <w:color w:val="auto"/>
              </w:rPr>
            </w:pPr>
            <w:r>
              <w:rPr>
                <w:rFonts w:ascii="Arial" w:cs="Arial" w:eastAsia="Arial" w:hAnsi="Arial"/>
                <w:sz w:val="16"/>
                <w:szCs w:val="16"/>
                <w:color w:val="auto"/>
                <w:w w:val="99"/>
              </w:rPr>
              <w:t>$3,662,000</w:t>
            </w:r>
          </w:p>
        </w:tc>
        <w:tc>
          <w:tcPr>
            <w:tcW w:w="0" w:type="dxa"/>
            <w:vAlign w:val="bottom"/>
          </w:tcPr>
          <w:p>
            <w:pPr>
              <w:spacing w:after="0"/>
              <w:rPr>
                <w:sz w:val="1"/>
                <w:szCs w:val="1"/>
                <w:color w:val="auto"/>
              </w:rPr>
            </w:pPr>
          </w:p>
        </w:tc>
      </w:tr>
      <w:tr>
        <w:trPr>
          <w:trHeight w:val="220"/>
        </w:trPr>
        <w:tc>
          <w:tcPr>
            <w:tcW w:w="2260" w:type="dxa"/>
            <w:vAlign w:val="bottom"/>
          </w:tcPr>
          <w:p>
            <w:pPr>
              <w:ind w:left="80"/>
              <w:spacing w:after="0"/>
              <w:rPr>
                <w:sz w:val="20"/>
                <w:szCs w:val="20"/>
                <w:color w:val="auto"/>
              </w:rPr>
            </w:pPr>
            <w:r>
              <w:rPr>
                <w:rFonts w:ascii="Arial" w:cs="Arial" w:eastAsia="Arial" w:hAnsi="Arial"/>
                <w:sz w:val="16"/>
                <w:szCs w:val="16"/>
                <w:color w:val="auto"/>
              </w:rPr>
              <w:t>Kenneth L. Bedingfield</w:t>
            </w:r>
          </w:p>
        </w:tc>
        <w:tc>
          <w:tcPr>
            <w:tcW w:w="1960" w:type="dxa"/>
            <w:vAlign w:val="bottom"/>
          </w:tcPr>
          <w:p>
            <w:pPr>
              <w:jc w:val="center"/>
              <w:ind w:left="139"/>
              <w:spacing w:after="0"/>
              <w:rPr>
                <w:sz w:val="20"/>
                <w:szCs w:val="20"/>
                <w:color w:val="auto"/>
              </w:rPr>
            </w:pPr>
            <w:r>
              <w:rPr>
                <w:rFonts w:ascii="Arial" w:cs="Arial" w:eastAsia="Arial" w:hAnsi="Arial"/>
                <w:sz w:val="16"/>
                <w:szCs w:val="16"/>
                <w:color w:val="auto"/>
              </w:rPr>
              <w:t>100%</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0% - 200%</w:t>
            </w:r>
          </w:p>
        </w:tc>
        <w:tc>
          <w:tcPr>
            <w:tcW w:w="1760" w:type="dxa"/>
            <w:vAlign w:val="bottom"/>
          </w:tcPr>
          <w:p>
            <w:pPr>
              <w:jc w:val="center"/>
              <w:spacing w:after="0"/>
              <w:rPr>
                <w:sz w:val="20"/>
                <w:szCs w:val="20"/>
                <w:color w:val="auto"/>
              </w:rPr>
            </w:pPr>
            <w:r>
              <w:rPr>
                <w:rFonts w:ascii="Arial" w:cs="Arial" w:eastAsia="Arial" w:hAnsi="Arial"/>
                <w:sz w:val="16"/>
                <w:szCs w:val="16"/>
                <w:color w:val="auto"/>
              </w:rPr>
              <w:t>131%</w:t>
            </w:r>
          </w:p>
        </w:tc>
        <w:tc>
          <w:tcPr>
            <w:tcW w:w="1860" w:type="dxa"/>
            <w:vAlign w:val="bottom"/>
          </w:tcPr>
          <w:p>
            <w:pPr>
              <w:jc w:val="center"/>
              <w:ind w:left="259"/>
              <w:spacing w:after="0"/>
              <w:rPr>
                <w:sz w:val="20"/>
                <w:szCs w:val="20"/>
                <w:color w:val="auto"/>
              </w:rPr>
            </w:pPr>
            <w:r>
              <w:rPr>
                <w:rFonts w:ascii="Arial" w:cs="Arial" w:eastAsia="Arial" w:hAnsi="Arial"/>
                <w:sz w:val="16"/>
                <w:szCs w:val="16"/>
                <w:color w:val="auto"/>
                <w:w w:val="99"/>
              </w:rPr>
              <w:t>$1,041,000</w:t>
            </w:r>
          </w:p>
        </w:tc>
        <w:tc>
          <w:tcPr>
            <w:tcW w:w="0" w:type="dxa"/>
            <w:vAlign w:val="bottom"/>
          </w:tcPr>
          <w:p>
            <w:pPr>
              <w:spacing w:after="0"/>
              <w:rPr>
                <w:sz w:val="1"/>
                <w:szCs w:val="1"/>
                <w:color w:val="auto"/>
              </w:rPr>
            </w:pPr>
          </w:p>
        </w:tc>
      </w:tr>
      <w:tr>
        <w:trPr>
          <w:trHeight w:val="239"/>
        </w:trPr>
        <w:tc>
          <w:tcPr>
            <w:tcW w:w="2260" w:type="dxa"/>
            <w:vAlign w:val="bottom"/>
            <w:shd w:val="clear" w:color="auto" w:fill="BECFDE"/>
          </w:tcPr>
          <w:p>
            <w:pPr>
              <w:ind w:left="80"/>
              <w:spacing w:after="0"/>
              <w:rPr>
                <w:sz w:val="20"/>
                <w:szCs w:val="20"/>
                <w:color w:val="auto"/>
              </w:rPr>
            </w:pPr>
            <w:r>
              <w:rPr>
                <w:rFonts w:ascii="Arial" w:cs="Arial" w:eastAsia="Arial" w:hAnsi="Arial"/>
                <w:sz w:val="16"/>
                <w:szCs w:val="16"/>
                <w:color w:val="auto"/>
              </w:rPr>
              <w:t>Gloria A. Flach</w:t>
            </w:r>
          </w:p>
        </w:tc>
        <w:tc>
          <w:tcPr>
            <w:tcW w:w="1960" w:type="dxa"/>
            <w:vAlign w:val="bottom"/>
            <w:shd w:val="clear" w:color="auto" w:fill="BECFDE"/>
          </w:tcPr>
          <w:p>
            <w:pPr>
              <w:jc w:val="center"/>
              <w:ind w:left="139"/>
              <w:spacing w:after="0"/>
              <w:rPr>
                <w:sz w:val="20"/>
                <w:szCs w:val="20"/>
                <w:color w:val="auto"/>
              </w:rPr>
            </w:pPr>
            <w:r>
              <w:rPr>
                <w:rFonts w:ascii="Arial" w:cs="Arial" w:eastAsia="Arial" w:hAnsi="Arial"/>
                <w:sz w:val="16"/>
                <w:szCs w:val="16"/>
                <w:color w:val="auto"/>
              </w:rPr>
              <w:t>100%</w:t>
            </w:r>
          </w:p>
        </w:tc>
        <w:tc>
          <w:tcPr>
            <w:tcW w:w="174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0% - 200%</w:t>
            </w:r>
          </w:p>
        </w:tc>
        <w:tc>
          <w:tcPr>
            <w:tcW w:w="1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131%</w:t>
            </w:r>
          </w:p>
        </w:tc>
        <w:tc>
          <w:tcPr>
            <w:tcW w:w="1860" w:type="dxa"/>
            <w:vAlign w:val="bottom"/>
            <w:shd w:val="clear" w:color="auto" w:fill="BECFDE"/>
          </w:tcPr>
          <w:p>
            <w:pPr>
              <w:jc w:val="center"/>
              <w:ind w:left="259"/>
              <w:spacing w:after="0"/>
              <w:rPr>
                <w:sz w:val="20"/>
                <w:szCs w:val="20"/>
                <w:color w:val="auto"/>
              </w:rPr>
            </w:pPr>
            <w:r>
              <w:rPr>
                <w:rFonts w:ascii="Arial" w:cs="Arial" w:eastAsia="Arial" w:hAnsi="Arial"/>
                <w:sz w:val="16"/>
                <w:szCs w:val="16"/>
                <w:color w:val="auto"/>
                <w:w w:val="99"/>
              </w:rPr>
              <w:t>$1,061,000</w:t>
            </w: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line="230" w:lineRule="exact"/>
              <w:rPr>
                <w:sz w:val="20"/>
                <w:szCs w:val="20"/>
                <w:color w:val="auto"/>
              </w:rPr>
            </w:pPr>
            <w:r>
              <w:rPr>
                <w:rFonts w:ascii="Arial" w:cs="Arial" w:eastAsia="Arial" w:hAnsi="Arial"/>
                <w:sz w:val="16"/>
                <w:szCs w:val="16"/>
                <w:color w:val="auto"/>
              </w:rPr>
              <w:t xml:space="preserve">Janis G. Pamiljans </w:t>
            </w:r>
            <w:r>
              <w:rPr>
                <w:rFonts w:ascii="Arial" w:cs="Arial" w:eastAsia="Arial" w:hAnsi="Arial"/>
                <w:sz w:val="26"/>
                <w:szCs w:val="26"/>
                <w:color w:val="auto"/>
                <w:vertAlign w:val="superscript"/>
              </w:rPr>
              <w:t>(2)</w:t>
            </w:r>
          </w:p>
        </w:tc>
        <w:tc>
          <w:tcPr>
            <w:tcW w:w="1960" w:type="dxa"/>
            <w:vAlign w:val="bottom"/>
          </w:tcPr>
          <w:p>
            <w:pPr>
              <w:jc w:val="center"/>
              <w:ind w:left="159"/>
              <w:spacing w:after="0"/>
              <w:rPr>
                <w:sz w:val="20"/>
                <w:szCs w:val="20"/>
                <w:color w:val="auto"/>
              </w:rPr>
            </w:pPr>
            <w:r>
              <w:rPr>
                <w:rFonts w:ascii="Arial" w:cs="Arial" w:eastAsia="Arial" w:hAnsi="Arial"/>
                <w:sz w:val="16"/>
                <w:szCs w:val="16"/>
                <w:color w:val="auto"/>
                <w:w w:val="99"/>
              </w:rPr>
              <w:t>93%</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0% - 186%</w:t>
            </w:r>
          </w:p>
        </w:tc>
        <w:tc>
          <w:tcPr>
            <w:tcW w:w="1760" w:type="dxa"/>
            <w:vAlign w:val="bottom"/>
          </w:tcPr>
          <w:p>
            <w:pPr>
              <w:jc w:val="center"/>
              <w:spacing w:after="0"/>
              <w:rPr>
                <w:sz w:val="20"/>
                <w:szCs w:val="20"/>
                <w:color w:val="auto"/>
              </w:rPr>
            </w:pPr>
            <w:r>
              <w:rPr>
                <w:rFonts w:ascii="Arial" w:cs="Arial" w:eastAsia="Arial" w:hAnsi="Arial"/>
                <w:sz w:val="16"/>
                <w:szCs w:val="16"/>
                <w:color w:val="auto"/>
              </w:rPr>
              <w:t>121%</w:t>
            </w:r>
          </w:p>
        </w:tc>
        <w:tc>
          <w:tcPr>
            <w:tcW w:w="1860" w:type="dxa"/>
            <w:vAlign w:val="bottom"/>
          </w:tcPr>
          <w:p>
            <w:pPr>
              <w:jc w:val="center"/>
              <w:ind w:left="259"/>
              <w:spacing w:after="0"/>
              <w:rPr>
                <w:sz w:val="20"/>
                <w:szCs w:val="20"/>
                <w:color w:val="auto"/>
              </w:rPr>
            </w:pPr>
            <w:r>
              <w:rPr>
                <w:rFonts w:ascii="Arial" w:cs="Arial" w:eastAsia="Arial" w:hAnsi="Arial"/>
                <w:sz w:val="16"/>
                <w:szCs w:val="16"/>
                <w:color w:val="auto"/>
              </w:rPr>
              <w:t>$861,000</w:t>
            </w:r>
          </w:p>
        </w:tc>
        <w:tc>
          <w:tcPr>
            <w:tcW w:w="0" w:type="dxa"/>
            <w:vAlign w:val="bottom"/>
          </w:tcPr>
          <w:p>
            <w:pPr>
              <w:spacing w:after="0"/>
              <w:rPr>
                <w:sz w:val="1"/>
                <w:szCs w:val="1"/>
                <w:color w:val="auto"/>
              </w:rPr>
            </w:pPr>
          </w:p>
        </w:tc>
      </w:tr>
      <w:tr>
        <w:trPr>
          <w:trHeight w:val="216"/>
        </w:trPr>
        <w:tc>
          <w:tcPr>
            <w:tcW w:w="2260" w:type="dxa"/>
            <w:vAlign w:val="bottom"/>
            <w:shd w:val="clear" w:color="auto" w:fill="BECFDE"/>
          </w:tcPr>
          <w:p>
            <w:pPr>
              <w:ind w:left="80"/>
              <w:spacing w:after="0"/>
              <w:rPr>
                <w:sz w:val="20"/>
                <w:szCs w:val="20"/>
                <w:color w:val="auto"/>
              </w:rPr>
            </w:pPr>
            <w:r>
              <w:rPr>
                <w:rFonts w:ascii="Arial" w:cs="Arial" w:eastAsia="Arial" w:hAnsi="Arial"/>
                <w:sz w:val="16"/>
                <w:szCs w:val="16"/>
                <w:color w:val="auto"/>
              </w:rPr>
              <w:t>Kathy J. Warden</w:t>
            </w:r>
          </w:p>
        </w:tc>
        <w:tc>
          <w:tcPr>
            <w:tcW w:w="1960" w:type="dxa"/>
            <w:vAlign w:val="bottom"/>
            <w:shd w:val="clear" w:color="auto" w:fill="BECFDE"/>
          </w:tcPr>
          <w:p>
            <w:pPr>
              <w:jc w:val="center"/>
              <w:ind w:left="139"/>
              <w:spacing w:after="0"/>
              <w:rPr>
                <w:sz w:val="20"/>
                <w:szCs w:val="20"/>
                <w:color w:val="auto"/>
              </w:rPr>
            </w:pPr>
            <w:r>
              <w:rPr>
                <w:rFonts w:ascii="Arial" w:cs="Arial" w:eastAsia="Arial" w:hAnsi="Arial"/>
                <w:sz w:val="16"/>
                <w:szCs w:val="16"/>
                <w:color w:val="auto"/>
              </w:rPr>
              <w:t>100%</w:t>
            </w:r>
          </w:p>
        </w:tc>
        <w:tc>
          <w:tcPr>
            <w:tcW w:w="1740" w:type="dxa"/>
            <w:vAlign w:val="bottom"/>
            <w:shd w:val="clear" w:color="auto" w:fill="BECFDE"/>
          </w:tcPr>
          <w:p>
            <w:pPr>
              <w:jc w:val="center"/>
              <w:spacing w:after="0"/>
              <w:rPr>
                <w:sz w:val="20"/>
                <w:szCs w:val="20"/>
                <w:color w:val="auto"/>
              </w:rPr>
            </w:pPr>
            <w:r>
              <w:rPr>
                <w:rFonts w:ascii="Arial" w:cs="Arial" w:eastAsia="Arial" w:hAnsi="Arial"/>
                <w:sz w:val="16"/>
                <w:szCs w:val="16"/>
                <w:color w:val="auto"/>
                <w:w w:val="99"/>
              </w:rPr>
              <w:t>0% - 200%</w:t>
            </w:r>
          </w:p>
        </w:tc>
        <w:tc>
          <w:tcPr>
            <w:tcW w:w="17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131%</w:t>
            </w:r>
          </w:p>
        </w:tc>
        <w:tc>
          <w:tcPr>
            <w:tcW w:w="1860" w:type="dxa"/>
            <w:vAlign w:val="bottom"/>
            <w:shd w:val="clear" w:color="auto" w:fill="BECFDE"/>
          </w:tcPr>
          <w:p>
            <w:pPr>
              <w:jc w:val="center"/>
              <w:ind w:left="259"/>
              <w:spacing w:after="0"/>
              <w:rPr>
                <w:sz w:val="20"/>
                <w:szCs w:val="20"/>
                <w:color w:val="auto"/>
              </w:rPr>
            </w:pPr>
            <w:r>
              <w:rPr>
                <w:rFonts w:ascii="Arial" w:cs="Arial" w:eastAsia="Arial" w:hAnsi="Arial"/>
                <w:sz w:val="16"/>
                <w:szCs w:val="16"/>
                <w:color w:val="auto"/>
                <w:w w:val="99"/>
              </w:rPr>
              <w:t>$1,061,000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080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ind w:left="860" w:right="360" w:firstLine="5"/>
        <w:spacing w:after="0" w:line="202" w:lineRule="auto"/>
        <w:tabs>
          <w:tab w:leader="none" w:pos="1066" w:val="left"/>
        </w:tabs>
        <w:numPr>
          <w:ilvl w:val="0"/>
          <w:numId w:val="78"/>
        </w:numPr>
        <w:rPr>
          <w:rFonts w:ascii="Arial" w:cs="Arial" w:eastAsia="Arial" w:hAnsi="Arial"/>
          <w:sz w:val="24"/>
          <w:szCs w:val="24"/>
          <w:color w:val="auto"/>
          <w:vertAlign w:val="superscript"/>
        </w:rPr>
      </w:pPr>
      <w:r>
        <w:rPr>
          <w:rFonts w:ascii="Arial" w:cs="Arial" w:eastAsia="Arial" w:hAnsi="Arial"/>
          <w:sz w:val="15"/>
          <w:szCs w:val="15"/>
          <w:color w:val="auto"/>
        </w:rPr>
        <w:t>The potential range of bonus payouts based on 2017 performance is disclosed in the Grants of Plan-Based Awards Table. Actual bonus payouts for 2017 performance are disclosed above and in the Summary Compensation Table.</w:t>
      </w:r>
    </w:p>
    <w:p>
      <w:pPr>
        <w:ind w:left="860" w:right="200" w:firstLine="5"/>
        <w:spacing w:after="0" w:line="200" w:lineRule="auto"/>
        <w:tabs>
          <w:tab w:leader="none" w:pos="1073" w:val="left"/>
        </w:tabs>
        <w:numPr>
          <w:ilvl w:val="0"/>
          <w:numId w:val="78"/>
        </w:numPr>
        <w:rPr>
          <w:rFonts w:ascii="Arial" w:cs="Arial" w:eastAsia="Arial" w:hAnsi="Arial"/>
          <w:sz w:val="25"/>
          <w:szCs w:val="25"/>
          <w:color w:val="auto"/>
          <w:vertAlign w:val="superscript"/>
        </w:rPr>
      </w:pPr>
      <w:r>
        <w:rPr>
          <w:rFonts w:ascii="Arial" w:cs="Arial" w:eastAsia="Arial" w:hAnsi="Arial"/>
          <w:sz w:val="15"/>
          <w:szCs w:val="15"/>
          <w:color w:val="auto"/>
        </w:rPr>
        <w:t>Mr. Pamiljans was elected President, Aerospace Systems effective April 1, 2017. His target and actual payout under the AIP is prorated to reflect time served as an elected officer and as an appointed officer.</w:t>
      </w:r>
    </w:p>
    <w:p>
      <w:pPr>
        <w:spacing w:after="0" w:line="138" w:lineRule="exact"/>
        <w:rPr>
          <w:sz w:val="20"/>
          <w:szCs w:val="20"/>
          <w:color w:val="auto"/>
        </w:rPr>
      </w:pPr>
    </w:p>
    <w:p>
      <w:pPr>
        <w:ind w:left="460" w:hanging="256"/>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40"/>
          </w:cols>
          <w:pgMar w:left="24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2017 Long-Term Incentive Program</w:t>
      </w:r>
    </w:p>
    <w:p>
      <w:pPr>
        <w:spacing w:after="0" w:line="12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In determining the amount of individual long-term incentive award for an NEO (other than the CEO), the Compensation Committee considers an elected officer’s individual performance during the preceding year, growth in job as demonstrated through sustained performance, leadership impact, retention and pay relative to the CEO, as well as market data for the elected officer’s position based on the Target Industry Peer Group analysis.</w:t>
      </w:r>
    </w:p>
    <w:p>
      <w:pPr>
        <w:spacing w:after="0" w:line="94"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In 2017, after determining the award value for the NEOs as described above, the Compensation Committee granted awards in the form of RPSRs to ensure sustainability and achievement of business goals over time and RSRs to provide retention value. The awards were comprised of 70% RPSRs and 30% RSRs. The Committee determined this long-term incentive mix would appropriately motivate and reward the NEOs to achieve our long-term objectives and further reinforce the link between their interests and the interests of our shareholders.</w:t>
      </w:r>
    </w:p>
    <w:p>
      <w:pPr>
        <w:spacing w:after="0" w:line="95"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RPSRs will vest and be distributed following the completion of the three-year performance period (2017-2019) if goals are met. The RSRs generally vest 100% after three years. Vesting for termination due to death, disability or retirement is discussed in the Terms of Equity Awards section. For the 2017 grant, dividend equivalents accrue on both RPSR and RSR awards earned and will be paid upon distribution of the RPSRs and RSRs.</w:t>
      </w:r>
    </w:p>
    <w:p>
      <w:pPr>
        <w:spacing w:after="0" w:line="9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Compensation Committee evaluates RPSR performance requirements each year to ensure they are aligned with our business objectives. For the 2017 RPSR grant, the Compensation Committee determined that for the NEOs, performance will continue to be measured in terms of relative TSR and Cumulative FCF*; however, in order to increase management’s focus on the operational metrics that drive long-term shareholder value creation, the weighting of Cumulative FCF* has been increased to 50% from 30%. Therefore, 2017 RPSR grant performance will be weighted 50% to relative TSR and 50% to Cumulative FCF*. Based on the performance against these metrics, shares earned for 2017 RPSR grants can vary from 0% to 150% of the rights awarded.</w:t>
      </w:r>
    </w:p>
    <w:p>
      <w:pPr>
        <w:spacing w:after="0" w:line="9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TSR is measured by comparing cumulative stock price appreciation with reinvestment of dividends over a three-year period to the Performance Peer Group (50% of relative TSR portion of award) and to the S&amp;P Industrials (50% of relative TSR portion of award), which comprises companies within the S&amp;P 500 classified as Industrials, reflecting the range of similar investment alternatives available to our shareholders. To smooth volatility in the market, the TSR calculation is based on the average of the 30 calendar days immediately prior to the start of the performance period and the last 30 calendar days of the performance period. The maximum relative TSR payout is capped at 100% of target shares if the absolute TSR is negative, even if the relative TSR would have resulted in a higher score.</w:t>
      </w:r>
    </w:p>
    <w:p>
      <w:pPr>
        <w:spacing w:after="0" w:line="97" w:lineRule="exact"/>
        <w:rPr>
          <w:sz w:val="20"/>
          <w:szCs w:val="20"/>
          <w:color w:val="auto"/>
        </w:rPr>
      </w:pPr>
    </w:p>
    <w:p>
      <w:pPr>
        <w:ind w:left="200" w:right="320"/>
        <w:spacing w:after="0"/>
        <w:rPr>
          <w:sz w:val="20"/>
          <w:szCs w:val="20"/>
          <w:color w:val="auto"/>
        </w:rPr>
      </w:pPr>
      <w:r>
        <w:rPr>
          <w:rFonts w:ascii="Arial" w:cs="Arial" w:eastAsia="Arial" w:hAnsi="Arial"/>
          <w:sz w:val="18"/>
          <w:szCs w:val="18"/>
          <w:color w:val="auto"/>
        </w:rPr>
        <w:t>Cumulative FCF* focuses on cash generation after capital investments and is calculated as the aggregate free cash flow before the after-tax impact of total pension funding* over a three-year period. Free cash flow* includes funds available to create shareholder value after investing in the business through capital expenditures.</w:t>
      </w:r>
    </w:p>
    <w:p>
      <w:pPr>
        <w:spacing w:after="0" w:line="95"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On February 17, 2017, prior to his promotion, Mr. Pamiljans received an annual long-term incentive award as an appointed officer. The terms associated with this award are disclosed in the Grants of Plan-Based Awards Table on page 52.</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Recently Completed RPSR Performance Period (2015 – 2017)</w:t>
      </w:r>
    </w:p>
    <w:p>
      <w:pPr>
        <w:spacing w:after="0" w:line="12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In February 2015, when granting RPSRs to NEOs who were elected officers at the time of the grant, the Compensation Committee selected relative TSR as the performance metric for the awards and established the performance criteria for the awards as set forth in the table below. In February 2018, the Compensation Committee reviewed performance for the January 1, 2015 to December 31, 2017 RPSR performance period.</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20" w:type="dxa"/>
            <w:vAlign w:val="bottom"/>
            <w:gridSpan w:val="3"/>
            <w:shd w:val="clear" w:color="auto" w:fill="276092"/>
          </w:tcPr>
          <w:p>
            <w:pPr>
              <w:ind w:left="100"/>
              <w:spacing w:after="0"/>
              <w:rPr>
                <w:sz w:val="20"/>
                <w:szCs w:val="20"/>
                <w:color w:val="auto"/>
              </w:rPr>
            </w:pPr>
            <w:r>
              <w:rPr>
                <w:rFonts w:ascii="Arial" w:cs="Arial" w:eastAsia="Arial" w:hAnsi="Arial"/>
                <w:sz w:val="16"/>
                <w:szCs w:val="16"/>
                <w:b w:val="1"/>
                <w:bCs w:val="1"/>
                <w:color w:val="FFFFFF"/>
                <w:shd w:val="clear" w:color="auto" w:fill="276092"/>
              </w:rPr>
              <w:t>Percentile Required to Score</w:t>
            </w:r>
          </w:p>
        </w:tc>
        <w:tc>
          <w:tcPr>
            <w:tcW w:w="1460" w:type="dxa"/>
            <w:vAlign w:val="bottom"/>
          </w:tcPr>
          <w:p>
            <w:pPr>
              <w:spacing w:after="0"/>
              <w:rPr>
                <w:sz w:val="16"/>
                <w:szCs w:val="16"/>
                <w:color w:val="auto"/>
              </w:rPr>
            </w:pPr>
          </w:p>
        </w:tc>
      </w:tr>
      <w:tr>
        <w:trPr>
          <w:trHeight w:val="171"/>
        </w:trPr>
        <w:tc>
          <w:tcPr>
            <w:tcW w:w="4900" w:type="dxa"/>
            <w:vAlign w:val="bottom"/>
            <w:shd w:val="clear" w:color="auto" w:fill="276092"/>
          </w:tcPr>
          <w:p>
            <w:pPr>
              <w:spacing w:after="0"/>
              <w:rPr>
                <w:sz w:val="14"/>
                <w:szCs w:val="14"/>
                <w:color w:val="auto"/>
              </w:rPr>
            </w:pPr>
          </w:p>
        </w:tc>
        <w:tc>
          <w:tcPr>
            <w:tcW w:w="2240" w:type="dxa"/>
            <w:vAlign w:val="bottom"/>
            <w:shd w:val="clear" w:color="auto" w:fill="276092"/>
          </w:tcPr>
          <w:p>
            <w:pPr>
              <w:spacing w:after="0"/>
              <w:rPr>
                <w:sz w:val="14"/>
                <w:szCs w:val="14"/>
                <w:color w:val="auto"/>
              </w:rPr>
            </w:pPr>
          </w:p>
        </w:tc>
        <w:tc>
          <w:tcPr>
            <w:tcW w:w="740" w:type="dxa"/>
            <w:vAlign w:val="bottom"/>
            <w:shd w:val="clear" w:color="auto" w:fill="276092"/>
          </w:tcPr>
          <w:p>
            <w:pPr>
              <w:spacing w:after="0"/>
              <w:rPr>
                <w:sz w:val="14"/>
                <w:szCs w:val="14"/>
                <w:color w:val="auto"/>
              </w:rPr>
            </w:pPr>
          </w:p>
        </w:tc>
        <w:tc>
          <w:tcPr>
            <w:tcW w:w="860" w:type="dxa"/>
            <w:vAlign w:val="bottom"/>
            <w:shd w:val="clear" w:color="auto" w:fill="276092"/>
          </w:tcPr>
          <w:p>
            <w:pPr>
              <w:spacing w:after="0"/>
              <w:rPr>
                <w:sz w:val="14"/>
                <w:szCs w:val="14"/>
                <w:color w:val="auto"/>
              </w:rPr>
            </w:pPr>
          </w:p>
        </w:tc>
        <w:tc>
          <w:tcPr>
            <w:tcW w:w="820" w:type="dxa"/>
            <w:vAlign w:val="bottom"/>
            <w:shd w:val="clear" w:color="auto" w:fill="276092"/>
          </w:tcPr>
          <w:p>
            <w:pPr>
              <w:spacing w:after="0"/>
              <w:rPr>
                <w:sz w:val="14"/>
                <w:szCs w:val="14"/>
                <w:color w:val="auto"/>
              </w:rPr>
            </w:pPr>
          </w:p>
        </w:tc>
        <w:tc>
          <w:tcPr>
            <w:tcW w:w="1460" w:type="dxa"/>
            <w:vAlign w:val="bottom"/>
            <w:shd w:val="clear" w:color="auto" w:fill="276092"/>
          </w:tcPr>
          <w:p>
            <w:pPr>
              <w:jc w:val="center"/>
              <w:ind w:right="159"/>
              <w:spacing w:after="0" w:line="171" w:lineRule="exact"/>
              <w:rPr>
                <w:sz w:val="20"/>
                <w:szCs w:val="20"/>
                <w:color w:val="auto"/>
              </w:rPr>
            </w:pPr>
            <w:r>
              <w:rPr>
                <w:rFonts w:ascii="Arial" w:cs="Arial" w:eastAsia="Arial" w:hAnsi="Arial"/>
                <w:sz w:val="16"/>
                <w:szCs w:val="16"/>
                <w:b w:val="1"/>
                <w:bCs w:val="1"/>
                <w:color w:val="FFFFFF"/>
              </w:rPr>
              <w:t>2017 Actual</w:t>
            </w:r>
          </w:p>
        </w:tc>
      </w:tr>
      <w:tr>
        <w:trPr>
          <w:trHeight w:val="234"/>
        </w:trPr>
        <w:tc>
          <w:tcPr>
            <w:tcW w:w="4900" w:type="dxa"/>
            <w:vAlign w:val="bottom"/>
            <w:shd w:val="clear" w:color="auto" w:fill="276092"/>
          </w:tcPr>
          <w:p>
            <w:pPr>
              <w:ind w:left="120"/>
              <w:spacing w:after="0"/>
              <w:rPr>
                <w:sz w:val="20"/>
                <w:szCs w:val="20"/>
                <w:color w:val="auto"/>
              </w:rPr>
            </w:pPr>
            <w:r>
              <w:rPr>
                <w:rFonts w:ascii="Arial" w:cs="Arial" w:eastAsia="Arial" w:hAnsi="Arial"/>
                <w:sz w:val="16"/>
                <w:szCs w:val="16"/>
                <w:b w:val="1"/>
                <w:bCs w:val="1"/>
                <w:color w:val="FFFFFF"/>
              </w:rPr>
              <w:t>Metric/Goal</w:t>
            </w:r>
          </w:p>
        </w:tc>
        <w:tc>
          <w:tcPr>
            <w:tcW w:w="2240" w:type="dxa"/>
            <w:vAlign w:val="bottom"/>
            <w:shd w:val="clear" w:color="auto" w:fill="276092"/>
          </w:tcPr>
          <w:p>
            <w:pPr>
              <w:jc w:val="center"/>
              <w:ind w:left="1379"/>
              <w:spacing w:after="0"/>
              <w:rPr>
                <w:sz w:val="20"/>
                <w:szCs w:val="20"/>
                <w:color w:val="auto"/>
              </w:rPr>
            </w:pPr>
            <w:r>
              <w:rPr>
                <w:rFonts w:ascii="Arial" w:cs="Arial" w:eastAsia="Arial" w:hAnsi="Arial"/>
                <w:sz w:val="16"/>
                <w:szCs w:val="16"/>
                <w:b w:val="1"/>
                <w:bCs w:val="1"/>
                <w:color w:val="FFFFFF"/>
              </w:rPr>
              <w:t>Weighting</w:t>
            </w:r>
          </w:p>
        </w:tc>
        <w:tc>
          <w:tcPr>
            <w:tcW w:w="74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0%</w:t>
            </w:r>
          </w:p>
        </w:tc>
        <w:tc>
          <w:tcPr>
            <w:tcW w:w="86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rPr>
              <w:t>100%</w:t>
            </w:r>
          </w:p>
        </w:tc>
        <w:tc>
          <w:tcPr>
            <w:tcW w:w="820" w:type="dxa"/>
            <w:vAlign w:val="bottom"/>
            <w:shd w:val="clear" w:color="auto" w:fill="276092"/>
          </w:tcPr>
          <w:p>
            <w:pPr>
              <w:jc w:val="center"/>
              <w:spacing w:after="0"/>
              <w:rPr>
                <w:sz w:val="20"/>
                <w:szCs w:val="20"/>
                <w:color w:val="auto"/>
              </w:rPr>
            </w:pPr>
            <w:r>
              <w:rPr>
                <w:rFonts w:ascii="Arial" w:cs="Arial" w:eastAsia="Arial" w:hAnsi="Arial"/>
                <w:sz w:val="16"/>
                <w:szCs w:val="16"/>
                <w:b w:val="1"/>
                <w:bCs w:val="1"/>
                <w:color w:val="FFFFFF"/>
                <w:w w:val="97"/>
              </w:rPr>
              <w:t>150%</w:t>
            </w:r>
          </w:p>
        </w:tc>
        <w:tc>
          <w:tcPr>
            <w:tcW w:w="1460" w:type="dxa"/>
            <w:vAlign w:val="bottom"/>
            <w:shd w:val="clear" w:color="auto" w:fill="276092"/>
          </w:tcPr>
          <w:p>
            <w:pPr>
              <w:jc w:val="center"/>
              <w:ind w:right="219"/>
              <w:spacing w:after="0"/>
              <w:rPr>
                <w:sz w:val="20"/>
                <w:szCs w:val="20"/>
                <w:color w:val="auto"/>
              </w:rPr>
            </w:pPr>
            <w:r>
              <w:rPr>
                <w:rFonts w:ascii="Arial" w:cs="Arial" w:eastAsia="Arial" w:hAnsi="Arial"/>
                <w:sz w:val="16"/>
                <w:szCs w:val="16"/>
                <w:b w:val="1"/>
                <w:bCs w:val="1"/>
                <w:color w:val="FFFFFF"/>
              </w:rPr>
              <w:t>Performance</w:t>
            </w:r>
          </w:p>
        </w:tc>
      </w:tr>
      <w:tr>
        <w:trPr>
          <w:trHeight w:val="230"/>
        </w:trPr>
        <w:tc>
          <w:tcPr>
            <w:tcW w:w="4900" w:type="dxa"/>
            <w:vAlign w:val="bottom"/>
            <w:shd w:val="clear" w:color="auto" w:fill="BECFDE"/>
          </w:tcPr>
          <w:p>
            <w:pPr>
              <w:ind w:left="100"/>
              <w:spacing w:after="0"/>
              <w:rPr>
                <w:sz w:val="20"/>
                <w:szCs w:val="20"/>
                <w:color w:val="auto"/>
              </w:rPr>
            </w:pPr>
            <w:r>
              <w:rPr>
                <w:rFonts w:ascii="Arial" w:cs="Arial" w:eastAsia="Arial" w:hAnsi="Arial"/>
                <w:sz w:val="16"/>
                <w:szCs w:val="16"/>
                <w:color w:val="auto"/>
              </w:rPr>
              <w:t>Relative TSR - 2015 Performance Peer Group</w:t>
            </w:r>
          </w:p>
        </w:tc>
        <w:tc>
          <w:tcPr>
            <w:tcW w:w="2240" w:type="dxa"/>
            <w:vAlign w:val="bottom"/>
            <w:shd w:val="clear" w:color="auto" w:fill="BECFDE"/>
          </w:tcPr>
          <w:p>
            <w:pPr>
              <w:jc w:val="center"/>
              <w:ind w:left="1379"/>
              <w:spacing w:after="0"/>
              <w:rPr>
                <w:sz w:val="20"/>
                <w:szCs w:val="20"/>
                <w:color w:val="auto"/>
              </w:rPr>
            </w:pPr>
            <w:r>
              <w:rPr>
                <w:rFonts w:ascii="Arial" w:cs="Arial" w:eastAsia="Arial" w:hAnsi="Arial"/>
                <w:sz w:val="16"/>
                <w:szCs w:val="16"/>
                <w:color w:val="auto"/>
              </w:rPr>
              <w:t>50%</w:t>
            </w:r>
          </w:p>
        </w:tc>
        <w:tc>
          <w:tcPr>
            <w:tcW w:w="74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25th</w:t>
            </w:r>
          </w:p>
        </w:tc>
        <w:tc>
          <w:tcPr>
            <w:tcW w:w="86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50th</w:t>
            </w:r>
          </w:p>
        </w:tc>
        <w:tc>
          <w:tcPr>
            <w:tcW w:w="820" w:type="dxa"/>
            <w:vAlign w:val="bottom"/>
            <w:shd w:val="clear" w:color="auto" w:fill="BECFDE"/>
          </w:tcPr>
          <w:p>
            <w:pPr>
              <w:jc w:val="center"/>
              <w:spacing w:after="0"/>
              <w:rPr>
                <w:sz w:val="20"/>
                <w:szCs w:val="20"/>
                <w:color w:val="auto"/>
              </w:rPr>
            </w:pPr>
            <w:r>
              <w:rPr>
                <w:rFonts w:ascii="Arial" w:cs="Arial" w:eastAsia="Arial" w:hAnsi="Arial"/>
                <w:sz w:val="16"/>
                <w:szCs w:val="16"/>
                <w:color w:val="auto"/>
              </w:rPr>
              <w:t>80th</w:t>
            </w:r>
          </w:p>
        </w:tc>
        <w:tc>
          <w:tcPr>
            <w:tcW w:w="1460" w:type="dxa"/>
            <w:vAlign w:val="bottom"/>
            <w:shd w:val="clear" w:color="auto" w:fill="BECFDE"/>
          </w:tcPr>
          <w:p>
            <w:pPr>
              <w:ind w:left="600"/>
              <w:spacing w:after="0"/>
              <w:rPr>
                <w:sz w:val="20"/>
                <w:szCs w:val="20"/>
                <w:color w:val="auto"/>
              </w:rPr>
            </w:pPr>
            <w:r>
              <w:rPr>
                <w:rFonts w:ascii="Arial" w:cs="Arial" w:eastAsia="Arial" w:hAnsi="Arial"/>
                <w:sz w:val="16"/>
                <w:szCs w:val="16"/>
                <w:color w:val="auto"/>
              </w:rPr>
              <w:t>89th</w:t>
            </w:r>
          </w:p>
        </w:tc>
      </w:tr>
      <w:tr>
        <w:trPr>
          <w:trHeight w:val="250"/>
        </w:trPr>
        <w:tc>
          <w:tcPr>
            <w:tcW w:w="4900" w:type="dxa"/>
            <w:vAlign w:val="bottom"/>
            <w:tcBorders>
              <w:bottom w:val="single" w:sz="8" w:color="276092"/>
            </w:tcBorders>
          </w:tcPr>
          <w:p>
            <w:pPr>
              <w:ind w:left="100"/>
              <w:spacing w:after="0"/>
              <w:rPr>
                <w:sz w:val="20"/>
                <w:szCs w:val="20"/>
                <w:color w:val="auto"/>
              </w:rPr>
            </w:pPr>
            <w:r>
              <w:rPr>
                <w:rFonts w:ascii="Arial" w:cs="Arial" w:eastAsia="Arial" w:hAnsi="Arial"/>
                <w:sz w:val="16"/>
                <w:szCs w:val="16"/>
                <w:color w:val="auto"/>
              </w:rPr>
              <w:t>Relative TSR - S&amp;P Industrials</w:t>
            </w:r>
          </w:p>
        </w:tc>
        <w:tc>
          <w:tcPr>
            <w:tcW w:w="2240" w:type="dxa"/>
            <w:vAlign w:val="bottom"/>
            <w:tcBorders>
              <w:bottom w:val="single" w:sz="8" w:color="276092"/>
            </w:tcBorders>
          </w:tcPr>
          <w:p>
            <w:pPr>
              <w:jc w:val="center"/>
              <w:ind w:left="1379"/>
              <w:spacing w:after="0"/>
              <w:rPr>
                <w:sz w:val="20"/>
                <w:szCs w:val="20"/>
                <w:color w:val="auto"/>
              </w:rPr>
            </w:pPr>
            <w:r>
              <w:rPr>
                <w:rFonts w:ascii="Arial" w:cs="Arial" w:eastAsia="Arial" w:hAnsi="Arial"/>
                <w:sz w:val="16"/>
                <w:szCs w:val="16"/>
                <w:color w:val="auto"/>
              </w:rPr>
              <w:t>50%</w:t>
            </w:r>
          </w:p>
        </w:tc>
        <w:tc>
          <w:tcPr>
            <w:tcW w:w="740" w:type="dxa"/>
            <w:vAlign w:val="bottom"/>
            <w:tcBorders>
              <w:bottom w:val="single" w:sz="8" w:color="276092"/>
            </w:tcBorders>
          </w:tcPr>
          <w:p>
            <w:pPr>
              <w:jc w:val="center"/>
              <w:spacing w:after="0"/>
              <w:rPr>
                <w:sz w:val="20"/>
                <w:szCs w:val="20"/>
                <w:color w:val="auto"/>
              </w:rPr>
            </w:pPr>
            <w:r>
              <w:rPr>
                <w:rFonts w:ascii="Arial" w:cs="Arial" w:eastAsia="Arial" w:hAnsi="Arial"/>
                <w:sz w:val="16"/>
                <w:szCs w:val="16"/>
                <w:color w:val="auto"/>
              </w:rPr>
              <w:t>25th</w:t>
            </w:r>
          </w:p>
        </w:tc>
        <w:tc>
          <w:tcPr>
            <w:tcW w:w="860" w:type="dxa"/>
            <w:vAlign w:val="bottom"/>
            <w:tcBorders>
              <w:bottom w:val="single" w:sz="8" w:color="276092"/>
            </w:tcBorders>
          </w:tcPr>
          <w:p>
            <w:pPr>
              <w:jc w:val="center"/>
              <w:spacing w:after="0"/>
              <w:rPr>
                <w:sz w:val="20"/>
                <w:szCs w:val="20"/>
                <w:color w:val="auto"/>
              </w:rPr>
            </w:pPr>
            <w:r>
              <w:rPr>
                <w:rFonts w:ascii="Arial" w:cs="Arial" w:eastAsia="Arial" w:hAnsi="Arial"/>
                <w:sz w:val="16"/>
                <w:szCs w:val="16"/>
                <w:color w:val="auto"/>
              </w:rPr>
              <w:t>50th</w:t>
            </w:r>
          </w:p>
        </w:tc>
        <w:tc>
          <w:tcPr>
            <w:tcW w:w="820" w:type="dxa"/>
            <w:vAlign w:val="bottom"/>
            <w:tcBorders>
              <w:bottom w:val="single" w:sz="8" w:color="276092"/>
            </w:tcBorders>
          </w:tcPr>
          <w:p>
            <w:pPr>
              <w:jc w:val="center"/>
              <w:spacing w:after="0"/>
              <w:rPr>
                <w:sz w:val="20"/>
                <w:szCs w:val="20"/>
                <w:color w:val="auto"/>
              </w:rPr>
            </w:pPr>
            <w:r>
              <w:rPr>
                <w:rFonts w:ascii="Arial" w:cs="Arial" w:eastAsia="Arial" w:hAnsi="Arial"/>
                <w:sz w:val="16"/>
                <w:szCs w:val="16"/>
                <w:color w:val="auto"/>
              </w:rPr>
              <w:t>80th</w:t>
            </w:r>
          </w:p>
        </w:tc>
        <w:tc>
          <w:tcPr>
            <w:tcW w:w="1460" w:type="dxa"/>
            <w:vAlign w:val="bottom"/>
            <w:tcBorders>
              <w:bottom w:val="single" w:sz="8" w:color="276092"/>
            </w:tcBorders>
          </w:tcPr>
          <w:p>
            <w:pPr>
              <w:ind w:left="600"/>
              <w:spacing w:after="0"/>
              <w:rPr>
                <w:sz w:val="20"/>
                <w:szCs w:val="20"/>
                <w:color w:val="auto"/>
              </w:rPr>
            </w:pPr>
            <w:r>
              <w:rPr>
                <w:rFonts w:ascii="Arial" w:cs="Arial" w:eastAsia="Arial" w:hAnsi="Arial"/>
                <w:sz w:val="16"/>
                <w:szCs w:val="16"/>
                <w:color w:val="auto"/>
              </w:rPr>
              <w:t>96th</w:t>
            </w:r>
          </w:p>
        </w:tc>
      </w:tr>
    </w:tbl>
    <w:p>
      <w:pPr>
        <w:spacing w:after="0" w:line="14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43</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Decisions for 2017</w:t>
      </w:r>
    </w:p>
    <w:p>
      <w:pPr>
        <w:spacing w:after="0" w:line="121"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Based on 2015 - 2017 TSR performance, we ranked second against the 2015 Performance Peer Group and were in the 89th percentile. We were in the 96th percentile of the S&amp;P Industrials. The combined weighted score generated an overall performance score of 150% for NEOs who were elected officers at the time of the grant.</w:t>
      </w:r>
    </w:p>
    <w:p>
      <w:pPr>
        <w:spacing w:after="0" w:line="95"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In February 2018, the NEOs received payouts in stock with respect to the RPSR awards that were granted in February 2015 for the three-year performance period ending December 31, 2017 (as described further in footnote 3 to the Outstanding Equity Awards Table on page 54).</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both"/>
        <w:ind w:left="200" w:right="600"/>
        <w:spacing w:after="0"/>
        <w:rPr>
          <w:sz w:val="20"/>
          <w:szCs w:val="20"/>
          <w:color w:val="auto"/>
        </w:rPr>
      </w:pPr>
      <w:r>
        <w:rPr>
          <w:rFonts w:ascii="Arial" w:cs="Arial" w:eastAsia="Arial" w:hAnsi="Arial"/>
          <w:sz w:val="18"/>
          <w:szCs w:val="18"/>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Retirement Benefits</w:t>
      </w:r>
    </w:p>
    <w:p>
      <w:pPr>
        <w:spacing w:after="0" w:line="12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Additional information about these retirement plans and the NEO benefits under these plans can be found in the Pension Benefits Table and Nonqualified Deferred Compensation Table, on pages 56 and 60, respectively.</w:t>
      </w:r>
    </w:p>
    <w:p>
      <w:pPr>
        <w:spacing w:after="0" w:line="95"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Compensation Committee assesses aggregate benefits available to the NEOs and has previously imposed an overall cap, generally limited to no more than 60% of final average pay, on pension benefits for the NEOs (except for small variations due to contractual restrictions under the plans). Mr. Bush voluntarily agreed to reduce his cap to 50% of final average pay. In addition, the nonqualified supplemental defined benefit plans in which our NEOs participate were frozen as to pay and service as of December 31, 2014.</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Retiree Medical Arrangement</w:t>
      </w:r>
    </w:p>
    <w:p>
      <w:pPr>
        <w:spacing w:after="0" w:line="12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Special Officer Retiree Medical Plan (SORMP) was closed to new participants in 2007. Participants in the SORMP are entitled to retiree medical benefits and life insurance pursuant to the terms of the Plan. Mr. Bush is eligible for SORMP benefits due to his date of hire and years of service as an executive. The other NEOs became elected officers after the SORMP was closed to new participants and are not eligible for SORMP benefits. The estimated cost of the SORMP benefit reflected in the Termination Payment Table is the present value of the estimated cost to provide future benefits using actuarial calculations and assumptions.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Perquisites</w:t>
      </w:r>
    </w:p>
    <w:p>
      <w:pPr>
        <w:spacing w:after="0" w:line="121"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Our NEOs are eligible for certain limited executive perquisites that include financial planning, income tax preparation, physical exams and personal liability insurance. The Compensation Committee believes these perquisites are common within the competitive market for total compensation packages for executives and are useful in attracting, retaining and motivating talented executives. Perquisites provided to the NEOs in 2017 are detailed in the Summary Compensation Table on page 49.</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Security Arrangements</w:t>
      </w:r>
    </w:p>
    <w:p>
      <w:pPr>
        <w:spacing w:after="0" w:line="121"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Given the nature of our business, we maintain a comprehensive security program. As a component of that program, we provide residential and/or travel protection that we consider necessary to address our security requirements. In selecting the level and form of protection, we and the Board consider both security risks faced by those in our industry in general and security risks specific to our Company and its individuals. Based on security threat information obtained and an ongoing dialogue with law enforcement officials, the Board has required that Mr. Bush and other NEOs receive varying levels of residential and travel protection.</w:t>
      </w:r>
    </w:p>
    <w:p>
      <w:pPr>
        <w:spacing w:after="0" w:line="95"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would report them as taxable compensation to the individuals if they were not excludable from income as working condition fringe benefits under Section 132 of the Internal Revenue Code.</w:t>
      </w:r>
    </w:p>
    <w:p>
      <w:pPr>
        <w:spacing w:after="0" w:line="132" w:lineRule="exact"/>
        <w:rPr>
          <w:sz w:val="20"/>
          <w:szCs w:val="20"/>
          <w:color w:val="auto"/>
        </w:rPr>
      </w:pPr>
    </w:p>
    <w:p>
      <w:pPr>
        <w:ind w:left="460" w:hanging="256"/>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200" w:right="560"/>
        <w:spacing w:after="0" w:line="239" w:lineRule="auto"/>
        <w:rPr>
          <w:sz w:val="20"/>
          <w:szCs w:val="20"/>
          <w:color w:val="auto"/>
        </w:rPr>
      </w:pPr>
      <w:r>
        <w:rPr>
          <w:rFonts w:ascii="Arial" w:cs="Arial" w:eastAsia="Arial" w:hAnsi="Arial"/>
          <w:sz w:val="18"/>
          <w:szCs w:val="18"/>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94"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We regularly review the nature of the security threat and associated vulnerabilities with law enforcement and security specialists and will continue to revise our security program as appropriate.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Severance Benefits</w:t>
      </w:r>
    </w:p>
    <w:p>
      <w:pPr>
        <w:spacing w:after="0" w:line="121"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We maintain the Severance Plan for Elected and Appointed Officers of Northrop Grumman Corporation (Severance Plan), which is available to our NEOs (other than the CEO) who qualify and are approved to receive such benefits. Mr. Bush is not eligible to participate in a Northrop Grumman severance plan. The purpose of the Severance Plan is to help bridge the gap in an executive’s income and health coverage during a period of unemployment following termination.</w:t>
      </w:r>
    </w:p>
    <w:p>
      <w:pPr>
        <w:spacing w:after="0" w:line="94"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We do not maintain any change in control severance plans. In addition, we do not provide excise tax gross-ups for any payments received upon termination after a change in control.</w:t>
      </w:r>
    </w:p>
    <w:p>
      <w:pPr>
        <w:spacing w:after="0" w:line="89" w:lineRule="exact"/>
        <w:rPr>
          <w:sz w:val="20"/>
          <w:szCs w:val="20"/>
          <w:color w:val="auto"/>
        </w:rPr>
      </w:pPr>
    </w:p>
    <w:p>
      <w:pPr>
        <w:jc w:val="both"/>
        <w:ind w:left="200" w:right="140"/>
        <w:spacing w:after="0" w:line="234" w:lineRule="auto"/>
        <w:rPr>
          <w:sz w:val="20"/>
          <w:szCs w:val="20"/>
          <w:color w:val="auto"/>
        </w:rPr>
      </w:pPr>
      <w:r>
        <w:rPr>
          <w:rFonts w:ascii="Arial" w:cs="Arial" w:eastAsia="Arial" w:hAnsi="Arial"/>
          <w:sz w:val="18"/>
          <w:szCs w:val="18"/>
          <w:color w:val="auto"/>
        </w:rPr>
        <w:t>Upon a “qualifying termination” (defined below) the Company will provide severance benefits to eligible NEOs under the Severance Plan. Provided the NEO signs a release, he or she will receive: (i) a lump sum severance benefit equal to one and one-half times annual base salary and target bonus, (ii) a prorated performance bonus for the year of termination, (iii) continued medical and dental coverage for the severance period, (iv) income tax preparation/financial planning fees for the year of termination and the following year and</w:t>
      </w:r>
    </w:p>
    <w:p>
      <w:pPr>
        <w:spacing w:after="0" w:line="3" w:lineRule="exact"/>
        <w:rPr>
          <w:sz w:val="20"/>
          <w:szCs w:val="20"/>
          <w:color w:val="auto"/>
        </w:rPr>
      </w:pPr>
    </w:p>
    <w:p>
      <w:pPr>
        <w:jc w:val="both"/>
        <w:ind w:left="200" w:right="100" w:firstLine="4"/>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outplacement expenses up to 15% of salary, all subject to management approval. The cost of providing continued medical and dental coverage is based upon current premium costs. The cost of providing income tax preparation and financial planning is capped at $15,000 for the year of termination and $15,000 for the year following termination.</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“qualifying termination” means one of the following:</w:t>
      </w:r>
    </w:p>
    <w:p>
      <w:pPr>
        <w:spacing w:after="0" w:line="117" w:lineRule="exact"/>
        <w:rPr>
          <w:sz w:val="20"/>
          <w:szCs w:val="20"/>
          <w:color w:val="auto"/>
        </w:rPr>
      </w:pPr>
    </w:p>
    <w:p>
      <w:pPr>
        <w:ind w:left="520" w:hanging="316"/>
        <w:spacing w:after="0"/>
        <w:tabs>
          <w:tab w:leader="none" w:pos="520" w:val="left"/>
        </w:tabs>
        <w:numPr>
          <w:ilvl w:val="0"/>
          <w:numId w:val="82"/>
        </w:numPr>
        <w:rPr>
          <w:rFonts w:ascii="Arial" w:cs="Arial" w:eastAsia="Arial" w:hAnsi="Arial"/>
          <w:sz w:val="18"/>
          <w:szCs w:val="18"/>
          <w:color w:val="276092"/>
        </w:rPr>
      </w:pPr>
      <w:r>
        <w:rPr>
          <w:rFonts w:ascii="Arial" w:cs="Arial" w:eastAsia="Arial" w:hAnsi="Arial"/>
          <w:sz w:val="18"/>
          <w:szCs w:val="18"/>
          <w:color w:val="auto"/>
        </w:rPr>
        <w:t>involuntary termination, other than for cause or mandatory retirement; or</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82"/>
        </w:numPr>
        <w:rPr>
          <w:rFonts w:ascii="Arial" w:cs="Arial" w:eastAsia="Arial" w:hAnsi="Arial"/>
          <w:sz w:val="18"/>
          <w:szCs w:val="18"/>
          <w:color w:val="276092"/>
        </w:rPr>
      </w:pPr>
      <w:r>
        <w:rPr>
          <w:rFonts w:ascii="Arial" w:cs="Arial" w:eastAsia="Arial" w:hAnsi="Arial"/>
          <w:sz w:val="18"/>
          <w:szCs w:val="18"/>
          <w:color w:val="auto"/>
        </w:rPr>
        <w:t>election to terminate in lieu of accepting a downgrade to a non-officer position (i.e., good reason).</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Change in Control Benefits</w:t>
      </w:r>
    </w:p>
    <w:p>
      <w:pPr>
        <w:spacing w:after="0" w:line="121" w:lineRule="exact"/>
        <w:rPr>
          <w:sz w:val="20"/>
          <w:szCs w:val="20"/>
          <w:color w:val="auto"/>
        </w:rPr>
      </w:pPr>
    </w:p>
    <w:p>
      <w:pPr>
        <w:ind w:left="200" w:right="280"/>
        <w:spacing w:after="0" w:line="246" w:lineRule="auto"/>
        <w:rPr>
          <w:sz w:val="20"/>
          <w:szCs w:val="20"/>
          <w:color w:val="auto"/>
        </w:rPr>
      </w:pPr>
      <w:r>
        <w:rPr>
          <w:rFonts w:ascii="Arial" w:cs="Arial" w:eastAsia="Arial" w:hAnsi="Arial"/>
          <w:sz w:val="18"/>
          <w:szCs w:val="18"/>
          <w:color w:val="auto"/>
        </w:rPr>
        <w:t>We do not maintain separate change in control programs or agreements. The only change in control benefits available to the NEOs are those described in the terms and conditions of the grants under the 2011 Long-Term Incentive Stock Plan (2011 Plan).</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Stock Ownership Guidelines</w:t>
      </w:r>
    </w:p>
    <w:p>
      <w:pPr>
        <w:spacing w:after="0" w:line="121" w:lineRule="exact"/>
        <w:rPr>
          <w:sz w:val="20"/>
          <w:szCs w:val="20"/>
          <w:color w:val="auto"/>
        </w:rPr>
      </w:pPr>
    </w:p>
    <w:p>
      <w:pPr>
        <w:ind w:left="200" w:right="420"/>
        <w:spacing w:after="0"/>
        <w:rPr>
          <w:sz w:val="20"/>
          <w:szCs w:val="20"/>
          <w:color w:val="auto"/>
        </w:rPr>
      </w:pPr>
      <w:r>
        <w:rPr>
          <w:rFonts w:ascii="Arial" w:cs="Arial" w:eastAsia="Arial" w:hAnsi="Arial"/>
          <w:sz w:val="18"/>
          <w:szCs w:val="18"/>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guidelines are as follows:</w:t>
      </w: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324"/>
        </w:trPr>
        <w:tc>
          <w:tcPr>
            <w:tcW w:w="4000" w:type="dxa"/>
            <w:vAlign w:val="bottom"/>
            <w:shd w:val="clear" w:color="auto" w:fill="276092"/>
          </w:tcPr>
          <w:p>
            <w:pPr>
              <w:ind w:left="80"/>
              <w:spacing w:after="0"/>
              <w:rPr>
                <w:sz w:val="20"/>
                <w:szCs w:val="20"/>
                <w:color w:val="auto"/>
              </w:rPr>
            </w:pPr>
            <w:r>
              <w:rPr>
                <w:rFonts w:ascii="Arial" w:cs="Arial" w:eastAsia="Arial" w:hAnsi="Arial"/>
                <w:sz w:val="16"/>
                <w:szCs w:val="16"/>
                <w:b w:val="1"/>
                <w:bCs w:val="1"/>
                <w:color w:val="FFFFFF"/>
              </w:rPr>
              <w:t>Position</w:t>
            </w:r>
          </w:p>
        </w:tc>
        <w:tc>
          <w:tcPr>
            <w:tcW w:w="4360" w:type="dxa"/>
            <w:vAlign w:val="bottom"/>
            <w:shd w:val="clear" w:color="auto" w:fill="276092"/>
          </w:tcPr>
          <w:p>
            <w:pPr>
              <w:ind w:left="1080"/>
              <w:spacing w:after="0"/>
              <w:rPr>
                <w:sz w:val="20"/>
                <w:szCs w:val="20"/>
                <w:color w:val="auto"/>
              </w:rPr>
            </w:pPr>
            <w:r>
              <w:rPr>
                <w:rFonts w:ascii="Arial" w:cs="Arial" w:eastAsia="Arial" w:hAnsi="Arial"/>
                <w:sz w:val="16"/>
                <w:szCs w:val="16"/>
                <w:b w:val="1"/>
                <w:bCs w:val="1"/>
                <w:color w:val="FFFFFF"/>
              </w:rPr>
              <w:t>Stock Value as a Multiple of Base Salary</w:t>
            </w:r>
          </w:p>
        </w:tc>
      </w:tr>
      <w:tr>
        <w:trPr>
          <w:trHeight w:val="230"/>
        </w:trPr>
        <w:tc>
          <w:tcPr>
            <w:tcW w:w="4000" w:type="dxa"/>
            <w:vAlign w:val="bottom"/>
            <w:shd w:val="clear" w:color="auto" w:fill="BECFDE"/>
          </w:tcPr>
          <w:p>
            <w:pPr>
              <w:ind w:left="40"/>
              <w:spacing w:after="0"/>
              <w:rPr>
                <w:sz w:val="20"/>
                <w:szCs w:val="20"/>
                <w:color w:val="auto"/>
              </w:rPr>
            </w:pPr>
            <w:r>
              <w:rPr>
                <w:rFonts w:ascii="Arial" w:cs="Arial" w:eastAsia="Arial" w:hAnsi="Arial"/>
                <w:sz w:val="16"/>
                <w:szCs w:val="16"/>
                <w:color w:val="auto"/>
              </w:rPr>
              <w:t>Chairman and Chief Executive Officer</w:t>
            </w:r>
          </w:p>
        </w:tc>
        <w:tc>
          <w:tcPr>
            <w:tcW w:w="4360" w:type="dxa"/>
            <w:vAlign w:val="bottom"/>
            <w:shd w:val="clear" w:color="auto" w:fill="BECFDE"/>
          </w:tcPr>
          <w:p>
            <w:pPr>
              <w:ind w:left="2200"/>
              <w:spacing w:after="0"/>
              <w:rPr>
                <w:sz w:val="20"/>
                <w:szCs w:val="20"/>
                <w:color w:val="auto"/>
              </w:rPr>
            </w:pPr>
            <w:r>
              <w:rPr>
                <w:rFonts w:ascii="Arial" w:cs="Arial" w:eastAsia="Arial" w:hAnsi="Arial"/>
                <w:sz w:val="16"/>
                <w:szCs w:val="16"/>
                <w:color w:val="auto"/>
              </w:rPr>
              <w:t>7x base salary</w:t>
            </w:r>
          </w:p>
        </w:tc>
      </w:tr>
      <w:tr>
        <w:trPr>
          <w:trHeight w:val="230"/>
        </w:trPr>
        <w:tc>
          <w:tcPr>
            <w:tcW w:w="4000" w:type="dxa"/>
            <w:vAlign w:val="bottom"/>
            <w:tcBorders>
              <w:bottom w:val="single" w:sz="8" w:color="276092"/>
            </w:tcBorders>
          </w:tcPr>
          <w:p>
            <w:pPr>
              <w:ind w:left="40"/>
              <w:spacing w:after="0"/>
              <w:rPr>
                <w:sz w:val="20"/>
                <w:szCs w:val="20"/>
                <w:color w:val="auto"/>
              </w:rPr>
            </w:pPr>
            <w:r>
              <w:rPr>
                <w:rFonts w:ascii="Arial" w:cs="Arial" w:eastAsia="Arial" w:hAnsi="Arial"/>
                <w:sz w:val="16"/>
                <w:szCs w:val="16"/>
                <w:color w:val="auto"/>
              </w:rPr>
              <w:t>Other NEOs</w:t>
            </w:r>
          </w:p>
        </w:tc>
        <w:tc>
          <w:tcPr>
            <w:tcW w:w="4360" w:type="dxa"/>
            <w:vAlign w:val="bottom"/>
            <w:tcBorders>
              <w:bottom w:val="single" w:sz="8" w:color="276092"/>
            </w:tcBorders>
          </w:tcPr>
          <w:p>
            <w:pPr>
              <w:ind w:left="2200"/>
              <w:spacing w:after="0"/>
              <w:rPr>
                <w:sz w:val="20"/>
                <w:szCs w:val="20"/>
                <w:color w:val="auto"/>
              </w:rPr>
            </w:pPr>
            <w:r>
              <w:rPr>
                <w:rFonts w:ascii="Arial" w:cs="Arial" w:eastAsia="Arial" w:hAnsi="Arial"/>
                <w:sz w:val="16"/>
                <w:szCs w:val="16"/>
                <w:color w:val="auto"/>
              </w:rPr>
              <w:t>3x base salary</w:t>
            </w: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that satisfy the stock ownership guidelines include:</w:t>
      </w:r>
    </w:p>
    <w:p>
      <w:pPr>
        <w:spacing w:after="0" w:line="117" w:lineRule="exact"/>
        <w:rPr>
          <w:sz w:val="20"/>
          <w:szCs w:val="20"/>
          <w:color w:val="auto"/>
        </w:rPr>
      </w:pPr>
    </w:p>
    <w:p>
      <w:pPr>
        <w:ind w:left="520" w:hanging="316"/>
        <w:spacing w:after="0"/>
        <w:tabs>
          <w:tab w:leader="none" w:pos="520" w:val="left"/>
        </w:tabs>
        <w:numPr>
          <w:ilvl w:val="0"/>
          <w:numId w:val="83"/>
        </w:numPr>
        <w:rPr>
          <w:rFonts w:ascii="Arial" w:cs="Arial" w:eastAsia="Arial" w:hAnsi="Arial"/>
          <w:sz w:val="18"/>
          <w:szCs w:val="18"/>
          <w:color w:val="276092"/>
        </w:rPr>
      </w:pPr>
      <w:r>
        <w:rPr>
          <w:rFonts w:ascii="Arial" w:cs="Arial" w:eastAsia="Arial" w:hAnsi="Arial"/>
          <w:sz w:val="18"/>
          <w:szCs w:val="18"/>
          <w:color w:val="auto"/>
        </w:rPr>
        <w:t>Company stock owned outright;</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83"/>
        </w:numPr>
        <w:rPr>
          <w:rFonts w:ascii="Arial" w:cs="Arial" w:eastAsia="Arial" w:hAnsi="Arial"/>
          <w:sz w:val="18"/>
          <w:szCs w:val="18"/>
          <w:color w:val="276092"/>
        </w:rPr>
      </w:pPr>
      <w:r>
        <w:rPr>
          <w:rFonts w:ascii="Arial" w:cs="Arial" w:eastAsia="Arial" w:hAnsi="Arial"/>
          <w:sz w:val="18"/>
          <w:szCs w:val="18"/>
          <w:color w:val="auto"/>
        </w:rPr>
        <w:t>unvested RSRs; and</w:t>
      </w:r>
    </w:p>
    <w:p>
      <w:pPr>
        <w:spacing w:after="0" w:line="130" w:lineRule="exact"/>
        <w:rPr>
          <w:rFonts w:ascii="Arial" w:cs="Arial" w:eastAsia="Arial" w:hAnsi="Arial"/>
          <w:sz w:val="18"/>
          <w:szCs w:val="18"/>
          <w:color w:val="276092"/>
        </w:rPr>
      </w:pPr>
    </w:p>
    <w:p>
      <w:pPr>
        <w:ind w:left="200" w:right="480" w:firstLine="4"/>
        <w:spacing w:after="0" w:line="367" w:lineRule="auto"/>
        <w:tabs>
          <w:tab w:leader="none" w:pos="524" w:val="left"/>
        </w:tabs>
        <w:numPr>
          <w:ilvl w:val="0"/>
          <w:numId w:val="83"/>
        </w:numPr>
        <w:rPr>
          <w:rFonts w:ascii="Arial" w:cs="Arial" w:eastAsia="Arial" w:hAnsi="Arial"/>
          <w:sz w:val="18"/>
          <w:szCs w:val="18"/>
          <w:color w:val="276092"/>
        </w:rPr>
      </w:pPr>
      <w:r>
        <w:rPr>
          <w:rFonts w:ascii="Arial" w:cs="Arial" w:eastAsia="Arial" w:hAnsi="Arial"/>
          <w:sz w:val="18"/>
          <w:szCs w:val="18"/>
          <w:color w:val="auto"/>
        </w:rPr>
        <w:t>the value of shares held in the Northrop Grumman Savings Plan or Northrop Grumman Financial Security and Savings Program. Unvested RPSRs are not included in calculating ownership until they are converted to actual shares owned.</w:t>
      </w:r>
    </w:p>
    <w:p>
      <w:pPr>
        <w:spacing w:after="0" w:line="2" w:lineRule="exact"/>
        <w:rPr>
          <w:sz w:val="20"/>
          <w:szCs w:val="20"/>
          <w:color w:val="auto"/>
        </w:rPr>
      </w:pPr>
    </w:p>
    <w:p>
      <w:pPr>
        <w:jc w:val="both"/>
        <w:ind w:left="200" w:right="40"/>
        <w:spacing w:after="0"/>
        <w:rPr>
          <w:sz w:val="20"/>
          <w:szCs w:val="20"/>
          <w:color w:val="auto"/>
        </w:rPr>
      </w:pPr>
      <w:r>
        <w:rPr>
          <w:rFonts w:ascii="Arial" w:cs="Arial" w:eastAsia="Arial" w:hAnsi="Arial"/>
          <w:sz w:val="18"/>
          <w:szCs w:val="18"/>
          <w:color w:val="auto"/>
        </w:rPr>
        <w:t>The Compensation Committee reviews compliance with our stock ownership guidelines on an annual basis. As of December 31, 2017, all NEOs were in compliance with the ownership guidelines. The Compensation Committee continues to monitor compliance and will conduct a full review again in 2018.</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Stock Holding Requirements</w:t>
      </w:r>
    </w:p>
    <w:p>
      <w:pPr>
        <w:spacing w:after="0" w:line="12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have a holding period requirement for payouts from long-term incentive grants, further emphasizing the importance of sustainable performance and appropriate risk-management behaviors. Under this policy, NEOs are required to hold, for a period of three years, 50% of their net after-tax shares received from RSR vestings and RPSR distributions. These restrictions generally continue following termination and retirement; however, shares acquired from RPSR distributions following termination or retirement occurring more than one year after separation from the Company are not subject to the holding requirement.</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Anti-Hedging and Pledging Policy</w:t>
      </w:r>
    </w:p>
    <w:p>
      <w:pPr>
        <w:spacing w:after="0" w:line="121"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Company policy prohibits our NEOs and other elected officers from hedging, entering into margin transactions involving Company stock, and pledging Company securities as collateral for loans or other transactions.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Recoupment Policy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recoupment policy provides that:</w:t>
      </w:r>
    </w:p>
    <w:p>
      <w:pPr>
        <w:spacing w:after="0" w:line="117" w:lineRule="exact"/>
        <w:rPr>
          <w:sz w:val="20"/>
          <w:szCs w:val="20"/>
          <w:color w:val="auto"/>
        </w:rPr>
      </w:pPr>
    </w:p>
    <w:p>
      <w:pPr>
        <w:ind w:left="520" w:right="400" w:hanging="316"/>
        <w:spacing w:after="0" w:line="246" w:lineRule="auto"/>
        <w:tabs>
          <w:tab w:leader="none" w:pos="520" w:val="left"/>
        </w:tabs>
        <w:numPr>
          <w:ilvl w:val="0"/>
          <w:numId w:val="84"/>
        </w:numPr>
        <w:rPr>
          <w:rFonts w:ascii="Arial" w:cs="Arial" w:eastAsia="Arial" w:hAnsi="Arial"/>
          <w:sz w:val="18"/>
          <w:szCs w:val="18"/>
          <w:color w:val="276092"/>
        </w:rPr>
      </w:pPr>
      <w:r>
        <w:rPr>
          <w:rFonts w:ascii="Arial" w:cs="Arial" w:eastAsia="Arial" w:hAnsi="Arial"/>
          <w:sz w:val="18"/>
          <w:szCs w:val="18"/>
          <w:color w:val="auto"/>
        </w:rPr>
        <w:t>the Board has discretion to recoup incentive compensation paid to an elected officer in the event of a restatement or if an elected officer engages in illegal conduct that causes significant financial or reputational harm to the Company;</w:t>
      </w:r>
    </w:p>
    <w:p>
      <w:pPr>
        <w:spacing w:after="0" w:line="102" w:lineRule="exact"/>
        <w:rPr>
          <w:rFonts w:ascii="Arial" w:cs="Arial" w:eastAsia="Arial" w:hAnsi="Arial"/>
          <w:sz w:val="18"/>
          <w:szCs w:val="18"/>
          <w:color w:val="276092"/>
        </w:rPr>
      </w:pPr>
    </w:p>
    <w:p>
      <w:pPr>
        <w:ind w:left="520" w:right="140" w:hanging="316"/>
        <w:spacing w:after="0" w:line="275" w:lineRule="auto"/>
        <w:tabs>
          <w:tab w:leader="none" w:pos="520" w:val="left"/>
        </w:tabs>
        <w:numPr>
          <w:ilvl w:val="0"/>
          <w:numId w:val="84"/>
        </w:numPr>
        <w:rPr>
          <w:rFonts w:ascii="Arial" w:cs="Arial" w:eastAsia="Arial" w:hAnsi="Arial"/>
          <w:sz w:val="17"/>
          <w:szCs w:val="17"/>
          <w:color w:val="276092"/>
        </w:rPr>
      </w:pPr>
      <w:r>
        <w:rPr>
          <w:rFonts w:ascii="Arial" w:cs="Arial" w:eastAsia="Arial" w:hAnsi="Arial"/>
          <w:sz w:val="17"/>
          <w:szCs w:val="17"/>
          <w:color w:val="auto"/>
        </w:rPr>
        <w:t>the Board has discretion to recoup incentive compensation paid to the elected officer in the event the elected officer fails to report such misconduct of another, or is grossly negligent in fulfilling his or her supervisory responsibilities to prevent such misconduct; and</w:t>
      </w:r>
    </w:p>
    <w:p>
      <w:pPr>
        <w:spacing w:after="0" w:line="78" w:lineRule="exact"/>
        <w:rPr>
          <w:rFonts w:ascii="Arial" w:cs="Arial" w:eastAsia="Arial" w:hAnsi="Arial"/>
          <w:sz w:val="17"/>
          <w:szCs w:val="17"/>
          <w:color w:val="276092"/>
        </w:rPr>
      </w:pPr>
    </w:p>
    <w:p>
      <w:pPr>
        <w:ind w:left="520" w:right="560" w:hanging="316"/>
        <w:spacing w:after="0" w:line="246" w:lineRule="auto"/>
        <w:tabs>
          <w:tab w:leader="none" w:pos="520" w:val="left"/>
        </w:tabs>
        <w:numPr>
          <w:ilvl w:val="0"/>
          <w:numId w:val="84"/>
        </w:numPr>
        <w:rPr>
          <w:rFonts w:ascii="Arial" w:cs="Arial" w:eastAsia="Arial" w:hAnsi="Arial"/>
          <w:sz w:val="18"/>
          <w:szCs w:val="18"/>
          <w:color w:val="276092"/>
        </w:rPr>
      </w:pPr>
      <w:r>
        <w:rPr>
          <w:rFonts w:ascii="Arial" w:cs="Arial" w:eastAsia="Arial" w:hAnsi="Arial"/>
          <w:sz w:val="18"/>
          <w:szCs w:val="18"/>
          <w:color w:val="auto"/>
        </w:rPr>
        <w:t>the CEO has discretion to recoup under similar circumstances incentive compensation provided to non-elected officers or other employees.</w:t>
      </w:r>
    </w:p>
    <w:p>
      <w:pPr>
        <w:spacing w:after="0" w:line="89"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The Company’s recoupment policy applies to a three-year look back of performance-based short or long-term, cash or equity incentive payments. It provides for certain disclosure in the event of recoupment, consistent with SEC and other legal requirements.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Risk Management</w:t>
      </w:r>
    </w:p>
    <w:p>
      <w:pPr>
        <w:spacing w:after="0" w:line="12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Compensation Committee annually reviews our compensation program and together with the independent compensation consultant assesses potential compensation-related risks to the Company. Based on this assessment for 2017, the Compensation Committee determined that the risk profile is appropriate and substantial risk management features are incorporated into our compensation program. This determination reflects the following conclusions from the detailed risk assessment:</w:t>
      </w:r>
    </w:p>
    <w:p>
      <w:pPr>
        <w:spacing w:after="0" w:line="107" w:lineRule="exact"/>
        <w:rPr>
          <w:sz w:val="20"/>
          <w:szCs w:val="20"/>
          <w:color w:val="auto"/>
        </w:rPr>
      </w:pPr>
    </w:p>
    <w:p>
      <w:pPr>
        <w:ind w:left="520" w:right="20" w:hanging="316"/>
        <w:spacing w:after="0"/>
        <w:tabs>
          <w:tab w:leader="none" w:pos="520" w:val="left"/>
        </w:tabs>
        <w:numPr>
          <w:ilvl w:val="0"/>
          <w:numId w:val="85"/>
        </w:numPr>
        <w:rPr>
          <w:rFonts w:ascii="Arial" w:cs="Arial" w:eastAsia="Arial" w:hAnsi="Arial"/>
          <w:sz w:val="18"/>
          <w:szCs w:val="18"/>
          <w:color w:val="276092"/>
        </w:rPr>
      </w:pPr>
      <w:r>
        <w:rPr>
          <w:rFonts w:ascii="Arial" w:cs="Arial" w:eastAsia="Arial" w:hAnsi="Arial"/>
          <w:sz w:val="18"/>
          <w:szCs w:val="18"/>
          <w:color w:val="auto"/>
        </w:rPr>
        <w:t>there is appropriate balance to mitigate compensation-related risk in the executive compensation program’s design between fixed and variable pay, cash and stock components, short- and long-term measures, financial and non-financial measures, and formulaic and discretionary decisions;</w:t>
      </w:r>
    </w:p>
    <w:p>
      <w:pPr>
        <w:spacing w:after="0" w:line="108" w:lineRule="exact"/>
        <w:rPr>
          <w:rFonts w:ascii="Arial" w:cs="Arial" w:eastAsia="Arial" w:hAnsi="Arial"/>
          <w:sz w:val="18"/>
          <w:szCs w:val="18"/>
          <w:color w:val="276092"/>
        </w:rPr>
      </w:pPr>
    </w:p>
    <w:p>
      <w:pPr>
        <w:ind w:left="520" w:hanging="316"/>
        <w:spacing w:after="0"/>
        <w:tabs>
          <w:tab w:leader="none" w:pos="520" w:val="left"/>
        </w:tabs>
        <w:numPr>
          <w:ilvl w:val="0"/>
          <w:numId w:val="85"/>
        </w:numPr>
        <w:rPr>
          <w:rFonts w:ascii="Arial" w:cs="Arial" w:eastAsia="Arial" w:hAnsi="Arial"/>
          <w:sz w:val="18"/>
          <w:szCs w:val="18"/>
          <w:color w:val="276092"/>
        </w:rPr>
      </w:pPr>
      <w:r>
        <w:rPr>
          <w:rFonts w:ascii="Arial" w:cs="Arial" w:eastAsia="Arial" w:hAnsi="Arial"/>
          <w:sz w:val="18"/>
          <w:szCs w:val="18"/>
          <w:color w:val="auto"/>
        </w:rPr>
        <w:t>there are appropriate policies in place to mitigate compensation-related risk including the Compensation Committee’s and its advisor’s independence, transparent disclosure, officer stock ownership guidelines and holding period requirements, and hedging and recoupment policies; and</w:t>
      </w:r>
    </w:p>
    <w:p>
      <w:pPr>
        <w:spacing w:after="0" w:line="108" w:lineRule="exact"/>
        <w:rPr>
          <w:rFonts w:ascii="Arial" w:cs="Arial" w:eastAsia="Arial" w:hAnsi="Arial"/>
          <w:sz w:val="18"/>
          <w:szCs w:val="18"/>
          <w:color w:val="276092"/>
        </w:rPr>
      </w:pPr>
    </w:p>
    <w:p>
      <w:pPr>
        <w:ind w:left="520" w:right="680" w:hanging="316"/>
        <w:spacing w:after="0" w:line="246" w:lineRule="auto"/>
        <w:tabs>
          <w:tab w:leader="none" w:pos="520" w:val="left"/>
        </w:tabs>
        <w:numPr>
          <w:ilvl w:val="0"/>
          <w:numId w:val="85"/>
        </w:numPr>
        <w:rPr>
          <w:rFonts w:ascii="Arial" w:cs="Arial" w:eastAsia="Arial" w:hAnsi="Arial"/>
          <w:sz w:val="18"/>
          <w:szCs w:val="18"/>
          <w:color w:val="276092"/>
        </w:rPr>
      </w:pPr>
      <w:r>
        <w:rPr>
          <w:rFonts w:ascii="Arial" w:cs="Arial" w:eastAsia="Arial" w:hAnsi="Arial"/>
          <w:sz w:val="18"/>
          <w:szCs w:val="18"/>
          <w:color w:val="auto"/>
        </w:rPr>
        <w:t>there are no incentive or commission arrangements below the executive level that potentially encourage excessive risk-taking behavior.</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Grant Date for Equity Awards</w:t>
      </w:r>
    </w:p>
    <w:p>
      <w:pPr>
        <w:spacing w:after="0" w:line="121"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Annual grant cycles for equity awards occur in February at the same time as salary increases and annual incentive grants. This timing allows the Compensation Committee to make decisions on each of these compensation components at the same time, utilizing a total compensation philosophy. The Compensation Committee reviews and approves annual long-term incentive grants during its scheduled meeting, which occurs following announcement of our year-end financial results. Equity grants may also be granted on an interim basis throughout the year for special situations, such as new executive hires, promotions or retention.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Tax Deductibility of Pay</w:t>
      </w:r>
    </w:p>
    <w:p>
      <w:pPr>
        <w:spacing w:after="0" w:line="121"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Under prior law, Section 162(m) of the Internal Revenue Code generally limited the annual tax deduction to $1 million per person for compensation paid to the Company’s CEO and the next three highest-paid NEOs, other than the Chief Financial Officer (collectively, covered employees). Certain compensation, including qualified performance-based compensation, was not subject to the deduction limit if certain requirements were met.</w:t>
      </w:r>
    </w:p>
    <w:p>
      <w:pPr>
        <w:spacing w:after="0" w:line="132" w:lineRule="exact"/>
        <w:rPr>
          <w:sz w:val="20"/>
          <w:szCs w:val="20"/>
          <w:color w:val="auto"/>
        </w:rPr>
      </w:pPr>
    </w:p>
    <w:p>
      <w:pPr>
        <w:ind w:left="460" w:hanging="256"/>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DISCUSSION AND ANALYSIS | K</w:t>
      </w:r>
      <w:r>
        <w:rPr>
          <w:rFonts w:ascii="Arial" w:cs="Arial" w:eastAsia="Arial" w:hAnsi="Arial"/>
          <w:sz w:val="18"/>
          <w:szCs w:val="18"/>
          <w:b w:val="1"/>
          <w:bCs w:val="1"/>
          <w:color w:val="FFFFFF"/>
        </w:rPr>
        <w:t>EY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OMPONENTS OF OUR</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ROGRAMS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2017 Tax Act enacted on December 22, 2017, modifies Section 162(m). The 2017 Tax Act expands the definition of covered employees to include the Company’s Chief Financial Officer and any employee who was a covered employee for any taxable year beginning after December 31, 2016. The 2017 Tax Act also repeals the performance-based compensation exception to the deduction limit. These amendments, effective January 1, 2018, do not apply to compensation paid pursuant to a written binding contract in effect on November 2, 2017 that was not materially modified after such date.</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Say-on-Pay</w:t>
      </w:r>
    </w:p>
    <w:p>
      <w:pPr>
        <w:spacing w:after="0" w:line="12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shareholders have been asked annually to approve, on an advisory basis, the compensation paid to our NEOs. We regularly engage with our shareholders to understand their concerns regarding executive compensation. The Compensation Committee annually reviews and discusses the results of the say-on-pay vote. In 2017, our executive compensation programs continued to receive strong support from shareholders with 96% approval at our 2017 Annual Meeting of Shareholders. Based on its review and feedback from shareholder engagement, the Compensation Committee determined that our programs are effective and aligned with shareholder interests, and no substantive changes were required.</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47</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Compensation Committee reviewed and discussed the CD&amp;A with management. Based on such review and discussion, the Compensation Committee recommended to the Board that the CD&amp;A be included in this Proxy Statement. The Board has approved the recommendation.</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COMPENSATION COMMITTEE</w:t>
      </w:r>
    </w:p>
    <w:p>
      <w:pPr>
        <w:spacing w:after="0" w:line="10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KARL J. KRAPEK, CHAIRPERSON</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DONALD E. FELSINGER</w:t>
      </w:r>
    </w:p>
    <w:p>
      <w:pPr>
        <w:jc w:val="center"/>
        <w:ind w:right="-459"/>
        <w:spacing w:after="0" w:line="234" w:lineRule="auto"/>
        <w:rPr>
          <w:sz w:val="20"/>
          <w:szCs w:val="20"/>
          <w:color w:val="auto"/>
        </w:rPr>
      </w:pPr>
      <w:r>
        <w:rPr>
          <w:rFonts w:ascii="Arial" w:cs="Arial" w:eastAsia="Arial" w:hAnsi="Arial"/>
          <w:sz w:val="18"/>
          <w:szCs w:val="18"/>
          <w:b w:val="1"/>
          <w:bCs w:val="1"/>
          <w:color w:val="auto"/>
        </w:rPr>
        <w:t>BRUCE S. GORDON</w:t>
      </w:r>
    </w:p>
    <w:p>
      <w:pPr>
        <w:jc w:val="center"/>
        <w:ind w:right="-459"/>
        <w:spacing w:after="0" w:line="235" w:lineRule="auto"/>
        <w:rPr>
          <w:sz w:val="20"/>
          <w:szCs w:val="20"/>
          <w:color w:val="auto"/>
        </w:rPr>
      </w:pPr>
      <w:r>
        <w:rPr>
          <w:rFonts w:ascii="Arial" w:cs="Arial" w:eastAsia="Arial" w:hAnsi="Arial"/>
          <w:sz w:val="18"/>
          <w:szCs w:val="18"/>
          <w:b w:val="1"/>
          <w:bCs w:val="1"/>
          <w:color w:val="auto"/>
        </w:rPr>
        <w:t>GARY ROUGHEAD</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THOMAS M. SCHOEWE</w:t>
      </w:r>
    </w:p>
    <w:p>
      <w:pPr>
        <w:spacing w:after="0" w:line="141" w:lineRule="exact"/>
        <w:rPr>
          <w:sz w:val="20"/>
          <w:szCs w:val="20"/>
          <w:color w:val="auto"/>
        </w:rPr>
      </w:pPr>
    </w:p>
    <w:p>
      <w:pPr>
        <w:ind w:left="460" w:hanging="256"/>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0960"/>
          </w:cols>
          <w:pgMar w:left="240" w:top="459" w:right="6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S</w:t>
      </w:r>
      <w:r>
        <w:rPr>
          <w:rFonts w:ascii="Arial" w:cs="Arial" w:eastAsia="Arial" w:hAnsi="Arial"/>
          <w:sz w:val="18"/>
          <w:szCs w:val="18"/>
          <w:b w:val="1"/>
          <w:bCs w:val="1"/>
          <w:color w:val="FFFFFF"/>
        </w:rPr>
        <w:t>UMMARY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Summary Compensation Table</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320" w:type="dxa"/>
            <w:vAlign w:val="bottom"/>
            <w:shd w:val="clear" w:color="auto" w:fill="276092"/>
          </w:tcPr>
          <w:p>
            <w:pPr>
              <w:spacing w:after="0"/>
              <w:rPr>
                <w:sz w:val="16"/>
                <w:szCs w:val="16"/>
                <w:color w:val="auto"/>
              </w:rPr>
            </w:pPr>
          </w:p>
        </w:tc>
        <w:tc>
          <w:tcPr>
            <w:tcW w:w="540" w:type="dxa"/>
            <w:vAlign w:val="bottom"/>
            <w:shd w:val="clear" w:color="auto" w:fill="276092"/>
          </w:tcPr>
          <w:p>
            <w:pPr>
              <w:spacing w:after="0"/>
              <w:rPr>
                <w:sz w:val="16"/>
                <w:szCs w:val="16"/>
                <w:color w:val="auto"/>
              </w:rPr>
            </w:pPr>
          </w:p>
        </w:tc>
        <w:tc>
          <w:tcPr>
            <w:tcW w:w="800" w:type="dxa"/>
            <w:vAlign w:val="bottom"/>
            <w:shd w:val="clear" w:color="auto" w:fill="276092"/>
          </w:tcPr>
          <w:p>
            <w:pPr>
              <w:spacing w:after="0"/>
              <w:rPr>
                <w:sz w:val="16"/>
                <w:szCs w:val="16"/>
                <w:color w:val="auto"/>
              </w:rPr>
            </w:pPr>
          </w:p>
        </w:tc>
        <w:tc>
          <w:tcPr>
            <w:tcW w:w="760" w:type="dxa"/>
            <w:vAlign w:val="bottom"/>
            <w:shd w:val="clear" w:color="auto" w:fill="276092"/>
          </w:tcPr>
          <w:p>
            <w:pPr>
              <w:spacing w:after="0"/>
              <w:rPr>
                <w:sz w:val="16"/>
                <w:szCs w:val="16"/>
                <w:color w:val="auto"/>
              </w:rPr>
            </w:pPr>
          </w:p>
        </w:tc>
        <w:tc>
          <w:tcPr>
            <w:tcW w:w="840" w:type="dxa"/>
            <w:vAlign w:val="bottom"/>
            <w:shd w:val="clear" w:color="auto" w:fill="276092"/>
          </w:tcPr>
          <w:p>
            <w:pPr>
              <w:spacing w:after="0"/>
              <w:rPr>
                <w:sz w:val="16"/>
                <w:szCs w:val="16"/>
                <w:color w:val="auto"/>
              </w:rPr>
            </w:pPr>
          </w:p>
        </w:tc>
        <w:tc>
          <w:tcPr>
            <w:tcW w:w="1320" w:type="dxa"/>
            <w:vAlign w:val="bottom"/>
            <w:shd w:val="clear" w:color="auto" w:fill="276092"/>
          </w:tcPr>
          <w:p>
            <w:pPr>
              <w:spacing w:after="0"/>
              <w:rPr>
                <w:sz w:val="16"/>
                <w:szCs w:val="16"/>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Change in</w:t>
            </w:r>
          </w:p>
        </w:tc>
        <w:tc>
          <w:tcPr>
            <w:tcW w:w="1300" w:type="dxa"/>
            <w:vAlign w:val="bottom"/>
            <w:shd w:val="clear" w:color="auto" w:fill="276092"/>
          </w:tcPr>
          <w:p>
            <w:pPr>
              <w:spacing w:after="0"/>
              <w:rPr>
                <w:sz w:val="16"/>
                <w:szCs w:val="16"/>
                <w:color w:val="auto"/>
              </w:rPr>
            </w:pPr>
          </w:p>
        </w:tc>
        <w:tc>
          <w:tcPr>
            <w:tcW w:w="1040" w:type="dxa"/>
            <w:vAlign w:val="bottom"/>
            <w:shd w:val="clear" w:color="auto" w:fill="27609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76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132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Pension Value</w:t>
            </w:r>
          </w:p>
        </w:tc>
        <w:tc>
          <w:tcPr>
            <w:tcW w:w="1300" w:type="dxa"/>
            <w:vAlign w:val="bottom"/>
            <w:shd w:val="clear" w:color="auto" w:fill="276092"/>
          </w:tcPr>
          <w:p>
            <w:pPr>
              <w:spacing w:after="0"/>
              <w:rPr>
                <w:sz w:val="14"/>
                <w:szCs w:val="14"/>
                <w:color w:val="auto"/>
              </w:rPr>
            </w:pPr>
          </w:p>
        </w:tc>
        <w:tc>
          <w:tcPr>
            <w:tcW w:w="104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76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132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and Non-</w:t>
            </w:r>
          </w:p>
        </w:tc>
        <w:tc>
          <w:tcPr>
            <w:tcW w:w="1300" w:type="dxa"/>
            <w:vAlign w:val="bottom"/>
            <w:shd w:val="clear" w:color="auto" w:fill="276092"/>
          </w:tcPr>
          <w:p>
            <w:pPr>
              <w:spacing w:after="0"/>
              <w:rPr>
                <w:sz w:val="14"/>
                <w:szCs w:val="14"/>
                <w:color w:val="auto"/>
              </w:rPr>
            </w:pPr>
          </w:p>
        </w:tc>
        <w:tc>
          <w:tcPr>
            <w:tcW w:w="104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76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132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Qualified</w:t>
            </w:r>
          </w:p>
        </w:tc>
        <w:tc>
          <w:tcPr>
            <w:tcW w:w="1300" w:type="dxa"/>
            <w:vAlign w:val="bottom"/>
            <w:shd w:val="clear" w:color="auto" w:fill="276092"/>
          </w:tcPr>
          <w:p>
            <w:pPr>
              <w:spacing w:after="0"/>
              <w:rPr>
                <w:sz w:val="14"/>
                <w:szCs w:val="14"/>
                <w:color w:val="auto"/>
              </w:rPr>
            </w:pPr>
          </w:p>
        </w:tc>
        <w:tc>
          <w:tcPr>
            <w:tcW w:w="104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76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Non-Equity</w:t>
            </w: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Deferred</w:t>
            </w:r>
          </w:p>
        </w:tc>
        <w:tc>
          <w:tcPr>
            <w:tcW w:w="1300" w:type="dxa"/>
            <w:vAlign w:val="bottom"/>
            <w:shd w:val="clear" w:color="auto" w:fill="276092"/>
          </w:tcPr>
          <w:p>
            <w:pPr>
              <w:spacing w:after="0"/>
              <w:rPr>
                <w:sz w:val="14"/>
                <w:szCs w:val="14"/>
                <w:color w:val="auto"/>
              </w:rPr>
            </w:pPr>
          </w:p>
        </w:tc>
        <w:tc>
          <w:tcPr>
            <w:tcW w:w="104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760" w:type="dxa"/>
            <w:vAlign w:val="bottom"/>
            <w:shd w:val="clear" w:color="auto" w:fill="276092"/>
          </w:tcPr>
          <w:p>
            <w:pPr>
              <w:spacing w:after="0"/>
              <w:rPr>
                <w:sz w:val="14"/>
                <w:szCs w:val="14"/>
                <w:color w:val="auto"/>
              </w:rPr>
            </w:pPr>
          </w:p>
        </w:tc>
        <w:tc>
          <w:tcPr>
            <w:tcW w:w="8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Stock</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Compensation</w:t>
            </w:r>
          </w:p>
        </w:tc>
        <w:tc>
          <w:tcPr>
            <w:tcW w:w="13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800" w:type="dxa"/>
            <w:vAlign w:val="bottom"/>
            <w:shd w:val="clear" w:color="auto" w:fill="276092"/>
          </w:tcPr>
          <w:p>
            <w:pPr>
              <w:ind w:left="100"/>
              <w:spacing w:after="0"/>
              <w:rPr>
                <w:sz w:val="20"/>
                <w:szCs w:val="20"/>
                <w:color w:val="auto"/>
              </w:rPr>
            </w:pPr>
            <w:r>
              <w:rPr>
                <w:rFonts w:ascii="Arial" w:cs="Arial" w:eastAsia="Arial" w:hAnsi="Arial"/>
                <w:sz w:val="14"/>
                <w:szCs w:val="14"/>
                <w:b w:val="1"/>
                <w:bCs w:val="1"/>
                <w:color w:val="FFFFFF"/>
              </w:rPr>
              <w:t>Salary (1)</w:t>
            </w:r>
          </w:p>
        </w:tc>
        <w:tc>
          <w:tcPr>
            <w:tcW w:w="760" w:type="dxa"/>
            <w:vAlign w:val="bottom"/>
            <w:shd w:val="clear" w:color="auto" w:fill="276092"/>
          </w:tcPr>
          <w:p>
            <w:pPr>
              <w:ind w:left="40"/>
              <w:spacing w:after="0"/>
              <w:rPr>
                <w:sz w:val="20"/>
                <w:szCs w:val="20"/>
                <w:color w:val="auto"/>
              </w:rPr>
            </w:pPr>
            <w:r>
              <w:rPr>
                <w:rFonts w:ascii="Arial" w:cs="Arial" w:eastAsia="Arial" w:hAnsi="Arial"/>
                <w:sz w:val="14"/>
                <w:szCs w:val="14"/>
                <w:b w:val="1"/>
                <w:bCs w:val="1"/>
                <w:color w:val="FFFFFF"/>
              </w:rPr>
              <w:t>Bonus (2)</w:t>
            </w:r>
          </w:p>
        </w:tc>
        <w:tc>
          <w:tcPr>
            <w:tcW w:w="8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Awards (3)</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Compensation (4)</w:t>
            </w: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Earnings (5)</w:t>
            </w:r>
          </w:p>
        </w:tc>
        <w:tc>
          <w:tcPr>
            <w:tcW w:w="13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Compensation (6)</w:t>
            </w:r>
          </w:p>
        </w:tc>
        <w:tc>
          <w:tcPr>
            <w:tcW w:w="1040" w:type="dxa"/>
            <w:vAlign w:val="bottom"/>
            <w:shd w:val="clear" w:color="auto" w:fill="276092"/>
          </w:tcPr>
          <w:p>
            <w:pPr>
              <w:jc w:val="center"/>
              <w:ind w:right="128"/>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89"/>
        </w:trPr>
        <w:tc>
          <w:tcPr>
            <w:tcW w:w="332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 &amp; Principal Position</w:t>
            </w:r>
          </w:p>
        </w:tc>
        <w:tc>
          <w:tcPr>
            <w:tcW w:w="540" w:type="dxa"/>
            <w:vAlign w:val="bottom"/>
            <w:shd w:val="clear" w:color="auto" w:fill="276092"/>
          </w:tcPr>
          <w:p>
            <w:pPr>
              <w:ind w:left="120"/>
              <w:spacing w:after="0"/>
              <w:rPr>
                <w:sz w:val="20"/>
                <w:szCs w:val="20"/>
                <w:color w:val="auto"/>
              </w:rPr>
            </w:pPr>
            <w:r>
              <w:rPr>
                <w:rFonts w:ascii="Arial" w:cs="Arial" w:eastAsia="Arial" w:hAnsi="Arial"/>
                <w:sz w:val="14"/>
                <w:szCs w:val="14"/>
                <w:b w:val="1"/>
                <w:bCs w:val="1"/>
                <w:color w:val="FFFFFF"/>
              </w:rPr>
              <w:t>Year</w:t>
            </w:r>
          </w:p>
        </w:tc>
        <w:tc>
          <w:tcPr>
            <w:tcW w:w="8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7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13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040" w:type="dxa"/>
            <w:vAlign w:val="bottom"/>
            <w:shd w:val="clear" w:color="auto" w:fill="276092"/>
          </w:tcPr>
          <w:p>
            <w:pPr>
              <w:jc w:val="right"/>
              <w:ind w:right="4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Arial" w:cs="Arial" w:eastAsia="Arial" w:hAnsi="Arial"/>
                <w:sz w:val="14"/>
                <w:szCs w:val="14"/>
                <w:color w:val="auto"/>
              </w:rPr>
              <w:t>Wesley G. Bush</w:t>
            </w:r>
          </w:p>
        </w:tc>
        <w:tc>
          <w:tcPr>
            <w:tcW w:w="540" w:type="dxa"/>
            <w:vAlign w:val="bottom"/>
            <w:shd w:val="clear" w:color="auto" w:fill="BECFDE"/>
          </w:tcPr>
          <w:p>
            <w:pPr>
              <w:ind w:left="120"/>
              <w:spacing w:after="0"/>
              <w:rPr>
                <w:sz w:val="20"/>
                <w:szCs w:val="20"/>
                <w:color w:val="auto"/>
              </w:rPr>
            </w:pPr>
            <w:r>
              <w:rPr>
                <w:rFonts w:ascii="Arial" w:cs="Arial" w:eastAsia="Arial" w:hAnsi="Arial"/>
                <w:sz w:val="14"/>
                <w:szCs w:val="14"/>
                <w:color w:val="auto"/>
              </w:rPr>
              <w:t>2017</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1,548,577</w:t>
            </w:r>
          </w:p>
        </w:tc>
        <w:tc>
          <w:tcPr>
            <w:tcW w:w="7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9,999,969</w:t>
            </w:r>
          </w:p>
        </w:tc>
        <w:tc>
          <w:tcPr>
            <w:tcW w:w="13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3,662,000</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2,733,390</w:t>
            </w:r>
          </w:p>
        </w:tc>
        <w:tc>
          <w:tcPr>
            <w:tcW w:w="13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925,121</w:t>
            </w:r>
          </w:p>
        </w:tc>
        <w:tc>
          <w:tcPr>
            <w:tcW w:w="104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18,869,057</w:t>
            </w:r>
          </w:p>
        </w:tc>
        <w:tc>
          <w:tcPr>
            <w:tcW w:w="0" w:type="dxa"/>
            <w:vAlign w:val="bottom"/>
          </w:tcPr>
          <w:p>
            <w:pPr>
              <w:spacing w:after="0"/>
              <w:rPr>
                <w:sz w:val="1"/>
                <w:szCs w:val="1"/>
                <w:color w:val="auto"/>
              </w:rPr>
            </w:pPr>
          </w:p>
        </w:tc>
      </w:tr>
      <w:tr>
        <w:trPr>
          <w:trHeight w:val="207"/>
        </w:trPr>
        <w:tc>
          <w:tcPr>
            <w:tcW w:w="3320" w:type="dxa"/>
            <w:vAlign w:val="bottom"/>
          </w:tcPr>
          <w:p>
            <w:pPr>
              <w:ind w:left="280"/>
              <w:spacing w:after="0"/>
              <w:rPr>
                <w:sz w:val="20"/>
                <w:szCs w:val="20"/>
                <w:color w:val="auto"/>
              </w:rPr>
            </w:pPr>
            <w:r>
              <w:rPr>
                <w:rFonts w:ascii="Arial" w:cs="Arial" w:eastAsia="Arial" w:hAnsi="Arial"/>
                <w:sz w:val="14"/>
                <w:szCs w:val="14"/>
                <w:color w:val="auto"/>
              </w:rPr>
              <w:t>Chairman, Chief Executive Officer</w:t>
            </w:r>
          </w:p>
        </w:tc>
        <w:tc>
          <w:tcPr>
            <w:tcW w:w="540" w:type="dxa"/>
            <w:vAlign w:val="bottom"/>
          </w:tcPr>
          <w:p>
            <w:pPr>
              <w:ind w:left="120"/>
              <w:spacing w:after="0"/>
              <w:rPr>
                <w:sz w:val="20"/>
                <w:szCs w:val="20"/>
                <w:color w:val="auto"/>
              </w:rPr>
            </w:pPr>
            <w:r>
              <w:rPr>
                <w:rFonts w:ascii="Arial" w:cs="Arial" w:eastAsia="Arial" w:hAnsi="Arial"/>
                <w:sz w:val="14"/>
                <w:szCs w:val="14"/>
                <w:color w:val="auto"/>
              </w:rPr>
              <w:t>2016</w:t>
            </w:r>
          </w:p>
        </w:tc>
        <w:tc>
          <w:tcPr>
            <w:tcW w:w="800" w:type="dxa"/>
            <w:vAlign w:val="bottom"/>
          </w:tcPr>
          <w:p>
            <w:pPr>
              <w:jc w:val="center"/>
              <w:spacing w:after="0"/>
              <w:rPr>
                <w:sz w:val="20"/>
                <w:szCs w:val="20"/>
                <w:color w:val="auto"/>
              </w:rPr>
            </w:pPr>
            <w:r>
              <w:rPr>
                <w:rFonts w:ascii="Arial" w:cs="Arial" w:eastAsia="Arial" w:hAnsi="Arial"/>
                <w:sz w:val="14"/>
                <w:szCs w:val="14"/>
                <w:color w:val="auto"/>
              </w:rPr>
              <w:t>1,530,000</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10,000,072</w:t>
            </w:r>
          </w:p>
        </w:tc>
        <w:tc>
          <w:tcPr>
            <w:tcW w:w="1320" w:type="dxa"/>
            <w:vAlign w:val="bottom"/>
          </w:tcPr>
          <w:p>
            <w:pPr>
              <w:jc w:val="center"/>
              <w:spacing w:after="0"/>
              <w:rPr>
                <w:sz w:val="20"/>
                <w:szCs w:val="20"/>
                <w:color w:val="auto"/>
              </w:rPr>
            </w:pPr>
            <w:r>
              <w:rPr>
                <w:rFonts w:ascii="Arial" w:cs="Arial" w:eastAsia="Arial" w:hAnsi="Arial"/>
                <w:sz w:val="14"/>
                <w:szCs w:val="14"/>
                <w:color w:val="auto"/>
              </w:rPr>
              <w:t>4,406,400</w:t>
            </w:r>
          </w:p>
        </w:tc>
        <w:tc>
          <w:tcPr>
            <w:tcW w:w="1100" w:type="dxa"/>
            <w:vAlign w:val="bottom"/>
          </w:tcPr>
          <w:p>
            <w:pPr>
              <w:jc w:val="center"/>
              <w:spacing w:after="0"/>
              <w:rPr>
                <w:sz w:val="20"/>
                <w:szCs w:val="20"/>
                <w:color w:val="auto"/>
              </w:rPr>
            </w:pPr>
            <w:r>
              <w:rPr>
                <w:rFonts w:ascii="Arial" w:cs="Arial" w:eastAsia="Arial" w:hAnsi="Arial"/>
                <w:sz w:val="14"/>
                <w:szCs w:val="14"/>
                <w:color w:val="auto"/>
              </w:rPr>
              <w:t>3,036,744</w:t>
            </w:r>
          </w:p>
        </w:tc>
        <w:tc>
          <w:tcPr>
            <w:tcW w:w="1300" w:type="dxa"/>
            <w:vAlign w:val="bottom"/>
          </w:tcPr>
          <w:p>
            <w:pPr>
              <w:jc w:val="center"/>
              <w:spacing w:after="0"/>
              <w:rPr>
                <w:sz w:val="20"/>
                <w:szCs w:val="20"/>
                <w:color w:val="auto"/>
              </w:rPr>
            </w:pPr>
            <w:r>
              <w:rPr>
                <w:rFonts w:ascii="Arial" w:cs="Arial" w:eastAsia="Arial" w:hAnsi="Arial"/>
                <w:sz w:val="14"/>
                <w:szCs w:val="14"/>
                <w:color w:val="auto"/>
              </w:rPr>
              <w:t>868,625</w:t>
            </w:r>
          </w:p>
        </w:tc>
        <w:tc>
          <w:tcPr>
            <w:tcW w:w="1040" w:type="dxa"/>
            <w:vAlign w:val="bottom"/>
          </w:tcPr>
          <w:p>
            <w:pPr>
              <w:jc w:val="center"/>
              <w:ind w:right="168"/>
              <w:spacing w:after="0"/>
              <w:rPr>
                <w:sz w:val="20"/>
                <w:szCs w:val="20"/>
                <w:color w:val="auto"/>
              </w:rPr>
            </w:pPr>
            <w:r>
              <w:rPr>
                <w:rFonts w:ascii="Arial" w:cs="Arial" w:eastAsia="Arial" w:hAnsi="Arial"/>
                <w:sz w:val="14"/>
                <w:szCs w:val="14"/>
                <w:color w:val="auto"/>
              </w:rPr>
              <w:t>19,841,841</w:t>
            </w:r>
          </w:p>
        </w:tc>
        <w:tc>
          <w:tcPr>
            <w:tcW w:w="0" w:type="dxa"/>
            <w:vAlign w:val="bottom"/>
          </w:tcPr>
          <w:p>
            <w:pPr>
              <w:spacing w:after="0"/>
              <w:rPr>
                <w:sz w:val="1"/>
                <w:szCs w:val="1"/>
                <w:color w:val="auto"/>
              </w:rPr>
            </w:pPr>
          </w:p>
        </w:tc>
      </w:tr>
      <w:tr>
        <w:trPr>
          <w:trHeight w:val="172"/>
        </w:trPr>
        <w:tc>
          <w:tcPr>
            <w:tcW w:w="3320" w:type="dxa"/>
            <w:vAlign w:val="bottom"/>
          </w:tcPr>
          <w:p>
            <w:pPr>
              <w:ind w:left="280"/>
              <w:spacing w:after="0"/>
              <w:rPr>
                <w:sz w:val="20"/>
                <w:szCs w:val="20"/>
                <w:color w:val="auto"/>
              </w:rPr>
            </w:pPr>
            <w:r>
              <w:rPr>
                <w:rFonts w:ascii="Arial" w:cs="Arial" w:eastAsia="Arial" w:hAnsi="Arial"/>
                <w:sz w:val="14"/>
                <w:szCs w:val="14"/>
                <w:color w:val="auto"/>
              </w:rPr>
              <w:t>and President</w:t>
            </w:r>
          </w:p>
        </w:tc>
        <w:tc>
          <w:tcPr>
            <w:tcW w:w="540" w:type="dxa"/>
            <w:vAlign w:val="bottom"/>
            <w:vMerge w:val="restart"/>
            <w:shd w:val="clear" w:color="auto" w:fill="BECFDE"/>
          </w:tcPr>
          <w:p>
            <w:pPr>
              <w:ind w:left="120"/>
              <w:spacing w:after="0"/>
              <w:rPr>
                <w:sz w:val="20"/>
                <w:szCs w:val="20"/>
                <w:color w:val="auto"/>
              </w:rPr>
            </w:pPr>
            <w:r>
              <w:rPr>
                <w:rFonts w:ascii="Arial" w:cs="Arial" w:eastAsia="Arial" w:hAnsi="Arial"/>
                <w:sz w:val="14"/>
                <w:szCs w:val="14"/>
                <w:color w:val="auto"/>
              </w:rPr>
              <w:t>2015</w:t>
            </w:r>
          </w:p>
        </w:tc>
        <w:tc>
          <w:tcPr>
            <w:tcW w:w="8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1,588,846</w:t>
            </w:r>
          </w:p>
        </w:tc>
        <w:tc>
          <w:tcPr>
            <w:tcW w:w="76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10,000,018</w:t>
            </w:r>
          </w:p>
        </w:tc>
        <w:tc>
          <w:tcPr>
            <w:tcW w:w="13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3,304,800</w:t>
            </w:r>
          </w:p>
        </w:tc>
        <w:tc>
          <w:tcPr>
            <w:tcW w:w="11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901,958</w:t>
            </w:r>
          </w:p>
        </w:tc>
        <w:tc>
          <w:tcPr>
            <w:tcW w:w="1040" w:type="dxa"/>
            <w:vAlign w:val="bottom"/>
            <w:vMerge w:val="restart"/>
            <w:shd w:val="clear" w:color="auto" w:fill="BECFDE"/>
          </w:tcPr>
          <w:p>
            <w:pPr>
              <w:jc w:val="center"/>
              <w:ind w:right="168"/>
              <w:spacing w:after="0"/>
              <w:rPr>
                <w:sz w:val="20"/>
                <w:szCs w:val="20"/>
                <w:color w:val="auto"/>
              </w:rPr>
            </w:pPr>
            <w:r>
              <w:rPr>
                <w:rFonts w:ascii="Arial" w:cs="Arial" w:eastAsia="Arial" w:hAnsi="Arial"/>
                <w:sz w:val="14"/>
                <w:szCs w:val="14"/>
                <w:color w:val="auto"/>
              </w:rPr>
              <w:t>15,795,622</w:t>
            </w:r>
          </w:p>
        </w:tc>
        <w:tc>
          <w:tcPr>
            <w:tcW w:w="0" w:type="dxa"/>
            <w:vAlign w:val="bottom"/>
          </w:tcPr>
          <w:p>
            <w:pPr>
              <w:spacing w:after="0"/>
              <w:rPr>
                <w:sz w:val="1"/>
                <w:szCs w:val="1"/>
                <w:color w:val="auto"/>
              </w:rPr>
            </w:pPr>
          </w:p>
        </w:tc>
      </w:tr>
      <w:tr>
        <w:trPr>
          <w:trHeight w:val="53"/>
        </w:trPr>
        <w:tc>
          <w:tcPr>
            <w:tcW w:w="3320" w:type="dxa"/>
            <w:vAlign w:val="bottom"/>
            <w:tcBorders>
              <w:bottom w:val="single" w:sz="8" w:color="276092"/>
            </w:tcBorders>
          </w:tcPr>
          <w:p>
            <w:pPr>
              <w:spacing w:after="0"/>
              <w:rPr>
                <w:sz w:val="4"/>
                <w:szCs w:val="4"/>
                <w:color w:val="auto"/>
              </w:rPr>
            </w:pPr>
          </w:p>
        </w:tc>
        <w:tc>
          <w:tcPr>
            <w:tcW w:w="540" w:type="dxa"/>
            <w:vAlign w:val="bottom"/>
            <w:tcBorders>
              <w:bottom w:val="single" w:sz="8" w:color="276092"/>
            </w:tcBorders>
            <w:vMerge w:val="continue"/>
            <w:shd w:val="clear" w:color="auto" w:fill="BECFDE"/>
          </w:tcPr>
          <w:p>
            <w:pPr>
              <w:spacing w:after="0"/>
              <w:rPr>
                <w:sz w:val="4"/>
                <w:szCs w:val="4"/>
                <w:color w:val="auto"/>
              </w:rPr>
            </w:pPr>
          </w:p>
        </w:tc>
        <w:tc>
          <w:tcPr>
            <w:tcW w:w="800" w:type="dxa"/>
            <w:vAlign w:val="bottom"/>
            <w:tcBorders>
              <w:bottom w:val="single" w:sz="8" w:color="276092"/>
            </w:tcBorders>
            <w:vMerge w:val="continue"/>
            <w:shd w:val="clear" w:color="auto" w:fill="BECFDE"/>
          </w:tcPr>
          <w:p>
            <w:pPr>
              <w:spacing w:after="0"/>
              <w:rPr>
                <w:sz w:val="4"/>
                <w:szCs w:val="4"/>
                <w:color w:val="auto"/>
              </w:rPr>
            </w:pPr>
          </w:p>
        </w:tc>
        <w:tc>
          <w:tcPr>
            <w:tcW w:w="760" w:type="dxa"/>
            <w:vAlign w:val="bottom"/>
            <w:tcBorders>
              <w:bottom w:val="single" w:sz="8" w:color="276092"/>
            </w:tcBorders>
            <w:vMerge w:val="continue"/>
            <w:shd w:val="clear" w:color="auto" w:fill="BECFDE"/>
          </w:tcPr>
          <w:p>
            <w:pPr>
              <w:spacing w:after="0"/>
              <w:rPr>
                <w:sz w:val="4"/>
                <w:szCs w:val="4"/>
                <w:color w:val="auto"/>
              </w:rPr>
            </w:pPr>
          </w:p>
        </w:tc>
        <w:tc>
          <w:tcPr>
            <w:tcW w:w="840" w:type="dxa"/>
            <w:vAlign w:val="bottom"/>
            <w:tcBorders>
              <w:bottom w:val="single" w:sz="8" w:color="276092"/>
            </w:tcBorders>
            <w:vMerge w:val="continue"/>
            <w:shd w:val="clear" w:color="auto" w:fill="BECFDE"/>
          </w:tcPr>
          <w:p>
            <w:pPr>
              <w:spacing w:after="0"/>
              <w:rPr>
                <w:sz w:val="4"/>
                <w:szCs w:val="4"/>
                <w:color w:val="auto"/>
              </w:rPr>
            </w:pPr>
          </w:p>
        </w:tc>
        <w:tc>
          <w:tcPr>
            <w:tcW w:w="1320" w:type="dxa"/>
            <w:vAlign w:val="bottom"/>
            <w:tcBorders>
              <w:bottom w:val="single" w:sz="8" w:color="276092"/>
            </w:tcBorders>
            <w:vMerge w:val="continue"/>
            <w:shd w:val="clear" w:color="auto" w:fill="BECFDE"/>
          </w:tcPr>
          <w:p>
            <w:pPr>
              <w:spacing w:after="0"/>
              <w:rPr>
                <w:sz w:val="4"/>
                <w:szCs w:val="4"/>
                <w:color w:val="auto"/>
              </w:rPr>
            </w:pPr>
          </w:p>
        </w:tc>
        <w:tc>
          <w:tcPr>
            <w:tcW w:w="1100" w:type="dxa"/>
            <w:vAlign w:val="bottom"/>
            <w:tcBorders>
              <w:bottom w:val="single" w:sz="8" w:color="276092"/>
            </w:tcBorders>
            <w:vMerge w:val="continue"/>
            <w:shd w:val="clear" w:color="auto" w:fill="BECFDE"/>
          </w:tcPr>
          <w:p>
            <w:pPr>
              <w:spacing w:after="0"/>
              <w:rPr>
                <w:sz w:val="4"/>
                <w:szCs w:val="4"/>
                <w:color w:val="auto"/>
              </w:rPr>
            </w:pPr>
          </w:p>
        </w:tc>
        <w:tc>
          <w:tcPr>
            <w:tcW w:w="1300" w:type="dxa"/>
            <w:vAlign w:val="bottom"/>
            <w:tcBorders>
              <w:bottom w:val="single" w:sz="8" w:color="276092"/>
            </w:tcBorders>
            <w:vMerge w:val="continue"/>
            <w:shd w:val="clear" w:color="auto" w:fill="BECFDE"/>
          </w:tcPr>
          <w:p>
            <w:pPr>
              <w:spacing w:after="0"/>
              <w:rPr>
                <w:sz w:val="4"/>
                <w:szCs w:val="4"/>
                <w:color w:val="auto"/>
              </w:rPr>
            </w:pPr>
          </w:p>
        </w:tc>
        <w:tc>
          <w:tcPr>
            <w:tcW w:w="1040" w:type="dxa"/>
            <w:vAlign w:val="bottom"/>
            <w:tcBorders>
              <w:bottom w:val="single" w:sz="8" w:color="276092"/>
            </w:tcBorders>
            <w:vMerge w:val="continue"/>
            <w:shd w:val="clear" w:color="auto" w:fill="BECFD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60"/>
              <w:spacing w:after="0"/>
              <w:rPr>
                <w:sz w:val="20"/>
                <w:szCs w:val="20"/>
                <w:color w:val="auto"/>
              </w:rPr>
            </w:pPr>
            <w:r>
              <w:rPr>
                <w:rFonts w:ascii="Arial" w:cs="Arial" w:eastAsia="Arial" w:hAnsi="Arial"/>
                <w:sz w:val="14"/>
                <w:szCs w:val="14"/>
                <w:color w:val="auto"/>
              </w:rPr>
              <w:t>Kenneth L. Bedingfield</w:t>
            </w:r>
          </w:p>
        </w:tc>
        <w:tc>
          <w:tcPr>
            <w:tcW w:w="540" w:type="dxa"/>
            <w:vAlign w:val="bottom"/>
          </w:tcPr>
          <w:p>
            <w:pPr>
              <w:ind w:left="120"/>
              <w:spacing w:after="0"/>
              <w:rPr>
                <w:sz w:val="20"/>
                <w:szCs w:val="20"/>
                <w:color w:val="auto"/>
              </w:rPr>
            </w:pPr>
            <w:r>
              <w:rPr>
                <w:rFonts w:ascii="Arial" w:cs="Arial" w:eastAsia="Arial" w:hAnsi="Arial"/>
                <w:sz w:val="14"/>
                <w:szCs w:val="14"/>
                <w:color w:val="auto"/>
              </w:rPr>
              <w:t>2017</w:t>
            </w:r>
          </w:p>
        </w:tc>
        <w:tc>
          <w:tcPr>
            <w:tcW w:w="800" w:type="dxa"/>
            <w:vAlign w:val="bottom"/>
          </w:tcPr>
          <w:p>
            <w:pPr>
              <w:jc w:val="center"/>
              <w:spacing w:after="0"/>
              <w:rPr>
                <w:sz w:val="20"/>
                <w:szCs w:val="20"/>
                <w:color w:val="auto"/>
              </w:rPr>
            </w:pPr>
            <w:r>
              <w:rPr>
                <w:rFonts w:ascii="Arial" w:cs="Arial" w:eastAsia="Arial" w:hAnsi="Arial"/>
                <w:sz w:val="14"/>
                <w:szCs w:val="14"/>
                <w:color w:val="auto"/>
              </w:rPr>
              <w:t>790,192</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3,250,106</w:t>
            </w:r>
          </w:p>
        </w:tc>
        <w:tc>
          <w:tcPr>
            <w:tcW w:w="1320" w:type="dxa"/>
            <w:vAlign w:val="bottom"/>
          </w:tcPr>
          <w:p>
            <w:pPr>
              <w:jc w:val="center"/>
              <w:spacing w:after="0"/>
              <w:rPr>
                <w:sz w:val="20"/>
                <w:szCs w:val="20"/>
                <w:color w:val="auto"/>
              </w:rPr>
            </w:pPr>
            <w:r>
              <w:rPr>
                <w:rFonts w:ascii="Arial" w:cs="Arial" w:eastAsia="Arial" w:hAnsi="Arial"/>
                <w:sz w:val="14"/>
                <w:szCs w:val="14"/>
                <w:color w:val="auto"/>
              </w:rPr>
              <w:t>1,041,000</w:t>
            </w: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351,426</w:t>
            </w:r>
          </w:p>
        </w:tc>
        <w:tc>
          <w:tcPr>
            <w:tcW w:w="1040" w:type="dxa"/>
            <w:vAlign w:val="bottom"/>
          </w:tcPr>
          <w:p>
            <w:pPr>
              <w:jc w:val="center"/>
              <w:ind w:right="168"/>
              <w:spacing w:after="0"/>
              <w:rPr>
                <w:sz w:val="20"/>
                <w:szCs w:val="20"/>
                <w:color w:val="auto"/>
              </w:rPr>
            </w:pPr>
            <w:r>
              <w:rPr>
                <w:rFonts w:ascii="Arial" w:cs="Arial" w:eastAsia="Arial" w:hAnsi="Arial"/>
                <w:sz w:val="14"/>
                <w:szCs w:val="14"/>
                <w:color w:val="auto"/>
              </w:rPr>
              <w:t>5,432,724</w:t>
            </w:r>
          </w:p>
        </w:tc>
        <w:tc>
          <w:tcPr>
            <w:tcW w:w="0" w:type="dxa"/>
            <w:vAlign w:val="bottom"/>
          </w:tcPr>
          <w:p>
            <w:pPr>
              <w:spacing w:after="0"/>
              <w:rPr>
                <w:sz w:val="1"/>
                <w:szCs w:val="1"/>
                <w:color w:val="auto"/>
              </w:rPr>
            </w:pPr>
          </w:p>
        </w:tc>
      </w:tr>
      <w:tr>
        <w:trPr>
          <w:trHeight w:val="216"/>
        </w:trPr>
        <w:tc>
          <w:tcPr>
            <w:tcW w:w="3320" w:type="dxa"/>
            <w:vAlign w:val="bottom"/>
          </w:tcPr>
          <w:p>
            <w:pPr>
              <w:ind w:left="280"/>
              <w:spacing w:after="0"/>
              <w:rPr>
                <w:sz w:val="20"/>
                <w:szCs w:val="20"/>
                <w:color w:val="auto"/>
              </w:rPr>
            </w:pPr>
            <w:r>
              <w:rPr>
                <w:rFonts w:ascii="Arial" w:cs="Arial" w:eastAsia="Arial" w:hAnsi="Arial"/>
                <w:sz w:val="14"/>
                <w:szCs w:val="14"/>
                <w:color w:val="auto"/>
              </w:rPr>
              <w:t>Corporate Vice President and</w:t>
            </w:r>
          </w:p>
        </w:tc>
        <w:tc>
          <w:tcPr>
            <w:tcW w:w="540" w:type="dxa"/>
            <w:vAlign w:val="bottom"/>
            <w:shd w:val="clear" w:color="auto" w:fill="BECFDE"/>
          </w:tcPr>
          <w:p>
            <w:pPr>
              <w:ind w:left="120"/>
              <w:spacing w:after="0"/>
              <w:rPr>
                <w:sz w:val="20"/>
                <w:szCs w:val="20"/>
                <w:color w:val="auto"/>
              </w:rPr>
            </w:pPr>
            <w:r>
              <w:rPr>
                <w:rFonts w:ascii="Arial" w:cs="Arial" w:eastAsia="Arial" w:hAnsi="Arial"/>
                <w:sz w:val="14"/>
                <w:szCs w:val="14"/>
                <w:color w:val="auto"/>
              </w:rPr>
              <w:t>2016</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756,539</w:t>
            </w:r>
          </w:p>
        </w:tc>
        <w:tc>
          <w:tcPr>
            <w:tcW w:w="7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2,999,980</w:t>
            </w:r>
          </w:p>
        </w:tc>
        <w:tc>
          <w:tcPr>
            <w:tcW w:w="13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1,232,000</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314,724</w:t>
            </w:r>
          </w:p>
        </w:tc>
        <w:tc>
          <w:tcPr>
            <w:tcW w:w="104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5,303,243</w:t>
            </w:r>
          </w:p>
        </w:tc>
        <w:tc>
          <w:tcPr>
            <w:tcW w:w="0" w:type="dxa"/>
            <w:vAlign w:val="bottom"/>
          </w:tcPr>
          <w:p>
            <w:pPr>
              <w:spacing w:after="0"/>
              <w:rPr>
                <w:sz w:val="1"/>
                <w:szCs w:val="1"/>
                <w:color w:val="auto"/>
              </w:rPr>
            </w:pPr>
          </w:p>
        </w:tc>
      </w:tr>
      <w:tr>
        <w:trPr>
          <w:trHeight w:val="164"/>
        </w:trPr>
        <w:tc>
          <w:tcPr>
            <w:tcW w:w="3320" w:type="dxa"/>
            <w:vAlign w:val="bottom"/>
          </w:tcPr>
          <w:p>
            <w:pPr>
              <w:ind w:left="280"/>
              <w:spacing w:after="0"/>
              <w:rPr>
                <w:sz w:val="20"/>
                <w:szCs w:val="20"/>
                <w:color w:val="auto"/>
              </w:rPr>
            </w:pPr>
            <w:r>
              <w:rPr>
                <w:rFonts w:ascii="Arial" w:cs="Arial" w:eastAsia="Arial" w:hAnsi="Arial"/>
                <w:sz w:val="14"/>
                <w:szCs w:val="14"/>
                <w:color w:val="auto"/>
              </w:rPr>
              <w:t>Chief Financial Officer</w:t>
            </w:r>
          </w:p>
        </w:tc>
        <w:tc>
          <w:tcPr>
            <w:tcW w:w="540" w:type="dxa"/>
            <w:vAlign w:val="bottom"/>
            <w:vMerge w:val="restart"/>
          </w:tcPr>
          <w:p>
            <w:pPr>
              <w:ind w:left="120"/>
              <w:spacing w:after="0"/>
              <w:rPr>
                <w:sz w:val="20"/>
                <w:szCs w:val="20"/>
                <w:color w:val="auto"/>
              </w:rPr>
            </w:pPr>
            <w:r>
              <w:rPr>
                <w:rFonts w:ascii="Arial" w:cs="Arial" w:eastAsia="Arial" w:hAnsi="Arial"/>
                <w:sz w:val="14"/>
                <w:szCs w:val="14"/>
                <w:color w:val="auto"/>
              </w:rPr>
              <w:t>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685,077</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3,000,092</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840,000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rPr>
              <w:t>196,798</w:t>
            </w:r>
          </w:p>
        </w:tc>
        <w:tc>
          <w:tcPr>
            <w:tcW w:w="1040" w:type="dxa"/>
            <w:vAlign w:val="bottom"/>
            <w:vMerge w:val="restart"/>
          </w:tcPr>
          <w:p>
            <w:pPr>
              <w:jc w:val="center"/>
              <w:ind w:right="168"/>
              <w:spacing w:after="0"/>
              <w:rPr>
                <w:sz w:val="20"/>
                <w:szCs w:val="20"/>
                <w:color w:val="auto"/>
              </w:rPr>
            </w:pPr>
            <w:r>
              <w:rPr>
                <w:rFonts w:ascii="Arial" w:cs="Arial" w:eastAsia="Arial" w:hAnsi="Arial"/>
                <w:sz w:val="14"/>
                <w:szCs w:val="14"/>
                <w:color w:val="auto"/>
              </w:rPr>
              <w:t>4,721,967</w:t>
            </w:r>
          </w:p>
        </w:tc>
        <w:tc>
          <w:tcPr>
            <w:tcW w:w="0" w:type="dxa"/>
            <w:vAlign w:val="bottom"/>
          </w:tcPr>
          <w:p>
            <w:pPr>
              <w:spacing w:after="0"/>
              <w:rPr>
                <w:sz w:val="1"/>
                <w:szCs w:val="1"/>
                <w:color w:val="auto"/>
              </w:rPr>
            </w:pPr>
          </w:p>
        </w:tc>
      </w:tr>
      <w:tr>
        <w:trPr>
          <w:trHeight w:val="53"/>
        </w:trPr>
        <w:tc>
          <w:tcPr>
            <w:tcW w:w="3320" w:type="dxa"/>
            <w:vAlign w:val="bottom"/>
            <w:tcBorders>
              <w:bottom w:val="single" w:sz="8" w:color="276092"/>
            </w:tcBorders>
          </w:tcPr>
          <w:p>
            <w:pPr>
              <w:spacing w:after="0"/>
              <w:rPr>
                <w:sz w:val="4"/>
                <w:szCs w:val="4"/>
                <w:color w:val="auto"/>
              </w:rPr>
            </w:pPr>
          </w:p>
        </w:tc>
        <w:tc>
          <w:tcPr>
            <w:tcW w:w="540" w:type="dxa"/>
            <w:vAlign w:val="bottom"/>
            <w:tcBorders>
              <w:bottom w:val="single" w:sz="8" w:color="276092"/>
            </w:tcBorders>
            <w:vMerge w:val="continue"/>
          </w:tcPr>
          <w:p>
            <w:pPr>
              <w:spacing w:after="0"/>
              <w:rPr>
                <w:sz w:val="4"/>
                <w:szCs w:val="4"/>
                <w:color w:val="auto"/>
              </w:rPr>
            </w:pPr>
          </w:p>
        </w:tc>
        <w:tc>
          <w:tcPr>
            <w:tcW w:w="800" w:type="dxa"/>
            <w:vAlign w:val="bottom"/>
            <w:tcBorders>
              <w:bottom w:val="single" w:sz="8" w:color="276092"/>
            </w:tcBorders>
            <w:vMerge w:val="continue"/>
          </w:tcPr>
          <w:p>
            <w:pPr>
              <w:spacing w:after="0"/>
              <w:rPr>
                <w:sz w:val="4"/>
                <w:szCs w:val="4"/>
                <w:color w:val="auto"/>
              </w:rPr>
            </w:pPr>
          </w:p>
        </w:tc>
        <w:tc>
          <w:tcPr>
            <w:tcW w:w="760" w:type="dxa"/>
            <w:vAlign w:val="bottom"/>
            <w:tcBorders>
              <w:bottom w:val="single" w:sz="8" w:color="276092"/>
            </w:tcBorders>
            <w:vMerge w:val="continue"/>
          </w:tcPr>
          <w:p>
            <w:pPr>
              <w:spacing w:after="0"/>
              <w:rPr>
                <w:sz w:val="4"/>
                <w:szCs w:val="4"/>
                <w:color w:val="auto"/>
              </w:rPr>
            </w:pPr>
          </w:p>
        </w:tc>
        <w:tc>
          <w:tcPr>
            <w:tcW w:w="840" w:type="dxa"/>
            <w:vAlign w:val="bottom"/>
            <w:tcBorders>
              <w:bottom w:val="single" w:sz="8" w:color="276092"/>
            </w:tcBorders>
            <w:vMerge w:val="continue"/>
          </w:tcPr>
          <w:p>
            <w:pPr>
              <w:spacing w:after="0"/>
              <w:rPr>
                <w:sz w:val="4"/>
                <w:szCs w:val="4"/>
                <w:color w:val="auto"/>
              </w:rPr>
            </w:pPr>
          </w:p>
        </w:tc>
        <w:tc>
          <w:tcPr>
            <w:tcW w:w="1320" w:type="dxa"/>
            <w:vAlign w:val="bottom"/>
            <w:tcBorders>
              <w:bottom w:val="single" w:sz="8" w:color="276092"/>
            </w:tcBorders>
            <w:vMerge w:val="continue"/>
          </w:tcPr>
          <w:p>
            <w:pPr>
              <w:spacing w:after="0"/>
              <w:rPr>
                <w:sz w:val="4"/>
                <w:szCs w:val="4"/>
                <w:color w:val="auto"/>
              </w:rPr>
            </w:pPr>
          </w:p>
        </w:tc>
        <w:tc>
          <w:tcPr>
            <w:tcW w:w="1100" w:type="dxa"/>
            <w:vAlign w:val="bottom"/>
            <w:tcBorders>
              <w:bottom w:val="single" w:sz="8" w:color="276092"/>
            </w:tcBorders>
            <w:vMerge w:val="continue"/>
          </w:tcPr>
          <w:p>
            <w:pPr>
              <w:spacing w:after="0"/>
              <w:rPr>
                <w:sz w:val="4"/>
                <w:szCs w:val="4"/>
                <w:color w:val="auto"/>
              </w:rPr>
            </w:pPr>
          </w:p>
        </w:tc>
        <w:tc>
          <w:tcPr>
            <w:tcW w:w="1300" w:type="dxa"/>
            <w:vAlign w:val="bottom"/>
            <w:tcBorders>
              <w:bottom w:val="single" w:sz="8" w:color="276092"/>
            </w:tcBorders>
            <w:vMerge w:val="continue"/>
          </w:tcPr>
          <w:p>
            <w:pPr>
              <w:spacing w:after="0"/>
              <w:rPr>
                <w:sz w:val="4"/>
                <w:szCs w:val="4"/>
                <w:color w:val="auto"/>
              </w:rPr>
            </w:pPr>
          </w:p>
        </w:tc>
        <w:tc>
          <w:tcPr>
            <w:tcW w:w="1040" w:type="dxa"/>
            <w:vAlign w:val="bottom"/>
            <w:tcBorders>
              <w:bottom w:val="single" w:sz="8" w:color="27609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60"/>
              <w:spacing w:after="0"/>
              <w:rPr>
                <w:sz w:val="20"/>
                <w:szCs w:val="20"/>
                <w:color w:val="auto"/>
              </w:rPr>
            </w:pPr>
            <w:r>
              <w:rPr>
                <w:rFonts w:ascii="Arial" w:cs="Arial" w:eastAsia="Arial" w:hAnsi="Arial"/>
                <w:sz w:val="14"/>
                <w:szCs w:val="14"/>
                <w:color w:val="auto"/>
              </w:rPr>
              <w:t>Gloria A. Flach (7)</w:t>
            </w:r>
          </w:p>
        </w:tc>
        <w:tc>
          <w:tcPr>
            <w:tcW w:w="540" w:type="dxa"/>
            <w:vAlign w:val="bottom"/>
            <w:shd w:val="clear" w:color="auto" w:fill="BECFDE"/>
          </w:tcPr>
          <w:p>
            <w:pPr>
              <w:ind w:left="120"/>
              <w:spacing w:after="0"/>
              <w:rPr>
                <w:sz w:val="20"/>
                <w:szCs w:val="20"/>
                <w:color w:val="auto"/>
              </w:rPr>
            </w:pPr>
            <w:r>
              <w:rPr>
                <w:rFonts w:ascii="Arial" w:cs="Arial" w:eastAsia="Arial" w:hAnsi="Arial"/>
                <w:sz w:val="14"/>
                <w:szCs w:val="14"/>
                <w:color w:val="auto"/>
              </w:rPr>
              <w:t>2017</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807,116</w:t>
            </w:r>
          </w:p>
        </w:tc>
        <w:tc>
          <w:tcPr>
            <w:tcW w:w="7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3,499,993</w:t>
            </w:r>
          </w:p>
        </w:tc>
        <w:tc>
          <w:tcPr>
            <w:tcW w:w="13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1,061,000</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184,922</w:t>
            </w:r>
          </w:p>
        </w:tc>
        <w:tc>
          <w:tcPr>
            <w:tcW w:w="104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5,553,031</w:t>
            </w:r>
          </w:p>
        </w:tc>
        <w:tc>
          <w:tcPr>
            <w:tcW w:w="0" w:type="dxa"/>
            <w:vAlign w:val="bottom"/>
          </w:tcPr>
          <w:p>
            <w:pPr>
              <w:spacing w:after="0"/>
              <w:rPr>
                <w:sz w:val="1"/>
                <w:szCs w:val="1"/>
                <w:color w:val="auto"/>
              </w:rPr>
            </w:pPr>
          </w:p>
        </w:tc>
      </w:tr>
      <w:tr>
        <w:trPr>
          <w:trHeight w:val="207"/>
        </w:trPr>
        <w:tc>
          <w:tcPr>
            <w:tcW w:w="3320" w:type="dxa"/>
            <w:vAlign w:val="bottom"/>
          </w:tcPr>
          <w:p>
            <w:pPr>
              <w:ind w:left="280"/>
              <w:spacing w:after="0"/>
              <w:rPr>
                <w:sz w:val="20"/>
                <w:szCs w:val="20"/>
                <w:color w:val="auto"/>
              </w:rPr>
            </w:pPr>
            <w:r>
              <w:rPr>
                <w:rFonts w:ascii="Arial" w:cs="Arial" w:eastAsia="Arial" w:hAnsi="Arial"/>
                <w:sz w:val="14"/>
                <w:szCs w:val="14"/>
                <w:color w:val="auto"/>
              </w:rPr>
              <w:t>Corporate Vice President and</w:t>
            </w:r>
          </w:p>
        </w:tc>
        <w:tc>
          <w:tcPr>
            <w:tcW w:w="540" w:type="dxa"/>
            <w:vAlign w:val="bottom"/>
          </w:tcPr>
          <w:p>
            <w:pPr>
              <w:ind w:left="120"/>
              <w:spacing w:after="0"/>
              <w:rPr>
                <w:sz w:val="20"/>
                <w:szCs w:val="20"/>
                <w:color w:val="auto"/>
              </w:rPr>
            </w:pPr>
            <w:r>
              <w:rPr>
                <w:rFonts w:ascii="Arial" w:cs="Arial" w:eastAsia="Arial" w:hAnsi="Arial"/>
                <w:sz w:val="14"/>
                <w:szCs w:val="14"/>
                <w:color w:val="auto"/>
              </w:rPr>
              <w:t>2016</w:t>
            </w:r>
          </w:p>
        </w:tc>
        <w:tc>
          <w:tcPr>
            <w:tcW w:w="800" w:type="dxa"/>
            <w:vAlign w:val="bottom"/>
          </w:tcPr>
          <w:p>
            <w:pPr>
              <w:jc w:val="center"/>
              <w:spacing w:after="0"/>
              <w:rPr>
                <w:sz w:val="20"/>
                <w:szCs w:val="20"/>
                <w:color w:val="auto"/>
              </w:rPr>
            </w:pPr>
            <w:r>
              <w:rPr>
                <w:rFonts w:ascii="Arial" w:cs="Arial" w:eastAsia="Arial" w:hAnsi="Arial"/>
                <w:sz w:val="14"/>
                <w:szCs w:val="14"/>
                <w:color w:val="auto"/>
              </w:rPr>
              <w:t>792,116</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3,499,856</w:t>
            </w:r>
          </w:p>
        </w:tc>
        <w:tc>
          <w:tcPr>
            <w:tcW w:w="1320" w:type="dxa"/>
            <w:vAlign w:val="bottom"/>
          </w:tcPr>
          <w:p>
            <w:pPr>
              <w:jc w:val="center"/>
              <w:spacing w:after="0"/>
              <w:rPr>
                <w:sz w:val="20"/>
                <w:szCs w:val="20"/>
                <w:color w:val="auto"/>
              </w:rPr>
            </w:pPr>
            <w:r>
              <w:rPr>
                <w:rFonts w:ascii="Arial" w:cs="Arial" w:eastAsia="Arial" w:hAnsi="Arial"/>
                <w:sz w:val="14"/>
                <w:szCs w:val="14"/>
                <w:color w:val="auto"/>
              </w:rPr>
              <w:t>1,272,000</w:t>
            </w:r>
          </w:p>
        </w:tc>
        <w:tc>
          <w:tcPr>
            <w:tcW w:w="1100" w:type="dxa"/>
            <w:vAlign w:val="bottom"/>
          </w:tcPr>
          <w:p>
            <w:pPr>
              <w:jc w:val="center"/>
              <w:spacing w:after="0"/>
              <w:rPr>
                <w:sz w:val="20"/>
                <w:szCs w:val="20"/>
                <w:color w:val="auto"/>
              </w:rPr>
            </w:pPr>
            <w:r>
              <w:rPr>
                <w:rFonts w:ascii="Arial" w:cs="Arial" w:eastAsia="Arial" w:hAnsi="Arial"/>
                <w:sz w:val="14"/>
                <w:szCs w:val="14"/>
                <w:color w:val="auto"/>
              </w:rPr>
              <w:t>995,033</w:t>
            </w:r>
          </w:p>
        </w:tc>
        <w:tc>
          <w:tcPr>
            <w:tcW w:w="1300" w:type="dxa"/>
            <w:vAlign w:val="bottom"/>
          </w:tcPr>
          <w:p>
            <w:pPr>
              <w:jc w:val="center"/>
              <w:spacing w:after="0"/>
              <w:rPr>
                <w:sz w:val="20"/>
                <w:szCs w:val="20"/>
                <w:color w:val="auto"/>
              </w:rPr>
            </w:pPr>
            <w:r>
              <w:rPr>
                <w:rFonts w:ascii="Arial" w:cs="Arial" w:eastAsia="Arial" w:hAnsi="Arial"/>
                <w:sz w:val="14"/>
                <w:szCs w:val="14"/>
                <w:color w:val="auto"/>
              </w:rPr>
              <w:t>159,738</w:t>
            </w:r>
          </w:p>
        </w:tc>
        <w:tc>
          <w:tcPr>
            <w:tcW w:w="1040" w:type="dxa"/>
            <w:vAlign w:val="bottom"/>
          </w:tcPr>
          <w:p>
            <w:pPr>
              <w:jc w:val="center"/>
              <w:ind w:right="168"/>
              <w:spacing w:after="0"/>
              <w:rPr>
                <w:sz w:val="20"/>
                <w:szCs w:val="20"/>
                <w:color w:val="auto"/>
              </w:rPr>
            </w:pPr>
            <w:r>
              <w:rPr>
                <w:rFonts w:ascii="Arial" w:cs="Arial" w:eastAsia="Arial" w:hAnsi="Arial"/>
                <w:sz w:val="14"/>
                <w:szCs w:val="14"/>
                <w:color w:val="auto"/>
              </w:rPr>
              <w:t>6,718,743</w:t>
            </w:r>
          </w:p>
        </w:tc>
        <w:tc>
          <w:tcPr>
            <w:tcW w:w="0" w:type="dxa"/>
            <w:vAlign w:val="bottom"/>
          </w:tcPr>
          <w:p>
            <w:pPr>
              <w:spacing w:after="0"/>
              <w:rPr>
                <w:sz w:val="1"/>
                <w:szCs w:val="1"/>
                <w:color w:val="auto"/>
              </w:rPr>
            </w:pPr>
          </w:p>
        </w:tc>
      </w:tr>
      <w:tr>
        <w:trPr>
          <w:trHeight w:val="172"/>
        </w:trPr>
        <w:tc>
          <w:tcPr>
            <w:tcW w:w="3320" w:type="dxa"/>
            <w:vAlign w:val="bottom"/>
          </w:tcPr>
          <w:p>
            <w:pPr>
              <w:ind w:left="280"/>
              <w:spacing w:after="0"/>
              <w:rPr>
                <w:sz w:val="20"/>
                <w:szCs w:val="20"/>
                <w:color w:val="auto"/>
              </w:rPr>
            </w:pPr>
            <w:r>
              <w:rPr>
                <w:rFonts w:ascii="Arial" w:cs="Arial" w:eastAsia="Arial" w:hAnsi="Arial"/>
                <w:sz w:val="14"/>
                <w:szCs w:val="14"/>
                <w:color w:val="auto"/>
              </w:rPr>
              <w:t>Chief Operating Officer</w:t>
            </w:r>
          </w:p>
        </w:tc>
        <w:tc>
          <w:tcPr>
            <w:tcW w:w="540" w:type="dxa"/>
            <w:vAlign w:val="bottom"/>
            <w:vMerge w:val="restart"/>
            <w:shd w:val="clear" w:color="auto" w:fill="BECFDE"/>
          </w:tcPr>
          <w:p>
            <w:pPr>
              <w:ind w:left="120"/>
              <w:spacing w:after="0"/>
              <w:rPr>
                <w:sz w:val="20"/>
                <w:szCs w:val="20"/>
                <w:color w:val="auto"/>
              </w:rPr>
            </w:pPr>
            <w:r>
              <w:rPr>
                <w:rFonts w:ascii="Arial" w:cs="Arial" w:eastAsia="Arial" w:hAnsi="Arial"/>
                <w:sz w:val="14"/>
                <w:szCs w:val="14"/>
                <w:color w:val="auto"/>
              </w:rPr>
              <w:t>2015</w:t>
            </w:r>
          </w:p>
        </w:tc>
        <w:tc>
          <w:tcPr>
            <w:tcW w:w="8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806,538</w:t>
            </w:r>
          </w:p>
        </w:tc>
        <w:tc>
          <w:tcPr>
            <w:tcW w:w="76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3,500,083</w:t>
            </w:r>
          </w:p>
        </w:tc>
        <w:tc>
          <w:tcPr>
            <w:tcW w:w="13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936,000</w:t>
            </w:r>
          </w:p>
        </w:tc>
        <w:tc>
          <w:tcPr>
            <w:tcW w:w="11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357,219</w:t>
            </w:r>
          </w:p>
        </w:tc>
        <w:tc>
          <w:tcPr>
            <w:tcW w:w="1040" w:type="dxa"/>
            <w:vAlign w:val="bottom"/>
            <w:vMerge w:val="restart"/>
            <w:shd w:val="clear" w:color="auto" w:fill="BECFDE"/>
          </w:tcPr>
          <w:p>
            <w:pPr>
              <w:jc w:val="center"/>
              <w:ind w:right="168"/>
              <w:spacing w:after="0"/>
              <w:rPr>
                <w:sz w:val="20"/>
                <w:szCs w:val="20"/>
                <w:color w:val="auto"/>
              </w:rPr>
            </w:pPr>
            <w:r>
              <w:rPr>
                <w:rFonts w:ascii="Arial" w:cs="Arial" w:eastAsia="Arial" w:hAnsi="Arial"/>
                <w:sz w:val="14"/>
                <w:szCs w:val="14"/>
                <w:color w:val="auto"/>
              </w:rPr>
              <w:t>5,599,840</w:t>
            </w:r>
          </w:p>
        </w:tc>
        <w:tc>
          <w:tcPr>
            <w:tcW w:w="0" w:type="dxa"/>
            <w:vAlign w:val="bottom"/>
          </w:tcPr>
          <w:p>
            <w:pPr>
              <w:spacing w:after="0"/>
              <w:rPr>
                <w:sz w:val="1"/>
                <w:szCs w:val="1"/>
                <w:color w:val="auto"/>
              </w:rPr>
            </w:pPr>
          </w:p>
        </w:tc>
      </w:tr>
      <w:tr>
        <w:trPr>
          <w:trHeight w:val="53"/>
        </w:trPr>
        <w:tc>
          <w:tcPr>
            <w:tcW w:w="3320" w:type="dxa"/>
            <w:vAlign w:val="bottom"/>
            <w:tcBorders>
              <w:bottom w:val="single" w:sz="8" w:color="276092"/>
            </w:tcBorders>
          </w:tcPr>
          <w:p>
            <w:pPr>
              <w:spacing w:after="0"/>
              <w:rPr>
                <w:sz w:val="4"/>
                <w:szCs w:val="4"/>
                <w:color w:val="auto"/>
              </w:rPr>
            </w:pPr>
          </w:p>
        </w:tc>
        <w:tc>
          <w:tcPr>
            <w:tcW w:w="540" w:type="dxa"/>
            <w:vAlign w:val="bottom"/>
            <w:tcBorders>
              <w:bottom w:val="single" w:sz="8" w:color="276092"/>
            </w:tcBorders>
            <w:vMerge w:val="continue"/>
            <w:shd w:val="clear" w:color="auto" w:fill="BECFDE"/>
          </w:tcPr>
          <w:p>
            <w:pPr>
              <w:spacing w:after="0"/>
              <w:rPr>
                <w:sz w:val="4"/>
                <w:szCs w:val="4"/>
                <w:color w:val="auto"/>
              </w:rPr>
            </w:pPr>
          </w:p>
        </w:tc>
        <w:tc>
          <w:tcPr>
            <w:tcW w:w="800" w:type="dxa"/>
            <w:vAlign w:val="bottom"/>
            <w:tcBorders>
              <w:bottom w:val="single" w:sz="8" w:color="276092"/>
            </w:tcBorders>
            <w:vMerge w:val="continue"/>
            <w:shd w:val="clear" w:color="auto" w:fill="BECFDE"/>
          </w:tcPr>
          <w:p>
            <w:pPr>
              <w:spacing w:after="0"/>
              <w:rPr>
                <w:sz w:val="4"/>
                <w:szCs w:val="4"/>
                <w:color w:val="auto"/>
              </w:rPr>
            </w:pPr>
          </w:p>
        </w:tc>
        <w:tc>
          <w:tcPr>
            <w:tcW w:w="760" w:type="dxa"/>
            <w:vAlign w:val="bottom"/>
            <w:tcBorders>
              <w:bottom w:val="single" w:sz="8" w:color="276092"/>
            </w:tcBorders>
            <w:vMerge w:val="continue"/>
            <w:shd w:val="clear" w:color="auto" w:fill="BECFDE"/>
          </w:tcPr>
          <w:p>
            <w:pPr>
              <w:spacing w:after="0"/>
              <w:rPr>
                <w:sz w:val="4"/>
                <w:szCs w:val="4"/>
                <w:color w:val="auto"/>
              </w:rPr>
            </w:pPr>
          </w:p>
        </w:tc>
        <w:tc>
          <w:tcPr>
            <w:tcW w:w="840" w:type="dxa"/>
            <w:vAlign w:val="bottom"/>
            <w:tcBorders>
              <w:bottom w:val="single" w:sz="8" w:color="276092"/>
            </w:tcBorders>
            <w:vMerge w:val="continue"/>
            <w:shd w:val="clear" w:color="auto" w:fill="BECFDE"/>
          </w:tcPr>
          <w:p>
            <w:pPr>
              <w:spacing w:after="0"/>
              <w:rPr>
                <w:sz w:val="4"/>
                <w:szCs w:val="4"/>
                <w:color w:val="auto"/>
              </w:rPr>
            </w:pPr>
          </w:p>
        </w:tc>
        <w:tc>
          <w:tcPr>
            <w:tcW w:w="1320" w:type="dxa"/>
            <w:vAlign w:val="bottom"/>
            <w:tcBorders>
              <w:bottom w:val="single" w:sz="8" w:color="276092"/>
            </w:tcBorders>
            <w:vMerge w:val="continue"/>
            <w:shd w:val="clear" w:color="auto" w:fill="BECFDE"/>
          </w:tcPr>
          <w:p>
            <w:pPr>
              <w:spacing w:after="0"/>
              <w:rPr>
                <w:sz w:val="4"/>
                <w:szCs w:val="4"/>
                <w:color w:val="auto"/>
              </w:rPr>
            </w:pPr>
          </w:p>
        </w:tc>
        <w:tc>
          <w:tcPr>
            <w:tcW w:w="1100" w:type="dxa"/>
            <w:vAlign w:val="bottom"/>
            <w:tcBorders>
              <w:bottom w:val="single" w:sz="8" w:color="276092"/>
            </w:tcBorders>
            <w:vMerge w:val="continue"/>
            <w:shd w:val="clear" w:color="auto" w:fill="BECFDE"/>
          </w:tcPr>
          <w:p>
            <w:pPr>
              <w:spacing w:after="0"/>
              <w:rPr>
                <w:sz w:val="4"/>
                <w:szCs w:val="4"/>
                <w:color w:val="auto"/>
              </w:rPr>
            </w:pPr>
          </w:p>
        </w:tc>
        <w:tc>
          <w:tcPr>
            <w:tcW w:w="1300" w:type="dxa"/>
            <w:vAlign w:val="bottom"/>
            <w:tcBorders>
              <w:bottom w:val="single" w:sz="8" w:color="276092"/>
            </w:tcBorders>
            <w:vMerge w:val="continue"/>
            <w:shd w:val="clear" w:color="auto" w:fill="BECFDE"/>
          </w:tcPr>
          <w:p>
            <w:pPr>
              <w:spacing w:after="0"/>
              <w:rPr>
                <w:sz w:val="4"/>
                <w:szCs w:val="4"/>
                <w:color w:val="auto"/>
              </w:rPr>
            </w:pPr>
          </w:p>
        </w:tc>
        <w:tc>
          <w:tcPr>
            <w:tcW w:w="1040" w:type="dxa"/>
            <w:vAlign w:val="bottom"/>
            <w:tcBorders>
              <w:bottom w:val="single" w:sz="8" w:color="276092"/>
            </w:tcBorders>
            <w:vMerge w:val="continue"/>
            <w:shd w:val="clear" w:color="auto" w:fill="BECFD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60"/>
              <w:spacing w:after="0"/>
              <w:rPr>
                <w:sz w:val="20"/>
                <w:szCs w:val="20"/>
                <w:color w:val="auto"/>
              </w:rPr>
            </w:pPr>
            <w:r>
              <w:rPr>
                <w:rFonts w:ascii="Arial" w:cs="Arial" w:eastAsia="Arial" w:hAnsi="Arial"/>
                <w:sz w:val="14"/>
                <w:szCs w:val="14"/>
                <w:color w:val="auto"/>
              </w:rPr>
              <w:t>Janis G. Pamiljans (8)</w:t>
            </w:r>
          </w:p>
        </w:tc>
        <w:tc>
          <w:tcPr>
            <w:tcW w:w="540" w:type="dxa"/>
            <w:vAlign w:val="bottom"/>
          </w:tcPr>
          <w:p>
            <w:pPr>
              <w:ind w:left="120"/>
              <w:spacing w:after="0"/>
              <w:rPr>
                <w:sz w:val="20"/>
                <w:szCs w:val="20"/>
                <w:color w:val="auto"/>
              </w:rPr>
            </w:pPr>
            <w:r>
              <w:rPr>
                <w:rFonts w:ascii="Arial" w:cs="Arial" w:eastAsia="Arial" w:hAnsi="Arial"/>
                <w:sz w:val="14"/>
                <w:szCs w:val="14"/>
                <w:color w:val="auto"/>
              </w:rPr>
              <w:t>2017</w:t>
            </w:r>
          </w:p>
        </w:tc>
        <w:tc>
          <w:tcPr>
            <w:tcW w:w="800" w:type="dxa"/>
            <w:vAlign w:val="bottom"/>
          </w:tcPr>
          <w:p>
            <w:pPr>
              <w:jc w:val="center"/>
              <w:spacing w:after="0"/>
              <w:rPr>
                <w:sz w:val="20"/>
                <w:szCs w:val="20"/>
                <w:color w:val="auto"/>
              </w:rPr>
            </w:pPr>
            <w:r>
              <w:rPr>
                <w:rFonts w:ascii="Arial" w:cs="Arial" w:eastAsia="Arial" w:hAnsi="Arial"/>
                <w:sz w:val="14"/>
                <w:szCs w:val="14"/>
                <w:color w:val="auto"/>
              </w:rPr>
              <w:t>702,623</w:t>
            </w:r>
          </w:p>
        </w:tc>
        <w:tc>
          <w:tcPr>
            <w:tcW w:w="760" w:type="dxa"/>
            <w:vAlign w:val="bottom"/>
          </w:tcPr>
          <w:p>
            <w:pPr>
              <w:jc w:val="center"/>
              <w:spacing w:after="0"/>
              <w:rPr>
                <w:sz w:val="20"/>
                <w:szCs w:val="20"/>
                <w:color w:val="auto"/>
              </w:rPr>
            </w:pPr>
            <w:r>
              <w:rPr>
                <w:rFonts w:ascii="Arial" w:cs="Arial" w:eastAsia="Arial" w:hAnsi="Arial"/>
                <w:sz w:val="14"/>
                <w:szCs w:val="14"/>
                <w:color w:val="auto"/>
              </w:rPr>
              <w:t>100,000</w:t>
            </w:r>
          </w:p>
        </w:tc>
        <w:tc>
          <w:tcPr>
            <w:tcW w:w="840" w:type="dxa"/>
            <w:vAlign w:val="bottom"/>
          </w:tcPr>
          <w:p>
            <w:pPr>
              <w:jc w:val="center"/>
              <w:spacing w:after="0"/>
              <w:rPr>
                <w:sz w:val="20"/>
                <w:szCs w:val="20"/>
                <w:color w:val="auto"/>
              </w:rPr>
            </w:pPr>
            <w:r>
              <w:rPr>
                <w:rFonts w:ascii="Arial" w:cs="Arial" w:eastAsia="Arial" w:hAnsi="Arial"/>
                <w:sz w:val="14"/>
                <w:szCs w:val="14"/>
                <w:color w:val="auto"/>
              </w:rPr>
              <w:t>3,499,941</w:t>
            </w:r>
          </w:p>
        </w:tc>
        <w:tc>
          <w:tcPr>
            <w:tcW w:w="1320" w:type="dxa"/>
            <w:vAlign w:val="bottom"/>
          </w:tcPr>
          <w:p>
            <w:pPr>
              <w:jc w:val="center"/>
              <w:spacing w:after="0"/>
              <w:rPr>
                <w:sz w:val="20"/>
                <w:szCs w:val="20"/>
                <w:color w:val="auto"/>
              </w:rPr>
            </w:pPr>
            <w:r>
              <w:rPr>
                <w:rFonts w:ascii="Arial" w:cs="Arial" w:eastAsia="Arial" w:hAnsi="Arial"/>
                <w:sz w:val="14"/>
                <w:szCs w:val="14"/>
                <w:color w:val="auto"/>
              </w:rPr>
              <w:t>861,000</w:t>
            </w:r>
          </w:p>
        </w:tc>
        <w:tc>
          <w:tcPr>
            <w:tcW w:w="1100" w:type="dxa"/>
            <w:vAlign w:val="bottom"/>
          </w:tcPr>
          <w:p>
            <w:pPr>
              <w:jc w:val="center"/>
              <w:spacing w:after="0"/>
              <w:rPr>
                <w:sz w:val="20"/>
                <w:szCs w:val="20"/>
                <w:color w:val="auto"/>
              </w:rPr>
            </w:pPr>
            <w:r>
              <w:rPr>
                <w:rFonts w:ascii="Arial" w:cs="Arial" w:eastAsia="Arial" w:hAnsi="Arial"/>
                <w:sz w:val="14"/>
                <w:szCs w:val="14"/>
                <w:color w:val="auto"/>
              </w:rPr>
              <w:t>369,399</w:t>
            </w:r>
          </w:p>
        </w:tc>
        <w:tc>
          <w:tcPr>
            <w:tcW w:w="1300" w:type="dxa"/>
            <w:vAlign w:val="bottom"/>
          </w:tcPr>
          <w:p>
            <w:pPr>
              <w:jc w:val="center"/>
              <w:spacing w:after="0"/>
              <w:rPr>
                <w:sz w:val="20"/>
                <w:szCs w:val="20"/>
                <w:color w:val="auto"/>
              </w:rPr>
            </w:pPr>
            <w:r>
              <w:rPr>
                <w:rFonts w:ascii="Arial" w:cs="Arial" w:eastAsia="Arial" w:hAnsi="Arial"/>
                <w:sz w:val="14"/>
                <w:szCs w:val="14"/>
                <w:color w:val="auto"/>
              </w:rPr>
              <w:t>1,032,397</w:t>
            </w:r>
          </w:p>
        </w:tc>
        <w:tc>
          <w:tcPr>
            <w:tcW w:w="1040" w:type="dxa"/>
            <w:vAlign w:val="bottom"/>
          </w:tcPr>
          <w:p>
            <w:pPr>
              <w:jc w:val="center"/>
              <w:ind w:right="168"/>
              <w:spacing w:after="0"/>
              <w:rPr>
                <w:sz w:val="20"/>
                <w:szCs w:val="20"/>
                <w:color w:val="auto"/>
              </w:rPr>
            </w:pPr>
            <w:r>
              <w:rPr>
                <w:rFonts w:ascii="Arial" w:cs="Arial" w:eastAsia="Arial" w:hAnsi="Arial"/>
                <w:sz w:val="14"/>
                <w:szCs w:val="14"/>
                <w:color w:val="auto"/>
              </w:rPr>
              <w:t>6,565,360</w:t>
            </w:r>
          </w:p>
        </w:tc>
        <w:tc>
          <w:tcPr>
            <w:tcW w:w="0" w:type="dxa"/>
            <w:vAlign w:val="bottom"/>
          </w:tcPr>
          <w:p>
            <w:pPr>
              <w:spacing w:after="0"/>
              <w:rPr>
                <w:sz w:val="1"/>
                <w:szCs w:val="1"/>
                <w:color w:val="auto"/>
              </w:rPr>
            </w:pPr>
          </w:p>
        </w:tc>
      </w:tr>
      <w:tr>
        <w:trPr>
          <w:trHeight w:val="216"/>
        </w:trPr>
        <w:tc>
          <w:tcPr>
            <w:tcW w:w="3320" w:type="dxa"/>
            <w:vAlign w:val="bottom"/>
          </w:tcPr>
          <w:p>
            <w:pPr>
              <w:ind w:left="280"/>
              <w:spacing w:after="0"/>
              <w:rPr>
                <w:sz w:val="20"/>
                <w:szCs w:val="20"/>
                <w:color w:val="auto"/>
              </w:rPr>
            </w:pPr>
            <w:r>
              <w:rPr>
                <w:rFonts w:ascii="Arial" w:cs="Arial" w:eastAsia="Arial" w:hAnsi="Arial"/>
                <w:sz w:val="14"/>
                <w:szCs w:val="14"/>
                <w:color w:val="auto"/>
              </w:rPr>
              <w:t>Corporate Vice President and</w:t>
            </w:r>
          </w:p>
        </w:tc>
        <w:tc>
          <w:tcPr>
            <w:tcW w:w="540" w:type="dxa"/>
            <w:vAlign w:val="bottom"/>
            <w:shd w:val="clear" w:color="auto" w:fill="BECFDE"/>
          </w:tcPr>
          <w:p>
            <w:pPr>
              <w:ind w:left="120"/>
              <w:spacing w:after="0"/>
              <w:rPr>
                <w:sz w:val="20"/>
                <w:szCs w:val="20"/>
                <w:color w:val="auto"/>
              </w:rPr>
            </w:pPr>
            <w:r>
              <w:rPr>
                <w:rFonts w:ascii="Arial" w:cs="Arial" w:eastAsia="Arial" w:hAnsi="Arial"/>
                <w:sz w:val="14"/>
                <w:szCs w:val="14"/>
                <w:color w:val="auto"/>
              </w:rPr>
              <w:t>2016</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7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2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shd w:val="clear" w:color="auto" w:fill="BECFDE"/>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3320" w:type="dxa"/>
            <w:vAlign w:val="bottom"/>
          </w:tcPr>
          <w:p>
            <w:pPr>
              <w:ind w:left="280"/>
              <w:spacing w:after="0"/>
              <w:rPr>
                <w:sz w:val="20"/>
                <w:szCs w:val="20"/>
                <w:color w:val="auto"/>
              </w:rPr>
            </w:pPr>
            <w:r>
              <w:rPr>
                <w:rFonts w:ascii="Arial" w:cs="Arial" w:eastAsia="Arial" w:hAnsi="Arial"/>
                <w:sz w:val="14"/>
                <w:szCs w:val="14"/>
                <w:color w:val="auto"/>
              </w:rPr>
              <w:t>President, Aerospace Systems</w:t>
            </w:r>
          </w:p>
        </w:tc>
        <w:tc>
          <w:tcPr>
            <w:tcW w:w="540" w:type="dxa"/>
            <w:vAlign w:val="bottom"/>
            <w:vMerge w:val="restart"/>
          </w:tcPr>
          <w:p>
            <w:pPr>
              <w:ind w:left="120"/>
              <w:spacing w:after="0"/>
              <w:rPr>
                <w:sz w:val="20"/>
                <w:szCs w:val="20"/>
                <w:color w:val="auto"/>
              </w:rPr>
            </w:pPr>
            <w:r>
              <w:rPr>
                <w:rFonts w:ascii="Arial" w:cs="Arial" w:eastAsia="Arial" w:hAnsi="Arial"/>
                <w:sz w:val="14"/>
                <w:szCs w:val="14"/>
                <w:color w:val="auto"/>
              </w:rPr>
              <w:t>2015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320" w:type="dxa"/>
            <w:vAlign w:val="bottom"/>
            <w:tcBorders>
              <w:bottom w:val="single" w:sz="8" w:color="276092"/>
            </w:tcBorders>
          </w:tcPr>
          <w:p>
            <w:pPr>
              <w:spacing w:after="0"/>
              <w:rPr>
                <w:sz w:val="4"/>
                <w:szCs w:val="4"/>
                <w:color w:val="auto"/>
              </w:rPr>
            </w:pPr>
          </w:p>
        </w:tc>
        <w:tc>
          <w:tcPr>
            <w:tcW w:w="540" w:type="dxa"/>
            <w:vAlign w:val="bottom"/>
            <w:tcBorders>
              <w:bottom w:val="single" w:sz="8" w:color="276092"/>
            </w:tcBorders>
            <w:vMerge w:val="continue"/>
          </w:tcPr>
          <w:p>
            <w:pPr>
              <w:spacing w:after="0"/>
              <w:rPr>
                <w:sz w:val="4"/>
                <w:szCs w:val="4"/>
                <w:color w:val="auto"/>
              </w:rPr>
            </w:pPr>
          </w:p>
        </w:tc>
        <w:tc>
          <w:tcPr>
            <w:tcW w:w="800" w:type="dxa"/>
            <w:vAlign w:val="bottom"/>
            <w:tcBorders>
              <w:bottom w:val="single" w:sz="8" w:color="276092"/>
            </w:tcBorders>
            <w:vMerge w:val="continue"/>
          </w:tcPr>
          <w:p>
            <w:pPr>
              <w:spacing w:after="0"/>
              <w:rPr>
                <w:sz w:val="4"/>
                <w:szCs w:val="4"/>
                <w:color w:val="auto"/>
              </w:rPr>
            </w:pPr>
          </w:p>
        </w:tc>
        <w:tc>
          <w:tcPr>
            <w:tcW w:w="760" w:type="dxa"/>
            <w:vAlign w:val="bottom"/>
            <w:tcBorders>
              <w:bottom w:val="single" w:sz="8" w:color="276092"/>
            </w:tcBorders>
            <w:vMerge w:val="continue"/>
          </w:tcPr>
          <w:p>
            <w:pPr>
              <w:spacing w:after="0"/>
              <w:rPr>
                <w:sz w:val="4"/>
                <w:szCs w:val="4"/>
                <w:color w:val="auto"/>
              </w:rPr>
            </w:pPr>
          </w:p>
        </w:tc>
        <w:tc>
          <w:tcPr>
            <w:tcW w:w="840" w:type="dxa"/>
            <w:vAlign w:val="bottom"/>
            <w:tcBorders>
              <w:bottom w:val="single" w:sz="8" w:color="276092"/>
            </w:tcBorders>
            <w:vMerge w:val="continue"/>
          </w:tcPr>
          <w:p>
            <w:pPr>
              <w:spacing w:after="0"/>
              <w:rPr>
                <w:sz w:val="4"/>
                <w:szCs w:val="4"/>
                <w:color w:val="auto"/>
              </w:rPr>
            </w:pPr>
          </w:p>
        </w:tc>
        <w:tc>
          <w:tcPr>
            <w:tcW w:w="1320" w:type="dxa"/>
            <w:vAlign w:val="bottom"/>
            <w:tcBorders>
              <w:bottom w:val="single" w:sz="8" w:color="276092"/>
            </w:tcBorders>
            <w:vMerge w:val="continue"/>
          </w:tcPr>
          <w:p>
            <w:pPr>
              <w:spacing w:after="0"/>
              <w:rPr>
                <w:sz w:val="4"/>
                <w:szCs w:val="4"/>
                <w:color w:val="auto"/>
              </w:rPr>
            </w:pPr>
          </w:p>
        </w:tc>
        <w:tc>
          <w:tcPr>
            <w:tcW w:w="1100" w:type="dxa"/>
            <w:vAlign w:val="bottom"/>
            <w:tcBorders>
              <w:bottom w:val="single" w:sz="8" w:color="276092"/>
            </w:tcBorders>
            <w:vMerge w:val="continue"/>
          </w:tcPr>
          <w:p>
            <w:pPr>
              <w:spacing w:after="0"/>
              <w:rPr>
                <w:sz w:val="4"/>
                <w:szCs w:val="4"/>
                <w:color w:val="auto"/>
              </w:rPr>
            </w:pPr>
          </w:p>
        </w:tc>
        <w:tc>
          <w:tcPr>
            <w:tcW w:w="1300" w:type="dxa"/>
            <w:vAlign w:val="bottom"/>
            <w:tcBorders>
              <w:bottom w:val="single" w:sz="8" w:color="276092"/>
            </w:tcBorders>
            <w:vMerge w:val="continue"/>
          </w:tcPr>
          <w:p>
            <w:pPr>
              <w:spacing w:after="0"/>
              <w:rPr>
                <w:sz w:val="4"/>
                <w:szCs w:val="4"/>
                <w:color w:val="auto"/>
              </w:rPr>
            </w:pPr>
          </w:p>
        </w:tc>
        <w:tc>
          <w:tcPr>
            <w:tcW w:w="1040" w:type="dxa"/>
            <w:vAlign w:val="bottom"/>
            <w:tcBorders>
              <w:bottom w:val="single" w:sz="8" w:color="276092"/>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60"/>
              <w:spacing w:after="0"/>
              <w:rPr>
                <w:sz w:val="20"/>
                <w:szCs w:val="20"/>
                <w:color w:val="auto"/>
              </w:rPr>
            </w:pPr>
            <w:r>
              <w:rPr>
                <w:rFonts w:ascii="Arial" w:cs="Arial" w:eastAsia="Arial" w:hAnsi="Arial"/>
                <w:sz w:val="14"/>
                <w:szCs w:val="14"/>
                <w:color w:val="auto"/>
              </w:rPr>
              <w:t>Kathy J. Warden</w:t>
            </w:r>
          </w:p>
        </w:tc>
        <w:tc>
          <w:tcPr>
            <w:tcW w:w="540" w:type="dxa"/>
            <w:vAlign w:val="bottom"/>
            <w:shd w:val="clear" w:color="auto" w:fill="BECFDE"/>
          </w:tcPr>
          <w:p>
            <w:pPr>
              <w:ind w:left="120"/>
              <w:spacing w:after="0"/>
              <w:rPr>
                <w:sz w:val="20"/>
                <w:szCs w:val="20"/>
                <w:color w:val="auto"/>
              </w:rPr>
            </w:pPr>
            <w:r>
              <w:rPr>
                <w:rFonts w:ascii="Arial" w:cs="Arial" w:eastAsia="Arial" w:hAnsi="Arial"/>
                <w:sz w:val="14"/>
                <w:szCs w:val="14"/>
                <w:color w:val="auto"/>
              </w:rPr>
              <w:t>2017</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807,116</w:t>
            </w:r>
          </w:p>
        </w:tc>
        <w:tc>
          <w:tcPr>
            <w:tcW w:w="7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3,499,993</w:t>
            </w:r>
          </w:p>
        </w:tc>
        <w:tc>
          <w:tcPr>
            <w:tcW w:w="13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1,061,000</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388,015</w:t>
            </w:r>
          </w:p>
        </w:tc>
        <w:tc>
          <w:tcPr>
            <w:tcW w:w="13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206,548</w:t>
            </w:r>
          </w:p>
        </w:tc>
        <w:tc>
          <w:tcPr>
            <w:tcW w:w="104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5,962,672</w:t>
            </w:r>
          </w:p>
        </w:tc>
        <w:tc>
          <w:tcPr>
            <w:tcW w:w="0" w:type="dxa"/>
            <w:vAlign w:val="bottom"/>
          </w:tcPr>
          <w:p>
            <w:pPr>
              <w:spacing w:after="0"/>
              <w:rPr>
                <w:sz w:val="1"/>
                <w:szCs w:val="1"/>
                <w:color w:val="auto"/>
              </w:rPr>
            </w:pPr>
          </w:p>
        </w:tc>
      </w:tr>
      <w:tr>
        <w:trPr>
          <w:trHeight w:val="207"/>
        </w:trPr>
        <w:tc>
          <w:tcPr>
            <w:tcW w:w="3320" w:type="dxa"/>
            <w:vAlign w:val="bottom"/>
          </w:tcPr>
          <w:p>
            <w:pPr>
              <w:ind w:left="280"/>
              <w:spacing w:after="0"/>
              <w:rPr>
                <w:sz w:val="20"/>
                <w:szCs w:val="20"/>
                <w:color w:val="auto"/>
              </w:rPr>
            </w:pPr>
            <w:r>
              <w:rPr>
                <w:rFonts w:ascii="Arial" w:cs="Arial" w:eastAsia="Arial" w:hAnsi="Arial"/>
                <w:sz w:val="14"/>
                <w:szCs w:val="14"/>
                <w:color w:val="auto"/>
              </w:rPr>
              <w:t>Corporate Vice President and</w:t>
            </w:r>
          </w:p>
        </w:tc>
        <w:tc>
          <w:tcPr>
            <w:tcW w:w="540" w:type="dxa"/>
            <w:vAlign w:val="bottom"/>
          </w:tcPr>
          <w:p>
            <w:pPr>
              <w:ind w:left="120"/>
              <w:spacing w:after="0"/>
              <w:rPr>
                <w:sz w:val="20"/>
                <w:szCs w:val="20"/>
                <w:color w:val="auto"/>
              </w:rPr>
            </w:pPr>
            <w:r>
              <w:rPr>
                <w:rFonts w:ascii="Arial" w:cs="Arial" w:eastAsia="Arial" w:hAnsi="Arial"/>
                <w:sz w:val="14"/>
                <w:szCs w:val="14"/>
                <w:color w:val="auto"/>
              </w:rPr>
              <w:t>2016</w:t>
            </w:r>
          </w:p>
        </w:tc>
        <w:tc>
          <w:tcPr>
            <w:tcW w:w="800" w:type="dxa"/>
            <w:vAlign w:val="bottom"/>
          </w:tcPr>
          <w:p>
            <w:pPr>
              <w:jc w:val="center"/>
              <w:spacing w:after="0"/>
              <w:rPr>
                <w:sz w:val="20"/>
                <w:szCs w:val="20"/>
                <w:color w:val="auto"/>
              </w:rPr>
            </w:pPr>
            <w:r>
              <w:rPr>
                <w:rFonts w:ascii="Arial" w:cs="Arial" w:eastAsia="Arial" w:hAnsi="Arial"/>
                <w:sz w:val="14"/>
                <w:szCs w:val="14"/>
                <w:color w:val="auto"/>
              </w:rPr>
              <w:t>772,500</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3,499,856</w:t>
            </w:r>
          </w:p>
        </w:tc>
        <w:tc>
          <w:tcPr>
            <w:tcW w:w="1320" w:type="dxa"/>
            <w:vAlign w:val="bottom"/>
          </w:tcPr>
          <w:p>
            <w:pPr>
              <w:jc w:val="center"/>
              <w:spacing w:after="0"/>
              <w:rPr>
                <w:sz w:val="20"/>
                <w:szCs w:val="20"/>
                <w:color w:val="auto"/>
              </w:rPr>
            </w:pPr>
            <w:r>
              <w:rPr>
                <w:rFonts w:ascii="Arial" w:cs="Arial" w:eastAsia="Arial" w:hAnsi="Arial"/>
                <w:sz w:val="14"/>
                <w:szCs w:val="14"/>
                <w:color w:val="auto"/>
              </w:rPr>
              <w:t>1,272,000</w:t>
            </w:r>
          </w:p>
        </w:tc>
        <w:tc>
          <w:tcPr>
            <w:tcW w:w="1100" w:type="dxa"/>
            <w:vAlign w:val="bottom"/>
          </w:tcPr>
          <w:p>
            <w:pPr>
              <w:jc w:val="center"/>
              <w:spacing w:after="0"/>
              <w:rPr>
                <w:sz w:val="20"/>
                <w:szCs w:val="20"/>
                <w:color w:val="auto"/>
              </w:rPr>
            </w:pPr>
            <w:r>
              <w:rPr>
                <w:rFonts w:ascii="Arial" w:cs="Arial" w:eastAsia="Arial" w:hAnsi="Arial"/>
                <w:sz w:val="14"/>
                <w:szCs w:val="14"/>
                <w:color w:val="auto"/>
              </w:rPr>
              <w:t>200,220</w:t>
            </w:r>
          </w:p>
        </w:tc>
        <w:tc>
          <w:tcPr>
            <w:tcW w:w="1300" w:type="dxa"/>
            <w:vAlign w:val="bottom"/>
          </w:tcPr>
          <w:p>
            <w:pPr>
              <w:jc w:val="center"/>
              <w:spacing w:after="0"/>
              <w:rPr>
                <w:sz w:val="20"/>
                <w:szCs w:val="20"/>
                <w:color w:val="auto"/>
              </w:rPr>
            </w:pPr>
            <w:r>
              <w:rPr>
                <w:rFonts w:ascii="Arial" w:cs="Arial" w:eastAsia="Arial" w:hAnsi="Arial"/>
                <w:sz w:val="14"/>
                <w:szCs w:val="14"/>
                <w:color w:val="auto"/>
              </w:rPr>
              <w:t>165,596</w:t>
            </w:r>
          </w:p>
        </w:tc>
        <w:tc>
          <w:tcPr>
            <w:tcW w:w="1040" w:type="dxa"/>
            <w:vAlign w:val="bottom"/>
          </w:tcPr>
          <w:p>
            <w:pPr>
              <w:jc w:val="center"/>
              <w:ind w:right="168"/>
              <w:spacing w:after="0"/>
              <w:rPr>
                <w:sz w:val="20"/>
                <w:szCs w:val="20"/>
                <w:color w:val="auto"/>
              </w:rPr>
            </w:pPr>
            <w:r>
              <w:rPr>
                <w:rFonts w:ascii="Arial" w:cs="Arial" w:eastAsia="Arial" w:hAnsi="Arial"/>
                <w:sz w:val="14"/>
                <w:szCs w:val="14"/>
                <w:color w:val="auto"/>
              </w:rPr>
              <w:t>5,910,172</w:t>
            </w:r>
          </w:p>
        </w:tc>
        <w:tc>
          <w:tcPr>
            <w:tcW w:w="0" w:type="dxa"/>
            <w:vAlign w:val="bottom"/>
          </w:tcPr>
          <w:p>
            <w:pPr>
              <w:spacing w:after="0"/>
              <w:rPr>
                <w:sz w:val="1"/>
                <w:szCs w:val="1"/>
                <w:color w:val="auto"/>
              </w:rPr>
            </w:pPr>
          </w:p>
        </w:tc>
      </w:tr>
      <w:tr>
        <w:trPr>
          <w:trHeight w:val="172"/>
        </w:trPr>
        <w:tc>
          <w:tcPr>
            <w:tcW w:w="3320" w:type="dxa"/>
            <w:vAlign w:val="bottom"/>
          </w:tcPr>
          <w:p>
            <w:pPr>
              <w:ind w:left="280"/>
              <w:spacing w:after="0"/>
              <w:rPr>
                <w:sz w:val="20"/>
                <w:szCs w:val="20"/>
                <w:color w:val="auto"/>
              </w:rPr>
            </w:pPr>
            <w:r>
              <w:rPr>
                <w:rFonts w:ascii="Arial" w:cs="Arial" w:eastAsia="Arial" w:hAnsi="Arial"/>
                <w:sz w:val="14"/>
                <w:szCs w:val="14"/>
                <w:color w:val="auto"/>
              </w:rPr>
              <w:t>President, Mission Systems</w:t>
            </w:r>
          </w:p>
        </w:tc>
        <w:tc>
          <w:tcPr>
            <w:tcW w:w="540" w:type="dxa"/>
            <w:vAlign w:val="bottom"/>
            <w:vMerge w:val="restart"/>
            <w:shd w:val="clear" w:color="auto" w:fill="BECFDE"/>
          </w:tcPr>
          <w:p>
            <w:pPr>
              <w:ind w:left="120"/>
              <w:spacing w:after="0"/>
              <w:rPr>
                <w:sz w:val="20"/>
                <w:szCs w:val="20"/>
                <w:color w:val="auto"/>
              </w:rPr>
            </w:pPr>
            <w:r>
              <w:rPr>
                <w:rFonts w:ascii="Arial" w:cs="Arial" w:eastAsia="Arial" w:hAnsi="Arial"/>
                <w:sz w:val="14"/>
                <w:szCs w:val="14"/>
                <w:color w:val="auto"/>
              </w:rPr>
              <w:t>2015</w:t>
            </w:r>
          </w:p>
        </w:tc>
        <w:tc>
          <w:tcPr>
            <w:tcW w:w="8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701,077</w:t>
            </w:r>
          </w:p>
        </w:tc>
        <w:tc>
          <w:tcPr>
            <w:tcW w:w="76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3,200,053</w:t>
            </w:r>
          </w:p>
        </w:tc>
        <w:tc>
          <w:tcPr>
            <w:tcW w:w="13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814,000</w:t>
            </w:r>
          </w:p>
        </w:tc>
        <w:tc>
          <w:tcPr>
            <w:tcW w:w="11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20,782</w:t>
            </w:r>
          </w:p>
        </w:tc>
        <w:tc>
          <w:tcPr>
            <w:tcW w:w="13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425,763</w:t>
            </w:r>
          </w:p>
        </w:tc>
        <w:tc>
          <w:tcPr>
            <w:tcW w:w="1040" w:type="dxa"/>
            <w:vAlign w:val="bottom"/>
            <w:vMerge w:val="restart"/>
            <w:shd w:val="clear" w:color="auto" w:fill="BECFDE"/>
          </w:tcPr>
          <w:p>
            <w:pPr>
              <w:jc w:val="center"/>
              <w:ind w:right="168"/>
              <w:spacing w:after="0"/>
              <w:rPr>
                <w:sz w:val="20"/>
                <w:szCs w:val="20"/>
                <w:color w:val="auto"/>
              </w:rPr>
            </w:pPr>
            <w:r>
              <w:rPr>
                <w:rFonts w:ascii="Arial" w:cs="Arial" w:eastAsia="Arial" w:hAnsi="Arial"/>
                <w:sz w:val="14"/>
                <w:szCs w:val="14"/>
                <w:color w:val="auto"/>
              </w:rPr>
              <w:t>5,161,675</w:t>
            </w:r>
          </w:p>
        </w:tc>
        <w:tc>
          <w:tcPr>
            <w:tcW w:w="0" w:type="dxa"/>
            <w:vAlign w:val="bottom"/>
          </w:tcPr>
          <w:p>
            <w:pPr>
              <w:spacing w:after="0"/>
              <w:rPr>
                <w:sz w:val="1"/>
                <w:szCs w:val="1"/>
                <w:color w:val="auto"/>
              </w:rPr>
            </w:pPr>
          </w:p>
        </w:tc>
      </w:tr>
      <w:tr>
        <w:trPr>
          <w:trHeight w:val="53"/>
        </w:trPr>
        <w:tc>
          <w:tcPr>
            <w:tcW w:w="3320" w:type="dxa"/>
            <w:vAlign w:val="bottom"/>
            <w:tcBorders>
              <w:bottom w:val="single" w:sz="8" w:color="276092"/>
            </w:tcBorders>
          </w:tcPr>
          <w:p>
            <w:pPr>
              <w:spacing w:after="0"/>
              <w:rPr>
                <w:sz w:val="4"/>
                <w:szCs w:val="4"/>
                <w:color w:val="auto"/>
              </w:rPr>
            </w:pPr>
          </w:p>
        </w:tc>
        <w:tc>
          <w:tcPr>
            <w:tcW w:w="540" w:type="dxa"/>
            <w:vAlign w:val="bottom"/>
            <w:tcBorders>
              <w:bottom w:val="single" w:sz="8" w:color="276092"/>
            </w:tcBorders>
            <w:vMerge w:val="continue"/>
            <w:shd w:val="clear" w:color="auto" w:fill="BECFDE"/>
          </w:tcPr>
          <w:p>
            <w:pPr>
              <w:spacing w:after="0"/>
              <w:rPr>
                <w:sz w:val="4"/>
                <w:szCs w:val="4"/>
                <w:color w:val="auto"/>
              </w:rPr>
            </w:pPr>
          </w:p>
        </w:tc>
        <w:tc>
          <w:tcPr>
            <w:tcW w:w="800" w:type="dxa"/>
            <w:vAlign w:val="bottom"/>
            <w:tcBorders>
              <w:bottom w:val="single" w:sz="8" w:color="276092"/>
            </w:tcBorders>
            <w:vMerge w:val="continue"/>
            <w:shd w:val="clear" w:color="auto" w:fill="BECFDE"/>
          </w:tcPr>
          <w:p>
            <w:pPr>
              <w:spacing w:after="0"/>
              <w:rPr>
                <w:sz w:val="4"/>
                <w:szCs w:val="4"/>
                <w:color w:val="auto"/>
              </w:rPr>
            </w:pPr>
          </w:p>
        </w:tc>
        <w:tc>
          <w:tcPr>
            <w:tcW w:w="760" w:type="dxa"/>
            <w:vAlign w:val="bottom"/>
            <w:tcBorders>
              <w:bottom w:val="single" w:sz="8" w:color="276092"/>
            </w:tcBorders>
            <w:vMerge w:val="continue"/>
            <w:shd w:val="clear" w:color="auto" w:fill="BECFDE"/>
          </w:tcPr>
          <w:p>
            <w:pPr>
              <w:spacing w:after="0"/>
              <w:rPr>
                <w:sz w:val="4"/>
                <w:szCs w:val="4"/>
                <w:color w:val="auto"/>
              </w:rPr>
            </w:pPr>
          </w:p>
        </w:tc>
        <w:tc>
          <w:tcPr>
            <w:tcW w:w="840" w:type="dxa"/>
            <w:vAlign w:val="bottom"/>
            <w:tcBorders>
              <w:bottom w:val="single" w:sz="8" w:color="276092"/>
            </w:tcBorders>
            <w:vMerge w:val="continue"/>
            <w:shd w:val="clear" w:color="auto" w:fill="BECFDE"/>
          </w:tcPr>
          <w:p>
            <w:pPr>
              <w:spacing w:after="0"/>
              <w:rPr>
                <w:sz w:val="4"/>
                <w:szCs w:val="4"/>
                <w:color w:val="auto"/>
              </w:rPr>
            </w:pPr>
          </w:p>
        </w:tc>
        <w:tc>
          <w:tcPr>
            <w:tcW w:w="1320" w:type="dxa"/>
            <w:vAlign w:val="bottom"/>
            <w:tcBorders>
              <w:bottom w:val="single" w:sz="8" w:color="276092"/>
            </w:tcBorders>
            <w:vMerge w:val="continue"/>
            <w:shd w:val="clear" w:color="auto" w:fill="BECFDE"/>
          </w:tcPr>
          <w:p>
            <w:pPr>
              <w:spacing w:after="0"/>
              <w:rPr>
                <w:sz w:val="4"/>
                <w:szCs w:val="4"/>
                <w:color w:val="auto"/>
              </w:rPr>
            </w:pPr>
          </w:p>
        </w:tc>
        <w:tc>
          <w:tcPr>
            <w:tcW w:w="1100" w:type="dxa"/>
            <w:vAlign w:val="bottom"/>
            <w:tcBorders>
              <w:bottom w:val="single" w:sz="8" w:color="276092"/>
            </w:tcBorders>
            <w:vMerge w:val="continue"/>
            <w:shd w:val="clear" w:color="auto" w:fill="BECFDE"/>
          </w:tcPr>
          <w:p>
            <w:pPr>
              <w:spacing w:after="0"/>
              <w:rPr>
                <w:sz w:val="4"/>
                <w:szCs w:val="4"/>
                <w:color w:val="auto"/>
              </w:rPr>
            </w:pPr>
          </w:p>
        </w:tc>
        <w:tc>
          <w:tcPr>
            <w:tcW w:w="1300" w:type="dxa"/>
            <w:vAlign w:val="bottom"/>
            <w:tcBorders>
              <w:bottom w:val="single" w:sz="8" w:color="276092"/>
            </w:tcBorders>
            <w:vMerge w:val="continue"/>
            <w:shd w:val="clear" w:color="auto" w:fill="BECFDE"/>
          </w:tcPr>
          <w:p>
            <w:pPr>
              <w:spacing w:after="0"/>
              <w:rPr>
                <w:sz w:val="4"/>
                <w:szCs w:val="4"/>
                <w:color w:val="auto"/>
              </w:rPr>
            </w:pPr>
          </w:p>
        </w:tc>
        <w:tc>
          <w:tcPr>
            <w:tcW w:w="1040" w:type="dxa"/>
            <w:vAlign w:val="bottom"/>
            <w:tcBorders>
              <w:bottom w:val="single" w:sz="8" w:color="276092"/>
            </w:tcBorders>
            <w:vMerge w:val="continue"/>
            <w:shd w:val="clear" w:color="auto" w:fill="BECFDE"/>
          </w:tcPr>
          <w:p>
            <w:pPr>
              <w:spacing w:after="0"/>
              <w:rPr>
                <w:sz w:val="4"/>
                <w:szCs w:val="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amounts deferred under the qualified savings and nonqualified deferred compensation plans.</w:t>
      </w:r>
    </w:p>
    <w:p>
      <w:pPr>
        <w:spacing w:after="0" w:line="117" w:lineRule="exact"/>
        <w:rPr>
          <w:rFonts w:ascii="Arial" w:cs="Arial" w:eastAsia="Arial" w:hAnsi="Arial"/>
          <w:sz w:val="18"/>
          <w:szCs w:val="18"/>
          <w:color w:val="auto"/>
        </w:rPr>
      </w:pPr>
    </w:p>
    <w:p>
      <w:pPr>
        <w:ind w:left="640" w:right="300" w:hanging="436"/>
        <w:spacing w:after="0" w:line="246"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Pursuant to a 2016 retention agreement, Mr. Pamiljans received a bonus of $200,000 in two installments ($100,000 each) in 2016 and 2017.</w:t>
      </w:r>
    </w:p>
    <w:p>
      <w:pPr>
        <w:spacing w:after="0" w:line="102" w:lineRule="exact"/>
        <w:rPr>
          <w:rFonts w:ascii="Arial" w:cs="Arial" w:eastAsia="Arial" w:hAnsi="Arial"/>
          <w:sz w:val="18"/>
          <w:szCs w:val="18"/>
          <w:color w:val="auto"/>
        </w:rPr>
      </w:pPr>
    </w:p>
    <w:p>
      <w:pPr>
        <w:ind w:left="640" w:right="140" w:hanging="436"/>
        <w:spacing w:after="0" w:line="234"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the grant date aggregate fair value of RPSRs and RSRs granted during the periods presented. The fair value of awards was computed in accordance with Financial Accounting Standards Board (FASB) Accounting Standards Codification (ASC) Topic 718 disregarding potential forfeitures. Assumptions used in the calculation of these amounts are disclosed in Note 14 of the Company’s 2017 Form 10-K. The maximum grant date fair values of the 2017 RPSRs are as follows, noting the grants assume a</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150% maximum payout other than for Mr. Pamiljans:</w:t>
      </w:r>
    </w:p>
    <w:p>
      <w:pPr>
        <w:spacing w:after="0" w:line="227"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480" w:type="dxa"/>
            <w:vAlign w:val="bottom"/>
            <w:shd w:val="clear" w:color="auto" w:fill="276092"/>
          </w:tcPr>
          <w:p>
            <w:pPr>
              <w:spacing w:after="0"/>
              <w:rPr>
                <w:sz w:val="14"/>
                <w:szCs w:val="14"/>
                <w:color w:val="auto"/>
              </w:rPr>
            </w:pPr>
          </w:p>
        </w:tc>
        <w:tc>
          <w:tcPr>
            <w:tcW w:w="4920" w:type="dxa"/>
            <w:vAlign w:val="bottom"/>
            <w:shd w:val="clear" w:color="auto" w:fill="276092"/>
          </w:tcPr>
          <w:p>
            <w:pPr>
              <w:jc w:val="right"/>
              <w:ind w:right="348"/>
              <w:spacing w:after="0"/>
              <w:rPr>
                <w:sz w:val="20"/>
                <w:szCs w:val="20"/>
                <w:color w:val="auto"/>
              </w:rPr>
            </w:pPr>
            <w:r>
              <w:rPr>
                <w:rFonts w:ascii="Arial" w:cs="Arial" w:eastAsia="Arial" w:hAnsi="Arial"/>
                <w:sz w:val="14"/>
                <w:szCs w:val="14"/>
                <w:b w:val="1"/>
                <w:bCs w:val="1"/>
                <w:color w:val="FFFFFF"/>
              </w:rPr>
              <w:t>Maximum Grant Date Fair Value</w:t>
            </w:r>
          </w:p>
        </w:tc>
      </w:tr>
      <w:tr>
        <w:trPr>
          <w:trHeight w:val="202"/>
        </w:trPr>
        <w:tc>
          <w:tcPr>
            <w:tcW w:w="3480" w:type="dxa"/>
            <w:vAlign w:val="bottom"/>
            <w:shd w:val="clear" w:color="auto" w:fill="276092"/>
          </w:tcPr>
          <w:p>
            <w:pPr>
              <w:ind w:left="80"/>
              <w:spacing w:after="0"/>
              <w:rPr>
                <w:sz w:val="20"/>
                <w:szCs w:val="20"/>
                <w:color w:val="auto"/>
              </w:rPr>
            </w:pPr>
            <w:r>
              <w:rPr>
                <w:rFonts w:ascii="Arial" w:cs="Arial" w:eastAsia="Arial" w:hAnsi="Arial"/>
                <w:sz w:val="14"/>
                <w:szCs w:val="14"/>
                <w:b w:val="1"/>
                <w:bCs w:val="1"/>
                <w:color w:val="FFFFFF"/>
              </w:rPr>
              <w:t>Name</w:t>
            </w:r>
          </w:p>
        </w:tc>
        <w:tc>
          <w:tcPr>
            <w:tcW w:w="4920" w:type="dxa"/>
            <w:vAlign w:val="bottom"/>
            <w:shd w:val="clear" w:color="auto" w:fill="276092"/>
          </w:tcPr>
          <w:p>
            <w:pPr>
              <w:jc w:val="right"/>
              <w:ind w:right="1288"/>
              <w:spacing w:after="0"/>
              <w:rPr>
                <w:sz w:val="20"/>
                <w:szCs w:val="20"/>
                <w:color w:val="auto"/>
              </w:rPr>
            </w:pPr>
            <w:r>
              <w:rPr>
                <w:rFonts w:ascii="Arial" w:cs="Arial" w:eastAsia="Arial" w:hAnsi="Arial"/>
                <w:sz w:val="14"/>
                <w:szCs w:val="14"/>
                <w:b w:val="1"/>
                <w:bCs w:val="1"/>
                <w:color w:val="FFFFFF"/>
              </w:rPr>
              <w:t>($)</w:t>
            </w:r>
          </w:p>
        </w:tc>
      </w:tr>
      <w:tr>
        <w:trPr>
          <w:trHeight w:val="216"/>
        </w:trPr>
        <w:tc>
          <w:tcPr>
            <w:tcW w:w="3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Mr. Bush</w:t>
            </w:r>
          </w:p>
        </w:tc>
        <w:tc>
          <w:tcPr>
            <w:tcW w:w="4920" w:type="dxa"/>
            <w:vAlign w:val="bottom"/>
            <w:shd w:val="clear" w:color="auto" w:fill="BECFDE"/>
          </w:tcPr>
          <w:p>
            <w:pPr>
              <w:jc w:val="right"/>
              <w:ind w:right="988"/>
              <w:spacing w:after="0"/>
              <w:rPr>
                <w:sz w:val="20"/>
                <w:szCs w:val="20"/>
                <w:color w:val="auto"/>
              </w:rPr>
            </w:pPr>
            <w:r>
              <w:rPr>
                <w:rFonts w:ascii="Arial" w:cs="Arial" w:eastAsia="Arial" w:hAnsi="Arial"/>
                <w:sz w:val="14"/>
                <w:szCs w:val="14"/>
                <w:color w:val="auto"/>
              </w:rPr>
              <w:t>10,500,087</w:t>
            </w:r>
          </w:p>
        </w:tc>
      </w:tr>
      <w:tr>
        <w:trPr>
          <w:trHeight w:val="216"/>
        </w:trPr>
        <w:tc>
          <w:tcPr>
            <w:tcW w:w="3480" w:type="dxa"/>
            <w:vAlign w:val="bottom"/>
          </w:tcPr>
          <w:p>
            <w:pPr>
              <w:ind w:left="80"/>
              <w:spacing w:after="0"/>
              <w:rPr>
                <w:sz w:val="20"/>
                <w:szCs w:val="20"/>
                <w:color w:val="auto"/>
              </w:rPr>
            </w:pPr>
            <w:r>
              <w:rPr>
                <w:rFonts w:ascii="Arial" w:cs="Arial" w:eastAsia="Arial" w:hAnsi="Arial"/>
                <w:sz w:val="14"/>
                <w:szCs w:val="14"/>
                <w:color w:val="auto"/>
              </w:rPr>
              <w:t>Mr. Bedingfield</w:t>
            </w:r>
          </w:p>
        </w:tc>
        <w:tc>
          <w:tcPr>
            <w:tcW w:w="4920" w:type="dxa"/>
            <w:vAlign w:val="bottom"/>
          </w:tcPr>
          <w:p>
            <w:pPr>
              <w:jc w:val="right"/>
              <w:ind w:right="988"/>
              <w:spacing w:after="0"/>
              <w:rPr>
                <w:sz w:val="20"/>
                <w:szCs w:val="20"/>
                <w:color w:val="auto"/>
              </w:rPr>
            </w:pPr>
            <w:r>
              <w:rPr>
                <w:rFonts w:ascii="Arial" w:cs="Arial" w:eastAsia="Arial" w:hAnsi="Arial"/>
                <w:sz w:val="14"/>
                <w:szCs w:val="14"/>
                <w:color w:val="auto"/>
              </w:rPr>
              <w:t>3,412,596</w:t>
            </w:r>
          </w:p>
        </w:tc>
      </w:tr>
      <w:tr>
        <w:trPr>
          <w:trHeight w:val="216"/>
        </w:trPr>
        <w:tc>
          <w:tcPr>
            <w:tcW w:w="3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Ms. Flach</w:t>
            </w:r>
          </w:p>
        </w:tc>
        <w:tc>
          <w:tcPr>
            <w:tcW w:w="4920" w:type="dxa"/>
            <w:vAlign w:val="bottom"/>
            <w:shd w:val="clear" w:color="auto" w:fill="BECFDE"/>
          </w:tcPr>
          <w:p>
            <w:pPr>
              <w:jc w:val="right"/>
              <w:ind w:right="988"/>
              <w:spacing w:after="0"/>
              <w:rPr>
                <w:sz w:val="20"/>
                <w:szCs w:val="20"/>
                <w:color w:val="auto"/>
              </w:rPr>
            </w:pPr>
            <w:r>
              <w:rPr>
                <w:rFonts w:ascii="Arial" w:cs="Arial" w:eastAsia="Arial" w:hAnsi="Arial"/>
                <w:sz w:val="14"/>
                <w:szCs w:val="14"/>
                <w:color w:val="auto"/>
              </w:rPr>
              <w:t>3,674,895</w:t>
            </w:r>
          </w:p>
        </w:tc>
      </w:tr>
      <w:tr>
        <w:trPr>
          <w:trHeight w:val="216"/>
        </w:trPr>
        <w:tc>
          <w:tcPr>
            <w:tcW w:w="3480" w:type="dxa"/>
            <w:vAlign w:val="bottom"/>
          </w:tcPr>
          <w:p>
            <w:pPr>
              <w:ind w:left="80"/>
              <w:spacing w:after="0" w:line="216" w:lineRule="exact"/>
              <w:rPr>
                <w:sz w:val="20"/>
                <w:szCs w:val="20"/>
                <w:color w:val="auto"/>
              </w:rPr>
            </w:pPr>
            <w:r>
              <w:rPr>
                <w:rFonts w:ascii="Arial" w:cs="Arial" w:eastAsia="Arial" w:hAnsi="Arial"/>
                <w:sz w:val="14"/>
                <w:szCs w:val="14"/>
                <w:color w:val="auto"/>
              </w:rPr>
              <w:t xml:space="preserve">Mr. Pamiljans </w:t>
            </w:r>
            <w:r>
              <w:rPr>
                <w:rFonts w:ascii="Arial" w:cs="Arial" w:eastAsia="Arial" w:hAnsi="Arial"/>
                <w:sz w:val="24"/>
                <w:szCs w:val="24"/>
                <w:color w:val="auto"/>
                <w:vertAlign w:val="superscript"/>
              </w:rPr>
              <w:t>(a)</w:t>
            </w:r>
          </w:p>
        </w:tc>
        <w:tc>
          <w:tcPr>
            <w:tcW w:w="4920" w:type="dxa"/>
            <w:vAlign w:val="bottom"/>
          </w:tcPr>
          <w:p>
            <w:pPr>
              <w:jc w:val="right"/>
              <w:ind w:right="988"/>
              <w:spacing w:after="0"/>
              <w:rPr>
                <w:sz w:val="20"/>
                <w:szCs w:val="20"/>
                <w:color w:val="auto"/>
              </w:rPr>
            </w:pPr>
            <w:r>
              <w:rPr>
                <w:rFonts w:ascii="Arial" w:cs="Arial" w:eastAsia="Arial" w:hAnsi="Arial"/>
                <w:sz w:val="14"/>
                <w:szCs w:val="14"/>
                <w:color w:val="auto"/>
              </w:rPr>
              <w:t>3,884,932</w:t>
            </w:r>
          </w:p>
        </w:tc>
      </w:tr>
      <w:tr>
        <w:trPr>
          <w:trHeight w:val="216"/>
        </w:trPr>
        <w:tc>
          <w:tcPr>
            <w:tcW w:w="3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Ms. Warden</w:t>
            </w:r>
          </w:p>
        </w:tc>
        <w:tc>
          <w:tcPr>
            <w:tcW w:w="4920" w:type="dxa"/>
            <w:vAlign w:val="bottom"/>
            <w:shd w:val="clear" w:color="auto" w:fill="BECFDE"/>
          </w:tcPr>
          <w:p>
            <w:pPr>
              <w:jc w:val="right"/>
              <w:ind w:right="988"/>
              <w:spacing w:after="0"/>
              <w:rPr>
                <w:sz w:val="20"/>
                <w:szCs w:val="20"/>
                <w:color w:val="auto"/>
              </w:rPr>
            </w:pPr>
            <w:r>
              <w:rPr>
                <w:rFonts w:ascii="Arial" w:cs="Arial" w:eastAsia="Arial" w:hAnsi="Arial"/>
                <w:sz w:val="14"/>
                <w:szCs w:val="14"/>
                <w:color w:val="auto"/>
              </w:rPr>
              <w:t>3,674,895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0</wp:posOffset>
            </wp:positionV>
            <wp:extent cx="53340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34000" cy="8890"/>
                    </a:xfrm>
                    <a:prstGeom prst="rect">
                      <a:avLst/>
                    </a:prstGeom>
                    <a:noFill/>
                  </pic:spPr>
                </pic:pic>
              </a:graphicData>
            </a:graphic>
          </wp:anchor>
        </w:drawing>
      </w:r>
    </w:p>
    <w:p>
      <w:pPr>
        <w:ind w:left="760" w:right="440" w:hanging="5"/>
        <w:spacing w:after="0" w:line="188" w:lineRule="auto"/>
        <w:tabs>
          <w:tab w:leader="none" w:pos="943" w:val="left"/>
        </w:tabs>
        <w:numPr>
          <w:ilvl w:val="1"/>
          <w:numId w:val="89"/>
        </w:numPr>
        <w:rPr>
          <w:rFonts w:ascii="Arial" w:cs="Arial" w:eastAsia="Arial" w:hAnsi="Arial"/>
          <w:sz w:val="23"/>
          <w:szCs w:val="23"/>
          <w:color w:val="auto"/>
          <w:vertAlign w:val="superscript"/>
        </w:rPr>
      </w:pPr>
      <w:r>
        <w:rPr>
          <w:rFonts w:ascii="Arial" w:cs="Arial" w:eastAsia="Arial" w:hAnsi="Arial"/>
          <w:sz w:val="14"/>
          <w:szCs w:val="14"/>
          <w:color w:val="auto"/>
        </w:rPr>
        <w:t>Comprised of a February RPSR grant which assumes a 200% maximum payout and an April RPSR grant which assumes a 150% maximum payout. These grants are disclosed in the Grants of Plan-Based Awards Table on page 52.</w:t>
      </w:r>
    </w:p>
    <w:p>
      <w:pPr>
        <w:spacing w:after="0" w:line="106" w:lineRule="exact"/>
        <w:rPr>
          <w:rFonts w:ascii="Arial" w:cs="Arial" w:eastAsia="Arial" w:hAnsi="Arial"/>
          <w:sz w:val="23"/>
          <w:szCs w:val="23"/>
          <w:color w:val="auto"/>
          <w:vertAlign w:val="superscript"/>
        </w:rPr>
      </w:pPr>
    </w:p>
    <w:p>
      <w:pPr>
        <w:ind w:left="640" w:right="220" w:hanging="436"/>
        <w:spacing w:after="0" w:line="246"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amounts were paid pursuant to the Company’s AIP. Includes amounts deferred under the qualified savings and nonqualified deferred compensation plans.</w:t>
      </w:r>
    </w:p>
    <w:p>
      <w:pPr>
        <w:spacing w:after="0" w:line="102" w:lineRule="exact"/>
        <w:rPr>
          <w:rFonts w:ascii="Arial" w:cs="Arial" w:eastAsia="Arial" w:hAnsi="Arial"/>
          <w:sz w:val="18"/>
          <w:szCs w:val="18"/>
          <w:color w:val="auto"/>
        </w:rPr>
      </w:pPr>
    </w:p>
    <w:p>
      <w:pPr>
        <w:ind w:left="640" w:right="8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amounts relate solely to the increased present value of the NEO’s pension plan benefits using mandatory SEC assumptions (see the descriptions of these plans under the Pension Benefits table on page 56). The amount accrued in each year differs from the amount accrued in prior years due to an increase in age, service and pay (salary and bonus).</w:t>
      </w:r>
    </w:p>
    <w:p>
      <w:pPr>
        <w:spacing w:after="0" w:line="94" w:lineRule="exact"/>
        <w:rPr>
          <w:rFonts w:ascii="Arial" w:cs="Arial" w:eastAsia="Arial" w:hAnsi="Arial"/>
          <w:sz w:val="18"/>
          <w:szCs w:val="18"/>
          <w:color w:val="auto"/>
        </w:rPr>
      </w:pPr>
    </w:p>
    <w:p>
      <w:pPr>
        <w:ind w:left="640" w:right="300"/>
        <w:spacing w:after="0" w:line="246" w:lineRule="auto"/>
        <w:rPr>
          <w:rFonts w:ascii="Arial" w:cs="Arial" w:eastAsia="Arial" w:hAnsi="Arial"/>
          <w:sz w:val="18"/>
          <w:szCs w:val="18"/>
          <w:color w:val="auto"/>
        </w:rPr>
      </w:pPr>
      <w:r>
        <w:rPr>
          <w:rFonts w:ascii="Arial" w:cs="Arial" w:eastAsia="Arial" w:hAnsi="Arial"/>
          <w:sz w:val="18"/>
          <w:szCs w:val="18"/>
          <w:color w:val="auto"/>
        </w:rPr>
        <w:t>The aggregate change in actuarial present value of accumulated benefits is a negative amount for Ms. Flach (-$5,874,072) due to her attainment of an early retirement milestone, which eliminates double counting of benefits in the Northrop Grumman</w:t>
      </w:r>
    </w:p>
    <w:p>
      <w:pPr>
        <w:spacing w:after="0" w:line="127"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49</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S</w:t>
      </w:r>
      <w:r>
        <w:rPr>
          <w:rFonts w:ascii="Arial" w:cs="Arial" w:eastAsia="Arial" w:hAnsi="Arial"/>
          <w:sz w:val="18"/>
          <w:szCs w:val="18"/>
          <w:b w:val="1"/>
          <w:bCs w:val="1"/>
          <w:color w:val="FFFFFF"/>
        </w:rPr>
        <w:t>UMMARY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right="160"/>
        <w:spacing w:after="0" w:line="246" w:lineRule="auto"/>
        <w:rPr>
          <w:sz w:val="20"/>
          <w:szCs w:val="20"/>
          <w:color w:val="auto"/>
        </w:rPr>
      </w:pPr>
      <w:r>
        <w:rPr>
          <w:rFonts w:ascii="Arial" w:cs="Arial" w:eastAsia="Arial" w:hAnsi="Arial"/>
          <w:sz w:val="18"/>
          <w:szCs w:val="18"/>
          <w:color w:val="auto"/>
        </w:rPr>
        <w:t>Electronic Systems Executive Pension Plan (ESEPP) and Officers Supplemental Executive Retirement Program (OSERP) that had been required by SEC guidance. In accordance with SEC rules, this negative amount is reported as $0 in the above table.</w:t>
      </w:r>
    </w:p>
    <w:p>
      <w:pPr>
        <w:spacing w:after="0" w:line="89" w:lineRule="exact"/>
        <w:rPr>
          <w:sz w:val="20"/>
          <w:szCs w:val="20"/>
          <w:color w:val="auto"/>
        </w:rPr>
      </w:pPr>
    </w:p>
    <w:p>
      <w:pPr>
        <w:ind w:left="640"/>
        <w:spacing w:after="0" w:line="246" w:lineRule="auto"/>
        <w:rPr>
          <w:sz w:val="20"/>
          <w:szCs w:val="20"/>
          <w:color w:val="auto"/>
        </w:rPr>
      </w:pPr>
      <w:r>
        <w:rPr>
          <w:rFonts w:ascii="Arial" w:cs="Arial" w:eastAsia="Arial" w:hAnsi="Arial"/>
          <w:sz w:val="18"/>
          <w:szCs w:val="18"/>
          <w:color w:val="auto"/>
        </w:rPr>
        <w:t>Mr. Bedingfield was hired after the Company’s defined benefit pension plans were closed to new entrants and as a result he does not participate in any defined benefit pension plans.</w:t>
      </w:r>
    </w:p>
    <w:p>
      <w:pPr>
        <w:spacing w:after="0" w:line="89" w:lineRule="exact"/>
        <w:rPr>
          <w:sz w:val="20"/>
          <w:szCs w:val="20"/>
          <w:color w:val="auto"/>
        </w:rPr>
      </w:pPr>
    </w:p>
    <w:p>
      <w:pPr>
        <w:ind w:left="640" w:right="240"/>
        <w:spacing w:after="0" w:line="246" w:lineRule="auto"/>
        <w:rPr>
          <w:sz w:val="20"/>
          <w:szCs w:val="20"/>
          <w:color w:val="auto"/>
        </w:rPr>
      </w:pPr>
      <w:r>
        <w:rPr>
          <w:rFonts w:ascii="Arial" w:cs="Arial" w:eastAsia="Arial" w:hAnsi="Arial"/>
          <w:sz w:val="18"/>
          <w:szCs w:val="18"/>
          <w:color w:val="auto"/>
        </w:rPr>
        <w:t>There were no above-market earnings in the nonqualified deferred compensation plans (see the descriptions of these plans under the Nonqualified Deferred Compensation table on page 60).</w:t>
      </w:r>
    </w:p>
    <w:p>
      <w:pPr>
        <w:spacing w:after="0" w:line="102" w:lineRule="exact"/>
        <w:rPr>
          <w:sz w:val="20"/>
          <w:szCs w:val="20"/>
          <w:color w:val="auto"/>
        </w:rPr>
      </w:pPr>
    </w:p>
    <w:p>
      <w:pPr>
        <w:ind w:left="640" w:right="80" w:hanging="436"/>
        <w:spacing w:after="0" w:line="236"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include, as applicable, (a) the value of perquisites and personal benefits, (b) basic life insurance premiums, (c) matching contributions through the Northrop Grumman Foundation made to eligible educational institutions and to disaster relief organizations during qualifying disasters, and to non-profit organizations under a Company program, (d) Company contributions to defined contribution and deferred compensation plans (the Northrop Grumman Savings Plan, the Savings Excess Plan and the Officers Retirement Account Contribution Plan), and (e) with respect to Mr. Bedingfield, a gross-up of $1,042 to cover costs incurred as a result of an administrative error by the Company. Where the value of the items reported in a particular category for a NEO exceeded $10,000 in 2017 (other than perquisites and personal benefits, which are subject to different thresholds as described below), those items are identified and quantified below.</w:t>
      </w:r>
    </w:p>
    <w:p>
      <w:pPr>
        <w:spacing w:after="0" w:line="82" w:lineRule="exact"/>
        <w:rPr>
          <w:rFonts w:ascii="Arial" w:cs="Arial" w:eastAsia="Arial" w:hAnsi="Arial"/>
          <w:sz w:val="18"/>
          <w:szCs w:val="18"/>
          <w:color w:val="auto"/>
        </w:rPr>
      </w:pPr>
    </w:p>
    <w:p>
      <w:pPr>
        <w:ind w:left="640" w:right="80"/>
        <w:spacing w:after="0" w:line="242" w:lineRule="auto"/>
        <w:rPr>
          <w:rFonts w:ascii="Arial" w:cs="Arial" w:eastAsia="Arial" w:hAnsi="Arial"/>
          <w:sz w:val="18"/>
          <w:szCs w:val="18"/>
          <w:color w:val="auto"/>
        </w:rPr>
      </w:pPr>
      <w:r>
        <w:rPr>
          <w:rFonts w:ascii="Arial" w:cs="Arial" w:eastAsia="Arial" w:hAnsi="Arial"/>
          <w:sz w:val="18"/>
          <w:szCs w:val="18"/>
          <w:i w:val="1"/>
          <w:iCs w:val="1"/>
          <w:color w:val="auto"/>
        </w:rPr>
        <w:t xml:space="preserve">Perquisites and Personal Benefits - </w:t>
      </w:r>
      <w:r>
        <w:rPr>
          <w:rFonts w:ascii="Arial" w:cs="Arial" w:eastAsia="Arial" w:hAnsi="Arial"/>
          <w:sz w:val="18"/>
          <w:szCs w:val="18"/>
          <w:color w:val="auto"/>
        </w:rPr>
        <w:t>Perquisites and other personal benefits provided to certain NEOs are as follows: security, travel-related perquisites, including use of Company aircraft or ground transportation services for personal travel (including travel and incidental expenses for family members accompanying the NEO while on travel), financial planning/income tax preparation services, insurance premiums paid by the Company on the NEO’s behalf, executive physicals and other nominal perquisites or personal benefits.</w:t>
      </w:r>
    </w:p>
    <w:p>
      <w:pPr>
        <w:spacing w:after="0" w:line="95" w:lineRule="exact"/>
        <w:rPr>
          <w:rFonts w:ascii="Arial" w:cs="Arial" w:eastAsia="Arial" w:hAnsi="Arial"/>
          <w:sz w:val="18"/>
          <w:szCs w:val="18"/>
          <w:color w:val="auto"/>
        </w:rPr>
      </w:pPr>
    </w:p>
    <w:p>
      <w:pPr>
        <w:ind w:left="640" w:right="680"/>
        <w:spacing w:after="0" w:line="246" w:lineRule="auto"/>
        <w:rPr>
          <w:rFonts w:ascii="Arial" w:cs="Arial" w:eastAsia="Arial" w:hAnsi="Arial"/>
          <w:sz w:val="18"/>
          <w:szCs w:val="18"/>
          <w:color w:val="auto"/>
        </w:rPr>
      </w:pPr>
      <w:r>
        <w:rPr>
          <w:rFonts w:ascii="Arial" w:cs="Arial" w:eastAsia="Arial" w:hAnsi="Arial"/>
          <w:sz w:val="18"/>
          <w:szCs w:val="18"/>
          <w:color w:val="auto"/>
        </w:rPr>
        <w:t>The cost of any category of the listed perquisites and personal benefits did not exceed the greater of $25,000 or 10% of total perquisites and personal benefits for any NEO in 2017, except for the following:</w:t>
      </w:r>
    </w:p>
    <w:p>
      <w:pPr>
        <w:spacing w:after="0" w:line="102" w:lineRule="exact"/>
        <w:rPr>
          <w:rFonts w:ascii="Arial" w:cs="Arial" w:eastAsia="Arial" w:hAnsi="Arial"/>
          <w:sz w:val="18"/>
          <w:szCs w:val="18"/>
          <w:color w:val="auto"/>
        </w:rPr>
      </w:pPr>
    </w:p>
    <w:p>
      <w:pPr>
        <w:ind w:left="1740" w:right="500" w:hanging="766"/>
        <w:spacing w:after="0" w:line="246" w:lineRule="auto"/>
        <w:tabs>
          <w:tab w:leader="none" w:pos="1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Mr. Bush: costs attributable to security protection ($399,545), which includes personal travel on Company aircraft consistent with the Company’s security program ($172,353),</w:t>
      </w:r>
    </w:p>
    <w:p>
      <w:pPr>
        <w:spacing w:after="0" w:line="102" w:lineRule="exact"/>
        <w:rPr>
          <w:rFonts w:ascii="Arial" w:cs="Arial" w:eastAsia="Arial" w:hAnsi="Arial"/>
          <w:sz w:val="18"/>
          <w:szCs w:val="18"/>
          <w:color w:val="auto"/>
        </w:rPr>
      </w:pPr>
    </w:p>
    <w:p>
      <w:pPr>
        <w:ind w:left="1740" w:hanging="766"/>
        <w:spacing w:after="0"/>
        <w:tabs>
          <w:tab w:leader="none" w:pos="1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Mr. Bedingfield: costs attributable to security protection ($61,657) and</w:t>
      </w:r>
    </w:p>
    <w:p>
      <w:pPr>
        <w:spacing w:after="0" w:line="117" w:lineRule="exact"/>
        <w:rPr>
          <w:rFonts w:ascii="Arial" w:cs="Arial" w:eastAsia="Arial" w:hAnsi="Arial"/>
          <w:sz w:val="18"/>
          <w:szCs w:val="18"/>
          <w:color w:val="auto"/>
        </w:rPr>
      </w:pPr>
    </w:p>
    <w:p>
      <w:pPr>
        <w:ind w:left="1740" w:right="20" w:hanging="766"/>
        <w:spacing w:after="0" w:line="246" w:lineRule="auto"/>
        <w:tabs>
          <w:tab w:leader="none" w:pos="17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Mr. Pamiljans: relocation expenses ($850,000), which were in lieu of all benefits he would have been entitled to receive under the Company’s relocation policy.</w:t>
      </w:r>
    </w:p>
    <w:p>
      <w:pPr>
        <w:spacing w:after="0" w:line="89" w:lineRule="exact"/>
        <w:rPr>
          <w:sz w:val="20"/>
          <w:szCs w:val="20"/>
          <w:color w:val="auto"/>
        </w:rPr>
      </w:pPr>
    </w:p>
    <w:p>
      <w:pPr>
        <w:ind w:left="980" w:right="60"/>
        <w:spacing w:after="0"/>
        <w:rPr>
          <w:sz w:val="20"/>
          <w:szCs w:val="20"/>
          <w:color w:val="auto"/>
        </w:rPr>
      </w:pPr>
      <w:r>
        <w:rPr>
          <w:rFonts w:ascii="Arial" w:cs="Arial" w:eastAsia="Arial" w:hAnsi="Arial"/>
          <w:sz w:val="18"/>
          <w:szCs w:val="18"/>
          <w:color w:val="auto"/>
        </w:rPr>
        <w:t>The amount of security costs reported for Mr. Bush has been reduced by $72,719, which reflects the portion of the security perquisite that Mr. Bush reimbursed to the Company for himself and his family related to personal travel on the corporate aircraft ($37,557) and other transportation ($35,162).</w:t>
      </w:r>
    </w:p>
    <w:p>
      <w:pPr>
        <w:spacing w:after="0" w:line="77" w:lineRule="exact"/>
        <w:rPr>
          <w:sz w:val="20"/>
          <w:szCs w:val="20"/>
          <w:color w:val="auto"/>
        </w:rPr>
      </w:pPr>
    </w:p>
    <w:p>
      <w:pPr>
        <w:ind w:left="980" w:right="20"/>
        <w:spacing w:after="0"/>
        <w:rPr>
          <w:sz w:val="20"/>
          <w:szCs w:val="20"/>
          <w:color w:val="auto"/>
        </w:rPr>
      </w:pPr>
      <w:r>
        <w:rPr>
          <w:rFonts w:ascii="Arial" w:cs="Arial" w:eastAsia="Arial" w:hAnsi="Arial"/>
          <w:sz w:val="18"/>
          <w:szCs w:val="18"/>
          <w:i w:val="1"/>
          <w:iCs w:val="1"/>
          <w:color w:val="auto"/>
        </w:rPr>
        <w:t xml:space="preserve">Security Protection </w:t>
      </w:r>
      <w:r>
        <w:rPr>
          <w:rFonts w:ascii="Arial" w:cs="Arial" w:eastAsia="Arial" w:hAnsi="Arial"/>
          <w:sz w:val="18"/>
          <w:szCs w:val="18"/>
          <w:color w:val="auto"/>
        </w:rPr>
        <w:t>- As discussed in “Key Components - Security Arrangements,” the Company provides NEOs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attendant with their positions with the Company. The Company calculates the cost of travel security coverage here based on the hourly rates and overhead fees charged directly to the Company by the firms providing security personnel. If Company security personnel are used, their hourly rates are used to calculate the cost of coverage.</w:t>
      </w:r>
    </w:p>
    <w:p>
      <w:pPr>
        <w:spacing w:after="0" w:line="77" w:lineRule="exact"/>
        <w:rPr>
          <w:sz w:val="20"/>
          <w:szCs w:val="20"/>
          <w:color w:val="auto"/>
        </w:rPr>
      </w:pPr>
    </w:p>
    <w:p>
      <w:pPr>
        <w:ind w:left="980"/>
        <w:spacing w:after="0" w:line="245" w:lineRule="auto"/>
        <w:rPr>
          <w:sz w:val="20"/>
          <w:szCs w:val="20"/>
          <w:color w:val="auto"/>
        </w:rPr>
      </w:pPr>
      <w:r>
        <w:rPr>
          <w:rFonts w:ascii="Arial" w:cs="Arial" w:eastAsia="Arial" w:hAnsi="Arial"/>
          <w:sz w:val="18"/>
          <w:szCs w:val="18"/>
          <w:i w:val="1"/>
          <w:iCs w:val="1"/>
          <w:color w:val="auto"/>
        </w:rPr>
        <w:t xml:space="preserve">Use of Company Aircraft </w:t>
      </w:r>
      <w:r>
        <w:rPr>
          <w:rFonts w:ascii="Arial" w:cs="Arial" w:eastAsia="Arial" w:hAnsi="Arial"/>
          <w:sz w:val="18"/>
          <w:szCs w:val="18"/>
          <w:color w:val="auto"/>
        </w:rPr>
        <w:t>- We determine the incremental cost for perquisites and personal benefits based on the actual costs or</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incurred by the Company for the benefits.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129" w:lineRule="exact"/>
        <w:rPr>
          <w:sz w:val="20"/>
          <w:szCs w:val="20"/>
          <w:color w:val="auto"/>
        </w:rPr>
      </w:pPr>
    </w:p>
    <w:p>
      <w:pPr>
        <w:ind w:left="460" w:hanging="256"/>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S</w:t>
      </w:r>
      <w:r>
        <w:rPr>
          <w:rFonts w:ascii="Arial" w:cs="Arial" w:eastAsia="Arial" w:hAnsi="Arial"/>
          <w:sz w:val="18"/>
          <w:szCs w:val="18"/>
          <w:b w:val="1"/>
          <w:bCs w:val="1"/>
          <w:color w:val="FFFFFF"/>
        </w:rPr>
        <w:t>UMMARY</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Contributions to Plans </w:t>
      </w:r>
      <w:r>
        <w:rPr>
          <w:rFonts w:ascii="Arial" w:cs="Arial" w:eastAsia="Arial" w:hAnsi="Arial"/>
          <w:sz w:val="18"/>
          <w:szCs w:val="18"/>
          <w:color w:val="auto"/>
        </w:rPr>
        <w:t>- In 2017, we made the following contributions to Northrop Grumman defined contribution and</w:t>
      </w:r>
    </w:p>
    <w:p>
      <w:pPr>
        <w:spacing w:after="0" w:line="14" w:lineRule="exact"/>
        <w:rPr>
          <w:sz w:val="20"/>
          <w:szCs w:val="20"/>
          <w:color w:val="auto"/>
        </w:rPr>
      </w:pPr>
    </w:p>
    <w:p>
      <w:pPr>
        <w:ind w:left="640" w:right="160"/>
        <w:spacing w:after="0" w:line="246" w:lineRule="auto"/>
        <w:rPr>
          <w:sz w:val="20"/>
          <w:szCs w:val="20"/>
          <w:color w:val="auto"/>
        </w:rPr>
      </w:pPr>
      <w:r>
        <w:rPr>
          <w:rFonts w:ascii="Arial" w:cs="Arial" w:eastAsia="Arial" w:hAnsi="Arial"/>
          <w:sz w:val="18"/>
          <w:szCs w:val="18"/>
          <w:color w:val="auto"/>
        </w:rPr>
        <w:t>deferred compensation plans (the Northrop Grumman Savings Plan, the Savings Excess Plan and the Officers Retirement Account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142875</wp:posOffset>
            </wp:positionV>
            <wp:extent cx="1054735" cy="3517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054735" cy="351790"/>
                    </a:xfrm>
                    <a:prstGeom prst="rect">
                      <a:avLst/>
                    </a:prstGeom>
                    <a:noFill/>
                  </pic:spPr>
                </pic:pic>
              </a:graphicData>
            </a:graphic>
          </wp:anchor>
        </w:drawing>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80" w:type="dxa"/>
            <w:vAlign w:val="bottom"/>
            <w:shd w:val="clear" w:color="auto" w:fill="276092"/>
          </w:tcPr>
          <w:p>
            <w:pPr>
              <w:spacing w:after="0"/>
              <w:rPr>
                <w:sz w:val="14"/>
                <w:szCs w:val="14"/>
                <w:color w:val="auto"/>
              </w:rPr>
            </w:pPr>
          </w:p>
        </w:tc>
        <w:tc>
          <w:tcPr>
            <w:tcW w:w="6540" w:type="dxa"/>
            <w:vAlign w:val="bottom"/>
            <w:gridSpan w:val="2"/>
            <w:shd w:val="clear" w:color="auto" w:fill="276092"/>
          </w:tcPr>
          <w:p>
            <w:pPr>
              <w:ind w:left="2600"/>
              <w:spacing w:after="0"/>
              <w:rPr>
                <w:sz w:val="20"/>
                <w:szCs w:val="20"/>
                <w:color w:val="auto"/>
              </w:rPr>
            </w:pPr>
            <w:r>
              <w:rPr>
                <w:rFonts w:ascii="Arial" w:cs="Arial" w:eastAsia="Arial" w:hAnsi="Arial"/>
                <w:sz w:val="14"/>
                <w:szCs w:val="14"/>
                <w:b w:val="1"/>
                <w:bCs w:val="1"/>
                <w:color w:val="FFFFFF"/>
              </w:rPr>
              <w:t>Company Contributions</w:t>
            </w:r>
          </w:p>
        </w:tc>
      </w:tr>
      <w:tr>
        <w:trPr>
          <w:trHeight w:val="189"/>
        </w:trPr>
        <w:tc>
          <w:tcPr>
            <w:tcW w:w="3580" w:type="dxa"/>
            <w:vAlign w:val="bottom"/>
            <w:shd w:val="clear" w:color="auto" w:fill="276092"/>
          </w:tcPr>
          <w:p>
            <w:pPr>
              <w:ind w:left="20"/>
              <w:spacing w:after="0"/>
              <w:rPr>
                <w:sz w:val="20"/>
                <w:szCs w:val="20"/>
                <w:color w:val="auto"/>
              </w:rPr>
            </w:pPr>
            <w:r>
              <w:rPr>
                <w:rFonts w:ascii="Arial" w:cs="Arial" w:eastAsia="Arial" w:hAnsi="Arial"/>
                <w:sz w:val="14"/>
                <w:szCs w:val="14"/>
                <w:b w:val="1"/>
                <w:bCs w:val="1"/>
                <w:color w:val="FFFFFF"/>
              </w:rPr>
              <w:t>Name</w:t>
            </w:r>
          </w:p>
        </w:tc>
        <w:tc>
          <w:tcPr>
            <w:tcW w:w="4880" w:type="dxa"/>
            <w:vAlign w:val="bottom"/>
            <w:shd w:val="clear" w:color="auto" w:fill="276092"/>
          </w:tcPr>
          <w:p>
            <w:pPr>
              <w:jc w:val="right"/>
              <w:ind w:right="130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276092"/>
          </w:tcPr>
          <w:p>
            <w:pPr>
              <w:spacing w:after="0"/>
              <w:rPr>
                <w:sz w:val="16"/>
                <w:szCs w:val="16"/>
                <w:color w:val="auto"/>
              </w:rPr>
            </w:pPr>
          </w:p>
        </w:tc>
      </w:tr>
      <w:tr>
        <w:trPr>
          <w:trHeight w:val="216"/>
        </w:trPr>
        <w:tc>
          <w:tcPr>
            <w:tcW w:w="3580" w:type="dxa"/>
            <w:vAlign w:val="bottom"/>
            <w:shd w:val="clear" w:color="auto" w:fill="BECFDE"/>
          </w:tcPr>
          <w:p>
            <w:pPr>
              <w:ind w:left="40"/>
              <w:spacing w:after="0"/>
              <w:rPr>
                <w:sz w:val="20"/>
                <w:szCs w:val="20"/>
                <w:color w:val="auto"/>
              </w:rPr>
            </w:pPr>
            <w:r>
              <w:rPr>
                <w:rFonts w:ascii="Arial" w:cs="Arial" w:eastAsia="Arial" w:hAnsi="Arial"/>
                <w:sz w:val="14"/>
                <w:szCs w:val="14"/>
                <w:color w:val="auto"/>
              </w:rPr>
              <w:t>Mr. Bush</w:t>
            </w:r>
          </w:p>
        </w:tc>
        <w:tc>
          <w:tcPr>
            <w:tcW w:w="4880" w:type="dxa"/>
            <w:vAlign w:val="bottom"/>
            <w:shd w:val="clear" w:color="auto" w:fill="BECFDE"/>
          </w:tcPr>
          <w:p>
            <w:pPr>
              <w:jc w:val="right"/>
              <w:ind w:right="1108"/>
              <w:spacing w:after="0"/>
              <w:rPr>
                <w:sz w:val="20"/>
                <w:szCs w:val="20"/>
                <w:color w:val="auto"/>
              </w:rPr>
            </w:pPr>
            <w:r>
              <w:rPr>
                <w:rFonts w:ascii="Arial" w:cs="Arial" w:eastAsia="Arial" w:hAnsi="Arial"/>
                <w:sz w:val="14"/>
                <w:szCs w:val="14"/>
                <w:color w:val="auto"/>
              </w:rPr>
              <w:t>476,398</w:t>
            </w:r>
          </w:p>
        </w:tc>
        <w:tc>
          <w:tcPr>
            <w:tcW w:w="1660" w:type="dxa"/>
            <w:vAlign w:val="bottom"/>
            <w:shd w:val="clear" w:color="auto" w:fill="BECFDE"/>
          </w:tcPr>
          <w:p>
            <w:pPr>
              <w:spacing w:after="0"/>
              <w:rPr>
                <w:sz w:val="18"/>
                <w:szCs w:val="18"/>
                <w:color w:val="auto"/>
              </w:rPr>
            </w:pPr>
          </w:p>
        </w:tc>
      </w:tr>
      <w:tr>
        <w:trPr>
          <w:trHeight w:val="216"/>
        </w:trPr>
        <w:tc>
          <w:tcPr>
            <w:tcW w:w="3580" w:type="dxa"/>
            <w:vAlign w:val="bottom"/>
          </w:tcPr>
          <w:p>
            <w:pPr>
              <w:ind w:left="40"/>
              <w:spacing w:after="0"/>
              <w:rPr>
                <w:sz w:val="20"/>
                <w:szCs w:val="20"/>
                <w:color w:val="auto"/>
              </w:rPr>
            </w:pPr>
            <w:r>
              <w:rPr>
                <w:rFonts w:ascii="Arial" w:cs="Arial" w:eastAsia="Arial" w:hAnsi="Arial"/>
                <w:sz w:val="14"/>
                <w:szCs w:val="14"/>
                <w:color w:val="auto"/>
              </w:rPr>
              <w:t>Mr. Bedingfield</w:t>
            </w:r>
          </w:p>
        </w:tc>
        <w:tc>
          <w:tcPr>
            <w:tcW w:w="4880" w:type="dxa"/>
            <w:vAlign w:val="bottom"/>
          </w:tcPr>
          <w:p>
            <w:pPr>
              <w:jc w:val="right"/>
              <w:ind w:right="1108"/>
              <w:spacing w:after="0"/>
              <w:rPr>
                <w:sz w:val="20"/>
                <w:szCs w:val="20"/>
                <w:color w:val="auto"/>
              </w:rPr>
            </w:pPr>
            <w:r>
              <w:rPr>
                <w:rFonts w:ascii="Arial" w:cs="Arial" w:eastAsia="Arial" w:hAnsi="Arial"/>
                <w:sz w:val="14"/>
                <w:szCs w:val="14"/>
                <w:color w:val="auto"/>
              </w:rPr>
              <w:t>242,663</w:t>
            </w:r>
          </w:p>
        </w:tc>
        <w:tc>
          <w:tcPr>
            <w:tcW w:w="1660" w:type="dxa"/>
            <w:vAlign w:val="bottom"/>
          </w:tcPr>
          <w:p>
            <w:pPr>
              <w:spacing w:after="0"/>
              <w:rPr>
                <w:sz w:val="18"/>
                <w:szCs w:val="18"/>
                <w:color w:val="auto"/>
              </w:rPr>
            </w:pPr>
          </w:p>
        </w:tc>
      </w:tr>
      <w:tr>
        <w:trPr>
          <w:trHeight w:val="216"/>
        </w:trPr>
        <w:tc>
          <w:tcPr>
            <w:tcW w:w="3580" w:type="dxa"/>
            <w:vAlign w:val="bottom"/>
            <w:shd w:val="clear" w:color="auto" w:fill="BECFDE"/>
          </w:tcPr>
          <w:p>
            <w:pPr>
              <w:ind w:left="40"/>
              <w:spacing w:after="0"/>
              <w:rPr>
                <w:sz w:val="20"/>
                <w:szCs w:val="20"/>
                <w:color w:val="auto"/>
              </w:rPr>
            </w:pPr>
            <w:r>
              <w:rPr>
                <w:rFonts w:ascii="Arial" w:cs="Arial" w:eastAsia="Arial" w:hAnsi="Arial"/>
                <w:sz w:val="14"/>
                <w:szCs w:val="14"/>
                <w:color w:val="auto"/>
              </w:rPr>
              <w:t>Ms. Flach</w:t>
            </w:r>
          </w:p>
        </w:tc>
        <w:tc>
          <w:tcPr>
            <w:tcW w:w="4880" w:type="dxa"/>
            <w:vAlign w:val="bottom"/>
            <w:shd w:val="clear" w:color="auto" w:fill="BECFDE"/>
          </w:tcPr>
          <w:p>
            <w:pPr>
              <w:jc w:val="right"/>
              <w:ind w:right="1108"/>
              <w:spacing w:after="0"/>
              <w:rPr>
                <w:sz w:val="20"/>
                <w:szCs w:val="20"/>
                <w:color w:val="auto"/>
              </w:rPr>
            </w:pPr>
            <w:r>
              <w:rPr>
                <w:rFonts w:ascii="Arial" w:cs="Arial" w:eastAsia="Arial" w:hAnsi="Arial"/>
                <w:sz w:val="14"/>
                <w:szCs w:val="14"/>
                <w:color w:val="auto"/>
              </w:rPr>
              <w:t>162,296</w:t>
            </w:r>
          </w:p>
        </w:tc>
        <w:tc>
          <w:tcPr>
            <w:tcW w:w="1660" w:type="dxa"/>
            <w:vAlign w:val="bottom"/>
            <w:shd w:val="clear" w:color="auto" w:fill="BECFDE"/>
          </w:tcPr>
          <w:p>
            <w:pPr>
              <w:spacing w:after="0"/>
              <w:rPr>
                <w:sz w:val="18"/>
                <w:szCs w:val="18"/>
                <w:color w:val="auto"/>
              </w:rPr>
            </w:pPr>
          </w:p>
        </w:tc>
      </w:tr>
      <w:tr>
        <w:trPr>
          <w:trHeight w:val="216"/>
        </w:trPr>
        <w:tc>
          <w:tcPr>
            <w:tcW w:w="3580" w:type="dxa"/>
            <w:vAlign w:val="bottom"/>
          </w:tcPr>
          <w:p>
            <w:pPr>
              <w:ind w:left="40"/>
              <w:spacing w:after="0"/>
              <w:rPr>
                <w:sz w:val="20"/>
                <w:szCs w:val="20"/>
                <w:color w:val="auto"/>
              </w:rPr>
            </w:pPr>
            <w:r>
              <w:rPr>
                <w:rFonts w:ascii="Arial" w:cs="Arial" w:eastAsia="Arial" w:hAnsi="Arial"/>
                <w:sz w:val="14"/>
                <w:szCs w:val="14"/>
                <w:color w:val="auto"/>
              </w:rPr>
              <w:t>Mr. Pamiljans</w:t>
            </w:r>
          </w:p>
        </w:tc>
        <w:tc>
          <w:tcPr>
            <w:tcW w:w="4880" w:type="dxa"/>
            <w:vAlign w:val="bottom"/>
          </w:tcPr>
          <w:p>
            <w:pPr>
              <w:jc w:val="right"/>
              <w:ind w:right="1108"/>
              <w:spacing w:after="0"/>
              <w:rPr>
                <w:sz w:val="20"/>
                <w:szCs w:val="20"/>
                <w:color w:val="auto"/>
              </w:rPr>
            </w:pPr>
            <w:r>
              <w:rPr>
                <w:rFonts w:ascii="Arial" w:cs="Arial" w:eastAsia="Arial" w:hAnsi="Arial"/>
                <w:sz w:val="14"/>
                <w:szCs w:val="14"/>
                <w:color w:val="auto"/>
              </w:rPr>
              <w:t>55,762</w:t>
            </w:r>
          </w:p>
        </w:tc>
        <w:tc>
          <w:tcPr>
            <w:tcW w:w="1660" w:type="dxa"/>
            <w:vAlign w:val="bottom"/>
          </w:tcPr>
          <w:p>
            <w:pPr>
              <w:spacing w:after="0"/>
              <w:rPr>
                <w:sz w:val="18"/>
                <w:szCs w:val="18"/>
                <w:color w:val="auto"/>
              </w:rPr>
            </w:pPr>
          </w:p>
        </w:tc>
      </w:tr>
      <w:tr>
        <w:trPr>
          <w:trHeight w:val="216"/>
        </w:trPr>
        <w:tc>
          <w:tcPr>
            <w:tcW w:w="3580" w:type="dxa"/>
            <w:vAlign w:val="bottom"/>
            <w:tcBorders>
              <w:bottom w:val="single" w:sz="8" w:color="276092"/>
            </w:tcBorders>
            <w:shd w:val="clear" w:color="auto" w:fill="BECFDE"/>
          </w:tcPr>
          <w:p>
            <w:pPr>
              <w:ind w:left="40"/>
              <w:spacing w:after="0"/>
              <w:rPr>
                <w:sz w:val="20"/>
                <w:szCs w:val="20"/>
                <w:color w:val="auto"/>
              </w:rPr>
            </w:pPr>
            <w:r>
              <w:rPr>
                <w:rFonts w:ascii="Arial" w:cs="Arial" w:eastAsia="Arial" w:hAnsi="Arial"/>
                <w:sz w:val="14"/>
                <w:szCs w:val="14"/>
                <w:color w:val="auto"/>
              </w:rPr>
              <w:t>Ms. Warden</w:t>
            </w:r>
          </w:p>
        </w:tc>
        <w:tc>
          <w:tcPr>
            <w:tcW w:w="4880" w:type="dxa"/>
            <w:vAlign w:val="bottom"/>
            <w:tcBorders>
              <w:bottom w:val="single" w:sz="8" w:color="276092"/>
            </w:tcBorders>
            <w:shd w:val="clear" w:color="auto" w:fill="BECFDE"/>
          </w:tcPr>
          <w:p>
            <w:pPr>
              <w:jc w:val="right"/>
              <w:ind w:right="1108"/>
              <w:spacing w:after="0"/>
              <w:rPr>
                <w:sz w:val="20"/>
                <w:szCs w:val="20"/>
                <w:color w:val="auto"/>
              </w:rPr>
            </w:pPr>
            <w:r>
              <w:rPr>
                <w:rFonts w:ascii="Arial" w:cs="Arial" w:eastAsia="Arial" w:hAnsi="Arial"/>
                <w:sz w:val="14"/>
                <w:szCs w:val="14"/>
                <w:color w:val="auto"/>
              </w:rPr>
              <w:t>166,329</w:t>
            </w:r>
          </w:p>
        </w:tc>
        <w:tc>
          <w:tcPr>
            <w:tcW w:w="1660" w:type="dxa"/>
            <w:vAlign w:val="bottom"/>
            <w:shd w:val="clear" w:color="auto" w:fill="BECFD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-556895</wp:posOffset>
            </wp:positionV>
            <wp:extent cx="1054735" cy="5575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54735" cy="557530"/>
                    </a:xfrm>
                    <a:prstGeom prst="rect">
                      <a:avLst/>
                    </a:prstGeom>
                    <a:noFill/>
                  </pic:spPr>
                </pic:pic>
              </a:graphicData>
            </a:graphic>
          </wp:anchor>
        </w:drawing>
      </w:r>
    </w:p>
    <w:p>
      <w:pPr>
        <w:spacing w:after="0" w:line="101" w:lineRule="exact"/>
        <w:rPr>
          <w:sz w:val="20"/>
          <w:szCs w:val="20"/>
          <w:color w:val="auto"/>
        </w:rPr>
      </w:pPr>
    </w:p>
    <w:p>
      <w:pPr>
        <w:ind w:left="640" w:hanging="38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Flach retired from the Company on December 31, 2017.</w:t>
      </w:r>
    </w:p>
    <w:p>
      <w:pPr>
        <w:spacing w:after="0" w:line="117" w:lineRule="exact"/>
        <w:rPr>
          <w:rFonts w:ascii="Arial" w:cs="Arial" w:eastAsia="Arial" w:hAnsi="Arial"/>
          <w:sz w:val="18"/>
          <w:szCs w:val="18"/>
          <w:color w:val="auto"/>
        </w:rPr>
      </w:pPr>
    </w:p>
    <w:p>
      <w:pPr>
        <w:ind w:left="640" w:hanging="38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Pamiljans was not an NEO for 2016 and 2015; therefore, data for these years is not reflected.</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51</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G</w:t>
      </w:r>
      <w:r>
        <w:rPr>
          <w:rFonts w:ascii="Arial" w:cs="Arial" w:eastAsia="Arial" w:hAnsi="Arial"/>
          <w:sz w:val="18"/>
          <w:szCs w:val="18"/>
          <w:b w:val="1"/>
          <w:bCs w:val="1"/>
          <w:color w:val="FFFFFF"/>
        </w:rPr>
        <w:t>RANTS OF</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LAN</w:t>
      </w:r>
      <w:r>
        <w:rPr>
          <w:rFonts w:ascii="Arial" w:cs="Arial" w:eastAsia="Arial" w:hAnsi="Arial"/>
          <w:sz w:val="22"/>
          <w:szCs w:val="22"/>
          <w:b w:val="1"/>
          <w:bCs w:val="1"/>
          <w:color w:val="FFFFFF"/>
        </w:rPr>
        <w:t>-B</w:t>
      </w:r>
      <w:r>
        <w:rPr>
          <w:rFonts w:ascii="Arial" w:cs="Arial" w:eastAsia="Arial" w:hAnsi="Arial"/>
          <w:sz w:val="18"/>
          <w:szCs w:val="18"/>
          <w:b w:val="1"/>
          <w:bCs w:val="1"/>
          <w:color w:val="FFFFFF"/>
        </w:rPr>
        <w:t>ASED</w:t>
      </w:r>
      <w:r>
        <w:rPr>
          <w:rFonts w:ascii="Arial" w:cs="Arial" w:eastAsia="Arial" w:hAnsi="Arial"/>
          <w:sz w:val="22"/>
          <w:szCs w:val="22"/>
          <w:b w:val="1"/>
          <w:bCs w:val="1"/>
          <w:color w:val="FFFFFF"/>
        </w:rPr>
        <w:t xml:space="preserve"> A</w:t>
      </w:r>
      <w:r>
        <w:rPr>
          <w:rFonts w:ascii="Arial" w:cs="Arial" w:eastAsia="Arial" w:hAnsi="Arial"/>
          <w:sz w:val="18"/>
          <w:szCs w:val="18"/>
          <w:b w:val="1"/>
          <w:bCs w:val="1"/>
          <w:color w:val="FFFFFF"/>
        </w:rPr>
        <w:t>WARDS</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Grants of Plan-Based Awards</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780" w:type="dxa"/>
            <w:vAlign w:val="bottom"/>
            <w:shd w:val="clear" w:color="auto" w:fill="276092"/>
          </w:tcPr>
          <w:p>
            <w:pPr>
              <w:spacing w:after="0"/>
              <w:rPr>
                <w:sz w:val="16"/>
                <w:szCs w:val="16"/>
                <w:color w:val="auto"/>
              </w:rPr>
            </w:pPr>
          </w:p>
        </w:tc>
        <w:tc>
          <w:tcPr>
            <w:tcW w:w="1060" w:type="dxa"/>
            <w:vAlign w:val="bottom"/>
            <w:shd w:val="clear" w:color="auto" w:fill="276092"/>
          </w:tcPr>
          <w:p>
            <w:pPr>
              <w:spacing w:after="0"/>
              <w:rPr>
                <w:sz w:val="16"/>
                <w:szCs w:val="16"/>
                <w:color w:val="auto"/>
              </w:rPr>
            </w:pPr>
          </w:p>
        </w:tc>
        <w:tc>
          <w:tcPr>
            <w:tcW w:w="860" w:type="dxa"/>
            <w:vAlign w:val="bottom"/>
            <w:shd w:val="clear" w:color="auto" w:fill="276092"/>
          </w:tcPr>
          <w:p>
            <w:pPr>
              <w:spacing w:after="0"/>
              <w:rPr>
                <w:sz w:val="16"/>
                <w:szCs w:val="16"/>
                <w:color w:val="auto"/>
              </w:rPr>
            </w:pPr>
          </w:p>
        </w:tc>
        <w:tc>
          <w:tcPr>
            <w:tcW w:w="840" w:type="dxa"/>
            <w:vAlign w:val="bottom"/>
            <w:shd w:val="clear" w:color="auto" w:fill="276092"/>
          </w:tcPr>
          <w:p>
            <w:pPr>
              <w:spacing w:after="0"/>
              <w:rPr>
                <w:sz w:val="16"/>
                <w:szCs w:val="16"/>
                <w:color w:val="auto"/>
              </w:rPr>
            </w:pPr>
          </w:p>
        </w:tc>
        <w:tc>
          <w:tcPr>
            <w:tcW w:w="800" w:type="dxa"/>
            <w:vAlign w:val="bottom"/>
            <w:shd w:val="clear" w:color="auto" w:fill="276092"/>
          </w:tcPr>
          <w:p>
            <w:pPr>
              <w:spacing w:after="0"/>
              <w:rPr>
                <w:sz w:val="16"/>
                <w:szCs w:val="16"/>
                <w:color w:val="auto"/>
              </w:rPr>
            </w:pPr>
          </w:p>
        </w:tc>
        <w:tc>
          <w:tcPr>
            <w:tcW w:w="820" w:type="dxa"/>
            <w:vAlign w:val="bottom"/>
            <w:shd w:val="clear" w:color="auto" w:fill="276092"/>
          </w:tcPr>
          <w:p>
            <w:pPr>
              <w:spacing w:after="0"/>
              <w:rPr>
                <w:sz w:val="16"/>
                <w:szCs w:val="16"/>
                <w:color w:val="auto"/>
              </w:rPr>
            </w:pPr>
          </w:p>
        </w:tc>
        <w:tc>
          <w:tcPr>
            <w:tcW w:w="840" w:type="dxa"/>
            <w:vAlign w:val="bottom"/>
            <w:shd w:val="clear" w:color="auto" w:fill="276092"/>
          </w:tcPr>
          <w:p>
            <w:pPr>
              <w:spacing w:after="0"/>
              <w:rPr>
                <w:sz w:val="16"/>
                <w:szCs w:val="16"/>
                <w:color w:val="auto"/>
              </w:rPr>
            </w:pPr>
          </w:p>
        </w:tc>
        <w:tc>
          <w:tcPr>
            <w:tcW w:w="540" w:type="dxa"/>
            <w:vAlign w:val="bottom"/>
            <w:shd w:val="clear" w:color="auto" w:fill="276092"/>
          </w:tcPr>
          <w:p>
            <w:pPr>
              <w:spacing w:after="0"/>
              <w:rPr>
                <w:sz w:val="16"/>
                <w:szCs w:val="16"/>
                <w:color w:val="auto"/>
              </w:rPr>
            </w:pPr>
          </w:p>
        </w:tc>
        <w:tc>
          <w:tcPr>
            <w:tcW w:w="780" w:type="dxa"/>
            <w:vAlign w:val="bottom"/>
            <w:shd w:val="clear" w:color="auto" w:fill="276092"/>
          </w:tcPr>
          <w:p>
            <w:pPr>
              <w:spacing w:after="0"/>
              <w:rPr>
                <w:sz w:val="16"/>
                <w:szCs w:val="16"/>
                <w:color w:val="auto"/>
              </w:rPr>
            </w:pPr>
          </w:p>
        </w:tc>
        <w:tc>
          <w:tcPr>
            <w:tcW w:w="80" w:type="dxa"/>
            <w:vAlign w:val="bottom"/>
            <w:shd w:val="clear" w:color="auto" w:fill="276092"/>
          </w:tcPr>
          <w:p>
            <w:pPr>
              <w:spacing w:after="0"/>
              <w:rPr>
                <w:sz w:val="16"/>
                <w:szCs w:val="16"/>
                <w:color w:val="auto"/>
              </w:rPr>
            </w:pPr>
          </w:p>
        </w:tc>
        <w:tc>
          <w:tcPr>
            <w:tcW w:w="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All Other</w:t>
            </w:r>
          </w:p>
        </w:tc>
        <w:tc>
          <w:tcPr>
            <w:tcW w:w="100" w:type="dxa"/>
            <w:vAlign w:val="bottom"/>
            <w:shd w:val="clear" w:color="auto" w:fill="276092"/>
          </w:tcPr>
          <w:p>
            <w:pPr>
              <w:spacing w:after="0"/>
              <w:rPr>
                <w:sz w:val="16"/>
                <w:szCs w:val="16"/>
                <w:color w:val="auto"/>
              </w:rPr>
            </w:pPr>
          </w:p>
        </w:tc>
        <w:tc>
          <w:tcPr>
            <w:tcW w:w="800" w:type="dxa"/>
            <w:vAlign w:val="bottom"/>
            <w:shd w:val="clear" w:color="auto" w:fill="27609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276092"/>
          </w:tcPr>
          <w:p>
            <w:pPr>
              <w:spacing w:after="0"/>
              <w:rPr>
                <w:sz w:val="14"/>
                <w:szCs w:val="14"/>
                <w:color w:val="auto"/>
              </w:rPr>
            </w:pPr>
          </w:p>
        </w:tc>
        <w:tc>
          <w:tcPr>
            <w:tcW w:w="1060" w:type="dxa"/>
            <w:vAlign w:val="bottom"/>
            <w:shd w:val="clear" w:color="auto" w:fill="276092"/>
          </w:tcPr>
          <w:p>
            <w:pPr>
              <w:spacing w:after="0"/>
              <w:rPr>
                <w:sz w:val="14"/>
                <w:szCs w:val="14"/>
                <w:color w:val="auto"/>
              </w:rPr>
            </w:pPr>
          </w:p>
        </w:tc>
        <w:tc>
          <w:tcPr>
            <w:tcW w:w="86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820" w:type="dxa"/>
            <w:vAlign w:val="bottom"/>
            <w:shd w:val="clear" w:color="auto" w:fill="276092"/>
          </w:tcPr>
          <w:p>
            <w:pPr>
              <w:spacing w:after="0"/>
              <w:rPr>
                <w:sz w:val="14"/>
                <w:szCs w:val="14"/>
                <w:color w:val="auto"/>
              </w:rPr>
            </w:pPr>
          </w:p>
        </w:tc>
        <w:tc>
          <w:tcPr>
            <w:tcW w:w="840" w:type="dxa"/>
            <w:vAlign w:val="bottom"/>
            <w:shd w:val="clear" w:color="auto" w:fill="276092"/>
          </w:tcPr>
          <w:p>
            <w:pPr>
              <w:spacing w:after="0"/>
              <w:rPr>
                <w:sz w:val="14"/>
                <w:szCs w:val="14"/>
                <w:color w:val="auto"/>
              </w:rPr>
            </w:pPr>
          </w:p>
        </w:tc>
        <w:tc>
          <w:tcPr>
            <w:tcW w:w="540" w:type="dxa"/>
            <w:vAlign w:val="bottom"/>
            <w:shd w:val="clear" w:color="auto" w:fill="276092"/>
          </w:tcPr>
          <w:p>
            <w:pPr>
              <w:spacing w:after="0"/>
              <w:rPr>
                <w:sz w:val="14"/>
                <w:szCs w:val="14"/>
                <w:color w:val="auto"/>
              </w:rPr>
            </w:pPr>
          </w:p>
        </w:tc>
        <w:tc>
          <w:tcPr>
            <w:tcW w:w="780" w:type="dxa"/>
            <w:vAlign w:val="bottom"/>
            <w:shd w:val="clear" w:color="auto" w:fill="276092"/>
          </w:tcPr>
          <w:p>
            <w:pPr>
              <w:spacing w:after="0"/>
              <w:rPr>
                <w:sz w:val="14"/>
                <w:szCs w:val="14"/>
                <w:color w:val="auto"/>
              </w:rPr>
            </w:pPr>
          </w:p>
        </w:tc>
        <w:tc>
          <w:tcPr>
            <w:tcW w:w="80" w:type="dxa"/>
            <w:vAlign w:val="bottom"/>
            <w:shd w:val="clear" w:color="auto" w:fill="276092"/>
          </w:tcPr>
          <w:p>
            <w:pPr>
              <w:spacing w:after="0"/>
              <w:rPr>
                <w:sz w:val="14"/>
                <w:szCs w:val="14"/>
                <w:color w:val="auto"/>
              </w:rPr>
            </w:pPr>
          </w:p>
        </w:tc>
        <w:tc>
          <w:tcPr>
            <w:tcW w:w="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 w:type="dxa"/>
            <w:vAlign w:val="bottom"/>
            <w:shd w:val="clear" w:color="auto" w:fill="276092"/>
          </w:tcPr>
          <w:p>
            <w:pPr>
              <w:spacing w:after="0"/>
              <w:rPr>
                <w:sz w:val="14"/>
                <w:szCs w:val="14"/>
                <w:color w:val="auto"/>
              </w:rPr>
            </w:pPr>
          </w:p>
        </w:tc>
        <w:tc>
          <w:tcPr>
            <w:tcW w:w="80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276092"/>
          </w:tcPr>
          <w:p>
            <w:pPr>
              <w:spacing w:after="0"/>
              <w:rPr>
                <w:sz w:val="14"/>
                <w:szCs w:val="14"/>
                <w:color w:val="auto"/>
              </w:rPr>
            </w:pPr>
          </w:p>
        </w:tc>
        <w:tc>
          <w:tcPr>
            <w:tcW w:w="1060" w:type="dxa"/>
            <w:vAlign w:val="bottom"/>
            <w:shd w:val="clear" w:color="auto" w:fill="276092"/>
          </w:tcPr>
          <w:p>
            <w:pPr>
              <w:spacing w:after="0"/>
              <w:rPr>
                <w:sz w:val="14"/>
                <w:szCs w:val="14"/>
                <w:color w:val="auto"/>
              </w:rPr>
            </w:pPr>
          </w:p>
        </w:tc>
        <w:tc>
          <w:tcPr>
            <w:tcW w:w="860" w:type="dxa"/>
            <w:vAlign w:val="bottom"/>
            <w:shd w:val="clear" w:color="auto" w:fill="276092"/>
          </w:tcPr>
          <w:p>
            <w:pPr>
              <w:spacing w:after="0"/>
              <w:rPr>
                <w:sz w:val="14"/>
                <w:szCs w:val="14"/>
                <w:color w:val="auto"/>
              </w:rPr>
            </w:pPr>
          </w:p>
        </w:tc>
        <w:tc>
          <w:tcPr>
            <w:tcW w:w="24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21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80" w:type="dxa"/>
            <w:vAlign w:val="bottom"/>
            <w:shd w:val="clear" w:color="auto" w:fill="276092"/>
          </w:tcPr>
          <w:p>
            <w:pPr>
              <w:spacing w:after="0"/>
              <w:rPr>
                <w:sz w:val="14"/>
                <w:szCs w:val="14"/>
                <w:color w:val="auto"/>
              </w:rPr>
            </w:pPr>
          </w:p>
        </w:tc>
        <w:tc>
          <w:tcPr>
            <w:tcW w:w="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276092"/>
          </w:tcPr>
          <w:p>
            <w:pPr>
              <w:spacing w:after="0"/>
              <w:rPr>
                <w:sz w:val="14"/>
                <w:szCs w:val="14"/>
                <w:color w:val="auto"/>
              </w:rPr>
            </w:pPr>
          </w:p>
        </w:tc>
        <w:tc>
          <w:tcPr>
            <w:tcW w:w="8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08"/>
        </w:trPr>
        <w:tc>
          <w:tcPr>
            <w:tcW w:w="2780" w:type="dxa"/>
            <w:vAlign w:val="bottom"/>
            <w:shd w:val="clear" w:color="auto" w:fill="276092"/>
          </w:tcPr>
          <w:p>
            <w:pPr>
              <w:spacing w:after="0"/>
              <w:rPr>
                <w:sz w:val="9"/>
                <w:szCs w:val="9"/>
                <w:color w:val="auto"/>
              </w:rPr>
            </w:pPr>
          </w:p>
        </w:tc>
        <w:tc>
          <w:tcPr>
            <w:tcW w:w="1060" w:type="dxa"/>
            <w:vAlign w:val="bottom"/>
            <w:shd w:val="clear" w:color="auto" w:fill="276092"/>
          </w:tcPr>
          <w:p>
            <w:pPr>
              <w:spacing w:after="0"/>
              <w:rPr>
                <w:sz w:val="9"/>
                <w:szCs w:val="9"/>
                <w:color w:val="auto"/>
              </w:rPr>
            </w:pPr>
          </w:p>
        </w:tc>
        <w:tc>
          <w:tcPr>
            <w:tcW w:w="860" w:type="dxa"/>
            <w:vAlign w:val="bottom"/>
            <w:shd w:val="clear" w:color="auto" w:fill="276092"/>
          </w:tcPr>
          <w:p>
            <w:pPr>
              <w:spacing w:after="0"/>
              <w:rPr>
                <w:sz w:val="9"/>
                <w:szCs w:val="9"/>
                <w:color w:val="auto"/>
              </w:rPr>
            </w:pPr>
          </w:p>
        </w:tc>
        <w:tc>
          <w:tcPr>
            <w:tcW w:w="2460" w:type="dxa"/>
            <w:vAlign w:val="bottom"/>
            <w:gridSpan w:val="3"/>
            <w:vMerge w:val="continue"/>
            <w:shd w:val="clear" w:color="auto" w:fill="276092"/>
          </w:tcPr>
          <w:p>
            <w:pPr>
              <w:spacing w:after="0"/>
              <w:rPr>
                <w:sz w:val="9"/>
                <w:szCs w:val="9"/>
                <w:color w:val="auto"/>
              </w:rPr>
            </w:pPr>
          </w:p>
        </w:tc>
        <w:tc>
          <w:tcPr>
            <w:tcW w:w="2160" w:type="dxa"/>
            <w:vAlign w:val="bottom"/>
            <w:gridSpan w:val="3"/>
            <w:vMerge w:val="continue"/>
            <w:shd w:val="clear" w:color="auto" w:fill="276092"/>
          </w:tcPr>
          <w:p>
            <w:pPr>
              <w:spacing w:after="0"/>
              <w:rPr>
                <w:sz w:val="9"/>
                <w:szCs w:val="9"/>
                <w:color w:val="auto"/>
              </w:rPr>
            </w:pPr>
          </w:p>
        </w:tc>
        <w:tc>
          <w:tcPr>
            <w:tcW w:w="80" w:type="dxa"/>
            <w:vAlign w:val="bottom"/>
            <w:shd w:val="clear" w:color="auto" w:fill="276092"/>
          </w:tcPr>
          <w:p>
            <w:pPr>
              <w:spacing w:after="0"/>
              <w:rPr>
                <w:sz w:val="9"/>
                <w:szCs w:val="9"/>
                <w:color w:val="auto"/>
              </w:rPr>
            </w:pPr>
          </w:p>
        </w:tc>
        <w:tc>
          <w:tcPr>
            <w:tcW w:w="720" w:type="dxa"/>
            <w:vAlign w:val="bottom"/>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00" w:type="dxa"/>
            <w:vAlign w:val="bottom"/>
            <w:shd w:val="clear" w:color="auto" w:fill="276092"/>
          </w:tcPr>
          <w:p>
            <w:pPr>
              <w:spacing w:after="0"/>
              <w:rPr>
                <w:sz w:val="9"/>
                <w:szCs w:val="9"/>
                <w:color w:val="auto"/>
              </w:rPr>
            </w:pPr>
          </w:p>
        </w:tc>
        <w:tc>
          <w:tcPr>
            <w:tcW w:w="800" w:type="dxa"/>
            <w:vAlign w:val="bottom"/>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54"/>
        </w:trPr>
        <w:tc>
          <w:tcPr>
            <w:tcW w:w="2780" w:type="dxa"/>
            <w:vAlign w:val="bottom"/>
            <w:shd w:val="clear" w:color="auto" w:fill="276092"/>
          </w:tcPr>
          <w:p>
            <w:pPr>
              <w:spacing w:after="0"/>
              <w:rPr>
                <w:sz w:val="4"/>
                <w:szCs w:val="4"/>
                <w:color w:val="auto"/>
              </w:rPr>
            </w:pPr>
          </w:p>
        </w:tc>
        <w:tc>
          <w:tcPr>
            <w:tcW w:w="1060" w:type="dxa"/>
            <w:vAlign w:val="bottom"/>
            <w:shd w:val="clear" w:color="auto" w:fill="276092"/>
          </w:tcPr>
          <w:p>
            <w:pPr>
              <w:spacing w:after="0"/>
              <w:rPr>
                <w:sz w:val="4"/>
                <w:szCs w:val="4"/>
                <w:color w:val="auto"/>
              </w:rPr>
            </w:pPr>
          </w:p>
        </w:tc>
        <w:tc>
          <w:tcPr>
            <w:tcW w:w="860" w:type="dxa"/>
            <w:vAlign w:val="bottom"/>
            <w:shd w:val="clear" w:color="auto" w:fill="276092"/>
          </w:tcPr>
          <w:p>
            <w:pPr>
              <w:spacing w:after="0"/>
              <w:rPr>
                <w:sz w:val="4"/>
                <w:szCs w:val="4"/>
                <w:color w:val="auto"/>
              </w:rPr>
            </w:pPr>
          </w:p>
        </w:tc>
        <w:tc>
          <w:tcPr>
            <w:tcW w:w="24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21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Under Equity Incentive</w:t>
            </w:r>
          </w:p>
        </w:tc>
        <w:tc>
          <w:tcPr>
            <w:tcW w:w="80" w:type="dxa"/>
            <w:vAlign w:val="bottom"/>
            <w:shd w:val="clear" w:color="auto" w:fill="276092"/>
          </w:tcPr>
          <w:p>
            <w:pPr>
              <w:spacing w:after="0"/>
              <w:rPr>
                <w:sz w:val="4"/>
                <w:szCs w:val="4"/>
                <w:color w:val="auto"/>
              </w:rPr>
            </w:pPr>
          </w:p>
        </w:tc>
        <w:tc>
          <w:tcPr>
            <w:tcW w:w="720" w:type="dxa"/>
            <w:vAlign w:val="bottom"/>
            <w:vMerge w:val="continue"/>
            <w:shd w:val="clear" w:color="auto" w:fill="276092"/>
          </w:tcPr>
          <w:p>
            <w:pPr>
              <w:spacing w:after="0"/>
              <w:rPr>
                <w:sz w:val="4"/>
                <w:szCs w:val="4"/>
                <w:color w:val="auto"/>
              </w:rPr>
            </w:pPr>
          </w:p>
        </w:tc>
        <w:tc>
          <w:tcPr>
            <w:tcW w:w="100" w:type="dxa"/>
            <w:vAlign w:val="bottom"/>
            <w:shd w:val="clear" w:color="auto" w:fill="276092"/>
          </w:tcPr>
          <w:p>
            <w:pPr>
              <w:spacing w:after="0"/>
              <w:rPr>
                <w:sz w:val="4"/>
                <w:szCs w:val="4"/>
                <w:color w:val="auto"/>
              </w:rPr>
            </w:pPr>
          </w:p>
        </w:tc>
        <w:tc>
          <w:tcPr>
            <w:tcW w:w="800" w:type="dxa"/>
            <w:vAlign w:val="bottom"/>
            <w:vMerge w:val="continue"/>
            <w:shd w:val="clear" w:color="auto" w:fill="276092"/>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780" w:type="dxa"/>
            <w:vAlign w:val="bottom"/>
            <w:shd w:val="clear" w:color="auto" w:fill="276092"/>
          </w:tcPr>
          <w:p>
            <w:pPr>
              <w:spacing w:after="0"/>
              <w:rPr>
                <w:sz w:val="9"/>
                <w:szCs w:val="9"/>
                <w:color w:val="auto"/>
              </w:rPr>
            </w:pPr>
          </w:p>
        </w:tc>
        <w:tc>
          <w:tcPr>
            <w:tcW w:w="1060" w:type="dxa"/>
            <w:vAlign w:val="bottom"/>
            <w:shd w:val="clear" w:color="auto" w:fill="276092"/>
          </w:tcPr>
          <w:p>
            <w:pPr>
              <w:spacing w:after="0"/>
              <w:rPr>
                <w:sz w:val="9"/>
                <w:szCs w:val="9"/>
                <w:color w:val="auto"/>
              </w:rPr>
            </w:pPr>
          </w:p>
        </w:tc>
        <w:tc>
          <w:tcPr>
            <w:tcW w:w="860" w:type="dxa"/>
            <w:vAlign w:val="bottom"/>
            <w:shd w:val="clear" w:color="auto" w:fill="276092"/>
          </w:tcPr>
          <w:p>
            <w:pPr>
              <w:spacing w:after="0"/>
              <w:rPr>
                <w:sz w:val="9"/>
                <w:szCs w:val="9"/>
                <w:color w:val="auto"/>
              </w:rPr>
            </w:pPr>
          </w:p>
        </w:tc>
        <w:tc>
          <w:tcPr>
            <w:tcW w:w="2460" w:type="dxa"/>
            <w:vAlign w:val="bottom"/>
            <w:gridSpan w:val="3"/>
            <w:vMerge w:val="continue"/>
            <w:shd w:val="clear" w:color="auto" w:fill="276092"/>
          </w:tcPr>
          <w:p>
            <w:pPr>
              <w:spacing w:after="0"/>
              <w:rPr>
                <w:sz w:val="9"/>
                <w:szCs w:val="9"/>
                <w:color w:val="auto"/>
              </w:rPr>
            </w:pPr>
          </w:p>
        </w:tc>
        <w:tc>
          <w:tcPr>
            <w:tcW w:w="2160" w:type="dxa"/>
            <w:vAlign w:val="bottom"/>
            <w:gridSpan w:val="3"/>
            <w:vMerge w:val="continue"/>
            <w:shd w:val="clear" w:color="auto" w:fill="276092"/>
          </w:tcPr>
          <w:p>
            <w:pPr>
              <w:spacing w:after="0"/>
              <w:rPr>
                <w:sz w:val="9"/>
                <w:szCs w:val="9"/>
                <w:color w:val="auto"/>
              </w:rPr>
            </w:pPr>
          </w:p>
        </w:tc>
        <w:tc>
          <w:tcPr>
            <w:tcW w:w="80" w:type="dxa"/>
            <w:vAlign w:val="bottom"/>
            <w:shd w:val="clear" w:color="auto" w:fill="276092"/>
          </w:tcPr>
          <w:p>
            <w:pPr>
              <w:spacing w:after="0"/>
              <w:rPr>
                <w:sz w:val="9"/>
                <w:szCs w:val="9"/>
                <w:color w:val="auto"/>
              </w:rPr>
            </w:pPr>
          </w:p>
        </w:tc>
        <w:tc>
          <w:tcPr>
            <w:tcW w:w="720" w:type="dxa"/>
            <w:vAlign w:val="bottom"/>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Shares of</w:t>
            </w:r>
          </w:p>
        </w:tc>
        <w:tc>
          <w:tcPr>
            <w:tcW w:w="100" w:type="dxa"/>
            <w:vAlign w:val="bottom"/>
            <w:shd w:val="clear" w:color="auto" w:fill="276092"/>
          </w:tcPr>
          <w:p>
            <w:pPr>
              <w:spacing w:after="0"/>
              <w:rPr>
                <w:sz w:val="9"/>
                <w:szCs w:val="9"/>
                <w:color w:val="auto"/>
              </w:rPr>
            </w:pPr>
          </w:p>
        </w:tc>
        <w:tc>
          <w:tcPr>
            <w:tcW w:w="800" w:type="dxa"/>
            <w:vAlign w:val="bottom"/>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54"/>
        </w:trPr>
        <w:tc>
          <w:tcPr>
            <w:tcW w:w="2780" w:type="dxa"/>
            <w:vAlign w:val="bottom"/>
            <w:shd w:val="clear" w:color="auto" w:fill="276092"/>
          </w:tcPr>
          <w:p>
            <w:pPr>
              <w:spacing w:after="0"/>
              <w:rPr>
                <w:sz w:val="4"/>
                <w:szCs w:val="4"/>
                <w:color w:val="auto"/>
              </w:rPr>
            </w:pPr>
          </w:p>
        </w:tc>
        <w:tc>
          <w:tcPr>
            <w:tcW w:w="1060" w:type="dxa"/>
            <w:vAlign w:val="bottom"/>
            <w:shd w:val="clear" w:color="auto" w:fill="276092"/>
          </w:tcPr>
          <w:p>
            <w:pPr>
              <w:spacing w:after="0"/>
              <w:rPr>
                <w:sz w:val="4"/>
                <w:szCs w:val="4"/>
                <w:color w:val="auto"/>
              </w:rPr>
            </w:pPr>
          </w:p>
        </w:tc>
        <w:tc>
          <w:tcPr>
            <w:tcW w:w="860" w:type="dxa"/>
            <w:vAlign w:val="bottom"/>
            <w:shd w:val="clear" w:color="auto" w:fill="276092"/>
          </w:tcPr>
          <w:p>
            <w:pPr>
              <w:spacing w:after="0"/>
              <w:rPr>
                <w:sz w:val="4"/>
                <w:szCs w:val="4"/>
                <w:color w:val="auto"/>
              </w:rPr>
            </w:pPr>
          </w:p>
        </w:tc>
        <w:tc>
          <w:tcPr>
            <w:tcW w:w="24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Plan Awards (1)</w:t>
            </w:r>
          </w:p>
        </w:tc>
        <w:tc>
          <w:tcPr>
            <w:tcW w:w="2160" w:type="dxa"/>
            <w:vAlign w:val="bottom"/>
            <w:gridSpan w:val="3"/>
            <w:vMerge w:val="restart"/>
            <w:shd w:val="clear" w:color="auto" w:fill="276092"/>
          </w:tcPr>
          <w:p>
            <w:pPr>
              <w:jc w:val="center"/>
              <w:spacing w:after="0"/>
              <w:rPr>
                <w:sz w:val="20"/>
                <w:szCs w:val="20"/>
                <w:color w:val="auto"/>
              </w:rPr>
            </w:pPr>
            <w:r>
              <w:rPr>
                <w:rFonts w:ascii="Arial" w:cs="Arial" w:eastAsia="Arial" w:hAnsi="Arial"/>
                <w:sz w:val="14"/>
                <w:szCs w:val="14"/>
                <w:b w:val="1"/>
                <w:bCs w:val="1"/>
                <w:color w:val="FFFFFF"/>
              </w:rPr>
              <w:t>Plan Awards (2)</w:t>
            </w:r>
          </w:p>
        </w:tc>
        <w:tc>
          <w:tcPr>
            <w:tcW w:w="80" w:type="dxa"/>
            <w:vAlign w:val="bottom"/>
            <w:shd w:val="clear" w:color="auto" w:fill="276092"/>
          </w:tcPr>
          <w:p>
            <w:pPr>
              <w:spacing w:after="0"/>
              <w:rPr>
                <w:sz w:val="4"/>
                <w:szCs w:val="4"/>
                <w:color w:val="auto"/>
              </w:rPr>
            </w:pPr>
          </w:p>
        </w:tc>
        <w:tc>
          <w:tcPr>
            <w:tcW w:w="720" w:type="dxa"/>
            <w:vAlign w:val="bottom"/>
            <w:vMerge w:val="continue"/>
            <w:shd w:val="clear" w:color="auto" w:fill="276092"/>
          </w:tcPr>
          <w:p>
            <w:pPr>
              <w:spacing w:after="0"/>
              <w:rPr>
                <w:sz w:val="4"/>
                <w:szCs w:val="4"/>
                <w:color w:val="auto"/>
              </w:rPr>
            </w:pPr>
          </w:p>
        </w:tc>
        <w:tc>
          <w:tcPr>
            <w:tcW w:w="100" w:type="dxa"/>
            <w:vAlign w:val="bottom"/>
            <w:shd w:val="clear" w:color="auto" w:fill="276092"/>
          </w:tcPr>
          <w:p>
            <w:pPr>
              <w:spacing w:after="0"/>
              <w:rPr>
                <w:sz w:val="4"/>
                <w:szCs w:val="4"/>
                <w:color w:val="auto"/>
              </w:rPr>
            </w:pPr>
          </w:p>
        </w:tc>
        <w:tc>
          <w:tcPr>
            <w:tcW w:w="800" w:type="dxa"/>
            <w:vAlign w:val="bottom"/>
            <w:vMerge w:val="continue"/>
            <w:shd w:val="clear" w:color="auto" w:fill="276092"/>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276092"/>
          </w:tcPr>
          <w:p>
            <w:pPr>
              <w:spacing w:after="0"/>
              <w:rPr>
                <w:sz w:val="12"/>
                <w:szCs w:val="12"/>
                <w:color w:val="auto"/>
              </w:rPr>
            </w:pPr>
          </w:p>
        </w:tc>
        <w:tc>
          <w:tcPr>
            <w:tcW w:w="1060" w:type="dxa"/>
            <w:vAlign w:val="bottom"/>
            <w:shd w:val="clear" w:color="auto" w:fill="276092"/>
          </w:tcPr>
          <w:p>
            <w:pPr>
              <w:spacing w:after="0"/>
              <w:rPr>
                <w:sz w:val="12"/>
                <w:szCs w:val="12"/>
                <w:color w:val="auto"/>
              </w:rPr>
            </w:pPr>
          </w:p>
        </w:tc>
        <w:tc>
          <w:tcPr>
            <w:tcW w:w="860" w:type="dxa"/>
            <w:vAlign w:val="bottom"/>
            <w:shd w:val="clear" w:color="auto" w:fill="276092"/>
          </w:tcPr>
          <w:p>
            <w:pPr>
              <w:spacing w:after="0"/>
              <w:rPr>
                <w:sz w:val="12"/>
                <w:szCs w:val="12"/>
                <w:color w:val="auto"/>
              </w:rPr>
            </w:pPr>
          </w:p>
        </w:tc>
        <w:tc>
          <w:tcPr>
            <w:tcW w:w="2460" w:type="dxa"/>
            <w:vAlign w:val="bottom"/>
            <w:gridSpan w:val="3"/>
            <w:vMerge w:val="continue"/>
            <w:shd w:val="clear" w:color="auto" w:fill="276092"/>
          </w:tcPr>
          <w:p>
            <w:pPr>
              <w:spacing w:after="0"/>
              <w:rPr>
                <w:sz w:val="12"/>
                <w:szCs w:val="12"/>
                <w:color w:val="auto"/>
              </w:rPr>
            </w:pPr>
          </w:p>
        </w:tc>
        <w:tc>
          <w:tcPr>
            <w:tcW w:w="2160" w:type="dxa"/>
            <w:vAlign w:val="bottom"/>
            <w:gridSpan w:val="3"/>
            <w:vMerge w:val="continue"/>
            <w:shd w:val="clear" w:color="auto" w:fill="276092"/>
          </w:tcPr>
          <w:p>
            <w:pPr>
              <w:spacing w:after="0"/>
              <w:rPr>
                <w:sz w:val="12"/>
                <w:szCs w:val="12"/>
                <w:color w:val="auto"/>
              </w:rPr>
            </w:pPr>
          </w:p>
        </w:tc>
        <w:tc>
          <w:tcPr>
            <w:tcW w:w="80" w:type="dxa"/>
            <w:vAlign w:val="bottom"/>
            <w:shd w:val="clear" w:color="auto" w:fill="276092"/>
          </w:tcPr>
          <w:p>
            <w:pPr>
              <w:spacing w:after="0"/>
              <w:rPr>
                <w:sz w:val="12"/>
                <w:szCs w:val="12"/>
                <w:color w:val="auto"/>
              </w:rPr>
            </w:pPr>
          </w:p>
        </w:tc>
        <w:tc>
          <w:tcPr>
            <w:tcW w:w="720" w:type="dxa"/>
            <w:vAlign w:val="bottom"/>
            <w:shd w:val="clear" w:color="auto" w:fill="276092"/>
          </w:tcPr>
          <w:p>
            <w:pPr>
              <w:jc w:val="center"/>
              <w:spacing w:after="0" w:line="149" w:lineRule="exact"/>
              <w:rPr>
                <w:sz w:val="20"/>
                <w:szCs w:val="20"/>
                <w:color w:val="auto"/>
              </w:rPr>
            </w:pPr>
            <w:r>
              <w:rPr>
                <w:rFonts w:ascii="Arial" w:cs="Arial" w:eastAsia="Arial" w:hAnsi="Arial"/>
                <w:sz w:val="14"/>
                <w:szCs w:val="14"/>
                <w:b w:val="1"/>
                <w:bCs w:val="1"/>
                <w:color w:val="FFFFFF"/>
              </w:rPr>
              <w:t>Stock or</w:t>
            </w:r>
          </w:p>
        </w:tc>
        <w:tc>
          <w:tcPr>
            <w:tcW w:w="100" w:type="dxa"/>
            <w:vAlign w:val="bottom"/>
            <w:shd w:val="clear" w:color="auto" w:fill="276092"/>
          </w:tcPr>
          <w:p>
            <w:pPr>
              <w:spacing w:after="0"/>
              <w:rPr>
                <w:sz w:val="12"/>
                <w:szCs w:val="12"/>
                <w:color w:val="auto"/>
              </w:rPr>
            </w:pPr>
          </w:p>
        </w:tc>
        <w:tc>
          <w:tcPr>
            <w:tcW w:w="800" w:type="dxa"/>
            <w:vAlign w:val="bottom"/>
            <w:shd w:val="clear" w:color="auto" w:fill="276092"/>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0" w:type="dxa"/>
            <w:vAlign w:val="bottom"/>
          </w:tcPr>
          <w:p>
            <w:pPr>
              <w:spacing w:after="0"/>
              <w:rPr>
                <w:sz w:val="1"/>
                <w:szCs w:val="1"/>
                <w:color w:val="auto"/>
              </w:rPr>
            </w:pPr>
          </w:p>
        </w:tc>
      </w:tr>
      <w:tr>
        <w:trPr>
          <w:trHeight w:val="162"/>
        </w:trPr>
        <w:tc>
          <w:tcPr>
            <w:tcW w:w="2780" w:type="dxa"/>
            <w:vAlign w:val="bottom"/>
            <w:shd w:val="clear" w:color="auto" w:fill="276092"/>
          </w:tcPr>
          <w:p>
            <w:pPr>
              <w:spacing w:after="0"/>
              <w:rPr>
                <w:sz w:val="14"/>
                <w:szCs w:val="14"/>
                <w:color w:val="auto"/>
              </w:rPr>
            </w:pPr>
          </w:p>
        </w:tc>
        <w:tc>
          <w:tcPr>
            <w:tcW w:w="1060" w:type="dxa"/>
            <w:vAlign w:val="bottom"/>
            <w:shd w:val="clear" w:color="auto" w:fill="276092"/>
          </w:tcPr>
          <w:p>
            <w:pPr>
              <w:spacing w:after="0"/>
              <w:rPr>
                <w:sz w:val="14"/>
                <w:szCs w:val="14"/>
                <w:color w:val="auto"/>
              </w:rPr>
            </w:pPr>
          </w:p>
        </w:tc>
        <w:tc>
          <w:tcPr>
            <w:tcW w:w="860" w:type="dxa"/>
            <w:vAlign w:val="bottom"/>
            <w:shd w:val="clear" w:color="auto" w:fill="276092"/>
          </w:tcPr>
          <w:p>
            <w:pPr>
              <w:spacing w:after="0"/>
              <w:rPr>
                <w:sz w:val="14"/>
                <w:szCs w:val="14"/>
                <w:color w:val="auto"/>
              </w:rPr>
            </w:pPr>
          </w:p>
        </w:tc>
        <w:tc>
          <w:tcPr>
            <w:tcW w:w="840" w:type="dxa"/>
            <w:vAlign w:val="bottom"/>
            <w:shd w:val="clear" w:color="auto" w:fill="276092"/>
          </w:tcPr>
          <w:p>
            <w:pPr>
              <w:ind w:left="80"/>
              <w:spacing w:after="0"/>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20" w:type="dxa"/>
            <w:vAlign w:val="bottom"/>
            <w:shd w:val="clear" w:color="auto" w:fill="276092"/>
          </w:tcPr>
          <w:p>
            <w:pPr>
              <w:ind w:left="100"/>
              <w:spacing w:after="0"/>
              <w:rPr>
                <w:sz w:val="20"/>
                <w:szCs w:val="20"/>
                <w:color w:val="auto"/>
              </w:rPr>
            </w:pPr>
            <w:r>
              <w:rPr>
                <w:rFonts w:ascii="Arial" w:cs="Arial" w:eastAsia="Arial" w:hAnsi="Arial"/>
                <w:sz w:val="14"/>
                <w:szCs w:val="14"/>
                <w:b w:val="1"/>
                <w:bCs w:val="1"/>
                <w:color w:val="FFFFFF"/>
              </w:rPr>
              <w:t>Maximum</w:t>
            </w:r>
          </w:p>
        </w:tc>
        <w:tc>
          <w:tcPr>
            <w:tcW w:w="840" w:type="dxa"/>
            <w:vAlign w:val="bottom"/>
            <w:shd w:val="clear" w:color="auto" w:fill="276092"/>
          </w:tcPr>
          <w:p>
            <w:pPr>
              <w:ind w:left="80"/>
              <w:spacing w:after="0"/>
              <w:rPr>
                <w:sz w:val="20"/>
                <w:szCs w:val="20"/>
                <w:color w:val="auto"/>
              </w:rPr>
            </w:pPr>
            <w:r>
              <w:rPr>
                <w:rFonts w:ascii="Arial" w:cs="Arial" w:eastAsia="Arial" w:hAnsi="Arial"/>
                <w:sz w:val="14"/>
                <w:szCs w:val="14"/>
                <w:b w:val="1"/>
                <w:bCs w:val="1"/>
                <w:color w:val="FFFFFF"/>
              </w:rPr>
              <w:t>Threshold</w:t>
            </w:r>
          </w:p>
        </w:tc>
        <w:tc>
          <w:tcPr>
            <w:tcW w:w="5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78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Maximum</w:t>
            </w:r>
          </w:p>
        </w:tc>
        <w:tc>
          <w:tcPr>
            <w:tcW w:w="80" w:type="dxa"/>
            <w:vAlign w:val="bottom"/>
            <w:shd w:val="clear" w:color="auto" w:fill="276092"/>
          </w:tcPr>
          <w:p>
            <w:pPr>
              <w:spacing w:after="0"/>
              <w:rPr>
                <w:sz w:val="14"/>
                <w:szCs w:val="14"/>
                <w:color w:val="auto"/>
              </w:rPr>
            </w:pPr>
          </w:p>
        </w:tc>
        <w:tc>
          <w:tcPr>
            <w:tcW w:w="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Units (3)</w:t>
            </w:r>
          </w:p>
        </w:tc>
        <w:tc>
          <w:tcPr>
            <w:tcW w:w="900" w:type="dxa"/>
            <w:vAlign w:val="bottom"/>
            <w:gridSpan w:val="2"/>
            <w:shd w:val="clear" w:color="auto" w:fill="276092"/>
          </w:tcPr>
          <w:p>
            <w:pPr>
              <w:jc w:val="center"/>
              <w:spacing w:after="0"/>
              <w:rPr>
                <w:sz w:val="20"/>
                <w:szCs w:val="20"/>
                <w:color w:val="auto"/>
              </w:rPr>
            </w:pPr>
            <w:r>
              <w:rPr>
                <w:rFonts w:ascii="Arial" w:cs="Arial" w:eastAsia="Arial" w:hAnsi="Arial"/>
                <w:sz w:val="14"/>
                <w:szCs w:val="14"/>
                <w:b w:val="1"/>
                <w:bCs w:val="1"/>
                <w:color w:val="FFFFFF"/>
              </w:rPr>
              <w:t>Awards (4)</w:t>
            </w:r>
          </w:p>
        </w:tc>
        <w:tc>
          <w:tcPr>
            <w:tcW w:w="0" w:type="dxa"/>
            <w:vAlign w:val="bottom"/>
          </w:tcPr>
          <w:p>
            <w:pPr>
              <w:spacing w:after="0"/>
              <w:rPr>
                <w:sz w:val="1"/>
                <w:szCs w:val="1"/>
                <w:color w:val="auto"/>
              </w:rPr>
            </w:pPr>
          </w:p>
        </w:tc>
      </w:tr>
      <w:tr>
        <w:trPr>
          <w:trHeight w:val="202"/>
        </w:trPr>
        <w:tc>
          <w:tcPr>
            <w:tcW w:w="2780" w:type="dxa"/>
            <w:vAlign w:val="bottom"/>
            <w:shd w:val="clear" w:color="auto" w:fill="276092"/>
          </w:tcPr>
          <w:p>
            <w:pPr>
              <w:ind w:left="4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276092"/>
          </w:tcPr>
          <w:p>
            <w:pPr>
              <w:ind w:left="180"/>
              <w:spacing w:after="0"/>
              <w:rPr>
                <w:sz w:val="20"/>
                <w:szCs w:val="20"/>
                <w:color w:val="auto"/>
              </w:rPr>
            </w:pPr>
            <w:r>
              <w:rPr>
                <w:rFonts w:ascii="Arial" w:cs="Arial" w:eastAsia="Arial" w:hAnsi="Arial"/>
                <w:sz w:val="14"/>
                <w:szCs w:val="14"/>
                <w:b w:val="1"/>
                <w:bCs w:val="1"/>
                <w:color w:val="FFFFFF"/>
              </w:rPr>
              <w:t>Grant Type</w:t>
            </w:r>
          </w:p>
        </w:tc>
        <w:tc>
          <w:tcPr>
            <w:tcW w:w="86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Grant Date</w:t>
            </w:r>
          </w:p>
        </w:tc>
        <w:tc>
          <w:tcPr>
            <w:tcW w:w="8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276092"/>
          </w:tcPr>
          <w:p>
            <w:pPr>
              <w:spacing w:after="0"/>
              <w:rPr>
                <w:sz w:val="17"/>
                <w:szCs w:val="17"/>
                <w:color w:val="auto"/>
              </w:rPr>
            </w:pPr>
          </w:p>
        </w:tc>
        <w:tc>
          <w:tcPr>
            <w:tcW w:w="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gridSpan w:val="2"/>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Incentive Plan</w:t>
            </w:r>
          </w:p>
        </w:tc>
        <w:tc>
          <w:tcPr>
            <w:tcW w:w="860" w:type="dxa"/>
            <w:vAlign w:val="bottom"/>
            <w:shd w:val="clear" w:color="auto" w:fill="BECFDE"/>
          </w:tcPr>
          <w:p>
            <w:pPr>
              <w:spacing w:after="0"/>
              <w:rPr>
                <w:sz w:val="19"/>
                <w:szCs w:val="19"/>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2,795,400</w:t>
            </w:r>
          </w:p>
        </w:tc>
        <w:tc>
          <w:tcPr>
            <w:tcW w:w="8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5,590,800</w:t>
            </w:r>
          </w:p>
        </w:tc>
        <w:tc>
          <w:tcPr>
            <w:tcW w:w="840" w:type="dxa"/>
            <w:vAlign w:val="bottom"/>
            <w:shd w:val="clear" w:color="auto" w:fill="BECFDE"/>
          </w:tcPr>
          <w:p>
            <w:pPr>
              <w:spacing w:after="0"/>
              <w:rPr>
                <w:sz w:val="19"/>
                <w:szCs w:val="19"/>
                <w:color w:val="auto"/>
              </w:rPr>
            </w:pPr>
          </w:p>
        </w:tc>
        <w:tc>
          <w:tcPr>
            <w:tcW w:w="540" w:type="dxa"/>
            <w:vAlign w:val="bottom"/>
            <w:shd w:val="clear" w:color="auto" w:fill="BECFDE"/>
          </w:tcPr>
          <w:p>
            <w:pPr>
              <w:spacing w:after="0"/>
              <w:rPr>
                <w:sz w:val="19"/>
                <w:szCs w:val="19"/>
                <w:color w:val="auto"/>
              </w:rPr>
            </w:pPr>
          </w:p>
        </w:tc>
        <w:tc>
          <w:tcPr>
            <w:tcW w:w="780" w:type="dxa"/>
            <w:vAlign w:val="bottom"/>
            <w:shd w:val="clear" w:color="auto" w:fill="BECFDE"/>
          </w:tcPr>
          <w:p>
            <w:pPr>
              <w:spacing w:after="0"/>
              <w:rPr>
                <w:sz w:val="19"/>
                <w:szCs w:val="19"/>
                <w:color w:val="auto"/>
              </w:rPr>
            </w:pPr>
          </w:p>
        </w:tc>
        <w:tc>
          <w:tcPr>
            <w:tcW w:w="80" w:type="dxa"/>
            <w:vAlign w:val="bottom"/>
            <w:shd w:val="clear" w:color="auto" w:fill="BECFDE"/>
          </w:tcPr>
          <w:p>
            <w:pPr>
              <w:spacing w:after="0"/>
              <w:rPr>
                <w:sz w:val="19"/>
                <w:szCs w:val="19"/>
                <w:color w:val="auto"/>
              </w:rPr>
            </w:pPr>
          </w:p>
        </w:tc>
        <w:tc>
          <w:tcPr>
            <w:tcW w:w="720" w:type="dxa"/>
            <w:vAlign w:val="bottom"/>
            <w:shd w:val="clear" w:color="auto" w:fill="BECFDE"/>
          </w:tcPr>
          <w:p>
            <w:pPr>
              <w:spacing w:after="0"/>
              <w:rPr>
                <w:sz w:val="19"/>
                <w:szCs w:val="19"/>
                <w:color w:val="auto"/>
              </w:rPr>
            </w:pPr>
          </w:p>
        </w:tc>
        <w:tc>
          <w:tcPr>
            <w:tcW w:w="100" w:type="dxa"/>
            <w:vAlign w:val="bottom"/>
            <w:shd w:val="clear" w:color="auto" w:fill="BECFDE"/>
          </w:tcPr>
          <w:p>
            <w:pPr>
              <w:spacing w:after="0"/>
              <w:rPr>
                <w:sz w:val="19"/>
                <w:szCs w:val="19"/>
                <w:color w:val="auto"/>
              </w:rPr>
            </w:pPr>
          </w:p>
        </w:tc>
        <w:tc>
          <w:tcPr>
            <w:tcW w:w="800" w:type="dxa"/>
            <w:vAlign w:val="bottom"/>
            <w:shd w:val="clear" w:color="auto" w:fill="BECFD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40"/>
              <w:spacing w:after="0"/>
              <w:rPr>
                <w:sz w:val="20"/>
                <w:szCs w:val="20"/>
                <w:color w:val="auto"/>
              </w:rPr>
            </w:pPr>
            <w:r>
              <w:rPr>
                <w:rFonts w:ascii="Arial" w:cs="Arial" w:eastAsia="Arial" w:hAnsi="Arial"/>
                <w:sz w:val="14"/>
                <w:szCs w:val="14"/>
                <w:color w:val="auto"/>
              </w:rPr>
              <w:t>Wesley G. Bush</w:t>
            </w:r>
          </w:p>
        </w:tc>
        <w:tc>
          <w:tcPr>
            <w:tcW w:w="1060" w:type="dxa"/>
            <w:vAlign w:val="bottom"/>
          </w:tcPr>
          <w:p>
            <w:pPr>
              <w:ind w:left="100"/>
              <w:spacing w:after="0"/>
              <w:rPr>
                <w:sz w:val="20"/>
                <w:szCs w:val="20"/>
                <w:color w:val="auto"/>
              </w:rPr>
            </w:pPr>
            <w:r>
              <w:rPr>
                <w:rFonts w:ascii="Arial" w:cs="Arial" w:eastAsia="Arial" w:hAnsi="Arial"/>
                <w:sz w:val="14"/>
                <w:szCs w:val="14"/>
                <w:color w:val="auto"/>
              </w:rPr>
              <w:t>RPSR</w:t>
            </w:r>
          </w:p>
        </w:tc>
        <w:tc>
          <w:tcPr>
            <w:tcW w:w="860" w:type="dxa"/>
            <w:vAlign w:val="bottom"/>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tcPr>
          <w:p>
            <w:pPr>
              <w:jc w:val="center"/>
              <w:spacing w:after="0"/>
              <w:rPr>
                <w:sz w:val="20"/>
                <w:szCs w:val="20"/>
                <w:color w:val="auto"/>
              </w:rPr>
            </w:pPr>
            <w:r>
              <w:rPr>
                <w:rFonts w:ascii="Arial" w:cs="Arial" w:eastAsia="Arial" w:hAnsi="Arial"/>
                <w:sz w:val="14"/>
                <w:szCs w:val="14"/>
                <w:color w:val="auto"/>
              </w:rPr>
              <w:t>30,504</w:t>
            </w:r>
          </w:p>
        </w:tc>
        <w:tc>
          <w:tcPr>
            <w:tcW w:w="780" w:type="dxa"/>
            <w:vAlign w:val="bottom"/>
          </w:tcPr>
          <w:p>
            <w:pPr>
              <w:jc w:val="center"/>
              <w:spacing w:after="0"/>
              <w:rPr>
                <w:sz w:val="20"/>
                <w:szCs w:val="20"/>
                <w:color w:val="auto"/>
              </w:rPr>
            </w:pPr>
            <w:r>
              <w:rPr>
                <w:rFonts w:ascii="Arial" w:cs="Arial" w:eastAsia="Arial" w:hAnsi="Arial"/>
                <w:sz w:val="14"/>
                <w:szCs w:val="14"/>
                <w:color w:val="auto"/>
              </w:rPr>
              <w:t>45,756</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7,000,058</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276092"/>
            </w:tcBorders>
          </w:tcPr>
          <w:p>
            <w:pPr>
              <w:spacing w:after="0"/>
              <w:rPr>
                <w:sz w:val="19"/>
                <w:szCs w:val="19"/>
                <w:color w:val="auto"/>
              </w:rPr>
            </w:pPr>
          </w:p>
        </w:tc>
        <w:tc>
          <w:tcPr>
            <w:tcW w:w="1060" w:type="dxa"/>
            <w:vAlign w:val="bottom"/>
            <w:tcBorders>
              <w:bottom w:val="single" w:sz="8" w:color="276092"/>
            </w:tcBorders>
            <w:shd w:val="clear" w:color="auto" w:fill="BECFDE"/>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shd w:val="clear" w:color="auto" w:fill="BECFDE"/>
          </w:tcPr>
          <w:p>
            <w:pPr>
              <w:spacing w:after="0"/>
              <w:rPr>
                <w:sz w:val="19"/>
                <w:szCs w:val="19"/>
                <w:color w:val="auto"/>
              </w:rPr>
            </w:pPr>
          </w:p>
        </w:tc>
        <w:tc>
          <w:tcPr>
            <w:tcW w:w="820" w:type="dxa"/>
            <w:vAlign w:val="bottom"/>
            <w:tcBorders>
              <w:bottom w:val="single" w:sz="8" w:color="276092"/>
            </w:tcBorders>
            <w:shd w:val="clear" w:color="auto" w:fill="BECFDE"/>
          </w:tcPr>
          <w:p>
            <w:pPr>
              <w:spacing w:after="0"/>
              <w:rPr>
                <w:sz w:val="19"/>
                <w:szCs w:val="19"/>
                <w:color w:val="auto"/>
              </w:rPr>
            </w:pPr>
          </w:p>
        </w:tc>
        <w:tc>
          <w:tcPr>
            <w:tcW w:w="840" w:type="dxa"/>
            <w:vAlign w:val="bottom"/>
            <w:tcBorders>
              <w:bottom w:val="single" w:sz="8" w:color="276092"/>
            </w:tcBorders>
            <w:shd w:val="clear" w:color="auto" w:fill="BECFDE"/>
          </w:tcPr>
          <w:p>
            <w:pPr>
              <w:spacing w:after="0"/>
              <w:rPr>
                <w:sz w:val="19"/>
                <w:szCs w:val="19"/>
                <w:color w:val="auto"/>
              </w:rPr>
            </w:pPr>
          </w:p>
        </w:tc>
        <w:tc>
          <w:tcPr>
            <w:tcW w:w="540" w:type="dxa"/>
            <w:vAlign w:val="bottom"/>
            <w:tcBorders>
              <w:bottom w:val="single" w:sz="8" w:color="276092"/>
            </w:tcBorders>
            <w:shd w:val="clear" w:color="auto" w:fill="BECFDE"/>
          </w:tcPr>
          <w:p>
            <w:pPr>
              <w:spacing w:after="0"/>
              <w:rPr>
                <w:sz w:val="19"/>
                <w:szCs w:val="19"/>
                <w:color w:val="auto"/>
              </w:rPr>
            </w:pPr>
          </w:p>
        </w:tc>
        <w:tc>
          <w:tcPr>
            <w:tcW w:w="78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gridSpan w:val="2"/>
            <w:shd w:val="clear" w:color="auto" w:fill="BECFDE"/>
          </w:tcPr>
          <w:p>
            <w:pPr>
              <w:jc w:val="center"/>
              <w:spacing w:after="0"/>
              <w:rPr>
                <w:sz w:val="20"/>
                <w:szCs w:val="20"/>
                <w:color w:val="auto"/>
              </w:rPr>
            </w:pPr>
            <w:r>
              <w:rPr>
                <w:rFonts w:ascii="Arial" w:cs="Arial" w:eastAsia="Arial" w:hAnsi="Arial"/>
                <w:sz w:val="14"/>
                <w:szCs w:val="14"/>
                <w:color w:val="auto"/>
              </w:rPr>
              <w:t>12,756</w:t>
            </w:r>
          </w:p>
        </w:tc>
        <w:tc>
          <w:tcPr>
            <w:tcW w:w="900" w:type="dxa"/>
            <w:vAlign w:val="bottom"/>
            <w:tcBorders>
              <w:bottom w:val="single" w:sz="8" w:color="276092"/>
            </w:tcBorders>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2,999,911</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4"/>
                <w:szCs w:val="14"/>
                <w:color w:val="auto"/>
              </w:rPr>
              <w:t>Incentive Plan</w:t>
            </w: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795,000</w:t>
            </w:r>
          </w:p>
        </w:tc>
        <w:tc>
          <w:tcPr>
            <w:tcW w:w="820" w:type="dxa"/>
            <w:vAlign w:val="bottom"/>
          </w:tcPr>
          <w:p>
            <w:pPr>
              <w:jc w:val="center"/>
              <w:spacing w:after="0"/>
              <w:rPr>
                <w:sz w:val="20"/>
                <w:szCs w:val="20"/>
                <w:color w:val="auto"/>
              </w:rPr>
            </w:pPr>
            <w:r>
              <w:rPr>
                <w:rFonts w:ascii="Arial" w:cs="Arial" w:eastAsia="Arial" w:hAnsi="Arial"/>
                <w:sz w:val="14"/>
                <w:szCs w:val="14"/>
                <w:color w:val="auto"/>
              </w:rPr>
              <w:t>1,590,000</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80" w:type="dxa"/>
            <w:vAlign w:val="bottom"/>
          </w:tcPr>
          <w:p>
            <w:pPr>
              <w:ind w:left="40"/>
              <w:spacing w:after="0"/>
              <w:rPr>
                <w:sz w:val="20"/>
                <w:szCs w:val="20"/>
                <w:color w:val="auto"/>
              </w:rPr>
            </w:pPr>
            <w:r>
              <w:rPr>
                <w:rFonts w:ascii="Arial" w:cs="Arial" w:eastAsia="Arial" w:hAnsi="Arial"/>
                <w:sz w:val="14"/>
                <w:szCs w:val="14"/>
                <w:color w:val="auto"/>
              </w:rPr>
              <w:t>Kenneth L. Bedingfield</w:t>
            </w: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RPSR</w:t>
            </w:r>
          </w:p>
        </w:tc>
        <w:tc>
          <w:tcPr>
            <w:tcW w:w="8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shd w:val="clear" w:color="auto" w:fill="BECFDE"/>
          </w:tcPr>
          <w:p>
            <w:pPr>
              <w:spacing w:after="0"/>
              <w:rPr>
                <w:sz w:val="21"/>
                <w:szCs w:val="21"/>
                <w:color w:val="auto"/>
              </w:rPr>
            </w:pPr>
          </w:p>
        </w:tc>
        <w:tc>
          <w:tcPr>
            <w:tcW w:w="800" w:type="dxa"/>
            <w:vAlign w:val="bottom"/>
            <w:shd w:val="clear" w:color="auto" w:fill="BECFDE"/>
          </w:tcPr>
          <w:p>
            <w:pPr>
              <w:spacing w:after="0"/>
              <w:rPr>
                <w:sz w:val="21"/>
                <w:szCs w:val="21"/>
                <w:color w:val="auto"/>
              </w:rPr>
            </w:pPr>
          </w:p>
        </w:tc>
        <w:tc>
          <w:tcPr>
            <w:tcW w:w="820" w:type="dxa"/>
            <w:vAlign w:val="bottom"/>
            <w:shd w:val="clear" w:color="auto" w:fill="BECFDE"/>
          </w:tcPr>
          <w:p>
            <w:pPr>
              <w:spacing w:after="0"/>
              <w:rPr>
                <w:sz w:val="21"/>
                <w:szCs w:val="21"/>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9,914</w:t>
            </w:r>
          </w:p>
        </w:tc>
        <w:tc>
          <w:tcPr>
            <w:tcW w:w="7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14,871</w:t>
            </w:r>
          </w:p>
        </w:tc>
        <w:tc>
          <w:tcPr>
            <w:tcW w:w="80" w:type="dxa"/>
            <w:vAlign w:val="bottom"/>
            <w:shd w:val="clear" w:color="auto" w:fill="BECFDE"/>
          </w:tcPr>
          <w:p>
            <w:pPr>
              <w:spacing w:after="0"/>
              <w:rPr>
                <w:sz w:val="21"/>
                <w:szCs w:val="21"/>
                <w:color w:val="auto"/>
              </w:rPr>
            </w:pPr>
          </w:p>
        </w:tc>
        <w:tc>
          <w:tcPr>
            <w:tcW w:w="720" w:type="dxa"/>
            <w:vAlign w:val="bottom"/>
            <w:shd w:val="clear" w:color="auto" w:fill="BECFDE"/>
          </w:tcPr>
          <w:p>
            <w:pPr>
              <w:spacing w:after="0"/>
              <w:rPr>
                <w:sz w:val="21"/>
                <w:szCs w:val="21"/>
                <w:color w:val="auto"/>
              </w:rPr>
            </w:pPr>
          </w:p>
        </w:tc>
        <w:tc>
          <w:tcPr>
            <w:tcW w:w="900" w:type="dxa"/>
            <w:vAlign w:val="bottom"/>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2,275,064</w:t>
            </w:r>
          </w:p>
        </w:tc>
        <w:tc>
          <w:tcPr>
            <w:tcW w:w="0" w:type="dxa"/>
            <w:vAlign w:val="bottom"/>
          </w:tcPr>
          <w:p>
            <w:pPr>
              <w:spacing w:after="0"/>
              <w:rPr>
                <w:sz w:val="1"/>
                <w:szCs w:val="1"/>
                <w:color w:val="auto"/>
              </w:rPr>
            </w:pPr>
          </w:p>
        </w:tc>
      </w:tr>
      <w:tr>
        <w:trPr>
          <w:trHeight w:val="224"/>
        </w:trPr>
        <w:tc>
          <w:tcPr>
            <w:tcW w:w="2780" w:type="dxa"/>
            <w:vAlign w:val="bottom"/>
            <w:tcBorders>
              <w:bottom w:val="single" w:sz="8" w:color="276092"/>
            </w:tcBorders>
          </w:tcPr>
          <w:p>
            <w:pPr>
              <w:spacing w:after="0"/>
              <w:rPr>
                <w:sz w:val="19"/>
                <w:szCs w:val="19"/>
                <w:color w:val="auto"/>
              </w:rPr>
            </w:pPr>
          </w:p>
        </w:tc>
        <w:tc>
          <w:tcPr>
            <w:tcW w:w="1060" w:type="dxa"/>
            <w:vAlign w:val="bottom"/>
            <w:tcBorders>
              <w:bottom w:val="single" w:sz="8" w:color="276092"/>
            </w:tcBorders>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Borders>
              <w:bottom w:val="single" w:sz="8" w:color="276092"/>
            </w:tcBorders>
          </w:tcPr>
          <w:p>
            <w:pPr>
              <w:spacing w:after="0"/>
              <w:rPr>
                <w:sz w:val="19"/>
                <w:szCs w:val="19"/>
                <w:color w:val="auto"/>
              </w:rPr>
            </w:pPr>
          </w:p>
        </w:tc>
        <w:tc>
          <w:tcPr>
            <w:tcW w:w="800" w:type="dxa"/>
            <w:vAlign w:val="bottom"/>
            <w:tcBorders>
              <w:bottom w:val="single" w:sz="8" w:color="276092"/>
            </w:tcBorders>
          </w:tcPr>
          <w:p>
            <w:pPr>
              <w:spacing w:after="0"/>
              <w:rPr>
                <w:sz w:val="19"/>
                <w:szCs w:val="19"/>
                <w:color w:val="auto"/>
              </w:rPr>
            </w:pPr>
          </w:p>
        </w:tc>
        <w:tc>
          <w:tcPr>
            <w:tcW w:w="820" w:type="dxa"/>
            <w:vAlign w:val="bottom"/>
            <w:tcBorders>
              <w:bottom w:val="single" w:sz="8" w:color="276092"/>
            </w:tcBorders>
          </w:tcPr>
          <w:p>
            <w:pPr>
              <w:spacing w:after="0"/>
              <w:rPr>
                <w:sz w:val="19"/>
                <w:szCs w:val="19"/>
                <w:color w:val="auto"/>
              </w:rPr>
            </w:pPr>
          </w:p>
        </w:tc>
        <w:tc>
          <w:tcPr>
            <w:tcW w:w="840" w:type="dxa"/>
            <w:vAlign w:val="bottom"/>
            <w:tcBorders>
              <w:bottom w:val="single" w:sz="8" w:color="276092"/>
            </w:tcBorders>
          </w:tcPr>
          <w:p>
            <w:pPr>
              <w:spacing w:after="0"/>
              <w:rPr>
                <w:sz w:val="19"/>
                <w:szCs w:val="19"/>
                <w:color w:val="auto"/>
              </w:rPr>
            </w:pPr>
          </w:p>
        </w:tc>
        <w:tc>
          <w:tcPr>
            <w:tcW w:w="540" w:type="dxa"/>
            <w:vAlign w:val="bottom"/>
            <w:tcBorders>
              <w:bottom w:val="single" w:sz="8" w:color="276092"/>
            </w:tcBorders>
          </w:tcPr>
          <w:p>
            <w:pPr>
              <w:spacing w:after="0"/>
              <w:rPr>
                <w:sz w:val="19"/>
                <w:szCs w:val="19"/>
                <w:color w:val="auto"/>
              </w:rPr>
            </w:pPr>
          </w:p>
        </w:tc>
        <w:tc>
          <w:tcPr>
            <w:tcW w:w="780" w:type="dxa"/>
            <w:vAlign w:val="bottom"/>
            <w:tcBorders>
              <w:bottom w:val="single" w:sz="8" w:color="276092"/>
            </w:tcBorders>
          </w:tcPr>
          <w:p>
            <w:pPr>
              <w:spacing w:after="0"/>
              <w:rPr>
                <w:sz w:val="19"/>
                <w:szCs w:val="19"/>
                <w:color w:val="auto"/>
              </w:rPr>
            </w:pPr>
          </w:p>
        </w:tc>
        <w:tc>
          <w:tcPr>
            <w:tcW w:w="800" w:type="dxa"/>
            <w:vAlign w:val="bottom"/>
            <w:tcBorders>
              <w:bottom w:val="single" w:sz="8" w:color="276092"/>
            </w:tcBorders>
            <w:gridSpan w:val="2"/>
          </w:tcPr>
          <w:p>
            <w:pPr>
              <w:jc w:val="center"/>
              <w:spacing w:after="0"/>
              <w:rPr>
                <w:sz w:val="20"/>
                <w:szCs w:val="20"/>
                <w:color w:val="auto"/>
              </w:rPr>
            </w:pPr>
            <w:r>
              <w:rPr>
                <w:rFonts w:ascii="Arial" w:cs="Arial" w:eastAsia="Arial" w:hAnsi="Arial"/>
                <w:sz w:val="14"/>
                <w:szCs w:val="14"/>
                <w:color w:val="auto"/>
              </w:rPr>
              <w:t>4,146</w:t>
            </w:r>
          </w:p>
        </w:tc>
        <w:tc>
          <w:tcPr>
            <w:tcW w:w="900" w:type="dxa"/>
            <w:vAlign w:val="bottom"/>
            <w:tcBorders>
              <w:bottom w:val="single" w:sz="8" w:color="276092"/>
            </w:tcBorders>
            <w:gridSpan w:val="2"/>
          </w:tcPr>
          <w:p>
            <w:pPr>
              <w:jc w:val="center"/>
              <w:ind w:left="28"/>
              <w:spacing w:after="0"/>
              <w:rPr>
                <w:sz w:val="20"/>
                <w:szCs w:val="20"/>
                <w:color w:val="auto"/>
              </w:rPr>
            </w:pPr>
            <w:r>
              <w:rPr>
                <w:rFonts w:ascii="Arial" w:cs="Arial" w:eastAsia="Arial" w:hAnsi="Arial"/>
                <w:sz w:val="14"/>
                <w:szCs w:val="14"/>
                <w:color w:val="auto"/>
              </w:rPr>
              <w:t>975,042</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Incentive Plan</w:t>
            </w:r>
          </w:p>
        </w:tc>
        <w:tc>
          <w:tcPr>
            <w:tcW w:w="860" w:type="dxa"/>
            <w:vAlign w:val="bottom"/>
            <w:shd w:val="clear" w:color="auto" w:fill="BECFDE"/>
          </w:tcPr>
          <w:p>
            <w:pPr>
              <w:spacing w:after="0"/>
              <w:rPr>
                <w:sz w:val="19"/>
                <w:szCs w:val="19"/>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810,000</w:t>
            </w:r>
          </w:p>
        </w:tc>
        <w:tc>
          <w:tcPr>
            <w:tcW w:w="8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1,620,000</w:t>
            </w:r>
          </w:p>
        </w:tc>
        <w:tc>
          <w:tcPr>
            <w:tcW w:w="840" w:type="dxa"/>
            <w:vAlign w:val="bottom"/>
            <w:shd w:val="clear" w:color="auto" w:fill="BECFDE"/>
          </w:tcPr>
          <w:p>
            <w:pPr>
              <w:spacing w:after="0"/>
              <w:rPr>
                <w:sz w:val="19"/>
                <w:szCs w:val="19"/>
                <w:color w:val="auto"/>
              </w:rPr>
            </w:pPr>
          </w:p>
        </w:tc>
        <w:tc>
          <w:tcPr>
            <w:tcW w:w="540" w:type="dxa"/>
            <w:vAlign w:val="bottom"/>
            <w:shd w:val="clear" w:color="auto" w:fill="BECFDE"/>
          </w:tcPr>
          <w:p>
            <w:pPr>
              <w:spacing w:after="0"/>
              <w:rPr>
                <w:sz w:val="19"/>
                <w:szCs w:val="19"/>
                <w:color w:val="auto"/>
              </w:rPr>
            </w:pPr>
          </w:p>
        </w:tc>
        <w:tc>
          <w:tcPr>
            <w:tcW w:w="780" w:type="dxa"/>
            <w:vAlign w:val="bottom"/>
            <w:shd w:val="clear" w:color="auto" w:fill="BECFDE"/>
          </w:tcPr>
          <w:p>
            <w:pPr>
              <w:spacing w:after="0"/>
              <w:rPr>
                <w:sz w:val="19"/>
                <w:szCs w:val="19"/>
                <w:color w:val="auto"/>
              </w:rPr>
            </w:pPr>
          </w:p>
        </w:tc>
        <w:tc>
          <w:tcPr>
            <w:tcW w:w="80" w:type="dxa"/>
            <w:vAlign w:val="bottom"/>
            <w:shd w:val="clear" w:color="auto" w:fill="BECFDE"/>
          </w:tcPr>
          <w:p>
            <w:pPr>
              <w:spacing w:after="0"/>
              <w:rPr>
                <w:sz w:val="19"/>
                <w:szCs w:val="19"/>
                <w:color w:val="auto"/>
              </w:rPr>
            </w:pPr>
          </w:p>
        </w:tc>
        <w:tc>
          <w:tcPr>
            <w:tcW w:w="720" w:type="dxa"/>
            <w:vAlign w:val="bottom"/>
            <w:shd w:val="clear" w:color="auto" w:fill="BECFDE"/>
          </w:tcPr>
          <w:p>
            <w:pPr>
              <w:spacing w:after="0"/>
              <w:rPr>
                <w:sz w:val="19"/>
                <w:szCs w:val="19"/>
                <w:color w:val="auto"/>
              </w:rPr>
            </w:pPr>
          </w:p>
        </w:tc>
        <w:tc>
          <w:tcPr>
            <w:tcW w:w="100" w:type="dxa"/>
            <w:vAlign w:val="bottom"/>
            <w:shd w:val="clear" w:color="auto" w:fill="BECFDE"/>
          </w:tcPr>
          <w:p>
            <w:pPr>
              <w:spacing w:after="0"/>
              <w:rPr>
                <w:sz w:val="19"/>
                <w:szCs w:val="19"/>
                <w:color w:val="auto"/>
              </w:rPr>
            </w:pPr>
          </w:p>
        </w:tc>
        <w:tc>
          <w:tcPr>
            <w:tcW w:w="800" w:type="dxa"/>
            <w:vAlign w:val="bottom"/>
            <w:shd w:val="clear" w:color="auto" w:fill="BECFD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40"/>
              <w:spacing w:after="0"/>
              <w:rPr>
                <w:sz w:val="20"/>
                <w:szCs w:val="20"/>
                <w:color w:val="auto"/>
              </w:rPr>
            </w:pPr>
            <w:r>
              <w:rPr>
                <w:rFonts w:ascii="Arial" w:cs="Arial" w:eastAsia="Arial" w:hAnsi="Arial"/>
                <w:sz w:val="14"/>
                <w:szCs w:val="14"/>
                <w:color w:val="auto"/>
              </w:rPr>
              <w:t>Gloria A. Flach</w:t>
            </w:r>
          </w:p>
        </w:tc>
        <w:tc>
          <w:tcPr>
            <w:tcW w:w="1060" w:type="dxa"/>
            <w:vAlign w:val="bottom"/>
          </w:tcPr>
          <w:p>
            <w:pPr>
              <w:ind w:left="100"/>
              <w:spacing w:after="0"/>
              <w:rPr>
                <w:sz w:val="20"/>
                <w:szCs w:val="20"/>
                <w:color w:val="auto"/>
              </w:rPr>
            </w:pPr>
            <w:r>
              <w:rPr>
                <w:rFonts w:ascii="Arial" w:cs="Arial" w:eastAsia="Arial" w:hAnsi="Arial"/>
                <w:sz w:val="14"/>
                <w:szCs w:val="14"/>
                <w:color w:val="auto"/>
              </w:rPr>
              <w:t>RPSR</w:t>
            </w:r>
          </w:p>
        </w:tc>
        <w:tc>
          <w:tcPr>
            <w:tcW w:w="860" w:type="dxa"/>
            <w:vAlign w:val="bottom"/>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tcPr>
          <w:p>
            <w:pPr>
              <w:jc w:val="center"/>
              <w:spacing w:after="0"/>
              <w:rPr>
                <w:sz w:val="20"/>
                <w:szCs w:val="20"/>
                <w:color w:val="auto"/>
              </w:rPr>
            </w:pPr>
            <w:r>
              <w:rPr>
                <w:rFonts w:ascii="Arial" w:cs="Arial" w:eastAsia="Arial" w:hAnsi="Arial"/>
                <w:sz w:val="14"/>
                <w:szCs w:val="14"/>
                <w:color w:val="auto"/>
              </w:rPr>
              <w:t>10,676</w:t>
            </w:r>
          </w:p>
        </w:tc>
        <w:tc>
          <w:tcPr>
            <w:tcW w:w="780" w:type="dxa"/>
            <w:vAlign w:val="bottom"/>
          </w:tcPr>
          <w:p>
            <w:pPr>
              <w:jc w:val="center"/>
              <w:spacing w:after="0"/>
              <w:rPr>
                <w:sz w:val="20"/>
                <w:szCs w:val="20"/>
                <w:color w:val="auto"/>
              </w:rPr>
            </w:pPr>
            <w:r>
              <w:rPr>
                <w:rFonts w:ascii="Arial" w:cs="Arial" w:eastAsia="Arial" w:hAnsi="Arial"/>
                <w:sz w:val="14"/>
                <w:szCs w:val="14"/>
                <w:color w:val="auto"/>
              </w:rPr>
              <w:t>16,014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2,449,930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276092"/>
            </w:tcBorders>
          </w:tcPr>
          <w:p>
            <w:pPr>
              <w:spacing w:after="0"/>
              <w:rPr>
                <w:sz w:val="19"/>
                <w:szCs w:val="19"/>
                <w:color w:val="auto"/>
              </w:rPr>
            </w:pPr>
          </w:p>
        </w:tc>
        <w:tc>
          <w:tcPr>
            <w:tcW w:w="1060" w:type="dxa"/>
            <w:vAlign w:val="bottom"/>
            <w:tcBorders>
              <w:bottom w:val="single" w:sz="8" w:color="276092"/>
            </w:tcBorders>
            <w:shd w:val="clear" w:color="auto" w:fill="BECFDE"/>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shd w:val="clear" w:color="auto" w:fill="BECFDE"/>
          </w:tcPr>
          <w:p>
            <w:pPr>
              <w:spacing w:after="0"/>
              <w:rPr>
                <w:sz w:val="19"/>
                <w:szCs w:val="19"/>
                <w:color w:val="auto"/>
              </w:rPr>
            </w:pPr>
          </w:p>
        </w:tc>
        <w:tc>
          <w:tcPr>
            <w:tcW w:w="820" w:type="dxa"/>
            <w:vAlign w:val="bottom"/>
            <w:tcBorders>
              <w:bottom w:val="single" w:sz="8" w:color="276092"/>
            </w:tcBorders>
            <w:shd w:val="clear" w:color="auto" w:fill="BECFDE"/>
          </w:tcPr>
          <w:p>
            <w:pPr>
              <w:spacing w:after="0"/>
              <w:rPr>
                <w:sz w:val="19"/>
                <w:szCs w:val="19"/>
                <w:color w:val="auto"/>
              </w:rPr>
            </w:pPr>
          </w:p>
        </w:tc>
        <w:tc>
          <w:tcPr>
            <w:tcW w:w="840" w:type="dxa"/>
            <w:vAlign w:val="bottom"/>
            <w:tcBorders>
              <w:bottom w:val="single" w:sz="8" w:color="276092"/>
            </w:tcBorders>
            <w:shd w:val="clear" w:color="auto" w:fill="BECFDE"/>
          </w:tcPr>
          <w:p>
            <w:pPr>
              <w:spacing w:after="0"/>
              <w:rPr>
                <w:sz w:val="19"/>
                <w:szCs w:val="19"/>
                <w:color w:val="auto"/>
              </w:rPr>
            </w:pPr>
          </w:p>
        </w:tc>
        <w:tc>
          <w:tcPr>
            <w:tcW w:w="540" w:type="dxa"/>
            <w:vAlign w:val="bottom"/>
            <w:tcBorders>
              <w:bottom w:val="single" w:sz="8" w:color="276092"/>
            </w:tcBorders>
            <w:shd w:val="clear" w:color="auto" w:fill="BECFDE"/>
          </w:tcPr>
          <w:p>
            <w:pPr>
              <w:spacing w:after="0"/>
              <w:rPr>
                <w:sz w:val="19"/>
                <w:szCs w:val="19"/>
                <w:color w:val="auto"/>
              </w:rPr>
            </w:pPr>
          </w:p>
        </w:tc>
        <w:tc>
          <w:tcPr>
            <w:tcW w:w="78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gridSpan w:val="2"/>
            <w:shd w:val="clear" w:color="auto" w:fill="BECFDE"/>
          </w:tcPr>
          <w:p>
            <w:pPr>
              <w:jc w:val="center"/>
              <w:spacing w:after="0"/>
              <w:rPr>
                <w:sz w:val="20"/>
                <w:szCs w:val="20"/>
                <w:color w:val="auto"/>
              </w:rPr>
            </w:pPr>
            <w:r>
              <w:rPr>
                <w:rFonts w:ascii="Arial" w:cs="Arial" w:eastAsia="Arial" w:hAnsi="Arial"/>
                <w:sz w:val="14"/>
                <w:szCs w:val="14"/>
                <w:color w:val="auto"/>
              </w:rPr>
              <w:t>4,465</w:t>
            </w:r>
          </w:p>
        </w:tc>
        <w:tc>
          <w:tcPr>
            <w:tcW w:w="900" w:type="dxa"/>
            <w:vAlign w:val="bottom"/>
            <w:tcBorders>
              <w:bottom w:val="single" w:sz="8" w:color="276092"/>
            </w:tcBorders>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1,050,063</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4"/>
                <w:szCs w:val="14"/>
                <w:color w:val="auto"/>
              </w:rPr>
              <w:t>Incentive Plan</w:t>
            </w:r>
          </w:p>
        </w:tc>
        <w:tc>
          <w:tcPr>
            <w:tcW w:w="8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659,263</w:t>
            </w:r>
          </w:p>
        </w:tc>
        <w:tc>
          <w:tcPr>
            <w:tcW w:w="820" w:type="dxa"/>
            <w:vAlign w:val="bottom"/>
          </w:tcPr>
          <w:p>
            <w:pPr>
              <w:jc w:val="center"/>
              <w:spacing w:after="0"/>
              <w:rPr>
                <w:sz w:val="20"/>
                <w:szCs w:val="20"/>
                <w:color w:val="auto"/>
              </w:rPr>
            </w:pPr>
            <w:r>
              <w:rPr>
                <w:rFonts w:ascii="Arial" w:cs="Arial" w:eastAsia="Arial" w:hAnsi="Arial"/>
                <w:sz w:val="14"/>
                <w:szCs w:val="14"/>
                <w:color w:val="auto"/>
              </w:rPr>
              <w:t>1,318,526</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RPSR</w:t>
            </w:r>
          </w:p>
        </w:tc>
        <w:tc>
          <w:tcPr>
            <w:tcW w:w="8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shd w:val="clear" w:color="auto" w:fill="BECFDE"/>
          </w:tcPr>
          <w:p>
            <w:pPr>
              <w:spacing w:after="0"/>
              <w:rPr>
                <w:sz w:val="20"/>
                <w:szCs w:val="20"/>
                <w:color w:val="auto"/>
              </w:rPr>
            </w:pPr>
          </w:p>
        </w:tc>
        <w:tc>
          <w:tcPr>
            <w:tcW w:w="800" w:type="dxa"/>
            <w:vAlign w:val="bottom"/>
            <w:shd w:val="clear" w:color="auto" w:fill="BECFDE"/>
          </w:tcPr>
          <w:p>
            <w:pPr>
              <w:spacing w:after="0"/>
              <w:rPr>
                <w:sz w:val="20"/>
                <w:szCs w:val="20"/>
                <w:color w:val="auto"/>
              </w:rPr>
            </w:pPr>
          </w:p>
        </w:tc>
        <w:tc>
          <w:tcPr>
            <w:tcW w:w="820" w:type="dxa"/>
            <w:vAlign w:val="bottom"/>
            <w:shd w:val="clear" w:color="auto" w:fill="BECFDE"/>
          </w:tcPr>
          <w:p>
            <w:pPr>
              <w:spacing w:after="0"/>
              <w:rPr>
                <w:sz w:val="20"/>
                <w:szCs w:val="20"/>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1,786</w:t>
            </w:r>
          </w:p>
        </w:tc>
        <w:tc>
          <w:tcPr>
            <w:tcW w:w="7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3,572</w:t>
            </w:r>
          </w:p>
        </w:tc>
        <w:tc>
          <w:tcPr>
            <w:tcW w:w="80" w:type="dxa"/>
            <w:vAlign w:val="bottom"/>
            <w:shd w:val="clear" w:color="auto" w:fill="BECFDE"/>
          </w:tcPr>
          <w:p>
            <w:pPr>
              <w:spacing w:after="0"/>
              <w:rPr>
                <w:sz w:val="20"/>
                <w:szCs w:val="20"/>
                <w:color w:val="auto"/>
              </w:rPr>
            </w:pPr>
          </w:p>
        </w:tc>
        <w:tc>
          <w:tcPr>
            <w:tcW w:w="720" w:type="dxa"/>
            <w:vAlign w:val="bottom"/>
            <w:shd w:val="clear" w:color="auto" w:fill="BECFDE"/>
          </w:tcPr>
          <w:p>
            <w:pPr>
              <w:spacing w:after="0"/>
              <w:rPr>
                <w:sz w:val="20"/>
                <w:szCs w:val="20"/>
                <w:color w:val="auto"/>
              </w:rPr>
            </w:pPr>
          </w:p>
        </w:tc>
        <w:tc>
          <w:tcPr>
            <w:tcW w:w="900" w:type="dxa"/>
            <w:vAlign w:val="bottom"/>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420,025</w:t>
            </w:r>
          </w:p>
        </w:tc>
        <w:tc>
          <w:tcPr>
            <w:tcW w:w="0" w:type="dxa"/>
            <w:vAlign w:val="bottom"/>
          </w:tcPr>
          <w:p>
            <w:pPr>
              <w:spacing w:after="0"/>
              <w:rPr>
                <w:sz w:val="1"/>
                <w:szCs w:val="1"/>
                <w:color w:val="auto"/>
              </w:rPr>
            </w:pPr>
          </w:p>
        </w:tc>
      </w:tr>
      <w:tr>
        <w:trPr>
          <w:trHeight w:val="224"/>
        </w:trPr>
        <w:tc>
          <w:tcPr>
            <w:tcW w:w="2780" w:type="dxa"/>
            <w:vAlign w:val="bottom"/>
          </w:tcPr>
          <w:p>
            <w:pPr>
              <w:ind w:left="40"/>
              <w:spacing w:after="0"/>
              <w:rPr>
                <w:sz w:val="20"/>
                <w:szCs w:val="20"/>
                <w:color w:val="auto"/>
              </w:rPr>
            </w:pPr>
            <w:r>
              <w:rPr>
                <w:rFonts w:ascii="Arial" w:cs="Arial" w:eastAsia="Arial" w:hAnsi="Arial"/>
                <w:sz w:val="14"/>
                <w:szCs w:val="14"/>
                <w:color w:val="auto"/>
              </w:rPr>
              <w:t>Janis G. Pamiljans</w:t>
            </w:r>
          </w:p>
        </w:tc>
        <w:tc>
          <w:tcPr>
            <w:tcW w:w="1060" w:type="dxa"/>
            <w:vAlign w:val="bottom"/>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color w:val="auto"/>
              </w:rPr>
              <w:t>765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179,910</w:t>
            </w: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RPSR</w:t>
            </w:r>
          </w:p>
        </w:tc>
        <w:tc>
          <w:tcPr>
            <w:tcW w:w="8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4/1/2017</w:t>
            </w:r>
          </w:p>
        </w:tc>
        <w:tc>
          <w:tcPr>
            <w:tcW w:w="840" w:type="dxa"/>
            <w:vAlign w:val="bottom"/>
            <w:shd w:val="clear" w:color="auto" w:fill="BECFDE"/>
          </w:tcPr>
          <w:p>
            <w:pPr>
              <w:spacing w:after="0"/>
              <w:rPr>
                <w:sz w:val="20"/>
                <w:szCs w:val="20"/>
                <w:color w:val="auto"/>
              </w:rPr>
            </w:pPr>
          </w:p>
        </w:tc>
        <w:tc>
          <w:tcPr>
            <w:tcW w:w="800" w:type="dxa"/>
            <w:vAlign w:val="bottom"/>
            <w:shd w:val="clear" w:color="auto" w:fill="BECFDE"/>
          </w:tcPr>
          <w:p>
            <w:pPr>
              <w:spacing w:after="0"/>
              <w:rPr>
                <w:sz w:val="20"/>
                <w:szCs w:val="20"/>
                <w:color w:val="auto"/>
              </w:rPr>
            </w:pPr>
          </w:p>
        </w:tc>
        <w:tc>
          <w:tcPr>
            <w:tcW w:w="820" w:type="dxa"/>
            <w:vAlign w:val="bottom"/>
            <w:shd w:val="clear" w:color="auto" w:fill="BECFDE"/>
          </w:tcPr>
          <w:p>
            <w:pPr>
              <w:spacing w:after="0"/>
              <w:rPr>
                <w:sz w:val="20"/>
                <w:szCs w:val="20"/>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9,395</w:t>
            </w:r>
          </w:p>
        </w:tc>
        <w:tc>
          <w:tcPr>
            <w:tcW w:w="7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14,093</w:t>
            </w:r>
          </w:p>
        </w:tc>
        <w:tc>
          <w:tcPr>
            <w:tcW w:w="80" w:type="dxa"/>
            <w:vAlign w:val="bottom"/>
            <w:shd w:val="clear" w:color="auto" w:fill="BECFDE"/>
          </w:tcPr>
          <w:p>
            <w:pPr>
              <w:spacing w:after="0"/>
              <w:rPr>
                <w:sz w:val="20"/>
                <w:szCs w:val="20"/>
                <w:color w:val="auto"/>
              </w:rPr>
            </w:pPr>
          </w:p>
        </w:tc>
        <w:tc>
          <w:tcPr>
            <w:tcW w:w="720" w:type="dxa"/>
            <w:vAlign w:val="bottom"/>
            <w:shd w:val="clear" w:color="auto" w:fill="BECFDE"/>
          </w:tcPr>
          <w:p>
            <w:pPr>
              <w:spacing w:after="0"/>
              <w:rPr>
                <w:sz w:val="20"/>
                <w:szCs w:val="20"/>
                <w:color w:val="auto"/>
              </w:rPr>
            </w:pPr>
          </w:p>
        </w:tc>
        <w:tc>
          <w:tcPr>
            <w:tcW w:w="900" w:type="dxa"/>
            <w:vAlign w:val="bottom"/>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2,029,921</w:t>
            </w:r>
          </w:p>
        </w:tc>
        <w:tc>
          <w:tcPr>
            <w:tcW w:w="0" w:type="dxa"/>
            <w:vAlign w:val="bottom"/>
          </w:tcPr>
          <w:p>
            <w:pPr>
              <w:spacing w:after="0"/>
              <w:rPr>
                <w:sz w:val="1"/>
                <w:szCs w:val="1"/>
                <w:color w:val="auto"/>
              </w:rPr>
            </w:pPr>
          </w:p>
        </w:tc>
      </w:tr>
      <w:tr>
        <w:trPr>
          <w:trHeight w:val="224"/>
        </w:trPr>
        <w:tc>
          <w:tcPr>
            <w:tcW w:w="2780" w:type="dxa"/>
            <w:vAlign w:val="bottom"/>
            <w:tcBorders>
              <w:bottom w:val="single" w:sz="8" w:color="276092"/>
            </w:tcBorders>
          </w:tcPr>
          <w:p>
            <w:pPr>
              <w:spacing w:after="0"/>
              <w:rPr>
                <w:sz w:val="19"/>
                <w:szCs w:val="19"/>
                <w:color w:val="auto"/>
              </w:rPr>
            </w:pPr>
          </w:p>
        </w:tc>
        <w:tc>
          <w:tcPr>
            <w:tcW w:w="1060" w:type="dxa"/>
            <w:vAlign w:val="bottom"/>
            <w:tcBorders>
              <w:bottom w:val="single" w:sz="8" w:color="276092"/>
            </w:tcBorders>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4/1/2017</w:t>
            </w:r>
          </w:p>
        </w:tc>
        <w:tc>
          <w:tcPr>
            <w:tcW w:w="840" w:type="dxa"/>
            <w:vAlign w:val="bottom"/>
            <w:tcBorders>
              <w:bottom w:val="single" w:sz="8" w:color="276092"/>
            </w:tcBorders>
          </w:tcPr>
          <w:p>
            <w:pPr>
              <w:spacing w:after="0"/>
              <w:rPr>
                <w:sz w:val="19"/>
                <w:szCs w:val="19"/>
                <w:color w:val="auto"/>
              </w:rPr>
            </w:pPr>
          </w:p>
        </w:tc>
        <w:tc>
          <w:tcPr>
            <w:tcW w:w="800" w:type="dxa"/>
            <w:vAlign w:val="bottom"/>
            <w:tcBorders>
              <w:bottom w:val="single" w:sz="8" w:color="276092"/>
            </w:tcBorders>
          </w:tcPr>
          <w:p>
            <w:pPr>
              <w:spacing w:after="0"/>
              <w:rPr>
                <w:sz w:val="19"/>
                <w:szCs w:val="19"/>
                <w:color w:val="auto"/>
              </w:rPr>
            </w:pPr>
          </w:p>
        </w:tc>
        <w:tc>
          <w:tcPr>
            <w:tcW w:w="820" w:type="dxa"/>
            <w:vAlign w:val="bottom"/>
            <w:tcBorders>
              <w:bottom w:val="single" w:sz="8" w:color="276092"/>
            </w:tcBorders>
          </w:tcPr>
          <w:p>
            <w:pPr>
              <w:spacing w:after="0"/>
              <w:rPr>
                <w:sz w:val="19"/>
                <w:szCs w:val="19"/>
                <w:color w:val="auto"/>
              </w:rPr>
            </w:pPr>
          </w:p>
        </w:tc>
        <w:tc>
          <w:tcPr>
            <w:tcW w:w="840" w:type="dxa"/>
            <w:vAlign w:val="bottom"/>
            <w:tcBorders>
              <w:bottom w:val="single" w:sz="8" w:color="276092"/>
            </w:tcBorders>
          </w:tcPr>
          <w:p>
            <w:pPr>
              <w:spacing w:after="0"/>
              <w:rPr>
                <w:sz w:val="19"/>
                <w:szCs w:val="19"/>
                <w:color w:val="auto"/>
              </w:rPr>
            </w:pPr>
          </w:p>
        </w:tc>
        <w:tc>
          <w:tcPr>
            <w:tcW w:w="540" w:type="dxa"/>
            <w:vAlign w:val="bottom"/>
            <w:tcBorders>
              <w:bottom w:val="single" w:sz="8" w:color="276092"/>
            </w:tcBorders>
          </w:tcPr>
          <w:p>
            <w:pPr>
              <w:spacing w:after="0"/>
              <w:rPr>
                <w:sz w:val="19"/>
                <w:szCs w:val="19"/>
                <w:color w:val="auto"/>
              </w:rPr>
            </w:pPr>
          </w:p>
        </w:tc>
        <w:tc>
          <w:tcPr>
            <w:tcW w:w="780" w:type="dxa"/>
            <w:vAlign w:val="bottom"/>
            <w:tcBorders>
              <w:bottom w:val="single" w:sz="8" w:color="276092"/>
            </w:tcBorders>
          </w:tcPr>
          <w:p>
            <w:pPr>
              <w:spacing w:after="0"/>
              <w:rPr>
                <w:sz w:val="19"/>
                <w:szCs w:val="19"/>
                <w:color w:val="auto"/>
              </w:rPr>
            </w:pPr>
          </w:p>
        </w:tc>
        <w:tc>
          <w:tcPr>
            <w:tcW w:w="800" w:type="dxa"/>
            <w:vAlign w:val="bottom"/>
            <w:tcBorders>
              <w:bottom w:val="single" w:sz="8" w:color="276092"/>
            </w:tcBorders>
            <w:gridSpan w:val="2"/>
          </w:tcPr>
          <w:p>
            <w:pPr>
              <w:jc w:val="center"/>
              <w:spacing w:after="0"/>
              <w:rPr>
                <w:sz w:val="20"/>
                <w:szCs w:val="20"/>
                <w:color w:val="auto"/>
              </w:rPr>
            </w:pPr>
            <w:r>
              <w:rPr>
                <w:rFonts w:ascii="Arial" w:cs="Arial" w:eastAsia="Arial" w:hAnsi="Arial"/>
                <w:sz w:val="14"/>
                <w:szCs w:val="14"/>
                <w:color w:val="auto"/>
              </w:rPr>
              <w:t>3,789</w:t>
            </w:r>
          </w:p>
        </w:tc>
        <w:tc>
          <w:tcPr>
            <w:tcW w:w="900" w:type="dxa"/>
            <w:vAlign w:val="bottom"/>
            <w:tcBorders>
              <w:bottom w:val="single" w:sz="8" w:color="276092"/>
            </w:tcBorders>
            <w:gridSpan w:val="2"/>
          </w:tcPr>
          <w:p>
            <w:pPr>
              <w:jc w:val="center"/>
              <w:ind w:left="28"/>
              <w:spacing w:after="0"/>
              <w:rPr>
                <w:sz w:val="20"/>
                <w:szCs w:val="20"/>
                <w:color w:val="auto"/>
              </w:rPr>
            </w:pPr>
            <w:r>
              <w:rPr>
                <w:rFonts w:ascii="Arial" w:cs="Arial" w:eastAsia="Arial" w:hAnsi="Arial"/>
                <w:sz w:val="14"/>
                <w:szCs w:val="14"/>
                <w:color w:val="auto"/>
              </w:rPr>
              <w:t>870,085</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1060" w:type="dxa"/>
            <w:vAlign w:val="bottom"/>
            <w:shd w:val="clear" w:color="auto" w:fill="BECFDE"/>
          </w:tcPr>
          <w:p>
            <w:pPr>
              <w:ind w:left="100"/>
              <w:spacing w:after="0"/>
              <w:rPr>
                <w:sz w:val="20"/>
                <w:szCs w:val="20"/>
                <w:color w:val="auto"/>
              </w:rPr>
            </w:pPr>
            <w:r>
              <w:rPr>
                <w:rFonts w:ascii="Arial" w:cs="Arial" w:eastAsia="Arial" w:hAnsi="Arial"/>
                <w:sz w:val="14"/>
                <w:szCs w:val="14"/>
                <w:color w:val="auto"/>
              </w:rPr>
              <w:t>Incentive Plan</w:t>
            </w:r>
          </w:p>
        </w:tc>
        <w:tc>
          <w:tcPr>
            <w:tcW w:w="860" w:type="dxa"/>
            <w:vAlign w:val="bottom"/>
            <w:shd w:val="clear" w:color="auto" w:fill="BECFDE"/>
          </w:tcPr>
          <w:p>
            <w:pPr>
              <w:spacing w:after="0"/>
              <w:rPr>
                <w:sz w:val="19"/>
                <w:szCs w:val="19"/>
                <w:color w:val="auto"/>
              </w:rPr>
            </w:pPr>
          </w:p>
        </w:tc>
        <w:tc>
          <w:tcPr>
            <w:tcW w:w="84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810,000</w:t>
            </w:r>
          </w:p>
        </w:tc>
        <w:tc>
          <w:tcPr>
            <w:tcW w:w="8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1,620,000</w:t>
            </w:r>
          </w:p>
        </w:tc>
        <w:tc>
          <w:tcPr>
            <w:tcW w:w="840" w:type="dxa"/>
            <w:vAlign w:val="bottom"/>
            <w:shd w:val="clear" w:color="auto" w:fill="BECFDE"/>
          </w:tcPr>
          <w:p>
            <w:pPr>
              <w:spacing w:after="0"/>
              <w:rPr>
                <w:sz w:val="19"/>
                <w:szCs w:val="19"/>
                <w:color w:val="auto"/>
              </w:rPr>
            </w:pPr>
          </w:p>
        </w:tc>
        <w:tc>
          <w:tcPr>
            <w:tcW w:w="540" w:type="dxa"/>
            <w:vAlign w:val="bottom"/>
            <w:shd w:val="clear" w:color="auto" w:fill="BECFDE"/>
          </w:tcPr>
          <w:p>
            <w:pPr>
              <w:spacing w:after="0"/>
              <w:rPr>
                <w:sz w:val="19"/>
                <w:szCs w:val="19"/>
                <w:color w:val="auto"/>
              </w:rPr>
            </w:pPr>
          </w:p>
        </w:tc>
        <w:tc>
          <w:tcPr>
            <w:tcW w:w="780" w:type="dxa"/>
            <w:vAlign w:val="bottom"/>
            <w:shd w:val="clear" w:color="auto" w:fill="BECFDE"/>
          </w:tcPr>
          <w:p>
            <w:pPr>
              <w:spacing w:after="0"/>
              <w:rPr>
                <w:sz w:val="19"/>
                <w:szCs w:val="19"/>
                <w:color w:val="auto"/>
              </w:rPr>
            </w:pPr>
          </w:p>
        </w:tc>
        <w:tc>
          <w:tcPr>
            <w:tcW w:w="80" w:type="dxa"/>
            <w:vAlign w:val="bottom"/>
            <w:shd w:val="clear" w:color="auto" w:fill="BECFDE"/>
          </w:tcPr>
          <w:p>
            <w:pPr>
              <w:spacing w:after="0"/>
              <w:rPr>
                <w:sz w:val="19"/>
                <w:szCs w:val="19"/>
                <w:color w:val="auto"/>
              </w:rPr>
            </w:pPr>
          </w:p>
        </w:tc>
        <w:tc>
          <w:tcPr>
            <w:tcW w:w="720" w:type="dxa"/>
            <w:vAlign w:val="bottom"/>
            <w:shd w:val="clear" w:color="auto" w:fill="BECFDE"/>
          </w:tcPr>
          <w:p>
            <w:pPr>
              <w:spacing w:after="0"/>
              <w:rPr>
                <w:sz w:val="19"/>
                <w:szCs w:val="19"/>
                <w:color w:val="auto"/>
              </w:rPr>
            </w:pPr>
          </w:p>
        </w:tc>
        <w:tc>
          <w:tcPr>
            <w:tcW w:w="100" w:type="dxa"/>
            <w:vAlign w:val="bottom"/>
            <w:shd w:val="clear" w:color="auto" w:fill="BECFDE"/>
          </w:tcPr>
          <w:p>
            <w:pPr>
              <w:spacing w:after="0"/>
              <w:rPr>
                <w:sz w:val="19"/>
                <w:szCs w:val="19"/>
                <w:color w:val="auto"/>
              </w:rPr>
            </w:pPr>
          </w:p>
        </w:tc>
        <w:tc>
          <w:tcPr>
            <w:tcW w:w="800" w:type="dxa"/>
            <w:vAlign w:val="bottom"/>
            <w:shd w:val="clear" w:color="auto" w:fill="BECFD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40"/>
              <w:spacing w:after="0"/>
              <w:rPr>
                <w:sz w:val="20"/>
                <w:szCs w:val="20"/>
                <w:color w:val="auto"/>
              </w:rPr>
            </w:pPr>
            <w:r>
              <w:rPr>
                <w:rFonts w:ascii="Arial" w:cs="Arial" w:eastAsia="Arial" w:hAnsi="Arial"/>
                <w:sz w:val="14"/>
                <w:szCs w:val="14"/>
                <w:color w:val="auto"/>
              </w:rPr>
              <w:t>Kathy J. Warden</w:t>
            </w:r>
          </w:p>
        </w:tc>
        <w:tc>
          <w:tcPr>
            <w:tcW w:w="1060" w:type="dxa"/>
            <w:vAlign w:val="bottom"/>
          </w:tcPr>
          <w:p>
            <w:pPr>
              <w:ind w:left="100"/>
              <w:spacing w:after="0"/>
              <w:rPr>
                <w:sz w:val="20"/>
                <w:szCs w:val="20"/>
                <w:color w:val="auto"/>
              </w:rPr>
            </w:pPr>
            <w:r>
              <w:rPr>
                <w:rFonts w:ascii="Arial" w:cs="Arial" w:eastAsia="Arial" w:hAnsi="Arial"/>
                <w:sz w:val="14"/>
                <w:szCs w:val="14"/>
                <w:color w:val="auto"/>
              </w:rPr>
              <w:t>RPSR</w:t>
            </w:r>
          </w:p>
        </w:tc>
        <w:tc>
          <w:tcPr>
            <w:tcW w:w="860" w:type="dxa"/>
            <w:vAlign w:val="bottom"/>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40" w:type="dxa"/>
            <w:vAlign w:val="bottom"/>
          </w:tcPr>
          <w:p>
            <w:pPr>
              <w:jc w:val="center"/>
              <w:spacing w:after="0"/>
              <w:rPr>
                <w:sz w:val="20"/>
                <w:szCs w:val="20"/>
                <w:color w:val="auto"/>
              </w:rPr>
            </w:pPr>
            <w:r>
              <w:rPr>
                <w:rFonts w:ascii="Arial" w:cs="Arial" w:eastAsia="Arial" w:hAnsi="Arial"/>
                <w:sz w:val="14"/>
                <w:szCs w:val="14"/>
                <w:color w:val="auto"/>
              </w:rPr>
              <w:t>10,676</w:t>
            </w:r>
          </w:p>
        </w:tc>
        <w:tc>
          <w:tcPr>
            <w:tcW w:w="780" w:type="dxa"/>
            <w:vAlign w:val="bottom"/>
          </w:tcPr>
          <w:p>
            <w:pPr>
              <w:jc w:val="center"/>
              <w:spacing w:after="0"/>
              <w:rPr>
                <w:sz w:val="20"/>
                <w:szCs w:val="20"/>
                <w:color w:val="auto"/>
              </w:rPr>
            </w:pPr>
            <w:r>
              <w:rPr>
                <w:rFonts w:ascii="Arial" w:cs="Arial" w:eastAsia="Arial" w:hAnsi="Arial"/>
                <w:sz w:val="14"/>
                <w:szCs w:val="14"/>
                <w:color w:val="auto"/>
              </w:rPr>
              <w:t>16,014</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rPr>
              <w:t>2,449,930</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276092"/>
            </w:tcBorders>
          </w:tcPr>
          <w:p>
            <w:pPr>
              <w:spacing w:after="0"/>
              <w:rPr>
                <w:sz w:val="19"/>
                <w:szCs w:val="19"/>
                <w:color w:val="auto"/>
              </w:rPr>
            </w:pPr>
          </w:p>
        </w:tc>
        <w:tc>
          <w:tcPr>
            <w:tcW w:w="1060" w:type="dxa"/>
            <w:vAlign w:val="bottom"/>
            <w:tcBorders>
              <w:bottom w:val="single" w:sz="8" w:color="276092"/>
            </w:tcBorders>
            <w:shd w:val="clear" w:color="auto" w:fill="BECFDE"/>
          </w:tcPr>
          <w:p>
            <w:pPr>
              <w:ind w:left="100"/>
              <w:spacing w:after="0"/>
              <w:rPr>
                <w:sz w:val="20"/>
                <w:szCs w:val="20"/>
                <w:color w:val="auto"/>
              </w:rPr>
            </w:pPr>
            <w:r>
              <w:rPr>
                <w:rFonts w:ascii="Arial" w:cs="Arial" w:eastAsia="Arial" w:hAnsi="Arial"/>
                <w:sz w:val="14"/>
                <w:szCs w:val="14"/>
                <w:color w:val="auto"/>
              </w:rPr>
              <w:t>RSR</w:t>
            </w:r>
          </w:p>
        </w:tc>
        <w:tc>
          <w:tcPr>
            <w:tcW w:w="8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2/17/2017</w:t>
            </w:r>
          </w:p>
        </w:tc>
        <w:tc>
          <w:tcPr>
            <w:tcW w:w="84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shd w:val="clear" w:color="auto" w:fill="BECFDE"/>
          </w:tcPr>
          <w:p>
            <w:pPr>
              <w:spacing w:after="0"/>
              <w:rPr>
                <w:sz w:val="19"/>
                <w:szCs w:val="19"/>
                <w:color w:val="auto"/>
              </w:rPr>
            </w:pPr>
          </w:p>
        </w:tc>
        <w:tc>
          <w:tcPr>
            <w:tcW w:w="820" w:type="dxa"/>
            <w:vAlign w:val="bottom"/>
            <w:tcBorders>
              <w:bottom w:val="single" w:sz="8" w:color="276092"/>
            </w:tcBorders>
            <w:shd w:val="clear" w:color="auto" w:fill="BECFDE"/>
          </w:tcPr>
          <w:p>
            <w:pPr>
              <w:spacing w:after="0"/>
              <w:rPr>
                <w:sz w:val="19"/>
                <w:szCs w:val="19"/>
                <w:color w:val="auto"/>
              </w:rPr>
            </w:pPr>
          </w:p>
        </w:tc>
        <w:tc>
          <w:tcPr>
            <w:tcW w:w="840" w:type="dxa"/>
            <w:vAlign w:val="bottom"/>
            <w:tcBorders>
              <w:bottom w:val="single" w:sz="8" w:color="276092"/>
            </w:tcBorders>
            <w:shd w:val="clear" w:color="auto" w:fill="BECFDE"/>
          </w:tcPr>
          <w:p>
            <w:pPr>
              <w:spacing w:after="0"/>
              <w:rPr>
                <w:sz w:val="19"/>
                <w:szCs w:val="19"/>
                <w:color w:val="auto"/>
              </w:rPr>
            </w:pPr>
          </w:p>
        </w:tc>
        <w:tc>
          <w:tcPr>
            <w:tcW w:w="540" w:type="dxa"/>
            <w:vAlign w:val="bottom"/>
            <w:tcBorders>
              <w:bottom w:val="single" w:sz="8" w:color="276092"/>
            </w:tcBorders>
            <w:shd w:val="clear" w:color="auto" w:fill="BECFDE"/>
          </w:tcPr>
          <w:p>
            <w:pPr>
              <w:spacing w:after="0"/>
              <w:rPr>
                <w:sz w:val="19"/>
                <w:szCs w:val="19"/>
                <w:color w:val="auto"/>
              </w:rPr>
            </w:pPr>
          </w:p>
        </w:tc>
        <w:tc>
          <w:tcPr>
            <w:tcW w:w="780" w:type="dxa"/>
            <w:vAlign w:val="bottom"/>
            <w:tcBorders>
              <w:bottom w:val="single" w:sz="8" w:color="276092"/>
            </w:tcBorders>
            <w:shd w:val="clear" w:color="auto" w:fill="BECFDE"/>
          </w:tcPr>
          <w:p>
            <w:pPr>
              <w:spacing w:after="0"/>
              <w:rPr>
                <w:sz w:val="19"/>
                <w:szCs w:val="19"/>
                <w:color w:val="auto"/>
              </w:rPr>
            </w:pPr>
          </w:p>
        </w:tc>
        <w:tc>
          <w:tcPr>
            <w:tcW w:w="800" w:type="dxa"/>
            <w:vAlign w:val="bottom"/>
            <w:tcBorders>
              <w:bottom w:val="single" w:sz="8" w:color="276092"/>
            </w:tcBorders>
            <w:gridSpan w:val="2"/>
            <w:shd w:val="clear" w:color="auto" w:fill="BECFDE"/>
          </w:tcPr>
          <w:p>
            <w:pPr>
              <w:jc w:val="center"/>
              <w:spacing w:after="0"/>
              <w:rPr>
                <w:sz w:val="20"/>
                <w:szCs w:val="20"/>
                <w:color w:val="auto"/>
              </w:rPr>
            </w:pPr>
            <w:r>
              <w:rPr>
                <w:rFonts w:ascii="Arial" w:cs="Arial" w:eastAsia="Arial" w:hAnsi="Arial"/>
                <w:sz w:val="14"/>
                <w:szCs w:val="14"/>
                <w:color w:val="auto"/>
              </w:rPr>
              <w:t>4,465</w:t>
            </w:r>
          </w:p>
        </w:tc>
        <w:tc>
          <w:tcPr>
            <w:tcW w:w="900" w:type="dxa"/>
            <w:vAlign w:val="bottom"/>
            <w:tcBorders>
              <w:bottom w:val="single" w:sz="8" w:color="276092"/>
            </w:tcBorders>
            <w:gridSpan w:val="2"/>
            <w:shd w:val="clear" w:color="auto" w:fill="BECFDE"/>
          </w:tcPr>
          <w:p>
            <w:pPr>
              <w:jc w:val="center"/>
              <w:ind w:left="28"/>
              <w:spacing w:after="0"/>
              <w:rPr>
                <w:sz w:val="20"/>
                <w:szCs w:val="20"/>
                <w:color w:val="auto"/>
              </w:rPr>
            </w:pPr>
            <w:r>
              <w:rPr>
                <w:rFonts w:ascii="Arial" w:cs="Arial" w:eastAsia="Arial" w:hAnsi="Arial"/>
                <w:sz w:val="14"/>
                <w:szCs w:val="14"/>
                <w:color w:val="auto"/>
              </w:rPr>
              <w:t>1,050,063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-2760980</wp:posOffset>
            </wp:positionV>
            <wp:extent cx="28727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01" w:lineRule="exact"/>
        <w:rPr>
          <w:sz w:val="20"/>
          <w:szCs w:val="20"/>
          <w:color w:val="auto"/>
        </w:rPr>
      </w:pPr>
    </w:p>
    <w:p>
      <w:pPr>
        <w:ind w:left="640" w:right="20" w:hanging="436"/>
        <w:spacing w:after="0" w:line="246"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the potential range of payouts under the Company’s AIP. Actual payouts are shown in the Summary Compensation Table column entitled “Non-Equity Incentive Plan Compensation” on page 49.</w:t>
      </w:r>
    </w:p>
    <w:p>
      <w:pPr>
        <w:spacing w:after="0" w:line="102" w:lineRule="exact"/>
        <w:rPr>
          <w:rFonts w:ascii="Arial" w:cs="Arial" w:eastAsia="Arial" w:hAnsi="Arial"/>
          <w:sz w:val="18"/>
          <w:szCs w:val="18"/>
          <w:color w:val="auto"/>
        </w:rPr>
      </w:pPr>
    </w:p>
    <w:p>
      <w:pPr>
        <w:ind w:left="640" w:right="20" w:hanging="436"/>
        <w:spacing w:after="0" w:line="239"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amounts relate to RPSRs granted in 2017 under the 2011 Plan. Each RPSR represents the right to receive a share of the Company’s common stock upon vesting. Earned RPSRs may be paid in shares, cash or a combination of shares and cash at the Compensation Committee’s discretion. Dividend equivalents accrue on RPSR awards earned and will be paid upon distribution of the RPSRs.</w:t>
      </w:r>
    </w:p>
    <w:p>
      <w:pPr>
        <w:spacing w:after="0" w:line="93" w:lineRule="exact"/>
        <w:rPr>
          <w:rFonts w:ascii="Arial" w:cs="Arial" w:eastAsia="Arial" w:hAnsi="Arial"/>
          <w:sz w:val="18"/>
          <w:szCs w:val="18"/>
          <w:color w:val="auto"/>
        </w:rPr>
      </w:pPr>
    </w:p>
    <w:p>
      <w:pPr>
        <w:ind w:left="640" w:right="200"/>
        <w:spacing w:after="0"/>
        <w:rPr>
          <w:rFonts w:ascii="Arial" w:cs="Arial" w:eastAsia="Arial" w:hAnsi="Arial"/>
          <w:sz w:val="18"/>
          <w:szCs w:val="18"/>
          <w:color w:val="auto"/>
        </w:rPr>
      </w:pPr>
      <w:r>
        <w:rPr>
          <w:rFonts w:ascii="Arial" w:cs="Arial" w:eastAsia="Arial" w:hAnsi="Arial"/>
          <w:sz w:val="18"/>
          <w:szCs w:val="18"/>
          <w:color w:val="auto"/>
        </w:rPr>
        <w:t>For NEOs who were elected officers at the time of grant, RPSRs are earned based on relative TSR and the achievement of Cumulative FCF* targets over a three-year performance period commencing January 1, 2017 and ending December 31, 2019. The payout will occur in early 2020 and will range from 0% to 150% of the rights awarded.</w:t>
      </w:r>
    </w:p>
    <w:p>
      <w:pPr>
        <w:spacing w:after="0" w:line="94" w:lineRule="exact"/>
        <w:rPr>
          <w:rFonts w:ascii="Arial" w:cs="Arial" w:eastAsia="Arial" w:hAnsi="Arial"/>
          <w:sz w:val="18"/>
          <w:szCs w:val="18"/>
          <w:color w:val="auto"/>
        </w:rPr>
      </w:pPr>
    </w:p>
    <w:p>
      <w:pPr>
        <w:ind w:left="640" w:right="340"/>
        <w:spacing w:after="0"/>
        <w:rPr>
          <w:rFonts w:ascii="Arial" w:cs="Arial" w:eastAsia="Arial" w:hAnsi="Arial"/>
          <w:sz w:val="18"/>
          <w:szCs w:val="18"/>
          <w:color w:val="auto"/>
        </w:rPr>
      </w:pPr>
      <w:r>
        <w:rPr>
          <w:rFonts w:ascii="Arial" w:cs="Arial" w:eastAsia="Arial" w:hAnsi="Arial"/>
          <w:sz w:val="18"/>
          <w:szCs w:val="18"/>
          <w:color w:val="auto"/>
        </w:rPr>
        <w:t>The RPSRs granted to Mr. Pamiljans in February 2017 while he was serving as an appointed officer are earned based on the achievement of metric targets weighted 50% to pension-adjusted return on net assets and 50% to Cumulative FCF* over a three-year performance period. The payout will occur in early 2020 and will range from 0% to 200% of the rights awarded.</w:t>
      </w:r>
    </w:p>
    <w:p>
      <w:pPr>
        <w:spacing w:after="0" w:line="94" w:lineRule="exact"/>
        <w:rPr>
          <w:rFonts w:ascii="Arial" w:cs="Arial" w:eastAsia="Arial" w:hAnsi="Arial"/>
          <w:sz w:val="18"/>
          <w:szCs w:val="18"/>
          <w:color w:val="auto"/>
        </w:rPr>
      </w:pPr>
    </w:p>
    <w:p>
      <w:pPr>
        <w:ind w:left="640" w:right="140"/>
        <w:spacing w:after="0" w:line="239" w:lineRule="auto"/>
        <w:rPr>
          <w:rFonts w:ascii="Arial" w:cs="Arial" w:eastAsia="Arial" w:hAnsi="Arial"/>
          <w:sz w:val="18"/>
          <w:szCs w:val="18"/>
          <w:color w:val="auto"/>
        </w:rPr>
      </w:pPr>
      <w:r>
        <w:rPr>
          <w:rFonts w:ascii="Arial" w:cs="Arial" w:eastAsia="Arial" w:hAnsi="Arial"/>
          <w:sz w:val="18"/>
          <w:szCs w:val="18"/>
          <w:color w:val="auto"/>
        </w:rPr>
        <w:t>An executive must remain employed through the performance period to earn an award, although prorated vesting results if employment terminates earlier due to early retirement, death or disability. The award will fully vest if the executive terminates due to a change in control qualifying termination or normal retirement (mandatory at age 65). See the Termination Payments and Benefits section for treatment of RPSRs in these situations and upon a change in control.</w:t>
      </w:r>
    </w:p>
    <w:p>
      <w:pPr>
        <w:spacing w:after="0" w:line="107" w:lineRule="exact"/>
        <w:rPr>
          <w:rFonts w:ascii="Arial" w:cs="Arial" w:eastAsia="Arial" w:hAnsi="Arial"/>
          <w:sz w:val="18"/>
          <w:szCs w:val="18"/>
          <w:color w:val="auto"/>
        </w:rPr>
      </w:pPr>
    </w:p>
    <w:p>
      <w:pPr>
        <w:ind w:left="640" w:right="140" w:hanging="436"/>
        <w:spacing w:after="0" w:line="239" w:lineRule="auto"/>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amounts relate to RSRs granted in 2017 under the 2011 Plan. Each RSR represents the right to receive a share of the Company’s common stock upon vesting. Earned RSRs may be paid in shares, cash or a combination of shares and cash at the Compensation Committee’s discretion. Dividend equivalents accrue on RSR awards earned and will be paid upon distribution of the RSRs.</w:t>
      </w:r>
    </w:p>
    <w:p>
      <w:pPr>
        <w:spacing w:after="0" w:line="132" w:lineRule="exact"/>
        <w:rPr>
          <w:sz w:val="20"/>
          <w:szCs w:val="20"/>
          <w:color w:val="auto"/>
        </w:rPr>
      </w:pPr>
    </w:p>
    <w:p>
      <w:pPr>
        <w:ind w:left="460" w:hanging="256"/>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G</w:t>
      </w:r>
      <w:r>
        <w:rPr>
          <w:rFonts w:ascii="Arial" w:cs="Arial" w:eastAsia="Arial" w:hAnsi="Arial"/>
          <w:sz w:val="18"/>
          <w:szCs w:val="18"/>
          <w:b w:val="1"/>
          <w:bCs w:val="1"/>
          <w:color w:val="FFFFFF"/>
        </w:rPr>
        <w:t>RANTS OF</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LAN</w:t>
      </w:r>
      <w:r>
        <w:rPr>
          <w:rFonts w:ascii="Arial" w:cs="Arial" w:eastAsia="Arial" w:hAnsi="Arial"/>
          <w:sz w:val="22"/>
          <w:szCs w:val="22"/>
          <w:b w:val="1"/>
          <w:bCs w:val="1"/>
          <w:color w:val="FFFFFF"/>
        </w:rPr>
        <w:t>-B</w:t>
      </w:r>
      <w:r>
        <w:rPr>
          <w:rFonts w:ascii="Arial" w:cs="Arial" w:eastAsia="Arial" w:hAnsi="Arial"/>
          <w:sz w:val="18"/>
          <w:szCs w:val="18"/>
          <w:b w:val="1"/>
          <w:bCs w:val="1"/>
          <w:color w:val="FFFFFF"/>
        </w:rPr>
        <w:t>ASED</w:t>
      </w:r>
      <w:r>
        <w:rPr>
          <w:rFonts w:ascii="Arial" w:cs="Arial" w:eastAsia="Arial" w:hAnsi="Arial"/>
          <w:sz w:val="22"/>
          <w:szCs w:val="22"/>
          <w:b w:val="1"/>
          <w:bCs w:val="1"/>
          <w:color w:val="FFFFFF"/>
        </w:rPr>
        <w:t xml:space="preserve"> A</w:t>
      </w:r>
      <w:r>
        <w:rPr>
          <w:rFonts w:ascii="Arial" w:cs="Arial" w:eastAsia="Arial" w:hAnsi="Arial"/>
          <w:sz w:val="18"/>
          <w:szCs w:val="18"/>
          <w:b w:val="1"/>
          <w:bCs w:val="1"/>
          <w:color w:val="FFFFFF"/>
        </w:rPr>
        <w:t>WARDS</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spacing w:after="0" w:line="239" w:lineRule="auto"/>
        <w:rPr>
          <w:sz w:val="20"/>
          <w:szCs w:val="20"/>
          <w:color w:val="auto"/>
        </w:rPr>
      </w:pPr>
      <w:r>
        <w:rPr>
          <w:rFonts w:ascii="Arial" w:cs="Arial" w:eastAsia="Arial" w:hAnsi="Arial"/>
          <w:sz w:val="18"/>
          <w:szCs w:val="18"/>
          <w:color w:val="auto"/>
        </w:rPr>
        <w:t>RSRs generally vest three years from the date of grant. An executive must remain employed through the vesting period to earn an award, although full vesting results if employment terminates earlier due to death, disability, a change in control qualifying termination or normal retirement (mandatory at age 65). The award is prorated if the executive terminates due to early retirement. See the Termination Payments and Benefits section for treatment of RSRs in these situations and upon a change in control.</w:t>
      </w:r>
    </w:p>
    <w:p>
      <w:pPr>
        <w:spacing w:after="0" w:line="94" w:lineRule="exact"/>
        <w:rPr>
          <w:sz w:val="20"/>
          <w:szCs w:val="20"/>
          <w:color w:val="auto"/>
        </w:rPr>
      </w:pPr>
    </w:p>
    <w:p>
      <w:pPr>
        <w:ind w:left="640" w:right="340"/>
        <w:spacing w:after="0"/>
        <w:rPr>
          <w:sz w:val="20"/>
          <w:szCs w:val="20"/>
          <w:color w:val="auto"/>
        </w:rPr>
      </w:pPr>
      <w:r>
        <w:rPr>
          <w:rFonts w:ascii="Arial" w:cs="Arial" w:eastAsia="Arial" w:hAnsi="Arial"/>
          <w:sz w:val="18"/>
          <w:szCs w:val="18"/>
          <w:color w:val="auto"/>
        </w:rPr>
        <w:t>The RSRs granted to Mr. Pamiljans in April 2017 in connection with his promotion vest one year from the date of grant on April 1, 2018. Mr. Pamiljans must remain employed through the vesting period to earn the award, although full vesting will result if his employment terminates earlier due to death, disability or a change in control qualifying termination.</w:t>
      </w:r>
    </w:p>
    <w:p>
      <w:pPr>
        <w:spacing w:after="0" w:line="108"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fair value of awards was computed in accordance with FASB ASC Topic 718 disregarding potential forfeitures.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53</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O</w:t>
      </w:r>
      <w:r>
        <w:rPr>
          <w:rFonts w:ascii="Arial" w:cs="Arial" w:eastAsia="Arial" w:hAnsi="Arial"/>
          <w:sz w:val="18"/>
          <w:szCs w:val="18"/>
          <w:b w:val="1"/>
          <w:bCs w:val="1"/>
          <w:color w:val="FFFFFF"/>
        </w:rPr>
        <w:t>UTSTANDING</w:t>
      </w:r>
      <w:r>
        <w:rPr>
          <w:rFonts w:ascii="Arial" w:cs="Arial" w:eastAsia="Arial" w:hAnsi="Arial"/>
          <w:sz w:val="22"/>
          <w:szCs w:val="22"/>
          <w:b w:val="1"/>
          <w:bCs w:val="1"/>
          <w:color w:val="FFFFFF"/>
        </w:rPr>
        <w:t xml:space="preserve"> E</w:t>
      </w:r>
      <w:r>
        <w:rPr>
          <w:rFonts w:ascii="Arial" w:cs="Arial" w:eastAsia="Arial" w:hAnsi="Arial"/>
          <w:sz w:val="18"/>
          <w:szCs w:val="18"/>
          <w:b w:val="1"/>
          <w:bCs w:val="1"/>
          <w:color w:val="FFFFFF"/>
        </w:rPr>
        <w:t>QUITY</w:t>
      </w:r>
      <w:r>
        <w:rPr>
          <w:rFonts w:ascii="Arial" w:cs="Arial" w:eastAsia="Arial" w:hAnsi="Arial"/>
          <w:sz w:val="22"/>
          <w:szCs w:val="22"/>
          <w:b w:val="1"/>
          <w:bCs w:val="1"/>
          <w:color w:val="FFFFFF"/>
        </w:rPr>
        <w:t xml:space="preserve"> A</w:t>
      </w:r>
      <w:r>
        <w:rPr>
          <w:rFonts w:ascii="Arial" w:cs="Arial" w:eastAsia="Arial" w:hAnsi="Arial"/>
          <w:sz w:val="18"/>
          <w:szCs w:val="18"/>
          <w:b w:val="1"/>
          <w:bCs w:val="1"/>
          <w:color w:val="FFFFFF"/>
        </w:rPr>
        <w:t>WARDS</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Outstanding Equity Awards at 2017 Fiscal Year End</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820" w:type="dxa"/>
            <w:vAlign w:val="bottom"/>
            <w:shd w:val="clear" w:color="auto" w:fill="276092"/>
          </w:tcPr>
          <w:p>
            <w:pPr>
              <w:spacing w:after="0"/>
              <w:rPr>
                <w:sz w:val="16"/>
                <w:szCs w:val="16"/>
                <w:color w:val="auto"/>
              </w:rPr>
            </w:pPr>
          </w:p>
        </w:tc>
        <w:tc>
          <w:tcPr>
            <w:tcW w:w="1360" w:type="dxa"/>
            <w:vAlign w:val="bottom"/>
            <w:shd w:val="clear" w:color="auto" w:fill="276092"/>
          </w:tcPr>
          <w:p>
            <w:pPr>
              <w:spacing w:after="0"/>
              <w:rPr>
                <w:sz w:val="16"/>
                <w:szCs w:val="16"/>
                <w:color w:val="auto"/>
              </w:rPr>
            </w:pPr>
          </w:p>
        </w:tc>
        <w:tc>
          <w:tcPr>
            <w:tcW w:w="1700" w:type="dxa"/>
            <w:vAlign w:val="bottom"/>
            <w:shd w:val="clear" w:color="auto" w:fill="276092"/>
          </w:tcPr>
          <w:p>
            <w:pPr>
              <w:spacing w:after="0"/>
              <w:rPr>
                <w:sz w:val="16"/>
                <w:szCs w:val="16"/>
                <w:color w:val="auto"/>
              </w:rPr>
            </w:pPr>
          </w:p>
        </w:tc>
        <w:tc>
          <w:tcPr>
            <w:tcW w:w="1720" w:type="dxa"/>
            <w:vAlign w:val="bottom"/>
            <w:shd w:val="clear" w:color="auto" w:fill="276092"/>
          </w:tcPr>
          <w:p>
            <w:pPr>
              <w:spacing w:after="0"/>
              <w:rPr>
                <w:sz w:val="16"/>
                <w:szCs w:val="16"/>
                <w:color w:val="auto"/>
              </w:rPr>
            </w:pPr>
          </w:p>
        </w:tc>
        <w:tc>
          <w:tcPr>
            <w:tcW w:w="15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900" w:type="dxa"/>
            <w:vAlign w:val="bottom"/>
            <w:shd w:val="clear" w:color="auto" w:fill="27609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spacing w:after="0"/>
              <w:rPr>
                <w:sz w:val="14"/>
                <w:szCs w:val="14"/>
                <w:color w:val="auto"/>
              </w:rPr>
            </w:pPr>
          </w:p>
        </w:tc>
        <w:tc>
          <w:tcPr>
            <w:tcW w:w="1720" w:type="dxa"/>
            <w:vAlign w:val="bottom"/>
            <w:shd w:val="clear" w:color="auto" w:fill="276092"/>
          </w:tcPr>
          <w:p>
            <w:pPr>
              <w:spacing w:after="0"/>
              <w:rPr>
                <w:sz w:val="14"/>
                <w:szCs w:val="14"/>
                <w:color w:val="auto"/>
              </w:rPr>
            </w:pPr>
          </w:p>
        </w:tc>
        <w:tc>
          <w:tcPr>
            <w:tcW w:w="15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Plan Awards:</w:t>
            </w:r>
          </w:p>
        </w:tc>
        <w:tc>
          <w:tcPr>
            <w:tcW w:w="1900" w:type="dxa"/>
            <w:vAlign w:val="bottom"/>
            <w:shd w:val="clear" w:color="auto" w:fill="276092"/>
          </w:tcPr>
          <w:p>
            <w:pPr>
              <w:ind w:left="420"/>
              <w:spacing w:after="0"/>
              <w:rPr>
                <w:sz w:val="20"/>
                <w:szCs w:val="20"/>
                <w:color w:val="auto"/>
              </w:rPr>
            </w:pPr>
            <w:r>
              <w:rPr>
                <w:rFonts w:ascii="Arial" w:cs="Arial" w:eastAsia="Arial" w:hAnsi="Arial"/>
                <w:sz w:val="14"/>
                <w:szCs w:val="14"/>
                <w:b w:val="1"/>
                <w:bCs w:val="1"/>
                <w:color w:val="FFFFFF"/>
              </w:rPr>
              <w:t>Equity Incentive</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spacing w:after="0"/>
              <w:rPr>
                <w:sz w:val="14"/>
                <w:szCs w:val="14"/>
                <w:color w:val="auto"/>
              </w:rPr>
            </w:pPr>
          </w:p>
        </w:tc>
        <w:tc>
          <w:tcPr>
            <w:tcW w:w="1720" w:type="dxa"/>
            <w:vAlign w:val="bottom"/>
            <w:shd w:val="clear" w:color="auto" w:fill="276092"/>
          </w:tcPr>
          <w:p>
            <w:pPr>
              <w:spacing w:after="0"/>
              <w:rPr>
                <w:sz w:val="14"/>
                <w:szCs w:val="14"/>
                <w:color w:val="auto"/>
              </w:rPr>
            </w:pPr>
          </w:p>
        </w:tc>
        <w:tc>
          <w:tcPr>
            <w:tcW w:w="15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Number of</w:t>
            </w:r>
          </w:p>
        </w:tc>
        <w:tc>
          <w:tcPr>
            <w:tcW w:w="190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spacing w:after="0"/>
              <w:rPr>
                <w:sz w:val="14"/>
                <w:szCs w:val="14"/>
                <w:color w:val="auto"/>
              </w:rPr>
            </w:pPr>
          </w:p>
        </w:tc>
        <w:tc>
          <w:tcPr>
            <w:tcW w:w="1720" w:type="dxa"/>
            <w:vAlign w:val="bottom"/>
            <w:shd w:val="clear" w:color="auto" w:fill="276092"/>
          </w:tcPr>
          <w:p>
            <w:pPr>
              <w:spacing w:after="0"/>
              <w:rPr>
                <w:sz w:val="14"/>
                <w:szCs w:val="14"/>
                <w:color w:val="auto"/>
              </w:rPr>
            </w:pPr>
          </w:p>
        </w:tc>
        <w:tc>
          <w:tcPr>
            <w:tcW w:w="15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Unearned</w:t>
            </w:r>
          </w:p>
        </w:tc>
        <w:tc>
          <w:tcPr>
            <w:tcW w:w="19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Market or Payout</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jc w:val="center"/>
              <w:ind w:left="68"/>
              <w:spacing w:after="0"/>
              <w:rPr>
                <w:sz w:val="20"/>
                <w:szCs w:val="20"/>
                <w:color w:val="auto"/>
              </w:rPr>
            </w:pPr>
            <w:r>
              <w:rPr>
                <w:rFonts w:ascii="Arial" w:cs="Arial" w:eastAsia="Arial" w:hAnsi="Arial"/>
                <w:sz w:val="14"/>
                <w:szCs w:val="14"/>
                <w:b w:val="1"/>
                <w:bCs w:val="1"/>
                <w:color w:val="FFFFFF"/>
              </w:rPr>
              <w:t>Number of</w:t>
            </w:r>
          </w:p>
        </w:tc>
        <w:tc>
          <w:tcPr>
            <w:tcW w:w="1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Market Value of</w:t>
            </w:r>
          </w:p>
        </w:tc>
        <w:tc>
          <w:tcPr>
            <w:tcW w:w="15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Shares,</w:t>
            </w:r>
          </w:p>
        </w:tc>
        <w:tc>
          <w:tcPr>
            <w:tcW w:w="190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Value of Unearned</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jc w:val="center"/>
              <w:ind w:left="68"/>
              <w:spacing w:after="0"/>
              <w:rPr>
                <w:sz w:val="20"/>
                <w:szCs w:val="20"/>
                <w:color w:val="auto"/>
              </w:rPr>
            </w:pPr>
            <w:r>
              <w:rPr>
                <w:rFonts w:ascii="Arial" w:cs="Arial" w:eastAsia="Arial" w:hAnsi="Arial"/>
                <w:sz w:val="14"/>
                <w:szCs w:val="14"/>
                <w:b w:val="1"/>
                <w:bCs w:val="1"/>
                <w:color w:val="FFFFFF"/>
              </w:rPr>
              <w:t>Shares or Units of</w:t>
            </w:r>
          </w:p>
        </w:tc>
        <w:tc>
          <w:tcPr>
            <w:tcW w:w="1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Shares or Units of</w:t>
            </w:r>
          </w:p>
        </w:tc>
        <w:tc>
          <w:tcPr>
            <w:tcW w:w="15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Units or Other</w:t>
            </w:r>
          </w:p>
        </w:tc>
        <w:tc>
          <w:tcPr>
            <w:tcW w:w="19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Shares, Units or Other</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jc w:val="center"/>
              <w:ind w:left="68"/>
              <w:spacing w:after="0"/>
              <w:rPr>
                <w:sz w:val="20"/>
                <w:szCs w:val="20"/>
                <w:color w:val="auto"/>
              </w:rPr>
            </w:pPr>
            <w:r>
              <w:rPr>
                <w:rFonts w:ascii="Arial" w:cs="Arial" w:eastAsia="Arial" w:hAnsi="Arial"/>
                <w:sz w:val="14"/>
                <w:szCs w:val="14"/>
                <w:b w:val="1"/>
                <w:bCs w:val="1"/>
                <w:color w:val="FFFFFF"/>
              </w:rPr>
              <w:t>Stock that Have</w:t>
            </w:r>
          </w:p>
        </w:tc>
        <w:tc>
          <w:tcPr>
            <w:tcW w:w="1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Stock that Have Not</w:t>
            </w:r>
          </w:p>
        </w:tc>
        <w:tc>
          <w:tcPr>
            <w:tcW w:w="15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Rights that Have</w:t>
            </w:r>
          </w:p>
        </w:tc>
        <w:tc>
          <w:tcPr>
            <w:tcW w:w="190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Rights that</w:t>
            </w:r>
          </w:p>
        </w:tc>
        <w:tc>
          <w:tcPr>
            <w:tcW w:w="0" w:type="dxa"/>
            <w:vAlign w:val="bottom"/>
          </w:tcPr>
          <w:p>
            <w:pPr>
              <w:spacing w:after="0"/>
              <w:rPr>
                <w:sz w:val="1"/>
                <w:szCs w:val="1"/>
                <w:color w:val="auto"/>
              </w:rPr>
            </w:pPr>
          </w:p>
        </w:tc>
      </w:tr>
      <w:tr>
        <w:trPr>
          <w:trHeight w:val="162"/>
        </w:trPr>
        <w:tc>
          <w:tcPr>
            <w:tcW w:w="2820" w:type="dxa"/>
            <w:vAlign w:val="bottom"/>
            <w:shd w:val="clear" w:color="auto" w:fill="276092"/>
          </w:tcPr>
          <w:p>
            <w:pPr>
              <w:spacing w:after="0"/>
              <w:rPr>
                <w:sz w:val="14"/>
                <w:szCs w:val="14"/>
                <w:color w:val="auto"/>
              </w:rPr>
            </w:pPr>
          </w:p>
        </w:tc>
        <w:tc>
          <w:tcPr>
            <w:tcW w:w="1360" w:type="dxa"/>
            <w:vAlign w:val="bottom"/>
            <w:shd w:val="clear" w:color="auto" w:fill="276092"/>
          </w:tcPr>
          <w:p>
            <w:pPr>
              <w:spacing w:after="0"/>
              <w:rPr>
                <w:sz w:val="14"/>
                <w:szCs w:val="14"/>
                <w:color w:val="auto"/>
              </w:rPr>
            </w:pPr>
          </w:p>
        </w:tc>
        <w:tc>
          <w:tcPr>
            <w:tcW w:w="1700" w:type="dxa"/>
            <w:vAlign w:val="bottom"/>
            <w:shd w:val="clear" w:color="auto" w:fill="276092"/>
          </w:tcPr>
          <w:p>
            <w:pPr>
              <w:jc w:val="center"/>
              <w:ind w:left="68"/>
              <w:spacing w:after="0"/>
              <w:rPr>
                <w:sz w:val="20"/>
                <w:szCs w:val="20"/>
                <w:color w:val="auto"/>
              </w:rPr>
            </w:pPr>
            <w:r>
              <w:rPr>
                <w:rFonts w:ascii="Arial" w:cs="Arial" w:eastAsia="Arial" w:hAnsi="Arial"/>
                <w:sz w:val="14"/>
                <w:szCs w:val="14"/>
                <w:b w:val="1"/>
                <w:bCs w:val="1"/>
                <w:color w:val="FFFFFF"/>
              </w:rPr>
              <w:t>Not Vested (1)</w:t>
            </w:r>
          </w:p>
        </w:tc>
        <w:tc>
          <w:tcPr>
            <w:tcW w:w="1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Vested (2)</w:t>
            </w:r>
          </w:p>
        </w:tc>
        <w:tc>
          <w:tcPr>
            <w:tcW w:w="15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Not Vested (3)</w:t>
            </w:r>
          </w:p>
        </w:tc>
        <w:tc>
          <w:tcPr>
            <w:tcW w:w="190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Have Not Vested (2)</w:t>
            </w:r>
          </w:p>
        </w:tc>
        <w:tc>
          <w:tcPr>
            <w:tcW w:w="0" w:type="dxa"/>
            <w:vAlign w:val="bottom"/>
          </w:tcPr>
          <w:p>
            <w:pPr>
              <w:spacing w:after="0"/>
              <w:rPr>
                <w:sz w:val="1"/>
                <w:szCs w:val="1"/>
                <w:color w:val="auto"/>
              </w:rPr>
            </w:pPr>
          </w:p>
        </w:tc>
      </w:tr>
      <w:tr>
        <w:trPr>
          <w:trHeight w:val="202"/>
        </w:trPr>
        <w:tc>
          <w:tcPr>
            <w:tcW w:w="2820" w:type="dxa"/>
            <w:vAlign w:val="bottom"/>
            <w:shd w:val="clear" w:color="auto" w:fill="276092"/>
          </w:tcPr>
          <w:p>
            <w:pPr>
              <w:ind w:left="60"/>
              <w:spacing w:after="0"/>
              <w:rPr>
                <w:sz w:val="20"/>
                <w:szCs w:val="20"/>
                <w:color w:val="auto"/>
              </w:rPr>
            </w:pPr>
            <w:r>
              <w:rPr>
                <w:rFonts w:ascii="Arial" w:cs="Arial" w:eastAsia="Arial" w:hAnsi="Arial"/>
                <w:sz w:val="13"/>
                <w:szCs w:val="13"/>
                <w:b w:val="1"/>
                <w:bCs w:val="1"/>
                <w:color w:val="FFFFFF"/>
              </w:rPr>
              <w:t>Name</w:t>
            </w:r>
          </w:p>
        </w:tc>
        <w:tc>
          <w:tcPr>
            <w:tcW w:w="1360" w:type="dxa"/>
            <w:vAlign w:val="bottom"/>
            <w:shd w:val="clear" w:color="auto" w:fill="276092"/>
          </w:tcPr>
          <w:p>
            <w:pPr>
              <w:jc w:val="right"/>
              <w:ind w:right="228"/>
              <w:spacing w:after="0"/>
              <w:rPr>
                <w:sz w:val="20"/>
                <w:szCs w:val="20"/>
                <w:color w:val="auto"/>
              </w:rPr>
            </w:pPr>
            <w:r>
              <w:rPr>
                <w:rFonts w:ascii="Arial" w:cs="Arial" w:eastAsia="Arial" w:hAnsi="Arial"/>
                <w:sz w:val="14"/>
                <w:szCs w:val="14"/>
                <w:b w:val="1"/>
                <w:bCs w:val="1"/>
                <w:color w:val="FFFFFF"/>
              </w:rPr>
              <w:t>Grant Date</w:t>
            </w:r>
          </w:p>
        </w:tc>
        <w:tc>
          <w:tcPr>
            <w:tcW w:w="1700" w:type="dxa"/>
            <w:vAlign w:val="bottom"/>
            <w:shd w:val="clear" w:color="auto" w:fill="276092"/>
          </w:tcPr>
          <w:p>
            <w:pPr>
              <w:jc w:val="center"/>
              <w:ind w:left="88"/>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360" w:type="dxa"/>
            <w:vAlign w:val="bottom"/>
            <w:shd w:val="clear" w:color="auto" w:fill="BECFDE"/>
          </w:tcPr>
          <w:p>
            <w:pPr>
              <w:jc w:val="right"/>
              <w:ind w:right="228"/>
              <w:spacing w:after="0"/>
              <w:rPr>
                <w:sz w:val="20"/>
                <w:szCs w:val="20"/>
                <w:color w:val="auto"/>
              </w:rPr>
            </w:pPr>
            <w:r>
              <w:rPr>
                <w:rFonts w:ascii="Arial" w:cs="Arial" w:eastAsia="Arial" w:hAnsi="Arial"/>
                <w:sz w:val="14"/>
                <w:szCs w:val="14"/>
                <w:color w:val="auto"/>
              </w:rPr>
              <w:t>2/17/2017</w:t>
            </w:r>
          </w:p>
        </w:tc>
        <w:tc>
          <w:tcPr>
            <w:tcW w:w="1700" w:type="dxa"/>
            <w:vAlign w:val="bottom"/>
            <w:shd w:val="clear" w:color="auto" w:fill="BECFDE"/>
          </w:tcPr>
          <w:p>
            <w:pPr>
              <w:jc w:val="center"/>
              <w:ind w:left="68"/>
              <w:spacing w:after="0"/>
              <w:rPr>
                <w:sz w:val="20"/>
                <w:szCs w:val="20"/>
                <w:color w:val="auto"/>
              </w:rPr>
            </w:pPr>
            <w:r>
              <w:rPr>
                <w:rFonts w:ascii="Arial" w:cs="Arial" w:eastAsia="Arial" w:hAnsi="Arial"/>
                <w:sz w:val="14"/>
                <w:szCs w:val="14"/>
                <w:color w:val="auto"/>
              </w:rPr>
              <w:t>12,756</w:t>
            </w:r>
          </w:p>
        </w:tc>
        <w:tc>
          <w:tcPr>
            <w:tcW w:w="17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3,914,944</w:t>
            </w:r>
          </w:p>
        </w:tc>
        <w:tc>
          <w:tcPr>
            <w:tcW w:w="1520" w:type="dxa"/>
            <w:vAlign w:val="bottom"/>
            <w:shd w:val="clear" w:color="auto" w:fill="BECFDE"/>
          </w:tcPr>
          <w:p>
            <w:pPr>
              <w:jc w:val="center"/>
              <w:ind w:right="8"/>
              <w:spacing w:after="0"/>
              <w:rPr>
                <w:sz w:val="20"/>
                <w:szCs w:val="20"/>
                <w:color w:val="auto"/>
              </w:rPr>
            </w:pPr>
            <w:r>
              <w:rPr>
                <w:rFonts w:ascii="Arial" w:cs="Arial" w:eastAsia="Arial" w:hAnsi="Arial"/>
                <w:sz w:val="14"/>
                <w:szCs w:val="14"/>
                <w:color w:val="auto"/>
              </w:rPr>
              <w:t>30,504</w:t>
            </w:r>
          </w:p>
        </w:tc>
        <w:tc>
          <w:tcPr>
            <w:tcW w:w="19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9,361,983</w:t>
            </w:r>
          </w:p>
        </w:tc>
        <w:tc>
          <w:tcPr>
            <w:tcW w:w="0" w:type="dxa"/>
            <w:vAlign w:val="bottom"/>
          </w:tcPr>
          <w:p>
            <w:pPr>
              <w:spacing w:after="0"/>
              <w:rPr>
                <w:sz w:val="1"/>
                <w:szCs w:val="1"/>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4"/>
                <w:szCs w:val="14"/>
                <w:color w:val="auto"/>
              </w:rPr>
              <w:t>Wesley G. Bush</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2/17/2016</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rPr>
              <w:t>16,478</w:t>
            </w:r>
          </w:p>
        </w:tc>
        <w:tc>
          <w:tcPr>
            <w:tcW w:w="1720" w:type="dxa"/>
            <w:vAlign w:val="bottom"/>
          </w:tcPr>
          <w:p>
            <w:pPr>
              <w:jc w:val="center"/>
              <w:spacing w:after="0"/>
              <w:rPr>
                <w:sz w:val="20"/>
                <w:szCs w:val="20"/>
                <w:color w:val="auto"/>
              </w:rPr>
            </w:pPr>
            <w:r>
              <w:rPr>
                <w:rFonts w:ascii="Arial" w:cs="Arial" w:eastAsia="Arial" w:hAnsi="Arial"/>
                <w:sz w:val="14"/>
                <w:szCs w:val="14"/>
                <w:color w:val="auto"/>
              </w:rPr>
              <w:t>5,057,263</w:t>
            </w:r>
          </w:p>
        </w:tc>
        <w:tc>
          <w:tcPr>
            <w:tcW w:w="1520" w:type="dxa"/>
            <w:vAlign w:val="bottom"/>
          </w:tcPr>
          <w:p>
            <w:pPr>
              <w:jc w:val="center"/>
              <w:ind w:right="8"/>
              <w:spacing w:after="0"/>
              <w:rPr>
                <w:sz w:val="20"/>
                <w:szCs w:val="20"/>
                <w:color w:val="auto"/>
              </w:rPr>
            </w:pPr>
            <w:r>
              <w:rPr>
                <w:rFonts w:ascii="Arial" w:cs="Arial" w:eastAsia="Arial" w:hAnsi="Arial"/>
                <w:sz w:val="14"/>
                <w:szCs w:val="14"/>
                <w:color w:val="auto"/>
              </w:rPr>
              <w:t>36,316</w:t>
            </w:r>
          </w:p>
        </w:tc>
        <w:tc>
          <w:tcPr>
            <w:tcW w:w="1900" w:type="dxa"/>
            <w:vAlign w:val="bottom"/>
          </w:tcPr>
          <w:p>
            <w:pPr>
              <w:jc w:val="center"/>
              <w:spacing w:after="0"/>
              <w:rPr>
                <w:sz w:val="20"/>
                <w:szCs w:val="20"/>
                <w:color w:val="auto"/>
              </w:rPr>
            </w:pPr>
            <w:r>
              <w:rPr>
                <w:rFonts w:ascii="Arial" w:cs="Arial" w:eastAsia="Arial" w:hAnsi="Arial"/>
                <w:sz w:val="14"/>
                <w:szCs w:val="14"/>
                <w:color w:val="auto"/>
              </w:rPr>
              <w:t>11,145,744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276092"/>
            </w:tcBorders>
          </w:tcPr>
          <w:p>
            <w:pPr>
              <w:spacing w:after="0"/>
              <w:rPr>
                <w:sz w:val="19"/>
                <w:szCs w:val="19"/>
                <w:color w:val="auto"/>
              </w:rPr>
            </w:pPr>
          </w:p>
        </w:tc>
        <w:tc>
          <w:tcPr>
            <w:tcW w:w="1360" w:type="dxa"/>
            <w:vAlign w:val="bottom"/>
            <w:tcBorders>
              <w:bottom w:val="single" w:sz="8" w:color="276092"/>
            </w:tcBorders>
            <w:shd w:val="clear" w:color="auto" w:fill="BECFDE"/>
          </w:tcPr>
          <w:p>
            <w:pPr>
              <w:jc w:val="right"/>
              <w:ind w:right="228"/>
              <w:spacing w:after="0"/>
              <w:rPr>
                <w:sz w:val="20"/>
                <w:szCs w:val="20"/>
                <w:color w:val="auto"/>
              </w:rPr>
            </w:pPr>
            <w:r>
              <w:rPr>
                <w:rFonts w:ascii="Arial" w:cs="Arial" w:eastAsia="Arial" w:hAnsi="Arial"/>
                <w:sz w:val="14"/>
                <w:szCs w:val="14"/>
                <w:color w:val="auto"/>
              </w:rPr>
              <w:t>2/18/2015</w:t>
            </w:r>
          </w:p>
        </w:tc>
        <w:tc>
          <w:tcPr>
            <w:tcW w:w="1700" w:type="dxa"/>
            <w:vAlign w:val="bottom"/>
            <w:tcBorders>
              <w:bottom w:val="single" w:sz="8" w:color="276092"/>
            </w:tcBorders>
            <w:shd w:val="clear" w:color="auto" w:fill="BECFDE"/>
          </w:tcPr>
          <w:p>
            <w:pPr>
              <w:jc w:val="center"/>
              <w:ind w:left="68"/>
              <w:spacing w:after="0"/>
              <w:rPr>
                <w:sz w:val="20"/>
                <w:szCs w:val="20"/>
                <w:color w:val="auto"/>
              </w:rPr>
            </w:pPr>
            <w:r>
              <w:rPr>
                <w:rFonts w:ascii="Arial" w:cs="Arial" w:eastAsia="Arial" w:hAnsi="Arial"/>
                <w:sz w:val="14"/>
                <w:szCs w:val="14"/>
                <w:color w:val="auto"/>
              </w:rPr>
              <w:t>16,745</w:t>
            </w:r>
          </w:p>
        </w:tc>
        <w:tc>
          <w:tcPr>
            <w:tcW w:w="17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5,139,208</w:t>
            </w:r>
          </w:p>
        </w:tc>
        <w:tc>
          <w:tcPr>
            <w:tcW w:w="1520" w:type="dxa"/>
            <w:vAlign w:val="bottom"/>
            <w:tcBorders>
              <w:bottom w:val="single" w:sz="8" w:color="276092"/>
            </w:tcBorders>
            <w:shd w:val="clear" w:color="auto" w:fill="BECFDE"/>
          </w:tcPr>
          <w:p>
            <w:pPr>
              <w:jc w:val="center"/>
              <w:ind w:right="8"/>
              <w:spacing w:after="0"/>
              <w:rPr>
                <w:sz w:val="20"/>
                <w:szCs w:val="20"/>
                <w:color w:val="auto"/>
              </w:rPr>
            </w:pPr>
            <w:r>
              <w:rPr>
                <w:rFonts w:ascii="Arial" w:cs="Arial" w:eastAsia="Arial" w:hAnsi="Arial"/>
                <w:sz w:val="14"/>
                <w:szCs w:val="14"/>
                <w:color w:val="auto"/>
              </w:rPr>
              <w:t>41,147</w:t>
            </w:r>
          </w:p>
        </w:tc>
        <w:tc>
          <w:tcPr>
            <w:tcW w:w="19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12,628,426</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2/17/2017</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rPr>
              <w:t>4,146</w:t>
            </w:r>
          </w:p>
        </w:tc>
        <w:tc>
          <w:tcPr>
            <w:tcW w:w="1720" w:type="dxa"/>
            <w:vAlign w:val="bottom"/>
          </w:tcPr>
          <w:p>
            <w:pPr>
              <w:jc w:val="center"/>
              <w:spacing w:after="0"/>
              <w:rPr>
                <w:sz w:val="20"/>
                <w:szCs w:val="20"/>
                <w:color w:val="auto"/>
              </w:rPr>
            </w:pPr>
            <w:r>
              <w:rPr>
                <w:rFonts w:ascii="Arial" w:cs="Arial" w:eastAsia="Arial" w:hAnsi="Arial"/>
                <w:sz w:val="14"/>
                <w:szCs w:val="14"/>
                <w:color w:val="auto"/>
              </w:rPr>
              <w:t>1,272,449</w:t>
            </w:r>
          </w:p>
        </w:tc>
        <w:tc>
          <w:tcPr>
            <w:tcW w:w="1520" w:type="dxa"/>
            <w:vAlign w:val="bottom"/>
          </w:tcPr>
          <w:p>
            <w:pPr>
              <w:jc w:val="center"/>
              <w:ind w:right="8"/>
              <w:spacing w:after="0"/>
              <w:rPr>
                <w:sz w:val="20"/>
                <w:szCs w:val="20"/>
                <w:color w:val="auto"/>
              </w:rPr>
            </w:pPr>
            <w:r>
              <w:rPr>
                <w:rFonts w:ascii="Arial" w:cs="Arial" w:eastAsia="Arial" w:hAnsi="Arial"/>
                <w:sz w:val="14"/>
                <w:szCs w:val="14"/>
                <w:color w:val="auto"/>
              </w:rPr>
              <w:t>9,914</w:t>
            </w:r>
          </w:p>
        </w:tc>
        <w:tc>
          <w:tcPr>
            <w:tcW w:w="1900" w:type="dxa"/>
            <w:vAlign w:val="bottom"/>
          </w:tcPr>
          <w:p>
            <w:pPr>
              <w:jc w:val="center"/>
              <w:spacing w:after="0"/>
              <w:rPr>
                <w:sz w:val="20"/>
                <w:szCs w:val="20"/>
                <w:color w:val="auto"/>
              </w:rPr>
            </w:pPr>
            <w:r>
              <w:rPr>
                <w:rFonts w:ascii="Arial" w:cs="Arial" w:eastAsia="Arial" w:hAnsi="Arial"/>
                <w:sz w:val="14"/>
                <w:szCs w:val="14"/>
                <w:color w:val="auto"/>
              </w:rPr>
              <w:t>3,042,706</w:t>
            </w:r>
          </w:p>
        </w:tc>
        <w:tc>
          <w:tcPr>
            <w:tcW w:w="0" w:type="dxa"/>
            <w:vAlign w:val="bottom"/>
          </w:tcPr>
          <w:p>
            <w:pPr>
              <w:spacing w:after="0"/>
              <w:rPr>
                <w:sz w:val="1"/>
                <w:szCs w:val="1"/>
                <w:color w:val="auto"/>
              </w:rPr>
            </w:pPr>
          </w:p>
        </w:tc>
      </w:tr>
      <w:tr>
        <w:trPr>
          <w:trHeight w:val="242"/>
        </w:trPr>
        <w:tc>
          <w:tcPr>
            <w:tcW w:w="2820" w:type="dxa"/>
            <w:vAlign w:val="bottom"/>
          </w:tcPr>
          <w:p>
            <w:pPr>
              <w:ind w:left="80"/>
              <w:spacing w:after="0"/>
              <w:rPr>
                <w:sz w:val="20"/>
                <w:szCs w:val="20"/>
                <w:color w:val="auto"/>
              </w:rPr>
            </w:pPr>
            <w:r>
              <w:rPr>
                <w:rFonts w:ascii="Arial" w:cs="Arial" w:eastAsia="Arial" w:hAnsi="Arial"/>
                <w:sz w:val="14"/>
                <w:szCs w:val="14"/>
                <w:color w:val="auto"/>
              </w:rPr>
              <w:t>Kenneth L. Bedingfield</w:t>
            </w:r>
          </w:p>
        </w:tc>
        <w:tc>
          <w:tcPr>
            <w:tcW w:w="1360" w:type="dxa"/>
            <w:vAlign w:val="bottom"/>
            <w:shd w:val="clear" w:color="auto" w:fill="BECFDE"/>
          </w:tcPr>
          <w:p>
            <w:pPr>
              <w:jc w:val="right"/>
              <w:ind w:right="228"/>
              <w:spacing w:after="0"/>
              <w:rPr>
                <w:sz w:val="20"/>
                <w:szCs w:val="20"/>
                <w:color w:val="auto"/>
              </w:rPr>
            </w:pPr>
            <w:r>
              <w:rPr>
                <w:rFonts w:ascii="Arial" w:cs="Arial" w:eastAsia="Arial" w:hAnsi="Arial"/>
                <w:sz w:val="14"/>
                <w:szCs w:val="14"/>
                <w:color w:val="auto"/>
              </w:rPr>
              <w:t>2/17/2016</w:t>
            </w:r>
          </w:p>
        </w:tc>
        <w:tc>
          <w:tcPr>
            <w:tcW w:w="1700" w:type="dxa"/>
            <w:vAlign w:val="bottom"/>
            <w:shd w:val="clear" w:color="auto" w:fill="BECFDE"/>
          </w:tcPr>
          <w:p>
            <w:pPr>
              <w:jc w:val="center"/>
              <w:ind w:left="68"/>
              <w:spacing w:after="0"/>
              <w:rPr>
                <w:sz w:val="20"/>
                <w:szCs w:val="20"/>
                <w:color w:val="auto"/>
              </w:rPr>
            </w:pPr>
            <w:r>
              <w:rPr>
                <w:rFonts w:ascii="Arial" w:cs="Arial" w:eastAsia="Arial" w:hAnsi="Arial"/>
                <w:sz w:val="14"/>
                <w:szCs w:val="14"/>
                <w:color w:val="auto"/>
              </w:rPr>
              <w:t>4,943</w:t>
            </w:r>
          </w:p>
        </w:tc>
        <w:tc>
          <w:tcPr>
            <w:tcW w:w="17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1,517,056</w:t>
            </w:r>
          </w:p>
        </w:tc>
        <w:tc>
          <w:tcPr>
            <w:tcW w:w="1520" w:type="dxa"/>
            <w:vAlign w:val="bottom"/>
            <w:shd w:val="clear" w:color="auto" w:fill="BECFDE"/>
          </w:tcPr>
          <w:p>
            <w:pPr>
              <w:jc w:val="center"/>
              <w:ind w:right="8"/>
              <w:spacing w:after="0"/>
              <w:rPr>
                <w:sz w:val="20"/>
                <w:szCs w:val="20"/>
                <w:color w:val="auto"/>
              </w:rPr>
            </w:pPr>
            <w:r>
              <w:rPr>
                <w:rFonts w:ascii="Arial" w:cs="Arial" w:eastAsia="Arial" w:hAnsi="Arial"/>
                <w:sz w:val="14"/>
                <w:szCs w:val="14"/>
                <w:color w:val="auto"/>
              </w:rPr>
              <w:t>10,895</w:t>
            </w:r>
          </w:p>
        </w:tc>
        <w:tc>
          <w:tcPr>
            <w:tcW w:w="19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3,343,784</w:t>
            </w:r>
          </w:p>
        </w:tc>
        <w:tc>
          <w:tcPr>
            <w:tcW w:w="0" w:type="dxa"/>
            <w:vAlign w:val="bottom"/>
          </w:tcPr>
          <w:p>
            <w:pPr>
              <w:spacing w:after="0"/>
              <w:rPr>
                <w:sz w:val="1"/>
                <w:szCs w:val="1"/>
                <w:color w:val="auto"/>
              </w:rPr>
            </w:pPr>
          </w:p>
        </w:tc>
      </w:tr>
      <w:tr>
        <w:trPr>
          <w:trHeight w:val="224"/>
        </w:trPr>
        <w:tc>
          <w:tcPr>
            <w:tcW w:w="2820" w:type="dxa"/>
            <w:vAlign w:val="bottom"/>
            <w:tcBorders>
              <w:bottom w:val="single" w:sz="8" w:color="276092"/>
            </w:tcBorders>
          </w:tcPr>
          <w:p>
            <w:pPr>
              <w:spacing w:after="0"/>
              <w:rPr>
                <w:sz w:val="19"/>
                <w:szCs w:val="19"/>
                <w:color w:val="auto"/>
              </w:rPr>
            </w:pPr>
          </w:p>
        </w:tc>
        <w:tc>
          <w:tcPr>
            <w:tcW w:w="1360" w:type="dxa"/>
            <w:vAlign w:val="bottom"/>
            <w:tcBorders>
              <w:bottom w:val="single" w:sz="8" w:color="276092"/>
            </w:tcBorders>
          </w:tcPr>
          <w:p>
            <w:pPr>
              <w:jc w:val="right"/>
              <w:ind w:right="228"/>
              <w:spacing w:after="0"/>
              <w:rPr>
                <w:sz w:val="20"/>
                <w:szCs w:val="20"/>
                <w:color w:val="auto"/>
              </w:rPr>
            </w:pPr>
            <w:r>
              <w:rPr>
                <w:rFonts w:ascii="Arial" w:cs="Arial" w:eastAsia="Arial" w:hAnsi="Arial"/>
                <w:sz w:val="14"/>
                <w:szCs w:val="14"/>
                <w:color w:val="auto"/>
              </w:rPr>
              <w:t>2/18/2015</w:t>
            </w:r>
          </w:p>
        </w:tc>
        <w:tc>
          <w:tcPr>
            <w:tcW w:w="1700" w:type="dxa"/>
            <w:vAlign w:val="bottom"/>
            <w:tcBorders>
              <w:bottom w:val="single" w:sz="8" w:color="276092"/>
            </w:tcBorders>
          </w:tcPr>
          <w:p>
            <w:pPr>
              <w:jc w:val="center"/>
              <w:ind w:left="68"/>
              <w:spacing w:after="0"/>
              <w:rPr>
                <w:sz w:val="20"/>
                <w:szCs w:val="20"/>
                <w:color w:val="auto"/>
              </w:rPr>
            </w:pPr>
            <w:r>
              <w:rPr>
                <w:rFonts w:ascii="Arial" w:cs="Arial" w:eastAsia="Arial" w:hAnsi="Arial"/>
                <w:sz w:val="14"/>
                <w:szCs w:val="14"/>
                <w:color w:val="auto"/>
              </w:rPr>
              <w:t>5,582</w:t>
            </w:r>
          </w:p>
        </w:tc>
        <w:tc>
          <w:tcPr>
            <w:tcW w:w="172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1,713,172</w:t>
            </w:r>
          </w:p>
        </w:tc>
        <w:tc>
          <w:tcPr>
            <w:tcW w:w="1520" w:type="dxa"/>
            <w:vAlign w:val="bottom"/>
            <w:tcBorders>
              <w:bottom w:val="single" w:sz="8" w:color="276092"/>
            </w:tcBorders>
          </w:tcPr>
          <w:p>
            <w:pPr>
              <w:jc w:val="center"/>
              <w:ind w:right="8"/>
              <w:spacing w:after="0"/>
              <w:rPr>
                <w:sz w:val="20"/>
                <w:szCs w:val="20"/>
                <w:color w:val="auto"/>
              </w:rPr>
            </w:pPr>
            <w:r>
              <w:rPr>
                <w:rFonts w:ascii="Arial" w:cs="Arial" w:eastAsia="Arial" w:hAnsi="Arial"/>
                <w:sz w:val="14"/>
                <w:szCs w:val="14"/>
                <w:color w:val="auto"/>
              </w:rPr>
              <w:t>11,837</w:t>
            </w:r>
          </w:p>
        </w:tc>
        <w:tc>
          <w:tcPr>
            <w:tcW w:w="190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3,632,894</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360" w:type="dxa"/>
            <w:vAlign w:val="bottom"/>
            <w:shd w:val="clear" w:color="auto" w:fill="BECFDE"/>
          </w:tcPr>
          <w:p>
            <w:pPr>
              <w:jc w:val="right"/>
              <w:ind w:right="228"/>
              <w:spacing w:after="0"/>
              <w:rPr>
                <w:sz w:val="20"/>
                <w:szCs w:val="20"/>
                <w:color w:val="auto"/>
              </w:rPr>
            </w:pPr>
            <w:r>
              <w:rPr>
                <w:rFonts w:ascii="Arial" w:cs="Arial" w:eastAsia="Arial" w:hAnsi="Arial"/>
                <w:sz w:val="14"/>
                <w:szCs w:val="14"/>
                <w:color w:val="auto"/>
              </w:rPr>
              <w:t>2/17/2017</w:t>
            </w:r>
          </w:p>
        </w:tc>
        <w:tc>
          <w:tcPr>
            <w:tcW w:w="1700" w:type="dxa"/>
            <w:vAlign w:val="bottom"/>
            <w:shd w:val="clear" w:color="auto" w:fill="BECFDE"/>
          </w:tcPr>
          <w:p>
            <w:pPr>
              <w:jc w:val="center"/>
              <w:ind w:left="68"/>
              <w:spacing w:after="0"/>
              <w:rPr>
                <w:sz w:val="20"/>
                <w:szCs w:val="20"/>
                <w:color w:val="auto"/>
              </w:rPr>
            </w:pPr>
            <w:r>
              <w:rPr>
                <w:rFonts w:ascii="Arial" w:cs="Arial" w:eastAsia="Arial" w:hAnsi="Arial"/>
                <w:sz w:val="14"/>
                <w:szCs w:val="14"/>
                <w:color w:val="auto"/>
              </w:rPr>
              <w:t>4,465</w:t>
            </w:r>
          </w:p>
        </w:tc>
        <w:tc>
          <w:tcPr>
            <w:tcW w:w="17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1,370,353</w:t>
            </w:r>
          </w:p>
        </w:tc>
        <w:tc>
          <w:tcPr>
            <w:tcW w:w="1520" w:type="dxa"/>
            <w:vAlign w:val="bottom"/>
            <w:shd w:val="clear" w:color="auto" w:fill="BECFDE"/>
          </w:tcPr>
          <w:p>
            <w:pPr>
              <w:jc w:val="center"/>
              <w:ind w:right="8"/>
              <w:spacing w:after="0"/>
              <w:rPr>
                <w:sz w:val="20"/>
                <w:szCs w:val="20"/>
                <w:color w:val="auto"/>
              </w:rPr>
            </w:pPr>
            <w:r>
              <w:rPr>
                <w:rFonts w:ascii="Arial" w:cs="Arial" w:eastAsia="Arial" w:hAnsi="Arial"/>
                <w:sz w:val="14"/>
                <w:szCs w:val="14"/>
                <w:color w:val="auto"/>
              </w:rPr>
              <w:t>10,676</w:t>
            </w:r>
          </w:p>
        </w:tc>
        <w:tc>
          <w:tcPr>
            <w:tcW w:w="19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3,276,571</w:t>
            </w:r>
          </w:p>
        </w:tc>
        <w:tc>
          <w:tcPr>
            <w:tcW w:w="0" w:type="dxa"/>
            <w:vAlign w:val="bottom"/>
          </w:tcPr>
          <w:p>
            <w:pPr>
              <w:spacing w:after="0"/>
              <w:rPr>
                <w:sz w:val="1"/>
                <w:szCs w:val="1"/>
                <w:color w:val="auto"/>
              </w:rPr>
            </w:pPr>
          </w:p>
        </w:tc>
      </w:tr>
      <w:tr>
        <w:trPr>
          <w:trHeight w:val="224"/>
        </w:trPr>
        <w:tc>
          <w:tcPr>
            <w:tcW w:w="2820" w:type="dxa"/>
            <w:vAlign w:val="bottom"/>
          </w:tcPr>
          <w:p>
            <w:pPr>
              <w:ind w:left="80"/>
              <w:spacing w:after="0"/>
              <w:rPr>
                <w:sz w:val="20"/>
                <w:szCs w:val="20"/>
                <w:color w:val="auto"/>
              </w:rPr>
            </w:pPr>
            <w:r>
              <w:rPr>
                <w:rFonts w:ascii="Arial" w:cs="Arial" w:eastAsia="Arial" w:hAnsi="Arial"/>
                <w:sz w:val="14"/>
                <w:szCs w:val="14"/>
                <w:color w:val="auto"/>
              </w:rPr>
              <w:t>Gloria A. Flach (4)</w:t>
            </w: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2/17/2016</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rPr>
              <w:t>5,767</w:t>
            </w:r>
          </w:p>
        </w:tc>
        <w:tc>
          <w:tcPr>
            <w:tcW w:w="1720" w:type="dxa"/>
            <w:vAlign w:val="bottom"/>
          </w:tcPr>
          <w:p>
            <w:pPr>
              <w:jc w:val="center"/>
              <w:spacing w:after="0"/>
              <w:rPr>
                <w:sz w:val="20"/>
                <w:szCs w:val="20"/>
                <w:color w:val="auto"/>
              </w:rPr>
            </w:pPr>
            <w:r>
              <w:rPr>
                <w:rFonts w:ascii="Arial" w:cs="Arial" w:eastAsia="Arial" w:hAnsi="Arial"/>
                <w:sz w:val="14"/>
                <w:szCs w:val="14"/>
                <w:color w:val="auto"/>
              </w:rPr>
              <w:t>1,769,950</w:t>
            </w:r>
          </w:p>
        </w:tc>
        <w:tc>
          <w:tcPr>
            <w:tcW w:w="1520" w:type="dxa"/>
            <w:vAlign w:val="bottom"/>
          </w:tcPr>
          <w:p>
            <w:pPr>
              <w:jc w:val="center"/>
              <w:ind w:right="8"/>
              <w:spacing w:after="0"/>
              <w:rPr>
                <w:sz w:val="20"/>
                <w:szCs w:val="20"/>
                <w:color w:val="auto"/>
              </w:rPr>
            </w:pPr>
            <w:r>
              <w:rPr>
                <w:rFonts w:ascii="Arial" w:cs="Arial" w:eastAsia="Arial" w:hAnsi="Arial"/>
                <w:sz w:val="14"/>
                <w:szCs w:val="14"/>
                <w:color w:val="auto"/>
              </w:rPr>
              <w:t>12,710</w:t>
            </w:r>
          </w:p>
        </w:tc>
        <w:tc>
          <w:tcPr>
            <w:tcW w:w="1900" w:type="dxa"/>
            <w:vAlign w:val="bottom"/>
          </w:tcPr>
          <w:p>
            <w:pPr>
              <w:jc w:val="center"/>
              <w:spacing w:after="0"/>
              <w:rPr>
                <w:sz w:val="20"/>
                <w:szCs w:val="20"/>
                <w:color w:val="auto"/>
              </w:rPr>
            </w:pPr>
            <w:r>
              <w:rPr>
                <w:rFonts w:ascii="Arial" w:cs="Arial" w:eastAsia="Arial" w:hAnsi="Arial"/>
                <w:sz w:val="14"/>
                <w:szCs w:val="14"/>
                <w:color w:val="auto"/>
              </w:rPr>
              <w:t>3,900,826</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276092"/>
            </w:tcBorders>
          </w:tcPr>
          <w:p>
            <w:pPr>
              <w:spacing w:after="0"/>
              <w:rPr>
                <w:sz w:val="19"/>
                <w:szCs w:val="19"/>
                <w:color w:val="auto"/>
              </w:rPr>
            </w:pPr>
          </w:p>
        </w:tc>
        <w:tc>
          <w:tcPr>
            <w:tcW w:w="1360" w:type="dxa"/>
            <w:vAlign w:val="bottom"/>
            <w:tcBorders>
              <w:bottom w:val="single" w:sz="8" w:color="276092"/>
            </w:tcBorders>
            <w:shd w:val="clear" w:color="auto" w:fill="BECFDE"/>
          </w:tcPr>
          <w:p>
            <w:pPr>
              <w:jc w:val="right"/>
              <w:ind w:right="228"/>
              <w:spacing w:after="0"/>
              <w:rPr>
                <w:sz w:val="20"/>
                <w:szCs w:val="20"/>
                <w:color w:val="auto"/>
              </w:rPr>
            </w:pPr>
            <w:r>
              <w:rPr>
                <w:rFonts w:ascii="Arial" w:cs="Arial" w:eastAsia="Arial" w:hAnsi="Arial"/>
                <w:sz w:val="14"/>
                <w:szCs w:val="14"/>
                <w:color w:val="auto"/>
              </w:rPr>
              <w:t>2/18/2015</w:t>
            </w:r>
          </w:p>
        </w:tc>
        <w:tc>
          <w:tcPr>
            <w:tcW w:w="1700" w:type="dxa"/>
            <w:vAlign w:val="bottom"/>
            <w:tcBorders>
              <w:bottom w:val="single" w:sz="8" w:color="276092"/>
            </w:tcBorders>
            <w:shd w:val="clear" w:color="auto" w:fill="BECFDE"/>
          </w:tcPr>
          <w:p>
            <w:pPr>
              <w:jc w:val="center"/>
              <w:ind w:left="68"/>
              <w:spacing w:after="0"/>
              <w:rPr>
                <w:sz w:val="20"/>
                <w:szCs w:val="20"/>
                <w:color w:val="auto"/>
              </w:rPr>
            </w:pPr>
            <w:r>
              <w:rPr>
                <w:rFonts w:ascii="Arial" w:cs="Arial" w:eastAsia="Arial" w:hAnsi="Arial"/>
                <w:sz w:val="14"/>
                <w:szCs w:val="14"/>
                <w:color w:val="auto"/>
              </w:rPr>
              <w:t>6,512</w:t>
            </w:r>
          </w:p>
        </w:tc>
        <w:tc>
          <w:tcPr>
            <w:tcW w:w="17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1,998,598</w:t>
            </w:r>
          </w:p>
        </w:tc>
        <w:tc>
          <w:tcPr>
            <w:tcW w:w="1520" w:type="dxa"/>
            <w:vAlign w:val="bottom"/>
            <w:tcBorders>
              <w:bottom w:val="single" w:sz="8" w:color="276092"/>
            </w:tcBorders>
            <w:shd w:val="clear" w:color="auto" w:fill="BECFDE"/>
          </w:tcPr>
          <w:p>
            <w:pPr>
              <w:jc w:val="center"/>
              <w:ind w:right="8"/>
              <w:spacing w:after="0"/>
              <w:rPr>
                <w:sz w:val="20"/>
                <w:szCs w:val="20"/>
                <w:color w:val="auto"/>
              </w:rPr>
            </w:pPr>
            <w:r>
              <w:rPr>
                <w:rFonts w:ascii="Arial" w:cs="Arial" w:eastAsia="Arial" w:hAnsi="Arial"/>
                <w:sz w:val="14"/>
                <w:szCs w:val="14"/>
                <w:color w:val="auto"/>
              </w:rPr>
              <w:t>13,810</w:t>
            </w:r>
          </w:p>
        </w:tc>
        <w:tc>
          <w:tcPr>
            <w:tcW w:w="19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4,238,427</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4/1/2017</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rPr>
              <w:t>3,789</w:t>
            </w:r>
          </w:p>
        </w:tc>
        <w:tc>
          <w:tcPr>
            <w:tcW w:w="1720" w:type="dxa"/>
            <w:vAlign w:val="bottom"/>
          </w:tcPr>
          <w:p>
            <w:pPr>
              <w:jc w:val="center"/>
              <w:spacing w:after="0"/>
              <w:rPr>
                <w:sz w:val="20"/>
                <w:szCs w:val="20"/>
                <w:color w:val="auto"/>
              </w:rPr>
            </w:pPr>
            <w:r>
              <w:rPr>
                <w:rFonts w:ascii="Arial" w:cs="Arial" w:eastAsia="Arial" w:hAnsi="Arial"/>
                <w:sz w:val="14"/>
                <w:szCs w:val="14"/>
                <w:color w:val="auto"/>
              </w:rPr>
              <w:t>1,162,882</w:t>
            </w:r>
          </w:p>
        </w:tc>
        <w:tc>
          <w:tcPr>
            <w:tcW w:w="1520" w:type="dxa"/>
            <w:vAlign w:val="bottom"/>
          </w:tcPr>
          <w:p>
            <w:pPr>
              <w:jc w:val="center"/>
              <w:ind w:right="8"/>
              <w:spacing w:after="0"/>
              <w:rPr>
                <w:sz w:val="20"/>
                <w:szCs w:val="20"/>
                <w:color w:val="auto"/>
              </w:rPr>
            </w:pPr>
            <w:r>
              <w:rPr>
                <w:rFonts w:ascii="Arial" w:cs="Arial" w:eastAsia="Arial" w:hAnsi="Arial"/>
                <w:sz w:val="14"/>
                <w:szCs w:val="14"/>
                <w:color w:val="auto"/>
              </w:rPr>
              <w:t>9,395</w:t>
            </w:r>
          </w:p>
        </w:tc>
        <w:tc>
          <w:tcPr>
            <w:tcW w:w="1900" w:type="dxa"/>
            <w:vAlign w:val="bottom"/>
          </w:tcPr>
          <w:p>
            <w:pPr>
              <w:jc w:val="center"/>
              <w:spacing w:after="0"/>
              <w:rPr>
                <w:sz w:val="20"/>
                <w:szCs w:val="20"/>
                <w:color w:val="auto"/>
              </w:rPr>
            </w:pPr>
            <w:r>
              <w:rPr>
                <w:rFonts w:ascii="Arial" w:cs="Arial" w:eastAsia="Arial" w:hAnsi="Arial"/>
                <w:sz w:val="14"/>
                <w:szCs w:val="14"/>
                <w:color w:val="auto"/>
              </w:rPr>
              <w:t>2,883,419</w:t>
            </w:r>
          </w:p>
        </w:tc>
        <w:tc>
          <w:tcPr>
            <w:tcW w:w="0" w:type="dxa"/>
            <w:vAlign w:val="bottom"/>
          </w:tcPr>
          <w:p>
            <w:pPr>
              <w:spacing w:after="0"/>
              <w:rPr>
                <w:sz w:val="1"/>
                <w:szCs w:val="1"/>
                <w:color w:val="auto"/>
              </w:rPr>
            </w:pPr>
          </w:p>
        </w:tc>
      </w:tr>
      <w:tr>
        <w:trPr>
          <w:trHeight w:val="236"/>
        </w:trPr>
        <w:tc>
          <w:tcPr>
            <w:tcW w:w="2820" w:type="dxa"/>
            <w:vAlign w:val="bottom"/>
            <w:vMerge w:val="restart"/>
          </w:tcPr>
          <w:p>
            <w:pPr>
              <w:ind w:left="80"/>
              <w:spacing w:after="0"/>
              <w:rPr>
                <w:sz w:val="20"/>
                <w:szCs w:val="20"/>
                <w:color w:val="auto"/>
              </w:rPr>
            </w:pPr>
            <w:r>
              <w:rPr>
                <w:rFonts w:ascii="Arial" w:cs="Arial" w:eastAsia="Arial" w:hAnsi="Arial"/>
                <w:sz w:val="14"/>
                <w:szCs w:val="14"/>
                <w:color w:val="auto"/>
              </w:rPr>
              <w:t>Janis G. Pamiljans</w:t>
            </w:r>
          </w:p>
        </w:tc>
        <w:tc>
          <w:tcPr>
            <w:tcW w:w="1360" w:type="dxa"/>
            <w:vAlign w:val="bottom"/>
            <w:shd w:val="clear" w:color="auto" w:fill="BECFDE"/>
          </w:tcPr>
          <w:p>
            <w:pPr>
              <w:jc w:val="right"/>
              <w:ind w:right="228"/>
              <w:spacing w:after="0"/>
              <w:rPr>
                <w:sz w:val="20"/>
                <w:szCs w:val="20"/>
                <w:color w:val="auto"/>
              </w:rPr>
            </w:pPr>
            <w:r>
              <w:rPr>
                <w:rFonts w:ascii="Arial" w:cs="Arial" w:eastAsia="Arial" w:hAnsi="Arial"/>
                <w:sz w:val="14"/>
                <w:szCs w:val="14"/>
                <w:color w:val="auto"/>
              </w:rPr>
              <w:t>2/17/2017</w:t>
            </w:r>
          </w:p>
        </w:tc>
        <w:tc>
          <w:tcPr>
            <w:tcW w:w="1700" w:type="dxa"/>
            <w:vAlign w:val="bottom"/>
            <w:shd w:val="clear" w:color="auto" w:fill="BECFDE"/>
          </w:tcPr>
          <w:p>
            <w:pPr>
              <w:jc w:val="center"/>
              <w:ind w:left="68"/>
              <w:spacing w:after="0"/>
              <w:rPr>
                <w:sz w:val="20"/>
                <w:szCs w:val="20"/>
                <w:color w:val="auto"/>
              </w:rPr>
            </w:pPr>
            <w:r>
              <w:rPr>
                <w:rFonts w:ascii="Arial" w:cs="Arial" w:eastAsia="Arial" w:hAnsi="Arial"/>
                <w:sz w:val="14"/>
                <w:szCs w:val="14"/>
                <w:color w:val="auto"/>
              </w:rPr>
              <w:t>765</w:t>
            </w:r>
          </w:p>
        </w:tc>
        <w:tc>
          <w:tcPr>
            <w:tcW w:w="17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234,786</w:t>
            </w:r>
          </w:p>
        </w:tc>
        <w:tc>
          <w:tcPr>
            <w:tcW w:w="1520" w:type="dxa"/>
            <w:vAlign w:val="bottom"/>
            <w:shd w:val="clear" w:color="auto" w:fill="BECFDE"/>
          </w:tcPr>
          <w:p>
            <w:pPr>
              <w:jc w:val="center"/>
              <w:ind w:right="8"/>
              <w:spacing w:after="0"/>
              <w:rPr>
                <w:sz w:val="20"/>
                <w:szCs w:val="20"/>
                <w:color w:val="auto"/>
              </w:rPr>
            </w:pPr>
            <w:r>
              <w:rPr>
                <w:rFonts w:ascii="Arial" w:cs="Arial" w:eastAsia="Arial" w:hAnsi="Arial"/>
                <w:sz w:val="14"/>
                <w:szCs w:val="14"/>
                <w:color w:val="auto"/>
              </w:rPr>
              <w:t>1,786</w:t>
            </w:r>
          </w:p>
        </w:tc>
        <w:tc>
          <w:tcPr>
            <w:tcW w:w="19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548,141</w:t>
            </w:r>
          </w:p>
        </w:tc>
        <w:tc>
          <w:tcPr>
            <w:tcW w:w="0" w:type="dxa"/>
            <w:vAlign w:val="bottom"/>
          </w:tcPr>
          <w:p>
            <w:pPr>
              <w:spacing w:after="0"/>
              <w:rPr>
                <w:sz w:val="1"/>
                <w:szCs w:val="1"/>
                <w:color w:val="auto"/>
              </w:rPr>
            </w:pPr>
          </w:p>
        </w:tc>
      </w:tr>
      <w:tr>
        <w:trPr>
          <w:trHeight w:val="96"/>
        </w:trPr>
        <w:tc>
          <w:tcPr>
            <w:tcW w:w="2820" w:type="dxa"/>
            <w:vAlign w:val="bottom"/>
            <w:vMerge w:val="continue"/>
          </w:tcPr>
          <w:p>
            <w:pPr>
              <w:spacing w:after="0"/>
              <w:rPr>
                <w:sz w:val="8"/>
                <w:szCs w:val="8"/>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color w:val="auto"/>
              </w:rPr>
              <w:t>2/17/2016</w:t>
            </w:r>
          </w:p>
        </w:tc>
        <w:tc>
          <w:tcPr>
            <w:tcW w:w="1700" w:type="dxa"/>
            <w:vAlign w:val="bottom"/>
            <w:vMerge w:val="restart"/>
          </w:tcPr>
          <w:p>
            <w:pPr>
              <w:jc w:val="center"/>
              <w:ind w:left="68"/>
              <w:spacing w:after="0"/>
              <w:rPr>
                <w:sz w:val="20"/>
                <w:szCs w:val="20"/>
                <w:color w:val="auto"/>
              </w:rPr>
            </w:pPr>
            <w:r>
              <w:rPr>
                <w:rFonts w:ascii="Arial" w:cs="Arial" w:eastAsia="Arial" w:hAnsi="Arial"/>
                <w:sz w:val="14"/>
                <w:szCs w:val="14"/>
                <w:color w:val="auto"/>
              </w:rPr>
              <w:t>2,362</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724,921</w:t>
            </w:r>
          </w:p>
        </w:tc>
        <w:tc>
          <w:tcPr>
            <w:tcW w:w="1520" w:type="dxa"/>
            <w:vAlign w:val="bottom"/>
            <w:vMerge w:val="restart"/>
          </w:tcPr>
          <w:p>
            <w:pPr>
              <w:jc w:val="center"/>
              <w:ind w:right="8"/>
              <w:spacing w:after="0"/>
              <w:rPr>
                <w:sz w:val="20"/>
                <w:szCs w:val="20"/>
                <w:color w:val="auto"/>
              </w:rPr>
            </w:pPr>
            <w:r>
              <w:rPr>
                <w:rFonts w:ascii="Arial" w:cs="Arial" w:eastAsia="Arial" w:hAnsi="Arial"/>
                <w:sz w:val="14"/>
                <w:szCs w:val="14"/>
                <w:color w:val="auto"/>
              </w:rPr>
              <w:t>2,307</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708,041</w:t>
            </w:r>
          </w:p>
        </w:tc>
        <w:tc>
          <w:tcPr>
            <w:tcW w:w="0" w:type="dxa"/>
            <w:vAlign w:val="bottom"/>
          </w:tcPr>
          <w:p>
            <w:pPr>
              <w:spacing w:after="0"/>
              <w:rPr>
                <w:sz w:val="1"/>
                <w:szCs w:val="1"/>
                <w:color w:val="auto"/>
              </w:rPr>
            </w:pPr>
          </w:p>
        </w:tc>
      </w:tr>
      <w:tr>
        <w:trPr>
          <w:trHeight w:val="128"/>
        </w:trPr>
        <w:tc>
          <w:tcPr>
            <w:tcW w:w="28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276092"/>
            </w:tcBorders>
          </w:tcPr>
          <w:p>
            <w:pPr>
              <w:spacing w:after="0"/>
              <w:rPr>
                <w:sz w:val="19"/>
                <w:szCs w:val="19"/>
                <w:color w:val="auto"/>
              </w:rPr>
            </w:pPr>
          </w:p>
        </w:tc>
        <w:tc>
          <w:tcPr>
            <w:tcW w:w="1360" w:type="dxa"/>
            <w:vAlign w:val="bottom"/>
            <w:tcBorders>
              <w:bottom w:val="single" w:sz="8" w:color="276092"/>
            </w:tcBorders>
            <w:shd w:val="clear" w:color="auto" w:fill="BECFDE"/>
          </w:tcPr>
          <w:p>
            <w:pPr>
              <w:jc w:val="right"/>
              <w:ind w:right="228"/>
              <w:spacing w:after="0"/>
              <w:rPr>
                <w:sz w:val="20"/>
                <w:szCs w:val="20"/>
                <w:color w:val="auto"/>
              </w:rPr>
            </w:pPr>
            <w:r>
              <w:rPr>
                <w:rFonts w:ascii="Arial" w:cs="Arial" w:eastAsia="Arial" w:hAnsi="Arial"/>
                <w:sz w:val="14"/>
                <w:szCs w:val="14"/>
                <w:color w:val="auto"/>
              </w:rPr>
              <w:t>2/18/2015</w:t>
            </w:r>
          </w:p>
        </w:tc>
        <w:tc>
          <w:tcPr>
            <w:tcW w:w="1700" w:type="dxa"/>
            <w:vAlign w:val="bottom"/>
            <w:tcBorders>
              <w:bottom w:val="single" w:sz="8" w:color="276092"/>
            </w:tcBorders>
            <w:shd w:val="clear" w:color="auto" w:fill="BECFDE"/>
          </w:tcPr>
          <w:p>
            <w:pPr>
              <w:jc w:val="center"/>
              <w:ind w:left="68"/>
              <w:spacing w:after="0"/>
              <w:rPr>
                <w:sz w:val="20"/>
                <w:szCs w:val="20"/>
                <w:color w:val="auto"/>
              </w:rPr>
            </w:pPr>
            <w:r>
              <w:rPr>
                <w:rFonts w:ascii="Arial" w:cs="Arial" w:eastAsia="Arial" w:hAnsi="Arial"/>
                <w:sz w:val="14"/>
                <w:szCs w:val="14"/>
                <w:color w:val="auto"/>
              </w:rPr>
              <w:t>987</w:t>
            </w:r>
          </w:p>
        </w:tc>
        <w:tc>
          <w:tcPr>
            <w:tcW w:w="17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302,920</w:t>
            </w:r>
          </w:p>
        </w:tc>
        <w:tc>
          <w:tcPr>
            <w:tcW w:w="1520" w:type="dxa"/>
            <w:vAlign w:val="bottom"/>
            <w:tcBorders>
              <w:bottom w:val="single" w:sz="8" w:color="276092"/>
            </w:tcBorders>
            <w:shd w:val="clear" w:color="auto" w:fill="BECFDE"/>
          </w:tcPr>
          <w:p>
            <w:pPr>
              <w:jc w:val="center"/>
              <w:ind w:right="8"/>
              <w:spacing w:after="0"/>
              <w:rPr>
                <w:sz w:val="20"/>
                <w:szCs w:val="20"/>
                <w:color w:val="auto"/>
              </w:rPr>
            </w:pPr>
            <w:r>
              <w:rPr>
                <w:rFonts w:ascii="Arial" w:cs="Arial" w:eastAsia="Arial" w:hAnsi="Arial"/>
                <w:sz w:val="14"/>
                <w:szCs w:val="14"/>
                <w:color w:val="auto"/>
              </w:rPr>
              <w:t>2,302</w:t>
            </w:r>
          </w:p>
        </w:tc>
        <w:tc>
          <w:tcPr>
            <w:tcW w:w="19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706,507</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360" w:type="dxa"/>
            <w:vAlign w:val="bottom"/>
          </w:tcPr>
          <w:p>
            <w:pPr>
              <w:jc w:val="right"/>
              <w:ind w:right="228"/>
              <w:spacing w:after="0"/>
              <w:rPr>
                <w:sz w:val="20"/>
                <w:szCs w:val="20"/>
                <w:color w:val="auto"/>
              </w:rPr>
            </w:pPr>
            <w:r>
              <w:rPr>
                <w:rFonts w:ascii="Arial" w:cs="Arial" w:eastAsia="Arial" w:hAnsi="Arial"/>
                <w:sz w:val="14"/>
                <w:szCs w:val="14"/>
                <w:color w:val="auto"/>
              </w:rPr>
              <w:t>2/17/2017</w:t>
            </w:r>
          </w:p>
        </w:tc>
        <w:tc>
          <w:tcPr>
            <w:tcW w:w="1700" w:type="dxa"/>
            <w:vAlign w:val="bottom"/>
          </w:tcPr>
          <w:p>
            <w:pPr>
              <w:jc w:val="center"/>
              <w:ind w:left="68"/>
              <w:spacing w:after="0"/>
              <w:rPr>
                <w:sz w:val="20"/>
                <w:szCs w:val="20"/>
                <w:color w:val="auto"/>
              </w:rPr>
            </w:pPr>
            <w:r>
              <w:rPr>
                <w:rFonts w:ascii="Arial" w:cs="Arial" w:eastAsia="Arial" w:hAnsi="Arial"/>
                <w:sz w:val="14"/>
                <w:szCs w:val="14"/>
                <w:color w:val="auto"/>
              </w:rPr>
              <w:t>4,465</w:t>
            </w:r>
          </w:p>
        </w:tc>
        <w:tc>
          <w:tcPr>
            <w:tcW w:w="1720" w:type="dxa"/>
            <w:vAlign w:val="bottom"/>
          </w:tcPr>
          <w:p>
            <w:pPr>
              <w:jc w:val="center"/>
              <w:spacing w:after="0"/>
              <w:rPr>
                <w:sz w:val="20"/>
                <w:szCs w:val="20"/>
                <w:color w:val="auto"/>
              </w:rPr>
            </w:pPr>
            <w:r>
              <w:rPr>
                <w:rFonts w:ascii="Arial" w:cs="Arial" w:eastAsia="Arial" w:hAnsi="Arial"/>
                <w:sz w:val="14"/>
                <w:szCs w:val="14"/>
                <w:color w:val="auto"/>
              </w:rPr>
              <w:t>1,370,353</w:t>
            </w:r>
          </w:p>
        </w:tc>
        <w:tc>
          <w:tcPr>
            <w:tcW w:w="1520" w:type="dxa"/>
            <w:vAlign w:val="bottom"/>
          </w:tcPr>
          <w:p>
            <w:pPr>
              <w:jc w:val="center"/>
              <w:ind w:right="8"/>
              <w:spacing w:after="0"/>
              <w:rPr>
                <w:sz w:val="20"/>
                <w:szCs w:val="20"/>
                <w:color w:val="auto"/>
              </w:rPr>
            </w:pPr>
            <w:r>
              <w:rPr>
                <w:rFonts w:ascii="Arial" w:cs="Arial" w:eastAsia="Arial" w:hAnsi="Arial"/>
                <w:sz w:val="14"/>
                <w:szCs w:val="14"/>
                <w:color w:val="auto"/>
              </w:rPr>
              <w:t>10,676</w:t>
            </w:r>
          </w:p>
        </w:tc>
        <w:tc>
          <w:tcPr>
            <w:tcW w:w="1900" w:type="dxa"/>
            <w:vAlign w:val="bottom"/>
          </w:tcPr>
          <w:p>
            <w:pPr>
              <w:jc w:val="center"/>
              <w:spacing w:after="0"/>
              <w:rPr>
                <w:sz w:val="20"/>
                <w:szCs w:val="20"/>
                <w:color w:val="auto"/>
              </w:rPr>
            </w:pPr>
            <w:r>
              <w:rPr>
                <w:rFonts w:ascii="Arial" w:cs="Arial" w:eastAsia="Arial" w:hAnsi="Arial"/>
                <w:sz w:val="14"/>
                <w:szCs w:val="14"/>
                <w:color w:val="auto"/>
              </w:rPr>
              <w:t>3,276,571</w:t>
            </w:r>
          </w:p>
        </w:tc>
        <w:tc>
          <w:tcPr>
            <w:tcW w:w="0" w:type="dxa"/>
            <w:vAlign w:val="bottom"/>
          </w:tcPr>
          <w:p>
            <w:pPr>
              <w:spacing w:after="0"/>
              <w:rPr>
                <w:sz w:val="1"/>
                <w:szCs w:val="1"/>
                <w:color w:val="auto"/>
              </w:rPr>
            </w:pPr>
          </w:p>
        </w:tc>
      </w:tr>
      <w:tr>
        <w:trPr>
          <w:trHeight w:val="242"/>
        </w:trPr>
        <w:tc>
          <w:tcPr>
            <w:tcW w:w="2820" w:type="dxa"/>
            <w:vAlign w:val="bottom"/>
          </w:tcPr>
          <w:p>
            <w:pPr>
              <w:ind w:left="80"/>
              <w:spacing w:after="0"/>
              <w:rPr>
                <w:sz w:val="20"/>
                <w:szCs w:val="20"/>
                <w:color w:val="auto"/>
              </w:rPr>
            </w:pPr>
            <w:r>
              <w:rPr>
                <w:rFonts w:ascii="Arial" w:cs="Arial" w:eastAsia="Arial" w:hAnsi="Arial"/>
                <w:sz w:val="14"/>
                <w:szCs w:val="14"/>
                <w:color w:val="auto"/>
              </w:rPr>
              <w:t>Kathy J. Warden</w:t>
            </w:r>
          </w:p>
        </w:tc>
        <w:tc>
          <w:tcPr>
            <w:tcW w:w="1360" w:type="dxa"/>
            <w:vAlign w:val="bottom"/>
            <w:shd w:val="clear" w:color="auto" w:fill="BECFDE"/>
          </w:tcPr>
          <w:p>
            <w:pPr>
              <w:jc w:val="right"/>
              <w:ind w:right="228"/>
              <w:spacing w:after="0"/>
              <w:rPr>
                <w:sz w:val="20"/>
                <w:szCs w:val="20"/>
                <w:color w:val="auto"/>
              </w:rPr>
            </w:pPr>
            <w:r>
              <w:rPr>
                <w:rFonts w:ascii="Arial" w:cs="Arial" w:eastAsia="Arial" w:hAnsi="Arial"/>
                <w:sz w:val="14"/>
                <w:szCs w:val="14"/>
                <w:color w:val="auto"/>
              </w:rPr>
              <w:t>2/17/2016</w:t>
            </w:r>
          </w:p>
        </w:tc>
        <w:tc>
          <w:tcPr>
            <w:tcW w:w="1700" w:type="dxa"/>
            <w:vAlign w:val="bottom"/>
            <w:shd w:val="clear" w:color="auto" w:fill="BECFDE"/>
          </w:tcPr>
          <w:p>
            <w:pPr>
              <w:jc w:val="center"/>
              <w:ind w:left="68"/>
              <w:spacing w:after="0"/>
              <w:rPr>
                <w:sz w:val="20"/>
                <w:szCs w:val="20"/>
                <w:color w:val="auto"/>
              </w:rPr>
            </w:pPr>
            <w:r>
              <w:rPr>
                <w:rFonts w:ascii="Arial" w:cs="Arial" w:eastAsia="Arial" w:hAnsi="Arial"/>
                <w:sz w:val="14"/>
                <w:szCs w:val="14"/>
                <w:color w:val="auto"/>
              </w:rPr>
              <w:t>5,767</w:t>
            </w:r>
          </w:p>
        </w:tc>
        <w:tc>
          <w:tcPr>
            <w:tcW w:w="17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1,769,950</w:t>
            </w:r>
          </w:p>
        </w:tc>
        <w:tc>
          <w:tcPr>
            <w:tcW w:w="1520" w:type="dxa"/>
            <w:vAlign w:val="bottom"/>
            <w:shd w:val="clear" w:color="auto" w:fill="BECFDE"/>
          </w:tcPr>
          <w:p>
            <w:pPr>
              <w:jc w:val="center"/>
              <w:ind w:right="8"/>
              <w:spacing w:after="0"/>
              <w:rPr>
                <w:sz w:val="20"/>
                <w:szCs w:val="20"/>
                <w:color w:val="auto"/>
              </w:rPr>
            </w:pPr>
            <w:r>
              <w:rPr>
                <w:rFonts w:ascii="Arial" w:cs="Arial" w:eastAsia="Arial" w:hAnsi="Arial"/>
                <w:sz w:val="14"/>
                <w:szCs w:val="14"/>
                <w:color w:val="auto"/>
              </w:rPr>
              <w:t>12,710</w:t>
            </w:r>
          </w:p>
        </w:tc>
        <w:tc>
          <w:tcPr>
            <w:tcW w:w="19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3,900,826</w:t>
            </w:r>
          </w:p>
        </w:tc>
        <w:tc>
          <w:tcPr>
            <w:tcW w:w="0" w:type="dxa"/>
            <w:vAlign w:val="bottom"/>
          </w:tcPr>
          <w:p>
            <w:pPr>
              <w:spacing w:after="0"/>
              <w:rPr>
                <w:sz w:val="1"/>
                <w:szCs w:val="1"/>
                <w:color w:val="auto"/>
              </w:rPr>
            </w:pPr>
          </w:p>
        </w:tc>
      </w:tr>
      <w:tr>
        <w:trPr>
          <w:trHeight w:val="224"/>
        </w:trPr>
        <w:tc>
          <w:tcPr>
            <w:tcW w:w="2820" w:type="dxa"/>
            <w:vAlign w:val="bottom"/>
            <w:tcBorders>
              <w:bottom w:val="single" w:sz="8" w:color="276092"/>
            </w:tcBorders>
          </w:tcPr>
          <w:p>
            <w:pPr>
              <w:spacing w:after="0"/>
              <w:rPr>
                <w:sz w:val="19"/>
                <w:szCs w:val="19"/>
                <w:color w:val="auto"/>
              </w:rPr>
            </w:pPr>
          </w:p>
        </w:tc>
        <w:tc>
          <w:tcPr>
            <w:tcW w:w="1360" w:type="dxa"/>
            <w:vAlign w:val="bottom"/>
            <w:tcBorders>
              <w:bottom w:val="single" w:sz="8" w:color="276092"/>
            </w:tcBorders>
          </w:tcPr>
          <w:p>
            <w:pPr>
              <w:jc w:val="right"/>
              <w:ind w:right="228"/>
              <w:spacing w:after="0"/>
              <w:rPr>
                <w:sz w:val="20"/>
                <w:szCs w:val="20"/>
                <w:color w:val="auto"/>
              </w:rPr>
            </w:pPr>
            <w:r>
              <w:rPr>
                <w:rFonts w:ascii="Arial" w:cs="Arial" w:eastAsia="Arial" w:hAnsi="Arial"/>
                <w:sz w:val="14"/>
                <w:szCs w:val="14"/>
                <w:color w:val="auto"/>
              </w:rPr>
              <w:t>2/18/2015</w:t>
            </w:r>
          </w:p>
        </w:tc>
        <w:tc>
          <w:tcPr>
            <w:tcW w:w="1700" w:type="dxa"/>
            <w:vAlign w:val="bottom"/>
            <w:tcBorders>
              <w:bottom w:val="single" w:sz="8" w:color="276092"/>
            </w:tcBorders>
          </w:tcPr>
          <w:p>
            <w:pPr>
              <w:jc w:val="center"/>
              <w:ind w:left="68"/>
              <w:spacing w:after="0"/>
              <w:rPr>
                <w:sz w:val="20"/>
                <w:szCs w:val="20"/>
                <w:color w:val="auto"/>
              </w:rPr>
            </w:pPr>
            <w:r>
              <w:rPr>
                <w:rFonts w:ascii="Arial" w:cs="Arial" w:eastAsia="Arial" w:hAnsi="Arial"/>
                <w:sz w:val="14"/>
                <w:szCs w:val="14"/>
                <w:color w:val="auto"/>
              </w:rPr>
              <w:t>5,954</w:t>
            </w:r>
          </w:p>
        </w:tc>
        <w:tc>
          <w:tcPr>
            <w:tcW w:w="172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1,827,342</w:t>
            </w:r>
          </w:p>
        </w:tc>
        <w:tc>
          <w:tcPr>
            <w:tcW w:w="1520" w:type="dxa"/>
            <w:vAlign w:val="bottom"/>
            <w:tcBorders>
              <w:bottom w:val="single" w:sz="8" w:color="276092"/>
            </w:tcBorders>
          </w:tcPr>
          <w:p>
            <w:pPr>
              <w:jc w:val="center"/>
              <w:ind w:right="8"/>
              <w:spacing w:after="0"/>
              <w:rPr>
                <w:sz w:val="20"/>
                <w:szCs w:val="20"/>
                <w:color w:val="auto"/>
              </w:rPr>
            </w:pPr>
            <w:r>
              <w:rPr>
                <w:rFonts w:ascii="Arial" w:cs="Arial" w:eastAsia="Arial" w:hAnsi="Arial"/>
                <w:sz w:val="14"/>
                <w:szCs w:val="14"/>
                <w:color w:val="auto"/>
              </w:rPr>
              <w:t>12,626</w:t>
            </w:r>
          </w:p>
        </w:tc>
        <w:tc>
          <w:tcPr>
            <w:tcW w:w="190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3,875,046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20" w:hanging="43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Outstanding RSRs generally vest three years from date of grant. Mr. Pamiljans’ April 1, 2017 RSR promotion grant vests on April 1, 2018. Mr. Pamiljans’ February 17, 2016 RSR grant is comprised of an annual grant (989 shares) and a retention grant (1,373 shares) and vests on February 17, 2018.</w:t>
      </w:r>
    </w:p>
    <w:p>
      <w:pPr>
        <w:spacing w:after="0" w:line="108" w:lineRule="exact"/>
        <w:rPr>
          <w:rFonts w:ascii="Arial" w:cs="Arial" w:eastAsia="Arial" w:hAnsi="Arial"/>
          <w:sz w:val="18"/>
          <w:szCs w:val="18"/>
          <w:color w:val="auto"/>
        </w:rPr>
      </w:pPr>
    </w:p>
    <w:p>
      <w:pPr>
        <w:ind w:left="640" w:right="200" w:hanging="436"/>
        <w:spacing w:after="0" w:line="246"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value listed is based on the closing price of the Company’s stock of $306.91 on December 29, 2017, the last trading day of the year.</w:t>
      </w:r>
    </w:p>
    <w:p>
      <w:pPr>
        <w:spacing w:after="0" w:line="102" w:lineRule="exact"/>
        <w:rPr>
          <w:rFonts w:ascii="Arial" w:cs="Arial" w:eastAsia="Arial" w:hAnsi="Arial"/>
          <w:sz w:val="18"/>
          <w:szCs w:val="18"/>
          <w:color w:val="auto"/>
        </w:rPr>
      </w:pPr>
    </w:p>
    <w:p>
      <w:pPr>
        <w:ind w:left="640" w:right="100" w:hanging="436"/>
        <w:spacing w:after="0" w:line="236" w:lineRule="auto"/>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Outstanding RPSRs granted in 2017, 2016 and 2015 generally vest based on performance for the three-year performance period ending on December 31, 2019, 2018 and 2017, respectively. Mr. Pamiljans’ 2016 RPSR grant vests based on performance for the 2015-2017 performance period ending on December 31, 2017. All RPSR grants are subject to the Compensation Committee’s approval of the performance-based earnout percentage applicable to the grant following the end of the performance period. The 2015 RPSRs and Mr. Pamiljans’ 2016 RPSRs were distributed in February 2018 upon the Compensation Committee’s approval. Mr. Pamiljans was an appointed officer at the time his 2015 and 2016 RPSRs were granted and his payout reflects the performance-based earnout percentage applicable to awards for appointed officers. The actual number of shares distributed to the NEOs in February 2018 as a result of the vesting RPSRs was as follows: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320" w:type="dxa"/>
            <w:vAlign w:val="bottom"/>
            <w:shd w:val="clear" w:color="auto" w:fill="276092"/>
          </w:tcPr>
          <w:p>
            <w:pPr>
              <w:spacing w:after="0"/>
              <w:rPr>
                <w:sz w:val="16"/>
                <w:szCs w:val="16"/>
                <w:color w:val="auto"/>
              </w:rPr>
            </w:pPr>
          </w:p>
        </w:tc>
        <w:tc>
          <w:tcPr>
            <w:tcW w:w="4800" w:type="dxa"/>
            <w:vAlign w:val="bottom"/>
            <w:shd w:val="clear" w:color="auto" w:fill="276092"/>
          </w:tcPr>
          <w:p>
            <w:pPr>
              <w:jc w:val="right"/>
              <w:ind w:right="688"/>
              <w:spacing w:after="0"/>
              <w:rPr>
                <w:sz w:val="20"/>
                <w:szCs w:val="20"/>
                <w:color w:val="auto"/>
              </w:rPr>
            </w:pPr>
            <w:r>
              <w:rPr>
                <w:rFonts w:ascii="Arial" w:cs="Arial" w:eastAsia="Arial" w:hAnsi="Arial"/>
                <w:sz w:val="14"/>
                <w:szCs w:val="14"/>
                <w:b w:val="1"/>
                <w:bCs w:val="1"/>
                <w:color w:val="FFFFFF"/>
              </w:rPr>
              <w:t>Actual Shares Distributed</w:t>
            </w:r>
          </w:p>
        </w:tc>
      </w:tr>
      <w:tr>
        <w:trPr>
          <w:trHeight w:val="202"/>
        </w:trPr>
        <w:tc>
          <w:tcPr>
            <w:tcW w:w="332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4800" w:type="dxa"/>
            <w:vAlign w:val="bottom"/>
            <w:shd w:val="clear" w:color="auto" w:fill="276092"/>
          </w:tcPr>
          <w:p>
            <w:pPr>
              <w:jc w:val="right"/>
              <w:ind w:right="1468"/>
              <w:spacing w:after="0"/>
              <w:rPr>
                <w:sz w:val="20"/>
                <w:szCs w:val="20"/>
                <w:color w:val="auto"/>
              </w:rPr>
            </w:pPr>
            <w:r>
              <w:rPr>
                <w:rFonts w:ascii="Arial" w:cs="Arial" w:eastAsia="Arial" w:hAnsi="Arial"/>
                <w:sz w:val="14"/>
                <w:szCs w:val="14"/>
                <w:b w:val="1"/>
                <w:bCs w:val="1"/>
                <w:color w:val="FFFFFF"/>
              </w:rPr>
              <w:t>(#)</w:t>
            </w:r>
          </w:p>
        </w:tc>
      </w:tr>
      <w:tr>
        <w:trPr>
          <w:trHeight w:val="230"/>
        </w:trPr>
        <w:tc>
          <w:tcPr>
            <w:tcW w:w="3320" w:type="dxa"/>
            <w:vAlign w:val="bottom"/>
            <w:shd w:val="clear" w:color="auto" w:fill="BECFDE"/>
          </w:tcPr>
          <w:p>
            <w:pPr>
              <w:ind w:left="80"/>
              <w:spacing w:after="0"/>
              <w:rPr>
                <w:sz w:val="20"/>
                <w:szCs w:val="20"/>
                <w:color w:val="auto"/>
              </w:rPr>
            </w:pPr>
            <w:r>
              <w:rPr>
                <w:rFonts w:ascii="Arial" w:cs="Arial" w:eastAsia="Arial" w:hAnsi="Arial"/>
                <w:sz w:val="14"/>
                <w:szCs w:val="14"/>
                <w:color w:val="auto"/>
              </w:rPr>
              <w:t>Mr. Bush</w:t>
            </w:r>
          </w:p>
        </w:tc>
        <w:tc>
          <w:tcPr>
            <w:tcW w:w="4800" w:type="dxa"/>
            <w:vAlign w:val="bottom"/>
            <w:shd w:val="clear" w:color="auto" w:fill="BECFDE"/>
          </w:tcPr>
          <w:p>
            <w:pPr>
              <w:jc w:val="right"/>
              <w:ind w:right="1328"/>
              <w:spacing w:after="0"/>
              <w:rPr>
                <w:sz w:val="20"/>
                <w:szCs w:val="20"/>
                <w:color w:val="auto"/>
              </w:rPr>
            </w:pPr>
            <w:r>
              <w:rPr>
                <w:rFonts w:ascii="Arial" w:cs="Arial" w:eastAsia="Arial" w:hAnsi="Arial"/>
                <w:sz w:val="14"/>
                <w:szCs w:val="14"/>
                <w:color w:val="auto"/>
              </w:rPr>
              <w:t>61,721</w:t>
            </w:r>
          </w:p>
        </w:tc>
      </w:tr>
      <w:tr>
        <w:trPr>
          <w:trHeight w:val="224"/>
        </w:trPr>
        <w:tc>
          <w:tcPr>
            <w:tcW w:w="3320" w:type="dxa"/>
            <w:vAlign w:val="bottom"/>
          </w:tcPr>
          <w:p>
            <w:pPr>
              <w:ind w:left="80"/>
              <w:spacing w:after="0"/>
              <w:rPr>
                <w:sz w:val="20"/>
                <w:szCs w:val="20"/>
                <w:color w:val="auto"/>
              </w:rPr>
            </w:pPr>
            <w:r>
              <w:rPr>
                <w:rFonts w:ascii="Arial" w:cs="Arial" w:eastAsia="Arial" w:hAnsi="Arial"/>
                <w:sz w:val="14"/>
                <w:szCs w:val="14"/>
                <w:color w:val="auto"/>
              </w:rPr>
              <w:t>Mr. Bedingfield</w:t>
            </w:r>
          </w:p>
        </w:tc>
        <w:tc>
          <w:tcPr>
            <w:tcW w:w="4800" w:type="dxa"/>
            <w:vAlign w:val="bottom"/>
          </w:tcPr>
          <w:p>
            <w:pPr>
              <w:jc w:val="right"/>
              <w:ind w:right="1328"/>
              <w:spacing w:after="0"/>
              <w:rPr>
                <w:sz w:val="20"/>
                <w:szCs w:val="20"/>
                <w:color w:val="auto"/>
              </w:rPr>
            </w:pPr>
            <w:r>
              <w:rPr>
                <w:rFonts w:ascii="Arial" w:cs="Arial" w:eastAsia="Arial" w:hAnsi="Arial"/>
                <w:sz w:val="14"/>
                <w:szCs w:val="14"/>
                <w:color w:val="auto"/>
              </w:rPr>
              <w:t>17,756</w:t>
            </w:r>
          </w:p>
        </w:tc>
      </w:tr>
      <w:tr>
        <w:trPr>
          <w:trHeight w:val="236"/>
        </w:trPr>
        <w:tc>
          <w:tcPr>
            <w:tcW w:w="3320" w:type="dxa"/>
            <w:vAlign w:val="bottom"/>
            <w:shd w:val="clear" w:color="auto" w:fill="BECFDE"/>
          </w:tcPr>
          <w:p>
            <w:pPr>
              <w:ind w:left="80"/>
              <w:spacing w:after="0"/>
              <w:rPr>
                <w:sz w:val="20"/>
                <w:szCs w:val="20"/>
                <w:color w:val="auto"/>
              </w:rPr>
            </w:pPr>
            <w:r>
              <w:rPr>
                <w:rFonts w:ascii="Arial" w:cs="Arial" w:eastAsia="Arial" w:hAnsi="Arial"/>
                <w:sz w:val="14"/>
                <w:szCs w:val="14"/>
                <w:color w:val="auto"/>
              </w:rPr>
              <w:t>Ms. Flach</w:t>
            </w:r>
          </w:p>
        </w:tc>
        <w:tc>
          <w:tcPr>
            <w:tcW w:w="4800" w:type="dxa"/>
            <w:vAlign w:val="bottom"/>
            <w:shd w:val="clear" w:color="auto" w:fill="BECFDE"/>
          </w:tcPr>
          <w:p>
            <w:pPr>
              <w:jc w:val="right"/>
              <w:ind w:right="1328"/>
              <w:spacing w:after="0"/>
              <w:rPr>
                <w:sz w:val="20"/>
                <w:szCs w:val="20"/>
                <w:color w:val="auto"/>
              </w:rPr>
            </w:pPr>
            <w:r>
              <w:rPr>
                <w:rFonts w:ascii="Arial" w:cs="Arial" w:eastAsia="Arial" w:hAnsi="Arial"/>
                <w:sz w:val="14"/>
                <w:szCs w:val="14"/>
                <w:color w:val="auto"/>
              </w:rPr>
              <w:t>20,715</w:t>
            </w:r>
          </w:p>
        </w:tc>
      </w:tr>
      <w:tr>
        <w:trPr>
          <w:trHeight w:val="224"/>
        </w:trPr>
        <w:tc>
          <w:tcPr>
            <w:tcW w:w="3320" w:type="dxa"/>
            <w:vAlign w:val="bottom"/>
          </w:tcPr>
          <w:p>
            <w:pPr>
              <w:ind w:left="80"/>
              <w:spacing w:after="0"/>
              <w:rPr>
                <w:sz w:val="20"/>
                <w:szCs w:val="20"/>
                <w:color w:val="auto"/>
              </w:rPr>
            </w:pPr>
            <w:r>
              <w:rPr>
                <w:rFonts w:ascii="Arial" w:cs="Arial" w:eastAsia="Arial" w:hAnsi="Arial"/>
                <w:sz w:val="14"/>
                <w:szCs w:val="14"/>
                <w:color w:val="auto"/>
              </w:rPr>
              <w:t>Mr. Pamiljans</w:t>
            </w:r>
          </w:p>
        </w:tc>
        <w:tc>
          <w:tcPr>
            <w:tcW w:w="4800" w:type="dxa"/>
            <w:vAlign w:val="bottom"/>
          </w:tcPr>
          <w:p>
            <w:pPr>
              <w:jc w:val="right"/>
              <w:ind w:right="1328"/>
              <w:spacing w:after="0"/>
              <w:rPr>
                <w:sz w:val="20"/>
                <w:szCs w:val="20"/>
                <w:color w:val="auto"/>
              </w:rPr>
            </w:pPr>
            <w:r>
              <w:rPr>
                <w:rFonts w:ascii="Arial" w:cs="Arial" w:eastAsia="Arial" w:hAnsi="Arial"/>
                <w:sz w:val="14"/>
                <w:szCs w:val="14"/>
                <w:color w:val="auto"/>
              </w:rPr>
              <w:t>6,038</w:t>
            </w:r>
          </w:p>
        </w:tc>
      </w:tr>
      <w:tr>
        <w:trPr>
          <w:trHeight w:val="230"/>
        </w:trPr>
        <w:tc>
          <w:tcPr>
            <w:tcW w:w="332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color w:val="auto"/>
              </w:rPr>
              <w:t>Ms. Warden</w:t>
            </w:r>
          </w:p>
        </w:tc>
        <w:tc>
          <w:tcPr>
            <w:tcW w:w="4800" w:type="dxa"/>
            <w:vAlign w:val="bottom"/>
            <w:tcBorders>
              <w:bottom w:val="single" w:sz="8" w:color="276092"/>
            </w:tcBorders>
            <w:shd w:val="clear" w:color="auto" w:fill="BECFDE"/>
          </w:tcPr>
          <w:p>
            <w:pPr>
              <w:jc w:val="right"/>
              <w:ind w:right="1328"/>
              <w:spacing w:after="0"/>
              <w:rPr>
                <w:sz w:val="20"/>
                <w:szCs w:val="20"/>
                <w:color w:val="auto"/>
              </w:rPr>
            </w:pPr>
            <w:r>
              <w:rPr>
                <w:rFonts w:ascii="Arial" w:cs="Arial" w:eastAsia="Arial" w:hAnsi="Arial"/>
                <w:sz w:val="14"/>
                <w:szCs w:val="14"/>
                <w:color w:val="auto"/>
              </w:rPr>
              <w:t>18,939</w:t>
            </w:r>
          </w:p>
        </w:tc>
      </w:tr>
    </w:tbl>
    <w:p>
      <w:pPr>
        <w:spacing w:after="0" w:line="121" w:lineRule="exact"/>
        <w:rPr>
          <w:sz w:val="20"/>
          <w:szCs w:val="20"/>
          <w:color w:val="auto"/>
        </w:rPr>
      </w:pPr>
    </w:p>
    <w:p>
      <w:pPr>
        <w:ind w:left="640" w:right="160" w:hanging="436"/>
        <w:spacing w:after="0" w:line="237" w:lineRule="auto"/>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Ms. Flach retired from the Company on December 31, 2017. In accordance with the retirement-related provisions established at the time of grant, a prorated portion of the outstanding grants above will be paid out based on the number of days in the applicable vesting period that Ms. Flach was employed with the Company. Ms. Flach’s prorated RPSRs will be distributed following the applicable performance period and subject to the performance factor. Because Ms. Flach qualifies as a “specified employee” for purposes of Section 409A of the Internal Revenue Code, her prorated RSRs will be distributed six months from the date of her retirement.</w:t>
      </w:r>
    </w:p>
    <w:p>
      <w:pPr>
        <w:spacing w:after="0" w:line="135" w:lineRule="exact"/>
        <w:rPr>
          <w:sz w:val="20"/>
          <w:szCs w:val="20"/>
          <w:color w:val="auto"/>
        </w:rPr>
      </w:pPr>
    </w:p>
    <w:p>
      <w:pPr>
        <w:ind w:left="460" w:hanging="256"/>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S</w:t>
      </w:r>
      <w:r>
        <w:rPr>
          <w:rFonts w:ascii="Arial" w:cs="Arial" w:eastAsia="Arial" w:hAnsi="Arial"/>
          <w:sz w:val="18"/>
          <w:szCs w:val="18"/>
          <w:b w:val="1"/>
          <w:bCs w:val="1"/>
          <w:color w:val="FFFFFF"/>
        </w:rPr>
        <w:t>TOCK</w:t>
      </w:r>
      <w:r>
        <w:rPr>
          <w:rFonts w:ascii="Arial" w:cs="Arial" w:eastAsia="Arial" w:hAnsi="Arial"/>
          <w:sz w:val="22"/>
          <w:szCs w:val="22"/>
          <w:b w:val="1"/>
          <w:bCs w:val="1"/>
          <w:color w:val="FFFFFF"/>
        </w:rPr>
        <w:t xml:space="preserve"> V</w:t>
      </w:r>
      <w:r>
        <w:rPr>
          <w:rFonts w:ascii="Arial" w:cs="Arial" w:eastAsia="Arial" w:hAnsi="Arial"/>
          <w:sz w:val="18"/>
          <w:szCs w:val="18"/>
          <w:b w:val="1"/>
          <w:bCs w:val="1"/>
          <w:color w:val="FFFFFF"/>
        </w:rPr>
        <w:t>ESTED</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2017 Stock Vested</w:t>
      </w: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180" w:type="dxa"/>
            <w:vAlign w:val="bottom"/>
            <w:shd w:val="clear" w:color="auto" w:fill="276092"/>
          </w:tcPr>
          <w:p>
            <w:pPr>
              <w:spacing w:after="0"/>
              <w:rPr>
                <w:sz w:val="18"/>
                <w:szCs w:val="18"/>
                <w:color w:val="auto"/>
              </w:rPr>
            </w:pPr>
          </w:p>
        </w:tc>
        <w:tc>
          <w:tcPr>
            <w:tcW w:w="1780" w:type="dxa"/>
            <w:vAlign w:val="bottom"/>
            <w:shd w:val="clear" w:color="auto" w:fill="276092"/>
          </w:tcPr>
          <w:p>
            <w:pPr>
              <w:spacing w:after="0"/>
              <w:rPr>
                <w:sz w:val="18"/>
                <w:szCs w:val="18"/>
                <w:color w:val="auto"/>
              </w:rPr>
            </w:pPr>
          </w:p>
        </w:tc>
        <w:tc>
          <w:tcPr>
            <w:tcW w:w="3060" w:type="dxa"/>
            <w:vAlign w:val="bottom"/>
            <w:shd w:val="clear" w:color="auto" w:fill="276092"/>
          </w:tcPr>
          <w:p>
            <w:pPr>
              <w:ind w:left="120"/>
              <w:spacing w:after="0"/>
              <w:rPr>
                <w:sz w:val="20"/>
                <w:szCs w:val="20"/>
                <w:color w:val="auto"/>
              </w:rPr>
            </w:pPr>
            <w:r>
              <w:rPr>
                <w:rFonts w:ascii="Arial" w:cs="Arial" w:eastAsia="Arial" w:hAnsi="Arial"/>
                <w:sz w:val="14"/>
                <w:szCs w:val="14"/>
                <w:b w:val="1"/>
                <w:bCs w:val="1"/>
                <w:color w:val="FFFFFF"/>
              </w:rPr>
              <w:t>Stock Awards (1) (2)</w:t>
            </w:r>
          </w:p>
        </w:tc>
      </w:tr>
      <w:tr>
        <w:trPr>
          <w:trHeight w:val="203"/>
        </w:trPr>
        <w:tc>
          <w:tcPr>
            <w:tcW w:w="6180" w:type="dxa"/>
            <w:vAlign w:val="bottom"/>
            <w:shd w:val="clear" w:color="auto" w:fill="276092"/>
          </w:tcPr>
          <w:p>
            <w:pPr>
              <w:spacing w:after="0"/>
              <w:rPr>
                <w:sz w:val="17"/>
                <w:szCs w:val="17"/>
                <w:color w:val="auto"/>
              </w:rPr>
            </w:pPr>
          </w:p>
        </w:tc>
        <w:tc>
          <w:tcPr>
            <w:tcW w:w="4840" w:type="dxa"/>
            <w:vAlign w:val="bottom"/>
            <w:gridSpan w:val="2"/>
            <w:shd w:val="clear" w:color="auto" w:fill="276092"/>
          </w:tcPr>
          <w:p>
            <w:pPr>
              <w:jc w:val="center"/>
              <w:ind w:right="2188"/>
              <w:spacing w:after="0"/>
              <w:rPr>
                <w:sz w:val="20"/>
                <w:szCs w:val="20"/>
                <w:color w:val="auto"/>
              </w:rPr>
            </w:pPr>
            <w:r>
              <w:rPr>
                <w:rFonts w:ascii="Arial" w:cs="Arial" w:eastAsia="Arial" w:hAnsi="Arial"/>
                <w:sz w:val="14"/>
                <w:szCs w:val="14"/>
                <w:b w:val="1"/>
                <w:bCs w:val="1"/>
                <w:color w:val="FFFFFF"/>
              </w:rPr>
              <w:t>Number of Shares Acquired</w:t>
            </w:r>
          </w:p>
        </w:tc>
      </w:tr>
      <w:tr>
        <w:trPr>
          <w:trHeight w:val="162"/>
        </w:trPr>
        <w:tc>
          <w:tcPr>
            <w:tcW w:w="6180" w:type="dxa"/>
            <w:vAlign w:val="bottom"/>
            <w:shd w:val="clear" w:color="auto" w:fill="276092"/>
          </w:tcPr>
          <w:p>
            <w:pPr>
              <w:spacing w:after="0"/>
              <w:rPr>
                <w:sz w:val="14"/>
                <w:szCs w:val="14"/>
                <w:color w:val="auto"/>
              </w:rPr>
            </w:pPr>
          </w:p>
        </w:tc>
        <w:tc>
          <w:tcPr>
            <w:tcW w:w="1780" w:type="dxa"/>
            <w:vAlign w:val="bottom"/>
            <w:shd w:val="clear" w:color="auto" w:fill="276092"/>
          </w:tcPr>
          <w:p>
            <w:pPr>
              <w:jc w:val="center"/>
              <w:ind w:left="728"/>
              <w:spacing w:after="0"/>
              <w:rPr>
                <w:sz w:val="20"/>
                <w:szCs w:val="20"/>
                <w:color w:val="auto"/>
              </w:rPr>
            </w:pPr>
            <w:r>
              <w:rPr>
                <w:rFonts w:ascii="Arial" w:cs="Arial" w:eastAsia="Arial" w:hAnsi="Arial"/>
                <w:sz w:val="14"/>
                <w:szCs w:val="14"/>
                <w:b w:val="1"/>
                <w:bCs w:val="1"/>
                <w:color w:val="FFFFFF"/>
              </w:rPr>
              <w:t>on Vesting</w:t>
            </w:r>
          </w:p>
        </w:tc>
        <w:tc>
          <w:tcPr>
            <w:tcW w:w="3060" w:type="dxa"/>
            <w:vAlign w:val="bottom"/>
            <w:shd w:val="clear" w:color="auto" w:fill="276092"/>
          </w:tcPr>
          <w:p>
            <w:pPr>
              <w:ind w:left="960"/>
              <w:spacing w:after="0"/>
              <w:rPr>
                <w:sz w:val="20"/>
                <w:szCs w:val="20"/>
                <w:color w:val="auto"/>
              </w:rPr>
            </w:pPr>
            <w:r>
              <w:rPr>
                <w:rFonts w:ascii="Arial" w:cs="Arial" w:eastAsia="Arial" w:hAnsi="Arial"/>
                <w:sz w:val="14"/>
                <w:szCs w:val="14"/>
                <w:b w:val="1"/>
                <w:bCs w:val="1"/>
                <w:color w:val="FFFFFF"/>
              </w:rPr>
              <w:t>Value Realized on Vesting</w:t>
            </w:r>
          </w:p>
        </w:tc>
      </w:tr>
      <w:tr>
        <w:trPr>
          <w:trHeight w:val="202"/>
        </w:trPr>
        <w:tc>
          <w:tcPr>
            <w:tcW w:w="618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1780" w:type="dxa"/>
            <w:vAlign w:val="bottom"/>
            <w:shd w:val="clear" w:color="auto" w:fill="276092"/>
          </w:tcPr>
          <w:p>
            <w:pPr>
              <w:jc w:val="center"/>
              <w:ind w:left="728"/>
              <w:spacing w:after="0"/>
              <w:rPr>
                <w:sz w:val="20"/>
                <w:szCs w:val="20"/>
                <w:color w:val="auto"/>
              </w:rPr>
            </w:pPr>
            <w:r>
              <w:rPr>
                <w:rFonts w:ascii="Arial" w:cs="Arial" w:eastAsia="Arial" w:hAnsi="Arial"/>
                <w:sz w:val="14"/>
                <w:szCs w:val="14"/>
                <w:b w:val="1"/>
                <w:bCs w:val="1"/>
                <w:color w:val="FFFFFF"/>
              </w:rPr>
              <w:t>(#)</w:t>
            </w:r>
          </w:p>
        </w:tc>
        <w:tc>
          <w:tcPr>
            <w:tcW w:w="3060" w:type="dxa"/>
            <w:vAlign w:val="bottom"/>
            <w:shd w:val="clear" w:color="auto" w:fill="276092"/>
          </w:tcPr>
          <w:p>
            <w:pPr>
              <w:jc w:val="center"/>
              <w:ind w:left="528"/>
              <w:spacing w:after="0"/>
              <w:rPr>
                <w:sz w:val="20"/>
                <w:szCs w:val="20"/>
                <w:color w:val="auto"/>
              </w:rPr>
            </w:pPr>
            <w:r>
              <w:rPr>
                <w:rFonts w:ascii="Arial" w:cs="Arial" w:eastAsia="Arial" w:hAnsi="Arial"/>
                <w:sz w:val="14"/>
                <w:szCs w:val="14"/>
                <w:b w:val="1"/>
                <w:bCs w:val="1"/>
                <w:color w:val="FFFFFF"/>
              </w:rPr>
              <w:t>($)</w:t>
            </w:r>
          </w:p>
        </w:tc>
      </w:tr>
      <w:tr>
        <w:trPr>
          <w:trHeight w:val="230"/>
        </w:trPr>
        <w:tc>
          <w:tcPr>
            <w:tcW w:w="6180" w:type="dxa"/>
            <w:vAlign w:val="bottom"/>
            <w:shd w:val="clear" w:color="auto" w:fill="BECFDE"/>
          </w:tcPr>
          <w:p>
            <w:pPr>
              <w:ind w:left="60"/>
              <w:spacing w:after="0"/>
              <w:rPr>
                <w:sz w:val="20"/>
                <w:szCs w:val="20"/>
                <w:color w:val="auto"/>
              </w:rPr>
            </w:pPr>
            <w:r>
              <w:rPr>
                <w:rFonts w:ascii="Arial" w:cs="Arial" w:eastAsia="Arial" w:hAnsi="Arial"/>
                <w:sz w:val="14"/>
                <w:szCs w:val="14"/>
                <w:color w:val="auto"/>
              </w:rPr>
              <w:t>Wesley G. Bush</w:t>
            </w:r>
          </w:p>
        </w:tc>
        <w:tc>
          <w:tcPr>
            <w:tcW w:w="1780" w:type="dxa"/>
            <w:vAlign w:val="bottom"/>
            <w:shd w:val="clear" w:color="auto" w:fill="BECFDE"/>
          </w:tcPr>
          <w:p>
            <w:pPr>
              <w:jc w:val="center"/>
              <w:ind w:left="748"/>
              <w:spacing w:after="0"/>
              <w:rPr>
                <w:sz w:val="20"/>
                <w:szCs w:val="20"/>
                <w:color w:val="auto"/>
              </w:rPr>
            </w:pPr>
            <w:r>
              <w:rPr>
                <w:rFonts w:ascii="Arial" w:cs="Arial" w:eastAsia="Arial" w:hAnsi="Arial"/>
                <w:sz w:val="14"/>
                <w:szCs w:val="14"/>
                <w:color w:val="auto"/>
              </w:rPr>
              <w:t>103,173</w:t>
            </w:r>
          </w:p>
        </w:tc>
        <w:tc>
          <w:tcPr>
            <w:tcW w:w="3060" w:type="dxa"/>
            <w:vAlign w:val="bottom"/>
            <w:shd w:val="clear" w:color="auto" w:fill="BECFDE"/>
          </w:tcPr>
          <w:p>
            <w:pPr>
              <w:jc w:val="center"/>
              <w:ind w:left="548"/>
              <w:spacing w:after="0"/>
              <w:rPr>
                <w:sz w:val="20"/>
                <w:szCs w:val="20"/>
                <w:color w:val="auto"/>
              </w:rPr>
            </w:pPr>
            <w:r>
              <w:rPr>
                <w:rFonts w:ascii="Arial" w:cs="Arial" w:eastAsia="Arial" w:hAnsi="Arial"/>
                <w:sz w:val="14"/>
                <w:szCs w:val="14"/>
                <w:color w:val="auto"/>
              </w:rPr>
              <w:t>25,130,821</w:t>
            </w:r>
          </w:p>
        </w:tc>
      </w:tr>
      <w:tr>
        <w:trPr>
          <w:trHeight w:val="224"/>
        </w:trPr>
        <w:tc>
          <w:tcPr>
            <w:tcW w:w="6180" w:type="dxa"/>
            <w:vAlign w:val="bottom"/>
          </w:tcPr>
          <w:p>
            <w:pPr>
              <w:ind w:left="60"/>
              <w:spacing w:after="0"/>
              <w:rPr>
                <w:sz w:val="20"/>
                <w:szCs w:val="20"/>
                <w:color w:val="auto"/>
              </w:rPr>
            </w:pPr>
            <w:r>
              <w:rPr>
                <w:rFonts w:ascii="Arial" w:cs="Arial" w:eastAsia="Arial" w:hAnsi="Arial"/>
                <w:sz w:val="14"/>
                <w:szCs w:val="14"/>
                <w:color w:val="auto"/>
              </w:rPr>
              <w:t>Kenneth L. Bedingfield</w:t>
            </w:r>
          </w:p>
        </w:tc>
        <w:tc>
          <w:tcPr>
            <w:tcW w:w="1780" w:type="dxa"/>
            <w:vAlign w:val="bottom"/>
          </w:tcPr>
          <w:p>
            <w:pPr>
              <w:jc w:val="center"/>
              <w:ind w:left="748"/>
              <w:spacing w:after="0"/>
              <w:rPr>
                <w:sz w:val="20"/>
                <w:szCs w:val="20"/>
                <w:color w:val="auto"/>
              </w:rPr>
            </w:pPr>
            <w:r>
              <w:rPr>
                <w:rFonts w:ascii="Arial" w:cs="Arial" w:eastAsia="Arial" w:hAnsi="Arial"/>
                <w:sz w:val="14"/>
                <w:szCs w:val="14"/>
                <w:color w:val="auto"/>
              </w:rPr>
              <w:t>7,601</w:t>
            </w:r>
          </w:p>
        </w:tc>
        <w:tc>
          <w:tcPr>
            <w:tcW w:w="3060" w:type="dxa"/>
            <w:vAlign w:val="bottom"/>
          </w:tcPr>
          <w:p>
            <w:pPr>
              <w:jc w:val="center"/>
              <w:ind w:left="548"/>
              <w:spacing w:after="0"/>
              <w:rPr>
                <w:sz w:val="20"/>
                <w:szCs w:val="20"/>
                <w:color w:val="auto"/>
              </w:rPr>
            </w:pPr>
            <w:r>
              <w:rPr>
                <w:rFonts w:ascii="Arial" w:cs="Arial" w:eastAsia="Arial" w:hAnsi="Arial"/>
                <w:sz w:val="14"/>
                <w:szCs w:val="14"/>
                <w:color w:val="auto"/>
              </w:rPr>
              <w:t>1,851,435</w:t>
            </w:r>
          </w:p>
        </w:tc>
      </w:tr>
      <w:tr>
        <w:trPr>
          <w:trHeight w:val="236"/>
        </w:trPr>
        <w:tc>
          <w:tcPr>
            <w:tcW w:w="6180" w:type="dxa"/>
            <w:vAlign w:val="bottom"/>
            <w:shd w:val="clear" w:color="auto" w:fill="BECFDE"/>
          </w:tcPr>
          <w:p>
            <w:pPr>
              <w:ind w:left="60"/>
              <w:spacing w:after="0"/>
              <w:rPr>
                <w:sz w:val="20"/>
                <w:szCs w:val="20"/>
                <w:color w:val="auto"/>
              </w:rPr>
            </w:pPr>
            <w:r>
              <w:rPr>
                <w:rFonts w:ascii="Arial" w:cs="Arial" w:eastAsia="Arial" w:hAnsi="Arial"/>
                <w:sz w:val="14"/>
                <w:szCs w:val="14"/>
                <w:color w:val="auto"/>
              </w:rPr>
              <w:t>Gloria A. Flach</w:t>
            </w:r>
          </w:p>
        </w:tc>
        <w:tc>
          <w:tcPr>
            <w:tcW w:w="1780" w:type="dxa"/>
            <w:vAlign w:val="bottom"/>
            <w:shd w:val="clear" w:color="auto" w:fill="BECFDE"/>
          </w:tcPr>
          <w:p>
            <w:pPr>
              <w:jc w:val="center"/>
              <w:ind w:left="748"/>
              <w:spacing w:after="0"/>
              <w:rPr>
                <w:sz w:val="20"/>
                <w:szCs w:val="20"/>
                <w:color w:val="auto"/>
              </w:rPr>
            </w:pPr>
            <w:r>
              <w:rPr>
                <w:rFonts w:ascii="Arial" w:cs="Arial" w:eastAsia="Arial" w:hAnsi="Arial"/>
                <w:sz w:val="14"/>
                <w:szCs w:val="14"/>
                <w:color w:val="auto"/>
              </w:rPr>
              <w:t>40,123</w:t>
            </w:r>
          </w:p>
        </w:tc>
        <w:tc>
          <w:tcPr>
            <w:tcW w:w="3060" w:type="dxa"/>
            <w:vAlign w:val="bottom"/>
            <w:shd w:val="clear" w:color="auto" w:fill="BECFDE"/>
          </w:tcPr>
          <w:p>
            <w:pPr>
              <w:jc w:val="center"/>
              <w:ind w:left="548"/>
              <w:spacing w:after="0"/>
              <w:rPr>
                <w:sz w:val="20"/>
                <w:szCs w:val="20"/>
                <w:color w:val="auto"/>
              </w:rPr>
            </w:pPr>
            <w:r>
              <w:rPr>
                <w:rFonts w:ascii="Arial" w:cs="Arial" w:eastAsia="Arial" w:hAnsi="Arial"/>
                <w:sz w:val="14"/>
                <w:szCs w:val="14"/>
                <w:color w:val="auto"/>
              </w:rPr>
              <w:t>9,773,277</w:t>
            </w:r>
          </w:p>
        </w:tc>
      </w:tr>
      <w:tr>
        <w:trPr>
          <w:trHeight w:val="224"/>
        </w:trPr>
        <w:tc>
          <w:tcPr>
            <w:tcW w:w="6180" w:type="dxa"/>
            <w:vAlign w:val="bottom"/>
          </w:tcPr>
          <w:p>
            <w:pPr>
              <w:ind w:left="60"/>
              <w:spacing w:after="0"/>
              <w:rPr>
                <w:sz w:val="20"/>
                <w:szCs w:val="20"/>
                <w:color w:val="auto"/>
              </w:rPr>
            </w:pPr>
            <w:r>
              <w:rPr>
                <w:rFonts w:ascii="Arial" w:cs="Arial" w:eastAsia="Arial" w:hAnsi="Arial"/>
                <w:sz w:val="14"/>
                <w:szCs w:val="14"/>
                <w:color w:val="auto"/>
              </w:rPr>
              <w:t>Janis G. Pamiljans</w:t>
            </w:r>
          </w:p>
        </w:tc>
        <w:tc>
          <w:tcPr>
            <w:tcW w:w="1780" w:type="dxa"/>
            <w:vAlign w:val="bottom"/>
          </w:tcPr>
          <w:p>
            <w:pPr>
              <w:jc w:val="center"/>
              <w:ind w:left="748"/>
              <w:spacing w:after="0"/>
              <w:rPr>
                <w:sz w:val="20"/>
                <w:szCs w:val="20"/>
                <w:color w:val="auto"/>
              </w:rPr>
            </w:pPr>
            <w:r>
              <w:rPr>
                <w:rFonts w:ascii="Arial" w:cs="Arial" w:eastAsia="Arial" w:hAnsi="Arial"/>
                <w:sz w:val="14"/>
                <w:szCs w:val="14"/>
                <w:color w:val="auto"/>
              </w:rPr>
              <w:t>5,637</w:t>
            </w:r>
          </w:p>
        </w:tc>
        <w:tc>
          <w:tcPr>
            <w:tcW w:w="3060" w:type="dxa"/>
            <w:vAlign w:val="bottom"/>
          </w:tcPr>
          <w:p>
            <w:pPr>
              <w:jc w:val="center"/>
              <w:ind w:left="548"/>
              <w:spacing w:after="0"/>
              <w:rPr>
                <w:sz w:val="20"/>
                <w:szCs w:val="20"/>
                <w:color w:val="auto"/>
              </w:rPr>
            </w:pPr>
            <w:r>
              <w:rPr>
                <w:rFonts w:ascii="Arial" w:cs="Arial" w:eastAsia="Arial" w:hAnsi="Arial"/>
                <w:sz w:val="14"/>
                <w:szCs w:val="14"/>
                <w:color w:val="auto"/>
              </w:rPr>
              <w:t>1,373,143</w:t>
            </w:r>
          </w:p>
        </w:tc>
      </w:tr>
      <w:tr>
        <w:trPr>
          <w:trHeight w:val="230"/>
        </w:trPr>
        <w:tc>
          <w:tcPr>
            <w:tcW w:w="618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4"/>
                <w:szCs w:val="14"/>
                <w:color w:val="auto"/>
              </w:rPr>
              <w:t>Kathy J. Warden</w:t>
            </w:r>
          </w:p>
        </w:tc>
        <w:tc>
          <w:tcPr>
            <w:tcW w:w="1780" w:type="dxa"/>
            <w:vAlign w:val="bottom"/>
            <w:tcBorders>
              <w:bottom w:val="single" w:sz="8" w:color="276092"/>
            </w:tcBorders>
            <w:shd w:val="clear" w:color="auto" w:fill="BECFDE"/>
          </w:tcPr>
          <w:p>
            <w:pPr>
              <w:jc w:val="center"/>
              <w:ind w:left="748"/>
              <w:spacing w:after="0"/>
              <w:rPr>
                <w:sz w:val="20"/>
                <w:szCs w:val="20"/>
                <w:color w:val="auto"/>
              </w:rPr>
            </w:pPr>
            <w:r>
              <w:rPr>
                <w:rFonts w:ascii="Arial" w:cs="Arial" w:eastAsia="Arial" w:hAnsi="Arial"/>
                <w:sz w:val="14"/>
                <w:szCs w:val="14"/>
                <w:color w:val="auto"/>
              </w:rPr>
              <w:t>34,391</w:t>
            </w:r>
          </w:p>
        </w:tc>
        <w:tc>
          <w:tcPr>
            <w:tcW w:w="3060" w:type="dxa"/>
            <w:vAlign w:val="bottom"/>
            <w:tcBorders>
              <w:bottom w:val="single" w:sz="8" w:color="276092"/>
            </w:tcBorders>
            <w:shd w:val="clear" w:color="auto" w:fill="BECFDE"/>
          </w:tcPr>
          <w:p>
            <w:pPr>
              <w:jc w:val="center"/>
              <w:ind w:left="548"/>
              <w:spacing w:after="0"/>
              <w:rPr>
                <w:sz w:val="20"/>
                <w:szCs w:val="20"/>
                <w:color w:val="auto"/>
              </w:rPr>
            </w:pPr>
            <w:r>
              <w:rPr>
                <w:rFonts w:ascii="Arial" w:cs="Arial" w:eastAsia="Arial" w:hAnsi="Arial"/>
                <w:sz w:val="14"/>
                <w:szCs w:val="14"/>
                <w:color w:val="auto"/>
              </w:rPr>
              <w:t>8,376,940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-1097280</wp:posOffset>
            </wp:positionV>
            <wp:extent cx="30613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01" w:lineRule="exact"/>
        <w:rPr>
          <w:sz w:val="20"/>
          <w:szCs w:val="20"/>
          <w:color w:val="auto"/>
        </w:rPr>
      </w:pPr>
    </w:p>
    <w:p>
      <w:pPr>
        <w:ind w:left="640" w:right="20" w:hanging="436"/>
        <w:spacing w:after="0" w:line="246" w:lineRule="auto"/>
        <w:tabs>
          <w:tab w:leader="none" w:pos="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Number of shares and amounts reflected in the table are reported on an aggregate basis and do not reflect shares sold or withheld to pay withholding taxes.</w:t>
      </w:r>
    </w:p>
    <w:p>
      <w:pPr>
        <w:spacing w:after="0" w:line="102" w:lineRule="exact"/>
        <w:rPr>
          <w:rFonts w:ascii="Arial" w:cs="Arial" w:eastAsia="Arial" w:hAnsi="Arial"/>
          <w:sz w:val="18"/>
          <w:szCs w:val="18"/>
          <w:color w:val="auto"/>
        </w:rPr>
      </w:pPr>
    </w:p>
    <w:p>
      <w:pPr>
        <w:ind w:left="640" w:right="480" w:hanging="436"/>
        <w:spacing w:after="0" w:line="275"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Consists of RSRs and RPSRs granted in 2014. The 2014 RSRs vested three years from the date of grant and the 2014 RPSRs vested based on the three-year performance period ended on December 31, 2016 and were distributed in February 2017.</w:t>
      </w:r>
    </w:p>
    <w:p>
      <w:pPr>
        <w:spacing w:after="0" w:line="103"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55</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P</w:t>
      </w:r>
      <w:r>
        <w:rPr>
          <w:rFonts w:ascii="Arial" w:cs="Arial" w:eastAsia="Arial" w:hAnsi="Arial"/>
          <w:sz w:val="18"/>
          <w:szCs w:val="18"/>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8"/>
          <w:szCs w:val="18"/>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following table provides information about the pension plans in which the NEOs participate (described in more detail on the following pages), including the present value of each NEO’s accumulated benefits as of December 31, 2017, calculated pursuant to SEC specifications for this table. Our policy generally limits an executive’s total benefit under these plans to be no more than 60% of final average pay. Mr. Bush has voluntarily elected to limit his OSERP benefit to no more than 50% of final average pay.</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5200" w:type="dxa"/>
            <w:vAlign w:val="bottom"/>
            <w:shd w:val="clear" w:color="auto" w:fill="276092"/>
          </w:tcPr>
          <w:p>
            <w:pPr>
              <w:spacing w:after="0"/>
              <w:rPr>
                <w:sz w:val="16"/>
                <w:szCs w:val="16"/>
                <w:color w:val="auto"/>
              </w:rPr>
            </w:pPr>
          </w:p>
        </w:tc>
        <w:tc>
          <w:tcPr>
            <w:tcW w:w="1480" w:type="dxa"/>
            <w:vAlign w:val="bottom"/>
            <w:shd w:val="clear" w:color="auto" w:fill="276092"/>
          </w:tcPr>
          <w:p>
            <w:pPr>
              <w:spacing w:after="0"/>
              <w:rPr>
                <w:sz w:val="16"/>
                <w:szCs w:val="16"/>
                <w:color w:val="auto"/>
              </w:rPr>
            </w:pPr>
          </w:p>
        </w:tc>
        <w:tc>
          <w:tcPr>
            <w:tcW w:w="1620" w:type="dxa"/>
            <w:vAlign w:val="bottom"/>
            <w:shd w:val="clear" w:color="auto" w:fill="276092"/>
          </w:tcPr>
          <w:p>
            <w:pPr>
              <w:spacing w:after="0"/>
              <w:rPr>
                <w:sz w:val="16"/>
                <w:szCs w:val="16"/>
                <w:color w:val="auto"/>
              </w:rPr>
            </w:pPr>
          </w:p>
        </w:tc>
        <w:tc>
          <w:tcPr>
            <w:tcW w:w="15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2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Payments</w:t>
            </w:r>
          </w:p>
        </w:tc>
        <w:tc>
          <w:tcPr>
            <w:tcW w:w="0" w:type="dxa"/>
            <w:vAlign w:val="bottom"/>
          </w:tcPr>
          <w:p>
            <w:pPr>
              <w:spacing w:after="0"/>
              <w:rPr>
                <w:sz w:val="1"/>
                <w:szCs w:val="1"/>
                <w:color w:val="auto"/>
              </w:rPr>
            </w:pPr>
          </w:p>
        </w:tc>
      </w:tr>
      <w:tr>
        <w:trPr>
          <w:trHeight w:val="162"/>
        </w:trPr>
        <w:tc>
          <w:tcPr>
            <w:tcW w:w="5200" w:type="dxa"/>
            <w:vAlign w:val="bottom"/>
            <w:shd w:val="clear" w:color="auto" w:fill="276092"/>
          </w:tcPr>
          <w:p>
            <w:pPr>
              <w:spacing w:after="0"/>
              <w:rPr>
                <w:sz w:val="14"/>
                <w:szCs w:val="14"/>
                <w:color w:val="auto"/>
              </w:rPr>
            </w:pPr>
          </w:p>
        </w:tc>
        <w:tc>
          <w:tcPr>
            <w:tcW w:w="1480" w:type="dxa"/>
            <w:vAlign w:val="bottom"/>
            <w:shd w:val="clear" w:color="auto" w:fill="276092"/>
          </w:tcPr>
          <w:p>
            <w:pPr>
              <w:spacing w:after="0"/>
              <w:rPr>
                <w:sz w:val="14"/>
                <w:szCs w:val="14"/>
                <w:color w:val="auto"/>
              </w:rPr>
            </w:pPr>
          </w:p>
        </w:tc>
        <w:tc>
          <w:tcPr>
            <w:tcW w:w="16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Number of Years</w:t>
            </w:r>
          </w:p>
        </w:tc>
        <w:tc>
          <w:tcPr>
            <w:tcW w:w="1500" w:type="dxa"/>
            <w:vAlign w:val="bottom"/>
            <w:shd w:val="clear" w:color="auto" w:fill="276092"/>
          </w:tcPr>
          <w:p>
            <w:pPr>
              <w:jc w:val="center"/>
              <w:ind w:right="48"/>
              <w:spacing w:after="0"/>
              <w:rPr>
                <w:sz w:val="20"/>
                <w:szCs w:val="20"/>
                <w:color w:val="auto"/>
              </w:rPr>
            </w:pPr>
            <w:r>
              <w:rPr>
                <w:rFonts w:ascii="Arial" w:cs="Arial" w:eastAsia="Arial" w:hAnsi="Arial"/>
                <w:sz w:val="14"/>
                <w:szCs w:val="14"/>
                <w:b w:val="1"/>
                <w:bCs w:val="1"/>
                <w:color w:val="FFFFFF"/>
              </w:rPr>
              <w:t>Accumulated</w:t>
            </w:r>
          </w:p>
        </w:tc>
        <w:tc>
          <w:tcPr>
            <w:tcW w:w="12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During Last</w:t>
            </w:r>
          </w:p>
        </w:tc>
        <w:tc>
          <w:tcPr>
            <w:tcW w:w="0" w:type="dxa"/>
            <w:vAlign w:val="bottom"/>
          </w:tcPr>
          <w:p>
            <w:pPr>
              <w:spacing w:after="0"/>
              <w:rPr>
                <w:sz w:val="1"/>
                <w:szCs w:val="1"/>
                <w:color w:val="auto"/>
              </w:rPr>
            </w:pPr>
          </w:p>
        </w:tc>
      </w:tr>
      <w:tr>
        <w:trPr>
          <w:trHeight w:val="162"/>
        </w:trPr>
        <w:tc>
          <w:tcPr>
            <w:tcW w:w="5200" w:type="dxa"/>
            <w:vAlign w:val="bottom"/>
            <w:shd w:val="clear" w:color="auto" w:fill="276092"/>
          </w:tcPr>
          <w:p>
            <w:pPr>
              <w:spacing w:after="0"/>
              <w:rPr>
                <w:sz w:val="14"/>
                <w:szCs w:val="14"/>
                <w:color w:val="auto"/>
              </w:rPr>
            </w:pPr>
          </w:p>
        </w:tc>
        <w:tc>
          <w:tcPr>
            <w:tcW w:w="1480" w:type="dxa"/>
            <w:vAlign w:val="bottom"/>
            <w:shd w:val="clear" w:color="auto" w:fill="276092"/>
          </w:tcPr>
          <w:p>
            <w:pPr>
              <w:spacing w:after="0"/>
              <w:rPr>
                <w:sz w:val="14"/>
                <w:szCs w:val="14"/>
                <w:color w:val="auto"/>
              </w:rPr>
            </w:pPr>
          </w:p>
        </w:tc>
        <w:tc>
          <w:tcPr>
            <w:tcW w:w="16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Credited Service (2)</w:t>
            </w:r>
          </w:p>
        </w:tc>
        <w:tc>
          <w:tcPr>
            <w:tcW w:w="1500" w:type="dxa"/>
            <w:vAlign w:val="bottom"/>
            <w:shd w:val="clear" w:color="auto" w:fill="276092"/>
          </w:tcPr>
          <w:p>
            <w:pPr>
              <w:jc w:val="center"/>
              <w:ind w:right="48"/>
              <w:spacing w:after="0"/>
              <w:rPr>
                <w:sz w:val="20"/>
                <w:szCs w:val="20"/>
                <w:color w:val="auto"/>
              </w:rPr>
            </w:pPr>
            <w:r>
              <w:rPr>
                <w:rFonts w:ascii="Arial" w:cs="Arial" w:eastAsia="Arial" w:hAnsi="Arial"/>
                <w:sz w:val="14"/>
                <w:szCs w:val="14"/>
                <w:b w:val="1"/>
                <w:bCs w:val="1"/>
                <w:color w:val="FFFFFF"/>
              </w:rPr>
              <w:t>Benefit (3)</w:t>
            </w:r>
          </w:p>
        </w:tc>
        <w:tc>
          <w:tcPr>
            <w:tcW w:w="12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Fiscal Year</w:t>
            </w:r>
          </w:p>
        </w:tc>
        <w:tc>
          <w:tcPr>
            <w:tcW w:w="0" w:type="dxa"/>
            <w:vAlign w:val="bottom"/>
          </w:tcPr>
          <w:p>
            <w:pPr>
              <w:spacing w:after="0"/>
              <w:rPr>
                <w:sz w:val="1"/>
                <w:szCs w:val="1"/>
                <w:color w:val="auto"/>
              </w:rPr>
            </w:pPr>
          </w:p>
        </w:tc>
      </w:tr>
      <w:tr>
        <w:trPr>
          <w:trHeight w:val="202"/>
        </w:trPr>
        <w:tc>
          <w:tcPr>
            <w:tcW w:w="520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 (1)</w:t>
            </w:r>
          </w:p>
        </w:tc>
        <w:tc>
          <w:tcPr>
            <w:tcW w:w="1480" w:type="dxa"/>
            <w:vAlign w:val="bottom"/>
            <w:shd w:val="clear" w:color="auto" w:fill="276092"/>
          </w:tcPr>
          <w:p>
            <w:pPr>
              <w:ind w:left="80"/>
              <w:spacing w:after="0"/>
              <w:rPr>
                <w:sz w:val="20"/>
                <w:szCs w:val="20"/>
                <w:color w:val="auto"/>
              </w:rPr>
            </w:pPr>
            <w:r>
              <w:rPr>
                <w:rFonts w:ascii="Arial" w:cs="Arial" w:eastAsia="Arial" w:hAnsi="Arial"/>
                <w:sz w:val="14"/>
                <w:szCs w:val="14"/>
                <w:b w:val="1"/>
                <w:bCs w:val="1"/>
                <w:color w:val="FFFFFF"/>
              </w:rPr>
              <w:t>Plan Name</w:t>
            </w:r>
          </w:p>
        </w:tc>
        <w:tc>
          <w:tcPr>
            <w:tcW w:w="16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150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276092"/>
          </w:tcPr>
          <w:p>
            <w:pPr>
              <w:jc w:val="center"/>
              <w:ind w:lef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Pension Plan</w:t>
            </w:r>
          </w:p>
        </w:tc>
        <w:tc>
          <w:tcPr>
            <w:tcW w:w="16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w:t>
            </w:r>
          </w:p>
        </w:tc>
        <w:tc>
          <w:tcPr>
            <w:tcW w:w="15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816,937</w:t>
            </w:r>
          </w:p>
        </w:tc>
        <w:tc>
          <w:tcPr>
            <w:tcW w:w="1220" w:type="dxa"/>
            <w:vAlign w:val="bottom"/>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auto"/>
              </w:rPr>
              <w:t>S&amp;MS Pension Plan</w:t>
            </w:r>
          </w:p>
        </w:tc>
        <w:tc>
          <w:tcPr>
            <w:tcW w:w="1620" w:type="dxa"/>
            <w:vAlign w:val="bottom"/>
          </w:tcPr>
          <w:p>
            <w:pPr>
              <w:jc w:val="center"/>
              <w:spacing w:after="0"/>
              <w:rPr>
                <w:sz w:val="20"/>
                <w:szCs w:val="20"/>
                <w:color w:val="auto"/>
              </w:rPr>
            </w:pPr>
            <w:r>
              <w:rPr>
                <w:rFonts w:ascii="Arial" w:cs="Arial" w:eastAsia="Arial" w:hAnsi="Arial"/>
                <w:sz w:val="14"/>
                <w:szCs w:val="14"/>
                <w:color w:val="auto"/>
              </w:rPr>
              <w:t>15.67</w:t>
            </w:r>
          </w:p>
        </w:tc>
        <w:tc>
          <w:tcPr>
            <w:tcW w:w="1500" w:type="dxa"/>
            <w:vAlign w:val="bottom"/>
          </w:tcPr>
          <w:p>
            <w:pPr>
              <w:jc w:val="center"/>
              <w:spacing w:after="0"/>
              <w:rPr>
                <w:sz w:val="20"/>
                <w:szCs w:val="20"/>
                <w:color w:val="auto"/>
              </w:rPr>
            </w:pPr>
            <w:r>
              <w:rPr>
                <w:rFonts w:ascii="Arial" w:cs="Arial" w:eastAsia="Arial" w:hAnsi="Arial"/>
                <w:sz w:val="14"/>
                <w:szCs w:val="14"/>
                <w:color w:val="auto"/>
              </w:rPr>
              <w:t>733,725</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2"/>
        </w:trPr>
        <w:tc>
          <w:tcPr>
            <w:tcW w:w="5200" w:type="dxa"/>
            <w:vAlign w:val="bottom"/>
          </w:tcPr>
          <w:p>
            <w:pPr>
              <w:ind w:left="40"/>
              <w:spacing w:after="0"/>
              <w:rPr>
                <w:sz w:val="20"/>
                <w:szCs w:val="20"/>
                <w:color w:val="auto"/>
              </w:rPr>
            </w:pPr>
            <w:r>
              <w:rPr>
                <w:rFonts w:ascii="Arial" w:cs="Arial" w:eastAsia="Arial" w:hAnsi="Arial"/>
                <w:sz w:val="14"/>
                <w:szCs w:val="14"/>
                <w:color w:val="auto"/>
              </w:rPr>
              <w:t>Wesley G. Bush</w:t>
            </w:r>
          </w:p>
        </w:tc>
        <w:tc>
          <w:tcPr>
            <w:tcW w:w="1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ERISA 2</w:t>
            </w:r>
          </w:p>
        </w:tc>
        <w:tc>
          <w:tcPr>
            <w:tcW w:w="16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w:t>
            </w:r>
          </w:p>
        </w:tc>
        <w:tc>
          <w:tcPr>
            <w:tcW w:w="15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15,035,377</w:t>
            </w:r>
          </w:p>
        </w:tc>
        <w:tc>
          <w:tcPr>
            <w:tcW w:w="1220" w:type="dxa"/>
            <w:vAlign w:val="bottom"/>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520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auto"/>
              </w:rPr>
              <w:t>SRIP</w:t>
            </w:r>
          </w:p>
        </w:tc>
        <w:tc>
          <w:tcPr>
            <w:tcW w:w="1620" w:type="dxa"/>
            <w:vAlign w:val="bottom"/>
          </w:tcPr>
          <w:p>
            <w:pPr>
              <w:jc w:val="center"/>
              <w:spacing w:after="0"/>
              <w:rPr>
                <w:sz w:val="20"/>
                <w:szCs w:val="20"/>
                <w:color w:val="auto"/>
              </w:rPr>
            </w:pPr>
            <w:r>
              <w:rPr>
                <w:rFonts w:ascii="Arial" w:cs="Arial" w:eastAsia="Arial" w:hAnsi="Arial"/>
                <w:sz w:val="14"/>
                <w:szCs w:val="14"/>
                <w:color w:val="auto"/>
              </w:rPr>
              <w:t>15.67</w:t>
            </w:r>
          </w:p>
        </w:tc>
        <w:tc>
          <w:tcPr>
            <w:tcW w:w="1500" w:type="dxa"/>
            <w:vAlign w:val="bottom"/>
          </w:tcPr>
          <w:p>
            <w:pPr>
              <w:jc w:val="center"/>
              <w:spacing w:after="0"/>
              <w:rPr>
                <w:sz w:val="20"/>
                <w:szCs w:val="20"/>
                <w:color w:val="auto"/>
              </w:rPr>
            </w:pPr>
            <w:r>
              <w:rPr>
                <w:rFonts w:ascii="Arial" w:cs="Arial" w:eastAsia="Arial" w:hAnsi="Arial"/>
                <w:sz w:val="14"/>
                <w:szCs w:val="14"/>
                <w:color w:val="auto"/>
              </w:rPr>
              <w:t>13,986,129</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276092"/>
            </w:tcBorders>
          </w:tcPr>
          <w:p>
            <w:pPr>
              <w:spacing w:after="0"/>
              <w:rPr>
                <w:sz w:val="19"/>
                <w:szCs w:val="19"/>
                <w:color w:val="auto"/>
              </w:rPr>
            </w:pPr>
          </w:p>
        </w:tc>
        <w:tc>
          <w:tcPr>
            <w:tcW w:w="148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color w:val="auto"/>
              </w:rPr>
              <w:t>OSERP</w:t>
            </w:r>
          </w:p>
        </w:tc>
        <w:tc>
          <w:tcPr>
            <w:tcW w:w="16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27.67</w:t>
            </w:r>
          </w:p>
        </w:tc>
        <w:tc>
          <w:tcPr>
            <w:tcW w:w="15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8,712,894</w:t>
            </w:r>
          </w:p>
        </w:tc>
        <w:tc>
          <w:tcPr>
            <w:tcW w:w="1220" w:type="dxa"/>
            <w:vAlign w:val="bottom"/>
            <w:tcBorders>
              <w:bottom w:val="single" w:sz="8" w:color="276092"/>
            </w:tcBorders>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auto"/>
              </w:rPr>
              <w:t>Pension Plan</w:t>
            </w:r>
          </w:p>
        </w:tc>
        <w:tc>
          <w:tcPr>
            <w:tcW w:w="1620" w:type="dxa"/>
            <w:vAlign w:val="bottom"/>
          </w:tcPr>
          <w:p>
            <w:pPr>
              <w:jc w:val="center"/>
              <w:spacing w:after="0"/>
              <w:rPr>
                <w:sz w:val="20"/>
                <w:szCs w:val="20"/>
                <w:color w:val="auto"/>
              </w:rPr>
            </w:pPr>
            <w:r>
              <w:rPr>
                <w:rFonts w:ascii="Arial" w:cs="Arial" w:eastAsia="Arial" w:hAnsi="Arial"/>
                <w:sz w:val="14"/>
                <w:szCs w:val="14"/>
                <w:color w:val="auto"/>
              </w:rPr>
              <w:t>36.39</w:t>
            </w:r>
          </w:p>
        </w:tc>
        <w:tc>
          <w:tcPr>
            <w:tcW w:w="1500" w:type="dxa"/>
            <w:vAlign w:val="bottom"/>
          </w:tcPr>
          <w:p>
            <w:pPr>
              <w:jc w:val="center"/>
              <w:spacing w:after="0"/>
              <w:rPr>
                <w:sz w:val="20"/>
                <w:szCs w:val="20"/>
                <w:color w:val="auto"/>
              </w:rPr>
            </w:pPr>
            <w:r>
              <w:rPr>
                <w:rFonts w:ascii="Arial" w:cs="Arial" w:eastAsia="Arial" w:hAnsi="Arial"/>
                <w:sz w:val="14"/>
                <w:szCs w:val="14"/>
                <w:color w:val="auto"/>
              </w:rPr>
              <w:t>1,377,858</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36"/>
        </w:trPr>
        <w:tc>
          <w:tcPr>
            <w:tcW w:w="5200" w:type="dxa"/>
            <w:vAlign w:val="bottom"/>
            <w:vMerge w:val="restart"/>
          </w:tcPr>
          <w:p>
            <w:pPr>
              <w:ind w:left="40"/>
              <w:spacing w:after="0"/>
              <w:rPr>
                <w:sz w:val="20"/>
                <w:szCs w:val="20"/>
                <w:color w:val="auto"/>
              </w:rPr>
            </w:pPr>
            <w:r>
              <w:rPr>
                <w:rFonts w:ascii="Arial" w:cs="Arial" w:eastAsia="Arial" w:hAnsi="Arial"/>
                <w:sz w:val="14"/>
                <w:szCs w:val="14"/>
                <w:color w:val="auto"/>
              </w:rPr>
              <w:t>Gloria A. Flach</w:t>
            </w:r>
          </w:p>
        </w:tc>
        <w:tc>
          <w:tcPr>
            <w:tcW w:w="1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ERISA 2</w:t>
            </w:r>
          </w:p>
        </w:tc>
        <w:tc>
          <w:tcPr>
            <w:tcW w:w="16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14.50</w:t>
            </w:r>
          </w:p>
        </w:tc>
        <w:tc>
          <w:tcPr>
            <w:tcW w:w="15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2,225,301</w:t>
            </w:r>
          </w:p>
        </w:tc>
        <w:tc>
          <w:tcPr>
            <w:tcW w:w="1220" w:type="dxa"/>
            <w:vAlign w:val="bottom"/>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5200" w:type="dxa"/>
            <w:vAlign w:val="bottom"/>
            <w:vMerge w:val="continue"/>
          </w:tcPr>
          <w:p>
            <w:pPr>
              <w:spacing w:after="0"/>
              <w:rPr>
                <w:sz w:val="8"/>
                <w:szCs w:val="8"/>
                <w:color w:val="auto"/>
              </w:rPr>
            </w:pPr>
          </w:p>
        </w:tc>
        <w:tc>
          <w:tcPr>
            <w:tcW w:w="1480" w:type="dxa"/>
            <w:vAlign w:val="bottom"/>
            <w:vMerge w:val="restart"/>
          </w:tcPr>
          <w:p>
            <w:pPr>
              <w:ind w:left="80"/>
              <w:spacing w:after="0"/>
              <w:rPr>
                <w:sz w:val="20"/>
                <w:szCs w:val="20"/>
                <w:color w:val="auto"/>
              </w:rPr>
            </w:pPr>
            <w:r>
              <w:rPr>
                <w:rFonts w:ascii="Arial" w:cs="Arial" w:eastAsia="Arial" w:hAnsi="Arial"/>
                <w:sz w:val="14"/>
                <w:szCs w:val="14"/>
                <w:color w:val="auto"/>
              </w:rPr>
              <w:t>OSERP</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rPr>
              <w:t>33.42</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2,279,385</w:t>
            </w:r>
          </w:p>
        </w:tc>
        <w:tc>
          <w:tcPr>
            <w:tcW w:w="1220" w:type="dxa"/>
            <w:vAlign w:val="bottom"/>
            <w:vMerge w:val="restart"/>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5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276092"/>
            </w:tcBorders>
          </w:tcPr>
          <w:p>
            <w:pPr>
              <w:spacing w:after="0"/>
              <w:rPr>
                <w:sz w:val="19"/>
                <w:szCs w:val="19"/>
                <w:color w:val="auto"/>
              </w:rPr>
            </w:pPr>
          </w:p>
        </w:tc>
        <w:tc>
          <w:tcPr>
            <w:tcW w:w="148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color w:val="auto"/>
              </w:rPr>
              <w:t>ESEPP</w:t>
            </w:r>
          </w:p>
        </w:tc>
        <w:tc>
          <w:tcPr>
            <w:tcW w:w="16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33.39</w:t>
            </w:r>
          </w:p>
        </w:tc>
        <w:tc>
          <w:tcPr>
            <w:tcW w:w="15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6,843,298</w:t>
            </w:r>
          </w:p>
        </w:tc>
        <w:tc>
          <w:tcPr>
            <w:tcW w:w="1220" w:type="dxa"/>
            <w:vAlign w:val="bottom"/>
            <w:tcBorders>
              <w:bottom w:val="single" w:sz="8" w:color="276092"/>
            </w:tcBorders>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18"/>
                <w:szCs w:val="18"/>
                <w:color w:val="auto"/>
              </w:rPr>
            </w:pPr>
          </w:p>
        </w:tc>
        <w:tc>
          <w:tcPr>
            <w:tcW w:w="1480" w:type="dxa"/>
            <w:vAlign w:val="bottom"/>
          </w:tcPr>
          <w:p>
            <w:pPr>
              <w:ind w:left="80"/>
              <w:spacing w:after="0"/>
              <w:rPr>
                <w:sz w:val="20"/>
                <w:szCs w:val="20"/>
                <w:color w:val="auto"/>
              </w:rPr>
            </w:pPr>
            <w:r>
              <w:rPr>
                <w:rFonts w:ascii="Arial" w:cs="Arial" w:eastAsia="Arial" w:hAnsi="Arial"/>
                <w:sz w:val="14"/>
                <w:szCs w:val="14"/>
                <w:color w:val="auto"/>
              </w:rPr>
              <w:t>Pension Plan</w:t>
            </w:r>
          </w:p>
        </w:tc>
        <w:tc>
          <w:tcPr>
            <w:tcW w:w="1620" w:type="dxa"/>
            <w:vAlign w:val="bottom"/>
          </w:tcPr>
          <w:p>
            <w:pPr>
              <w:jc w:val="center"/>
              <w:spacing w:after="0"/>
              <w:rPr>
                <w:sz w:val="20"/>
                <w:szCs w:val="20"/>
                <w:color w:val="auto"/>
              </w:rPr>
            </w:pPr>
            <w:r>
              <w:rPr>
                <w:rFonts w:ascii="Arial" w:cs="Arial" w:eastAsia="Arial" w:hAnsi="Arial"/>
                <w:sz w:val="14"/>
                <w:szCs w:val="14"/>
                <w:color w:val="auto"/>
              </w:rPr>
              <w:t>31.00</w:t>
            </w:r>
          </w:p>
        </w:tc>
        <w:tc>
          <w:tcPr>
            <w:tcW w:w="1500" w:type="dxa"/>
            <w:vAlign w:val="bottom"/>
          </w:tcPr>
          <w:p>
            <w:pPr>
              <w:jc w:val="center"/>
              <w:spacing w:after="0"/>
              <w:rPr>
                <w:sz w:val="20"/>
                <w:szCs w:val="20"/>
                <w:color w:val="auto"/>
              </w:rPr>
            </w:pPr>
            <w:r>
              <w:rPr>
                <w:rFonts w:ascii="Arial" w:cs="Arial" w:eastAsia="Arial" w:hAnsi="Arial"/>
                <w:sz w:val="14"/>
                <w:szCs w:val="14"/>
                <w:color w:val="auto"/>
              </w:rPr>
              <w:t>1,924,666</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2"/>
        </w:trPr>
        <w:tc>
          <w:tcPr>
            <w:tcW w:w="5200" w:type="dxa"/>
            <w:vAlign w:val="bottom"/>
          </w:tcPr>
          <w:p>
            <w:pPr>
              <w:ind w:left="40"/>
              <w:spacing w:after="0"/>
              <w:rPr>
                <w:sz w:val="20"/>
                <w:szCs w:val="20"/>
                <w:color w:val="auto"/>
              </w:rPr>
            </w:pPr>
            <w:r>
              <w:rPr>
                <w:rFonts w:ascii="Arial" w:cs="Arial" w:eastAsia="Arial" w:hAnsi="Arial"/>
                <w:sz w:val="14"/>
                <w:szCs w:val="14"/>
                <w:color w:val="auto"/>
              </w:rPr>
              <w:t>Janis G. Pamiljans</w:t>
            </w:r>
          </w:p>
        </w:tc>
        <w:tc>
          <w:tcPr>
            <w:tcW w:w="1480" w:type="dxa"/>
            <w:vAlign w:val="bottom"/>
            <w:shd w:val="clear" w:color="auto" w:fill="BECFDE"/>
          </w:tcPr>
          <w:p>
            <w:pPr>
              <w:ind w:left="80"/>
              <w:spacing w:after="0"/>
              <w:rPr>
                <w:sz w:val="20"/>
                <w:szCs w:val="20"/>
                <w:color w:val="auto"/>
              </w:rPr>
            </w:pPr>
            <w:r>
              <w:rPr>
                <w:rFonts w:ascii="Arial" w:cs="Arial" w:eastAsia="Arial" w:hAnsi="Arial"/>
                <w:sz w:val="14"/>
                <w:szCs w:val="14"/>
                <w:color w:val="auto"/>
              </w:rPr>
              <w:t>ERISA 2</w:t>
            </w:r>
          </w:p>
        </w:tc>
        <w:tc>
          <w:tcPr>
            <w:tcW w:w="16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31.00</w:t>
            </w:r>
          </w:p>
        </w:tc>
        <w:tc>
          <w:tcPr>
            <w:tcW w:w="15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3,430,836</w:t>
            </w:r>
          </w:p>
        </w:tc>
        <w:tc>
          <w:tcPr>
            <w:tcW w:w="1220" w:type="dxa"/>
            <w:vAlign w:val="bottom"/>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5200" w:type="dxa"/>
            <w:vAlign w:val="bottom"/>
            <w:tcBorders>
              <w:bottom w:val="single" w:sz="8" w:color="276092"/>
            </w:tcBorders>
          </w:tcPr>
          <w:p>
            <w:pPr>
              <w:spacing w:after="0"/>
              <w:rPr>
                <w:sz w:val="19"/>
                <w:szCs w:val="19"/>
                <w:color w:val="auto"/>
              </w:rPr>
            </w:pPr>
          </w:p>
        </w:tc>
        <w:tc>
          <w:tcPr>
            <w:tcW w:w="1480" w:type="dxa"/>
            <w:vAlign w:val="bottom"/>
            <w:tcBorders>
              <w:bottom w:val="single" w:sz="8" w:color="276092"/>
            </w:tcBorders>
          </w:tcPr>
          <w:p>
            <w:pPr>
              <w:ind w:left="80"/>
              <w:spacing w:after="0"/>
              <w:rPr>
                <w:sz w:val="20"/>
                <w:szCs w:val="20"/>
                <w:color w:val="auto"/>
              </w:rPr>
            </w:pPr>
            <w:r>
              <w:rPr>
                <w:rFonts w:ascii="Arial" w:cs="Arial" w:eastAsia="Arial" w:hAnsi="Arial"/>
                <w:sz w:val="14"/>
                <w:szCs w:val="14"/>
                <w:color w:val="auto"/>
              </w:rPr>
              <w:t>OSERP</w:t>
            </w:r>
          </w:p>
        </w:tc>
        <w:tc>
          <w:tcPr>
            <w:tcW w:w="162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28.00</w:t>
            </w:r>
          </w:p>
        </w:tc>
        <w:tc>
          <w:tcPr>
            <w:tcW w:w="150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82,209</w:t>
            </w:r>
          </w:p>
        </w:tc>
        <w:tc>
          <w:tcPr>
            <w:tcW w:w="1220" w:type="dxa"/>
            <w:vAlign w:val="bottom"/>
            <w:tcBorders>
              <w:bottom w:val="single" w:sz="8" w:color="276092"/>
            </w:tcBorders>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276092"/>
            </w:tcBorders>
          </w:tcPr>
          <w:p>
            <w:pPr>
              <w:ind w:left="40"/>
              <w:spacing w:after="0"/>
              <w:rPr>
                <w:sz w:val="20"/>
                <w:szCs w:val="20"/>
                <w:color w:val="auto"/>
              </w:rPr>
            </w:pPr>
            <w:r>
              <w:rPr>
                <w:rFonts w:ascii="Arial" w:cs="Arial" w:eastAsia="Arial" w:hAnsi="Arial"/>
                <w:sz w:val="14"/>
                <w:szCs w:val="14"/>
                <w:color w:val="auto"/>
              </w:rPr>
              <w:t>Kathy J. Warden</w:t>
            </w:r>
          </w:p>
        </w:tc>
        <w:tc>
          <w:tcPr>
            <w:tcW w:w="148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color w:val="auto"/>
              </w:rPr>
              <w:t>OSERP II</w:t>
            </w:r>
          </w:p>
        </w:tc>
        <w:tc>
          <w:tcPr>
            <w:tcW w:w="16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9.33</w:t>
            </w:r>
          </w:p>
        </w:tc>
        <w:tc>
          <w:tcPr>
            <w:tcW w:w="15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1,453,584</w:t>
            </w:r>
          </w:p>
        </w:tc>
        <w:tc>
          <w:tcPr>
            <w:tcW w:w="1220" w:type="dxa"/>
            <w:vAlign w:val="bottom"/>
            <w:tcBorders>
              <w:bottom w:val="single" w:sz="8" w:color="276092"/>
            </w:tcBorders>
            <w:shd w:val="clear" w:color="auto" w:fill="BECFDE"/>
          </w:tcPr>
          <w:p>
            <w:pPr>
              <w:jc w:val="center"/>
              <w:ind w:left="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40" w:hanging="436"/>
        <w:spacing w:after="0" w:line="246" w:lineRule="auto"/>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Mr. Bedingfield was hired after the Company’s defined benefit pension plans were closed to new entrants and as a result he does not participate in any defined benefit pension plans.</w:t>
      </w:r>
    </w:p>
    <w:p>
      <w:pPr>
        <w:spacing w:after="0" w:line="102" w:lineRule="exact"/>
        <w:rPr>
          <w:rFonts w:ascii="Arial" w:cs="Arial" w:eastAsia="Arial" w:hAnsi="Arial"/>
          <w:sz w:val="18"/>
          <w:szCs w:val="18"/>
          <w:color w:val="auto"/>
        </w:rPr>
      </w:pPr>
    </w:p>
    <w:p>
      <w:pPr>
        <w:ind w:left="640" w:right="100" w:hanging="436"/>
        <w:spacing w:after="0" w:line="248" w:lineRule="auto"/>
        <w:tabs>
          <w:tab w:leader="none" w:pos="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NEO’s credited service under OSERP and ESEPP is less than his or her actual service because credited service under these plans stopped as of December 31, 2014. In addition, Mr. Bush’s credited service under his other plans is less because of his transfers among those plans due to Company acquisitions. Ms. Flach’s credited service under her other plans is less due to a period of employment before plan eligibility commenced. Each NEO’s actual service is as follows: Mr. Bush: 30.67; Ms. Flach: 37.58;</w:t>
      </w:r>
    </w:p>
    <w:p>
      <w:pPr>
        <w:spacing w:after="0" w:line="2"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Mr. Pamiljans: 30.92; Ms. Warden: 9.33.</w:t>
      </w:r>
    </w:p>
    <w:p>
      <w:pPr>
        <w:spacing w:after="0" w:line="117" w:lineRule="exact"/>
        <w:rPr>
          <w:rFonts w:ascii="Arial" w:cs="Arial" w:eastAsia="Arial" w:hAnsi="Arial"/>
          <w:sz w:val="17"/>
          <w:szCs w:val="17"/>
          <w:color w:val="auto"/>
        </w:rPr>
      </w:pPr>
    </w:p>
    <w:p>
      <w:pPr>
        <w:ind w:left="640" w:hanging="436"/>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Amounts are calculated using the following assumptions:</w:t>
      </w:r>
    </w:p>
    <w:p>
      <w:pPr>
        <w:spacing w:after="0" w:line="117" w:lineRule="exact"/>
        <w:rPr>
          <w:rFonts w:ascii="Arial" w:cs="Arial" w:eastAsia="Arial" w:hAnsi="Arial"/>
          <w:sz w:val="18"/>
          <w:szCs w:val="18"/>
          <w:color w:val="auto"/>
        </w:rPr>
      </w:pPr>
    </w:p>
    <w:p>
      <w:pPr>
        <w:ind w:left="960" w:hanging="432"/>
        <w:spacing w:after="0"/>
        <w:tabs>
          <w:tab w:leader="none" w:pos="960" w:val="left"/>
        </w:tabs>
        <w:numPr>
          <w:ilvl w:val="1"/>
          <w:numId w:val="101"/>
        </w:numPr>
        <w:rPr>
          <w:rFonts w:ascii="Arial" w:cs="Arial" w:eastAsia="Arial" w:hAnsi="Arial"/>
          <w:sz w:val="18"/>
          <w:szCs w:val="18"/>
          <w:color w:val="276092"/>
        </w:rPr>
      </w:pPr>
      <w:r>
        <w:rPr>
          <w:rFonts w:ascii="Arial" w:cs="Arial" w:eastAsia="Arial" w:hAnsi="Arial"/>
          <w:sz w:val="18"/>
          <w:szCs w:val="18"/>
          <w:color w:val="auto"/>
        </w:rPr>
        <w:t>The NEO retires on the earliest date he/she could receive an unreduced benefit under each plan;</w:t>
      </w:r>
    </w:p>
    <w:p>
      <w:pPr>
        <w:spacing w:after="0" w:line="130" w:lineRule="exact"/>
        <w:rPr>
          <w:rFonts w:ascii="Arial" w:cs="Arial" w:eastAsia="Arial" w:hAnsi="Arial"/>
          <w:sz w:val="18"/>
          <w:szCs w:val="18"/>
          <w:color w:val="276092"/>
        </w:rPr>
      </w:pPr>
    </w:p>
    <w:p>
      <w:pPr>
        <w:ind w:left="960" w:hanging="432"/>
        <w:spacing w:after="0"/>
        <w:tabs>
          <w:tab w:leader="none" w:pos="960" w:val="left"/>
        </w:tabs>
        <w:numPr>
          <w:ilvl w:val="1"/>
          <w:numId w:val="101"/>
        </w:numPr>
        <w:rPr>
          <w:rFonts w:ascii="Arial" w:cs="Arial" w:eastAsia="Arial" w:hAnsi="Arial"/>
          <w:sz w:val="18"/>
          <w:szCs w:val="18"/>
          <w:color w:val="276092"/>
        </w:rPr>
      </w:pPr>
      <w:r>
        <w:rPr>
          <w:rFonts w:ascii="Arial" w:cs="Arial" w:eastAsia="Arial" w:hAnsi="Arial"/>
          <w:sz w:val="18"/>
          <w:szCs w:val="18"/>
          <w:color w:val="auto"/>
        </w:rPr>
        <w:t>The form of payment is a single life annuity; and</w:t>
      </w:r>
    </w:p>
    <w:p>
      <w:pPr>
        <w:spacing w:after="0" w:line="130" w:lineRule="exact"/>
        <w:rPr>
          <w:rFonts w:ascii="Arial" w:cs="Arial" w:eastAsia="Arial" w:hAnsi="Arial"/>
          <w:sz w:val="18"/>
          <w:szCs w:val="18"/>
          <w:color w:val="276092"/>
        </w:rPr>
      </w:pPr>
    </w:p>
    <w:p>
      <w:pPr>
        <w:ind w:left="960" w:right="220" w:hanging="432"/>
        <w:spacing w:after="0"/>
        <w:tabs>
          <w:tab w:leader="none" w:pos="960" w:val="left"/>
        </w:tabs>
        <w:numPr>
          <w:ilvl w:val="1"/>
          <w:numId w:val="101"/>
        </w:numPr>
        <w:rPr>
          <w:rFonts w:ascii="Arial" w:cs="Arial" w:eastAsia="Arial" w:hAnsi="Arial"/>
          <w:sz w:val="18"/>
          <w:szCs w:val="18"/>
          <w:color w:val="276092"/>
        </w:rPr>
      </w:pPr>
      <w:r>
        <w:rPr>
          <w:rFonts w:ascii="Arial" w:cs="Arial" w:eastAsia="Arial" w:hAnsi="Arial"/>
          <w:sz w:val="18"/>
          <w:szCs w:val="18"/>
          <w:color w:val="auto"/>
        </w:rPr>
        <w:t>The discount rate is 3.67% for the Pension Plan, 3.72% for the S&amp;MS Pension Plan and 3.68% for all other plans; the mortality table is the RP-2006 annuitant mortality tables projected generationally with an adjusted version of Scale MP-2017 (the same assumptions used for the Company’s financial statements).</w:t>
      </w:r>
    </w:p>
    <w:p>
      <w:pPr>
        <w:spacing w:after="0" w:line="133" w:lineRule="exact"/>
        <w:rPr>
          <w:sz w:val="20"/>
          <w:szCs w:val="20"/>
          <w:color w:val="auto"/>
        </w:rPr>
      </w:pPr>
    </w:p>
    <w:p>
      <w:pPr>
        <w:ind w:left="460" w:hanging="256"/>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P</w:t>
      </w:r>
      <w:r>
        <w:rPr>
          <w:rFonts w:ascii="Arial" w:cs="Arial" w:eastAsia="Arial" w:hAnsi="Arial"/>
          <w:sz w:val="18"/>
          <w:szCs w:val="18"/>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8"/>
          <w:szCs w:val="18"/>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Pension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49"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Most of the pension plans were closed to new hires in 2008. Prior to that time, the Company consolidated the pension plan provisions from diverse Heritage Formulas to a Cash Balance Formula. Over time, the Company also transitioned officers, including NEOs, from SERPs to a deferred compensation plan, called the Officers Retirement Account Contribution Plan. In addition, all final average pay formulas were frozen as of December 31, 2014.</w:t>
      </w:r>
    </w:p>
    <w:p>
      <w:pPr>
        <w:spacing w:after="0" w:line="94"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The pension plans in which NEOs participate are listed below in alphabetical order. Service and pay have been frozen with regards to ESEPP and OSERP plans.</w:t>
      </w:r>
    </w:p>
    <w:p>
      <w:pPr>
        <w:spacing w:after="0" w:line="80" w:lineRule="exact"/>
        <w:rPr>
          <w:sz w:val="20"/>
          <w:szCs w:val="20"/>
          <w:color w:val="auto"/>
        </w:rPr>
      </w:pPr>
    </w:p>
    <w:p>
      <w:pPr>
        <w:ind w:left="52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ERISA 2 </w:t>
      </w:r>
      <w:r>
        <w:rPr>
          <w:rFonts w:ascii="Arial" w:cs="Arial" w:eastAsia="Arial" w:hAnsi="Arial"/>
          <w:sz w:val="18"/>
          <w:szCs w:val="18"/>
          <w:color w:val="auto"/>
        </w:rPr>
        <w:t>is the ERISA Supplemental Program 2. This plan makes participants whole for benefits they lose under the Pension Plan due</w:t>
      </w:r>
      <w:r>
        <w:rPr>
          <w:rFonts w:ascii="Arial" w:cs="Arial" w:eastAsia="Arial" w:hAnsi="Arial"/>
          <w:sz w:val="18"/>
          <w:szCs w:val="18"/>
          <w:b w:val="1"/>
          <w:bCs w:val="1"/>
          <w:color w:val="auto"/>
        </w:rPr>
        <w:t xml:space="preserve"> </w:t>
      </w:r>
      <w:r>
        <w:rPr>
          <w:rFonts w:ascii="Arial" w:cs="Arial" w:eastAsia="Arial" w:hAnsi="Arial"/>
          <w:sz w:val="18"/>
          <w:szCs w:val="18"/>
          <w:color w:val="auto"/>
        </w:rPr>
        <w:t>to certain Internal Revenue Code limits.</w:t>
      </w:r>
    </w:p>
    <w:p>
      <w:pPr>
        <w:spacing w:after="0" w:line="59" w:lineRule="exact"/>
        <w:rPr>
          <w:rFonts w:ascii="Arial" w:cs="Arial" w:eastAsia="Arial" w:hAnsi="Arial"/>
          <w:sz w:val="18"/>
          <w:szCs w:val="18"/>
          <w:color w:val="276092"/>
        </w:rPr>
      </w:pPr>
    </w:p>
    <w:p>
      <w:pPr>
        <w:ind w:left="520" w:right="12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ESEPP </w:t>
      </w:r>
      <w:r>
        <w:rPr>
          <w:rFonts w:ascii="Arial" w:cs="Arial" w:eastAsia="Arial" w:hAnsi="Arial"/>
          <w:sz w:val="18"/>
          <w:szCs w:val="18"/>
          <w:color w:val="auto"/>
        </w:rPr>
        <w:t>is the Northrop Grumman Electronic Systems Executive Pension Plan. This plan provides a supplemental pension benefit for</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Company officers.</w:t>
      </w:r>
    </w:p>
    <w:p>
      <w:pPr>
        <w:spacing w:after="0" w:line="59" w:lineRule="exact"/>
        <w:rPr>
          <w:rFonts w:ascii="Arial" w:cs="Arial" w:eastAsia="Arial" w:hAnsi="Arial"/>
          <w:sz w:val="18"/>
          <w:szCs w:val="18"/>
          <w:color w:val="276092"/>
        </w:rPr>
      </w:pPr>
    </w:p>
    <w:p>
      <w:pPr>
        <w:ind w:left="520" w:right="32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OSERP </w:t>
      </w:r>
      <w:r>
        <w:rPr>
          <w:rFonts w:ascii="Arial" w:cs="Arial" w:eastAsia="Arial" w:hAnsi="Arial"/>
          <w:sz w:val="18"/>
          <w:szCs w:val="18"/>
          <w:color w:val="auto"/>
        </w:rPr>
        <w:t>is the Officers Supplemental Executive Retirement Program. This plan provides a supplemental pension benefit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officers.</w:t>
      </w:r>
    </w:p>
    <w:p>
      <w:pPr>
        <w:spacing w:after="0" w:line="59" w:lineRule="exact"/>
        <w:rPr>
          <w:rFonts w:ascii="Arial" w:cs="Arial" w:eastAsia="Arial" w:hAnsi="Arial"/>
          <w:sz w:val="18"/>
          <w:szCs w:val="18"/>
          <w:color w:val="276092"/>
        </w:rPr>
      </w:pPr>
    </w:p>
    <w:p>
      <w:pPr>
        <w:ind w:left="520" w:right="32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OSERP II </w:t>
      </w:r>
      <w:r>
        <w:rPr>
          <w:rFonts w:ascii="Arial" w:cs="Arial" w:eastAsia="Arial" w:hAnsi="Arial"/>
          <w:sz w:val="18"/>
          <w:szCs w:val="18"/>
          <w:color w:val="auto"/>
        </w:rPr>
        <w:t>is the Officers Supplemental Executive Retirement Program II. This plan provides a pension benefit for certain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w:t>
      </w:r>
    </w:p>
    <w:p>
      <w:pPr>
        <w:spacing w:after="0" w:line="59" w:lineRule="exact"/>
        <w:rPr>
          <w:rFonts w:ascii="Arial" w:cs="Arial" w:eastAsia="Arial" w:hAnsi="Arial"/>
          <w:sz w:val="18"/>
          <w:szCs w:val="18"/>
          <w:color w:val="276092"/>
        </w:rPr>
      </w:pPr>
    </w:p>
    <w:p>
      <w:pPr>
        <w:ind w:left="520" w:right="66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is the Northrop Grumman Pension Plan. This is a tax qualified pension plan covering a broad base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w:t>
      </w:r>
    </w:p>
    <w:p>
      <w:pPr>
        <w:spacing w:after="0" w:line="59" w:lineRule="exact"/>
        <w:rPr>
          <w:rFonts w:ascii="Arial" w:cs="Arial" w:eastAsia="Arial" w:hAnsi="Arial"/>
          <w:sz w:val="18"/>
          <w:szCs w:val="18"/>
          <w:color w:val="276092"/>
        </w:rPr>
      </w:pPr>
    </w:p>
    <w:p>
      <w:pPr>
        <w:ind w:left="520" w:right="36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S&amp;MS Pension Plan </w:t>
      </w:r>
      <w:r>
        <w:rPr>
          <w:rFonts w:ascii="Arial" w:cs="Arial" w:eastAsia="Arial" w:hAnsi="Arial"/>
          <w:sz w:val="18"/>
          <w:szCs w:val="18"/>
          <w:color w:val="auto"/>
        </w:rPr>
        <w:t>is the Northrop Grumman Space &amp; Mission Systems Salaried Pension Plan (former TRW plan). This is a tax</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pension plan covering a broad base of Company employees.</w:t>
      </w:r>
    </w:p>
    <w:p>
      <w:pPr>
        <w:spacing w:after="0" w:line="59" w:lineRule="exact"/>
        <w:rPr>
          <w:rFonts w:ascii="Arial" w:cs="Arial" w:eastAsia="Arial" w:hAnsi="Arial"/>
          <w:sz w:val="18"/>
          <w:szCs w:val="18"/>
          <w:color w:val="276092"/>
        </w:rPr>
      </w:pPr>
    </w:p>
    <w:p>
      <w:pPr>
        <w:ind w:left="520" w:right="260" w:hanging="316"/>
        <w:spacing w:after="0" w:line="271" w:lineRule="auto"/>
        <w:tabs>
          <w:tab w:leader="none" w:pos="520" w:val="left"/>
        </w:tabs>
        <w:numPr>
          <w:ilvl w:val="0"/>
          <w:numId w:val="103"/>
        </w:numPr>
        <w:rPr>
          <w:rFonts w:ascii="Arial" w:cs="Arial" w:eastAsia="Arial" w:hAnsi="Arial"/>
          <w:sz w:val="18"/>
          <w:szCs w:val="18"/>
          <w:color w:val="276092"/>
        </w:rPr>
      </w:pPr>
      <w:r>
        <w:rPr>
          <w:rFonts w:ascii="Arial" w:cs="Arial" w:eastAsia="Arial" w:hAnsi="Arial"/>
          <w:sz w:val="18"/>
          <w:szCs w:val="18"/>
          <w:b w:val="1"/>
          <w:bCs w:val="1"/>
          <w:color w:val="auto"/>
        </w:rPr>
        <w:t xml:space="preserve">SRIP </w:t>
      </w:r>
      <w:r>
        <w:rPr>
          <w:rFonts w:ascii="Arial" w:cs="Arial" w:eastAsia="Arial" w:hAnsi="Arial"/>
          <w:sz w:val="18"/>
          <w:szCs w:val="18"/>
          <w:color w:val="auto"/>
        </w:rPr>
        <w:t>is the Northrop Grumman Supplementary Retirement Income Plan (former TRW plan). This plan makes participants whole for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they lose under the S&amp;MS Pension Plan due to certain Internal Revenue Code limits.</w:t>
      </w:r>
    </w:p>
    <w:p>
      <w:pPr>
        <w:spacing w:after="0" w:line="295"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Pension Plan and S&amp;MS Pension Plan (Tax Qualified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35"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Due to acquisitions, the Company acquired various pension plans with different types of pension formulas (Heritage Formulas). These are described in detail in the Heritage Formulas table that follows. Prior to 2005, the Company transitioned the various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 section below). Except as provided below, the final benefit from each plan is the sum of the two formulas: the Heritage Formula benefit plus the Cash Balance Formula benefit.</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explains the formulas applicable to each NEO:</w:t>
      </w:r>
    </w:p>
    <w:p>
      <w:pPr>
        <w:spacing w:after="0" w:line="117" w:lineRule="exact"/>
        <w:rPr>
          <w:sz w:val="20"/>
          <w:szCs w:val="20"/>
          <w:color w:val="auto"/>
        </w:rPr>
      </w:pPr>
    </w:p>
    <w:p>
      <w:pPr>
        <w:ind w:left="520" w:right="560" w:hanging="316"/>
        <w:spacing w:after="0" w:line="246" w:lineRule="auto"/>
        <w:tabs>
          <w:tab w:leader="none" w:pos="520" w:val="left"/>
        </w:tabs>
        <w:numPr>
          <w:ilvl w:val="0"/>
          <w:numId w:val="104"/>
        </w:numPr>
        <w:rPr>
          <w:rFonts w:ascii="Arial" w:cs="Arial" w:eastAsia="Arial" w:hAnsi="Arial"/>
          <w:sz w:val="18"/>
          <w:szCs w:val="18"/>
          <w:color w:val="276092"/>
        </w:rPr>
      </w:pPr>
      <w:r>
        <w:rPr>
          <w:rFonts w:ascii="Arial" w:cs="Arial" w:eastAsia="Arial" w:hAnsi="Arial"/>
          <w:sz w:val="18"/>
          <w:szCs w:val="18"/>
          <w:color w:val="auto"/>
        </w:rPr>
        <w:t>Mr. Bush and Mr. Pamiljans receive a benefit under a Heritage Formula and a Cash Balance Formula in the Northrop Grumman Retirement Plan, a subplan of the Pension Plan (NGR Subplan).</w:t>
      </w:r>
    </w:p>
    <w:p>
      <w:pPr>
        <w:spacing w:after="0" w:line="102" w:lineRule="exact"/>
        <w:rPr>
          <w:rFonts w:ascii="Arial" w:cs="Arial" w:eastAsia="Arial" w:hAnsi="Arial"/>
          <w:sz w:val="18"/>
          <w:szCs w:val="18"/>
          <w:color w:val="276092"/>
        </w:rPr>
      </w:pPr>
    </w:p>
    <w:p>
      <w:pPr>
        <w:ind w:left="520" w:right="40" w:hanging="316"/>
        <w:spacing w:after="0" w:line="246" w:lineRule="auto"/>
        <w:tabs>
          <w:tab w:leader="none" w:pos="520" w:val="left"/>
        </w:tabs>
        <w:numPr>
          <w:ilvl w:val="0"/>
          <w:numId w:val="104"/>
        </w:numPr>
        <w:rPr>
          <w:rFonts w:ascii="Arial" w:cs="Arial" w:eastAsia="Arial" w:hAnsi="Arial"/>
          <w:sz w:val="18"/>
          <w:szCs w:val="18"/>
          <w:color w:val="276092"/>
        </w:rPr>
      </w:pPr>
      <w:r>
        <w:rPr>
          <w:rFonts w:ascii="Arial" w:cs="Arial" w:eastAsia="Arial" w:hAnsi="Arial"/>
          <w:sz w:val="18"/>
          <w:szCs w:val="18"/>
          <w:color w:val="auto"/>
        </w:rPr>
        <w:t>Mr. Bush receives a frozen benefit under a Heritage Formula in the S&amp;MS Pension Plan due to his TRW-related service. He ceased to be eligible for future service growth under this plan and the SRIP when he began participating in the NGR Subplan.</w:t>
      </w:r>
    </w:p>
    <w:p>
      <w:pPr>
        <w:spacing w:after="0" w:line="102" w:lineRule="exact"/>
        <w:rPr>
          <w:rFonts w:ascii="Arial" w:cs="Arial" w:eastAsia="Arial" w:hAnsi="Arial"/>
          <w:sz w:val="18"/>
          <w:szCs w:val="18"/>
          <w:color w:val="276092"/>
        </w:rPr>
      </w:pPr>
    </w:p>
    <w:p>
      <w:pPr>
        <w:ind w:left="520" w:right="300" w:hanging="316"/>
        <w:spacing w:after="0" w:line="246" w:lineRule="auto"/>
        <w:tabs>
          <w:tab w:leader="none" w:pos="520" w:val="left"/>
        </w:tabs>
        <w:numPr>
          <w:ilvl w:val="0"/>
          <w:numId w:val="104"/>
        </w:numPr>
        <w:rPr>
          <w:rFonts w:ascii="Arial" w:cs="Arial" w:eastAsia="Arial" w:hAnsi="Arial"/>
          <w:sz w:val="18"/>
          <w:szCs w:val="18"/>
          <w:color w:val="276092"/>
        </w:rPr>
      </w:pPr>
      <w:r>
        <w:rPr>
          <w:rFonts w:ascii="Arial" w:cs="Arial" w:eastAsia="Arial" w:hAnsi="Arial"/>
          <w:sz w:val="18"/>
          <w:szCs w:val="18"/>
          <w:color w:val="auto"/>
        </w:rPr>
        <w:t>Ms. Flach receives a benefit under a Heritage Formula and a Cash Balance Formula in the Northrop Grumman Electronic Systems Pension Plan, a subplan of the Pension Plan (ES Subplan).</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57</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P</w:t>
      </w:r>
      <w:r>
        <w:rPr>
          <w:rFonts w:ascii="Arial" w:cs="Arial" w:eastAsia="Arial" w:hAnsi="Arial"/>
          <w:sz w:val="18"/>
          <w:szCs w:val="18"/>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8"/>
          <w:szCs w:val="18"/>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Heritage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9770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key features of the Heritage Formulas applicable to the eligible NEOs.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24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Feature</w:t>
            </w:r>
          </w:p>
        </w:tc>
        <w:tc>
          <w:tcPr>
            <w:tcW w:w="3580" w:type="dxa"/>
            <w:vAlign w:val="bottom"/>
            <w:shd w:val="clear" w:color="auto" w:fill="276092"/>
          </w:tcPr>
          <w:p>
            <w:pPr>
              <w:jc w:val="center"/>
              <w:ind w:left="528"/>
              <w:spacing w:after="0"/>
              <w:rPr>
                <w:sz w:val="20"/>
                <w:szCs w:val="20"/>
                <w:color w:val="auto"/>
              </w:rPr>
            </w:pPr>
            <w:r>
              <w:rPr>
                <w:rFonts w:ascii="Arial" w:cs="Arial" w:eastAsia="Arial" w:hAnsi="Arial"/>
                <w:sz w:val="14"/>
                <w:szCs w:val="14"/>
                <w:b w:val="1"/>
                <w:bCs w:val="1"/>
                <w:color w:val="FFFFFF"/>
              </w:rPr>
              <w:t>NGR Subplan</w:t>
            </w:r>
          </w:p>
        </w:tc>
        <w:tc>
          <w:tcPr>
            <w:tcW w:w="26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ES Subplan</w:t>
            </w:r>
          </w:p>
        </w:tc>
        <w:tc>
          <w:tcPr>
            <w:tcW w:w="26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S&amp;MS Pension Plan</w:t>
            </w:r>
          </w:p>
        </w:tc>
        <w:tc>
          <w:tcPr>
            <w:tcW w:w="0" w:type="dxa"/>
            <w:vAlign w:val="bottom"/>
          </w:tcPr>
          <w:p>
            <w:pPr>
              <w:spacing w:after="0"/>
              <w:rPr>
                <w:sz w:val="1"/>
                <w:szCs w:val="1"/>
                <w:color w:val="auto"/>
              </w:rPr>
            </w:pPr>
          </w:p>
        </w:tc>
      </w:tr>
      <w:tr>
        <w:trPr>
          <w:trHeight w:val="234"/>
        </w:trPr>
        <w:tc>
          <w:tcPr>
            <w:tcW w:w="2240" w:type="dxa"/>
            <w:vAlign w:val="bottom"/>
            <w:shd w:val="clear" w:color="auto" w:fill="BECFDE"/>
          </w:tcPr>
          <w:p>
            <w:pPr>
              <w:spacing w:after="0"/>
              <w:rPr>
                <w:sz w:val="20"/>
                <w:szCs w:val="20"/>
                <w:color w:val="auto"/>
              </w:rPr>
            </w:pPr>
          </w:p>
        </w:tc>
        <w:tc>
          <w:tcPr>
            <w:tcW w:w="3580" w:type="dxa"/>
            <w:vAlign w:val="bottom"/>
            <w:vMerge w:val="restart"/>
            <w:shd w:val="clear" w:color="auto" w:fill="BECFDE"/>
          </w:tcPr>
          <w:p>
            <w:pPr>
              <w:jc w:val="center"/>
              <w:ind w:left="548"/>
              <w:spacing w:after="0"/>
              <w:rPr>
                <w:sz w:val="20"/>
                <w:szCs w:val="20"/>
                <w:color w:val="auto"/>
              </w:rPr>
            </w:pPr>
            <w:r>
              <w:rPr>
                <w:rFonts w:ascii="Arial" w:cs="Arial" w:eastAsia="Arial" w:hAnsi="Arial"/>
                <w:sz w:val="14"/>
                <w:szCs w:val="14"/>
                <w:color w:val="auto"/>
              </w:rPr>
              <w:t>Final Average Pay x 1.6667% times</w:t>
            </w:r>
          </w:p>
        </w:tc>
        <w:tc>
          <w:tcPr>
            <w:tcW w:w="26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Eligible Pay since</w:t>
            </w:r>
          </w:p>
        </w:tc>
        <w:tc>
          <w:tcPr>
            <w:tcW w:w="26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(Final Average Pay x 1.5% minus</w:t>
            </w:r>
          </w:p>
        </w:tc>
        <w:tc>
          <w:tcPr>
            <w:tcW w:w="0" w:type="dxa"/>
            <w:vAlign w:val="bottom"/>
          </w:tcPr>
          <w:p>
            <w:pPr>
              <w:spacing w:after="0"/>
              <w:rPr>
                <w:sz w:val="1"/>
                <w:szCs w:val="1"/>
                <w:color w:val="auto"/>
              </w:rPr>
            </w:pPr>
          </w:p>
        </w:tc>
      </w:tr>
      <w:tr>
        <w:trPr>
          <w:trHeight w:val="81"/>
        </w:trPr>
        <w:tc>
          <w:tcPr>
            <w:tcW w:w="2240" w:type="dxa"/>
            <w:vAlign w:val="bottom"/>
            <w:vMerge w:val="restart"/>
            <w:shd w:val="clear" w:color="auto" w:fill="BECFDE"/>
          </w:tcPr>
          <w:p>
            <w:pPr>
              <w:ind w:left="100"/>
              <w:spacing w:after="0"/>
              <w:rPr>
                <w:sz w:val="20"/>
                <w:szCs w:val="20"/>
                <w:color w:val="auto"/>
              </w:rPr>
            </w:pPr>
            <w:r>
              <w:rPr>
                <w:rFonts w:ascii="Arial" w:cs="Arial" w:eastAsia="Arial" w:hAnsi="Arial"/>
                <w:sz w:val="14"/>
                <w:szCs w:val="14"/>
                <w:color w:val="auto"/>
              </w:rPr>
              <w:t>Benefit Formula</w:t>
            </w:r>
          </w:p>
        </w:tc>
        <w:tc>
          <w:tcPr>
            <w:tcW w:w="3580" w:type="dxa"/>
            <w:vAlign w:val="bottom"/>
            <w:vMerge w:val="continue"/>
            <w:shd w:val="clear" w:color="auto" w:fill="BECFDE"/>
          </w:tcPr>
          <w:p>
            <w:pPr>
              <w:spacing w:after="0"/>
              <w:rPr>
                <w:sz w:val="7"/>
                <w:szCs w:val="7"/>
                <w:color w:val="auto"/>
              </w:rPr>
            </w:pPr>
          </w:p>
        </w:tc>
        <w:tc>
          <w:tcPr>
            <w:tcW w:w="26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1995 x 2% plus the prior</w:t>
            </w:r>
          </w:p>
        </w:tc>
        <w:tc>
          <w:tcPr>
            <w:tcW w:w="26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Covered Compensation x 0.4%)</w:t>
            </w:r>
          </w:p>
        </w:tc>
        <w:tc>
          <w:tcPr>
            <w:tcW w:w="0" w:type="dxa"/>
            <w:vAlign w:val="bottom"/>
          </w:tcPr>
          <w:p>
            <w:pPr>
              <w:spacing w:after="0"/>
              <w:rPr>
                <w:sz w:val="1"/>
                <w:szCs w:val="1"/>
                <w:color w:val="auto"/>
              </w:rPr>
            </w:pPr>
          </w:p>
        </w:tc>
      </w:tr>
      <w:tr>
        <w:trPr>
          <w:trHeight w:val="81"/>
        </w:trPr>
        <w:tc>
          <w:tcPr>
            <w:tcW w:w="2240" w:type="dxa"/>
            <w:vAlign w:val="bottom"/>
            <w:vMerge w:val="continue"/>
            <w:shd w:val="clear" w:color="auto" w:fill="BECFDE"/>
          </w:tcPr>
          <w:p>
            <w:pPr>
              <w:spacing w:after="0"/>
              <w:rPr>
                <w:sz w:val="7"/>
                <w:szCs w:val="7"/>
                <w:color w:val="auto"/>
              </w:rPr>
            </w:pPr>
          </w:p>
        </w:tc>
        <w:tc>
          <w:tcPr>
            <w:tcW w:w="3580" w:type="dxa"/>
            <w:vAlign w:val="bottom"/>
            <w:vMerge w:val="restart"/>
            <w:shd w:val="clear" w:color="auto" w:fill="BECFDE"/>
          </w:tcPr>
          <w:p>
            <w:pPr>
              <w:jc w:val="center"/>
              <w:ind w:left="528"/>
              <w:spacing w:after="0"/>
              <w:rPr>
                <w:sz w:val="20"/>
                <w:szCs w:val="20"/>
                <w:color w:val="auto"/>
              </w:rPr>
            </w:pPr>
            <w:r>
              <w:rPr>
                <w:rFonts w:ascii="Arial" w:cs="Arial" w:eastAsia="Arial" w:hAnsi="Arial"/>
                <w:sz w:val="14"/>
                <w:szCs w:val="14"/>
                <w:color w:val="auto"/>
              </w:rPr>
              <w:t>Pre-July 1, 2003 service</w:t>
            </w:r>
          </w:p>
        </w:tc>
        <w:tc>
          <w:tcPr>
            <w:tcW w:w="2600" w:type="dxa"/>
            <w:vAlign w:val="bottom"/>
            <w:vMerge w:val="continue"/>
            <w:shd w:val="clear" w:color="auto" w:fill="BECFDE"/>
          </w:tcPr>
          <w:p>
            <w:pPr>
              <w:spacing w:after="0"/>
              <w:rPr>
                <w:sz w:val="7"/>
                <w:szCs w:val="7"/>
                <w:color w:val="auto"/>
              </w:rPr>
            </w:pPr>
          </w:p>
        </w:tc>
        <w:tc>
          <w:tcPr>
            <w:tcW w:w="260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240" w:type="dxa"/>
            <w:vAlign w:val="bottom"/>
            <w:shd w:val="clear" w:color="auto" w:fill="BECFDE"/>
          </w:tcPr>
          <w:p>
            <w:pPr>
              <w:spacing w:after="0"/>
              <w:rPr>
                <w:sz w:val="7"/>
                <w:szCs w:val="7"/>
                <w:color w:val="auto"/>
              </w:rPr>
            </w:pPr>
          </w:p>
        </w:tc>
        <w:tc>
          <w:tcPr>
            <w:tcW w:w="3580" w:type="dxa"/>
            <w:vAlign w:val="bottom"/>
            <w:vMerge w:val="continue"/>
            <w:shd w:val="clear" w:color="auto" w:fill="BECFDE"/>
          </w:tcPr>
          <w:p>
            <w:pPr>
              <w:spacing w:after="0"/>
              <w:rPr>
                <w:sz w:val="7"/>
                <w:szCs w:val="7"/>
                <w:color w:val="auto"/>
              </w:rPr>
            </w:pPr>
          </w:p>
        </w:tc>
        <w:tc>
          <w:tcPr>
            <w:tcW w:w="26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Westinghouse Pension Plan benefit</w:t>
            </w:r>
          </w:p>
        </w:tc>
        <w:tc>
          <w:tcPr>
            <w:tcW w:w="26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times Pre- January 1, 2005 service</w:t>
            </w:r>
          </w:p>
        </w:tc>
        <w:tc>
          <w:tcPr>
            <w:tcW w:w="0" w:type="dxa"/>
            <w:vAlign w:val="bottom"/>
          </w:tcPr>
          <w:p>
            <w:pPr>
              <w:spacing w:after="0"/>
              <w:rPr>
                <w:sz w:val="1"/>
                <w:szCs w:val="1"/>
                <w:color w:val="auto"/>
              </w:rPr>
            </w:pPr>
          </w:p>
        </w:tc>
      </w:tr>
      <w:tr>
        <w:trPr>
          <w:trHeight w:val="81"/>
        </w:trPr>
        <w:tc>
          <w:tcPr>
            <w:tcW w:w="2240" w:type="dxa"/>
            <w:vAlign w:val="bottom"/>
            <w:shd w:val="clear" w:color="auto" w:fill="BECFDE"/>
          </w:tcPr>
          <w:p>
            <w:pPr>
              <w:spacing w:after="0"/>
              <w:rPr>
                <w:sz w:val="7"/>
                <w:szCs w:val="7"/>
                <w:color w:val="auto"/>
              </w:rPr>
            </w:pPr>
          </w:p>
        </w:tc>
        <w:tc>
          <w:tcPr>
            <w:tcW w:w="3580" w:type="dxa"/>
            <w:vAlign w:val="bottom"/>
            <w:shd w:val="clear" w:color="auto" w:fill="BECFDE"/>
          </w:tcPr>
          <w:p>
            <w:pPr>
              <w:spacing w:after="0"/>
              <w:rPr>
                <w:sz w:val="7"/>
                <w:szCs w:val="7"/>
                <w:color w:val="auto"/>
              </w:rPr>
            </w:pPr>
          </w:p>
        </w:tc>
        <w:tc>
          <w:tcPr>
            <w:tcW w:w="2600" w:type="dxa"/>
            <w:vAlign w:val="bottom"/>
            <w:vMerge w:val="continue"/>
            <w:shd w:val="clear" w:color="auto" w:fill="BECFDE"/>
          </w:tcPr>
          <w:p>
            <w:pPr>
              <w:spacing w:after="0"/>
              <w:rPr>
                <w:sz w:val="7"/>
                <w:szCs w:val="7"/>
                <w:color w:val="auto"/>
              </w:rPr>
            </w:pPr>
          </w:p>
        </w:tc>
        <w:tc>
          <w:tcPr>
            <w:tcW w:w="260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240" w:type="dxa"/>
            <w:vAlign w:val="bottom"/>
            <w:shd w:val="clear" w:color="auto" w:fill="BECFDE"/>
          </w:tcPr>
          <w:p>
            <w:pPr>
              <w:spacing w:after="0"/>
              <w:rPr>
                <w:sz w:val="5"/>
                <w:szCs w:val="5"/>
                <w:color w:val="auto"/>
              </w:rPr>
            </w:pPr>
          </w:p>
        </w:tc>
        <w:tc>
          <w:tcPr>
            <w:tcW w:w="3580" w:type="dxa"/>
            <w:vAlign w:val="bottom"/>
            <w:shd w:val="clear" w:color="auto" w:fill="BECFDE"/>
          </w:tcPr>
          <w:p>
            <w:pPr>
              <w:spacing w:after="0"/>
              <w:rPr>
                <w:sz w:val="5"/>
                <w:szCs w:val="5"/>
                <w:color w:val="auto"/>
              </w:rPr>
            </w:pPr>
          </w:p>
        </w:tc>
        <w:tc>
          <w:tcPr>
            <w:tcW w:w="2600" w:type="dxa"/>
            <w:vAlign w:val="bottom"/>
            <w:shd w:val="clear" w:color="auto" w:fill="BECFDE"/>
          </w:tcPr>
          <w:p>
            <w:pPr>
              <w:spacing w:after="0"/>
              <w:rPr>
                <w:sz w:val="5"/>
                <w:szCs w:val="5"/>
                <w:color w:val="auto"/>
              </w:rPr>
            </w:pPr>
          </w:p>
        </w:tc>
        <w:tc>
          <w:tcPr>
            <w:tcW w:w="2600" w:type="dxa"/>
            <w:vAlign w:val="bottom"/>
            <w:shd w:val="clear" w:color="auto" w:fill="BECFD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4"/>
                <w:szCs w:val="14"/>
                <w:color w:val="auto"/>
              </w:rPr>
              <w:t>Average of the highest 5</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100"/>
              <w:spacing w:after="0"/>
              <w:rPr>
                <w:sz w:val="20"/>
                <w:szCs w:val="20"/>
                <w:color w:val="auto"/>
              </w:rPr>
            </w:pPr>
            <w:r>
              <w:rPr>
                <w:rFonts w:ascii="Arial" w:cs="Arial" w:eastAsia="Arial" w:hAnsi="Arial"/>
                <w:sz w:val="14"/>
                <w:szCs w:val="14"/>
                <w:color w:val="auto"/>
              </w:rPr>
              <w:t>Final Average Pay (1)</w:t>
            </w:r>
          </w:p>
        </w:tc>
        <w:tc>
          <w:tcPr>
            <w:tcW w:w="3580" w:type="dxa"/>
            <w:vAlign w:val="bottom"/>
            <w:vMerge w:val="restart"/>
          </w:tcPr>
          <w:p>
            <w:pPr>
              <w:jc w:val="center"/>
              <w:ind w:left="528"/>
              <w:spacing w:after="0"/>
              <w:rPr>
                <w:sz w:val="20"/>
                <w:szCs w:val="20"/>
                <w:color w:val="auto"/>
              </w:rPr>
            </w:pPr>
            <w:r>
              <w:rPr>
                <w:rFonts w:ascii="Arial" w:cs="Arial" w:eastAsia="Arial" w:hAnsi="Arial"/>
                <w:sz w:val="14"/>
                <w:szCs w:val="14"/>
                <w:color w:val="auto"/>
              </w:rPr>
              <w:t>Average of highest 3 years of Eligible Pay</w:t>
            </w:r>
          </w:p>
        </w:tc>
        <w:tc>
          <w:tcPr>
            <w:tcW w:w="2600" w:type="dxa"/>
            <w:vAlign w:val="bottom"/>
            <w:vMerge w:val="restart"/>
          </w:tcPr>
          <w:p>
            <w:pPr>
              <w:jc w:val="center"/>
              <w:spacing w:after="0"/>
              <w:rPr>
                <w:sz w:val="20"/>
                <w:szCs w:val="20"/>
                <w:color w:val="auto"/>
              </w:rPr>
            </w:pPr>
            <w:r>
              <w:rPr>
                <w:rFonts w:ascii="Arial" w:cs="Arial" w:eastAsia="Arial" w:hAnsi="Arial"/>
                <w:sz w:val="14"/>
                <w:szCs w:val="14"/>
                <w:color w:val="auto"/>
              </w:rPr>
              <w:t>Not applicable</w:t>
            </w:r>
          </w:p>
        </w:tc>
        <w:tc>
          <w:tcPr>
            <w:tcW w:w="2600" w:type="dxa"/>
            <w:vAlign w:val="bottom"/>
          </w:tcPr>
          <w:p>
            <w:pPr>
              <w:jc w:val="center"/>
              <w:spacing w:after="0"/>
              <w:rPr>
                <w:sz w:val="20"/>
                <w:szCs w:val="20"/>
                <w:color w:val="auto"/>
              </w:rPr>
            </w:pPr>
            <w:r>
              <w:rPr>
                <w:rFonts w:ascii="Arial" w:cs="Arial" w:eastAsia="Arial" w:hAnsi="Arial"/>
                <w:sz w:val="14"/>
                <w:szCs w:val="14"/>
                <w:color w:val="auto"/>
              </w:rPr>
              <w:t>consecutive years of Eligible Pay;</w:t>
            </w:r>
          </w:p>
        </w:tc>
        <w:tc>
          <w:tcPr>
            <w:tcW w:w="0" w:type="dxa"/>
            <w:vAlign w:val="bottom"/>
          </w:tcPr>
          <w:p>
            <w:pPr>
              <w:spacing w:after="0"/>
              <w:rPr>
                <w:sz w:val="1"/>
                <w:szCs w:val="1"/>
                <w:color w:val="auto"/>
              </w:rPr>
            </w:pPr>
          </w:p>
        </w:tc>
      </w:tr>
      <w:tr>
        <w:trPr>
          <w:trHeight w:val="91"/>
        </w:trPr>
        <w:tc>
          <w:tcPr>
            <w:tcW w:w="2240" w:type="dxa"/>
            <w:vAlign w:val="bottom"/>
            <w:vMerge w:val="continue"/>
          </w:tcPr>
          <w:p>
            <w:pPr>
              <w:spacing w:after="0"/>
              <w:rPr>
                <w:sz w:val="7"/>
                <w:szCs w:val="7"/>
                <w:color w:val="auto"/>
              </w:rPr>
            </w:pPr>
          </w:p>
        </w:tc>
        <w:tc>
          <w:tcPr>
            <w:tcW w:w="3580" w:type="dxa"/>
            <w:vAlign w:val="bottom"/>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2600" w:type="dxa"/>
            <w:vAlign w:val="bottom"/>
            <w:vMerge w:val="restart"/>
          </w:tcPr>
          <w:p>
            <w:pPr>
              <w:jc w:val="center"/>
              <w:spacing w:after="0"/>
              <w:rPr>
                <w:sz w:val="20"/>
                <w:szCs w:val="20"/>
                <w:color w:val="auto"/>
              </w:rPr>
            </w:pPr>
            <w:r>
              <w:rPr>
                <w:rFonts w:ascii="Arial" w:cs="Arial" w:eastAsia="Arial" w:hAnsi="Arial"/>
                <w:sz w:val="14"/>
                <w:szCs w:val="14"/>
                <w:color w:val="auto"/>
              </w:rPr>
              <w:t>Covered Compensation is specified</w:t>
            </w:r>
          </w:p>
        </w:tc>
        <w:tc>
          <w:tcPr>
            <w:tcW w:w="0" w:type="dxa"/>
            <w:vAlign w:val="bottom"/>
          </w:tcPr>
          <w:p>
            <w:pPr>
              <w:spacing w:after="0"/>
              <w:rPr>
                <w:sz w:val="1"/>
                <w:szCs w:val="1"/>
                <w:color w:val="auto"/>
              </w:rPr>
            </w:pPr>
          </w:p>
        </w:tc>
      </w:tr>
      <w:tr>
        <w:trPr>
          <w:trHeight w:val="71"/>
        </w:trPr>
        <w:tc>
          <w:tcPr>
            <w:tcW w:w="22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0" w:type="dxa"/>
            <w:vAlign w:val="bottom"/>
          </w:tcPr>
          <w:p>
            <w:pPr>
              <w:jc w:val="center"/>
              <w:spacing w:after="0"/>
              <w:rPr>
                <w:sz w:val="20"/>
                <w:szCs w:val="20"/>
                <w:color w:val="auto"/>
              </w:rPr>
            </w:pPr>
            <w:r>
              <w:rPr>
                <w:rFonts w:ascii="Arial" w:cs="Arial" w:eastAsia="Arial" w:hAnsi="Arial"/>
                <w:sz w:val="14"/>
                <w:szCs w:val="14"/>
                <w:color w:val="auto"/>
              </w:rPr>
              <w:t>by the IRS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41910</wp:posOffset>
            </wp:positionV>
            <wp:extent cx="6997700" cy="3003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7700" cy="30035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38"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Eligible Pay (limited by Internal</w:t>
            </w:r>
          </w:p>
        </w:tc>
        <w:tc>
          <w:tcPr>
            <w:tcW w:w="2960" w:type="dxa"/>
            <w:vAlign w:val="bottom"/>
            <w:vMerge w:val="restart"/>
          </w:tcPr>
          <w:p>
            <w:pPr>
              <w:jc w:val="center"/>
              <w:ind w:left="228"/>
              <w:spacing w:after="0"/>
              <w:rPr>
                <w:sz w:val="20"/>
                <w:szCs w:val="20"/>
                <w:color w:val="auto"/>
              </w:rPr>
            </w:pPr>
            <w:r>
              <w:rPr>
                <w:rFonts w:ascii="Arial" w:cs="Arial" w:eastAsia="Arial" w:hAnsi="Arial"/>
                <w:sz w:val="14"/>
                <w:szCs w:val="14"/>
                <w:color w:val="auto"/>
              </w:rPr>
              <w:t>Salary plus bonus</w:t>
            </w:r>
          </w:p>
        </w:tc>
        <w:tc>
          <w:tcPr>
            <w:tcW w:w="0" w:type="dxa"/>
            <w:vAlign w:val="bottom"/>
          </w:tcPr>
          <w:p>
            <w:pPr>
              <w:spacing w:after="0"/>
              <w:rPr>
                <w:sz w:val="1"/>
                <w:szCs w:val="1"/>
                <w:color w:val="auto"/>
              </w:rPr>
            </w:pPr>
          </w:p>
        </w:tc>
      </w:tr>
      <w:tr>
        <w:trPr>
          <w:trHeight w:val="91"/>
        </w:trPr>
        <w:tc>
          <w:tcPr>
            <w:tcW w:w="2600" w:type="dxa"/>
            <w:vAlign w:val="bottom"/>
            <w:vMerge w:val="restart"/>
          </w:tcPr>
          <w:p>
            <w:pPr>
              <w:spacing w:after="0"/>
              <w:rPr>
                <w:sz w:val="20"/>
                <w:szCs w:val="20"/>
                <w:color w:val="auto"/>
              </w:rPr>
            </w:pPr>
            <w:r>
              <w:rPr>
                <w:rFonts w:ascii="Arial" w:cs="Arial" w:eastAsia="Arial" w:hAnsi="Arial"/>
                <w:sz w:val="14"/>
                <w:szCs w:val="14"/>
                <w:color w:val="auto"/>
              </w:rPr>
              <w:t>Revenue Code section 401(a)(17))</w:t>
            </w: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600" w:type="dxa"/>
            <w:vAlign w:val="bottom"/>
          </w:tcPr>
          <w:p>
            <w:pPr>
              <w:spacing w:after="0"/>
              <w:rPr>
                <w:sz w:val="20"/>
                <w:szCs w:val="20"/>
                <w:color w:val="auto"/>
              </w:rPr>
            </w:pPr>
            <w:r>
              <w:rPr>
                <w:rFonts w:ascii="Arial" w:cs="Arial" w:eastAsia="Arial" w:hAnsi="Arial"/>
                <w:sz w:val="14"/>
                <w:szCs w:val="14"/>
                <w:color w:val="auto"/>
              </w:rPr>
              <w:t>Normal Retirement</w:t>
            </w:r>
          </w:p>
        </w:tc>
        <w:tc>
          <w:tcPr>
            <w:tcW w:w="2960" w:type="dxa"/>
            <w:vAlign w:val="bottom"/>
          </w:tcPr>
          <w:p>
            <w:pPr>
              <w:jc w:val="center"/>
              <w:ind w:left="228"/>
              <w:spacing w:after="0"/>
              <w:rPr>
                <w:sz w:val="20"/>
                <w:szCs w:val="20"/>
                <w:color w:val="auto"/>
              </w:rPr>
            </w:pPr>
            <w:r>
              <w:rPr>
                <w:rFonts w:ascii="Arial" w:cs="Arial" w:eastAsia="Arial" w:hAnsi="Arial"/>
                <w:sz w:val="14"/>
                <w:szCs w:val="14"/>
                <w:color w:val="auto"/>
              </w:rPr>
              <w:t>Age 65</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4"/>
                <w:szCs w:val="14"/>
                <w:color w:val="auto"/>
              </w:rPr>
              <w:t>Early Retirement</w:t>
            </w:r>
          </w:p>
        </w:tc>
        <w:tc>
          <w:tcPr>
            <w:tcW w:w="2960" w:type="dxa"/>
            <w:vAlign w:val="bottom"/>
          </w:tcPr>
          <w:p>
            <w:pPr>
              <w:jc w:val="center"/>
              <w:ind w:left="248"/>
              <w:spacing w:after="0"/>
              <w:rPr>
                <w:sz w:val="20"/>
                <w:szCs w:val="20"/>
                <w:color w:val="auto"/>
              </w:rPr>
            </w:pPr>
            <w:r>
              <w:rPr>
                <w:rFonts w:ascii="Arial" w:cs="Arial" w:eastAsia="Arial" w:hAnsi="Arial"/>
                <w:sz w:val="14"/>
                <w:szCs w:val="14"/>
                <w:color w:val="auto"/>
              </w:rPr>
              <w:t>Age 55 with 10 years of service</w:t>
            </w:r>
          </w:p>
        </w:tc>
        <w:tc>
          <w:tcPr>
            <w:tcW w:w="0" w:type="dxa"/>
            <w:vAlign w:val="bottom"/>
          </w:tcPr>
          <w:p>
            <w:pPr>
              <w:spacing w:after="0"/>
              <w:rPr>
                <w:sz w:val="1"/>
                <w:szCs w:val="1"/>
                <w:color w:val="auto"/>
              </w:rPr>
            </w:pPr>
          </w:p>
        </w:tc>
      </w:tr>
      <w:tr>
        <w:trPr>
          <w:trHeight w:val="435"/>
        </w:trPr>
        <w:tc>
          <w:tcPr>
            <w:tcW w:w="2600" w:type="dxa"/>
            <w:vAlign w:val="bottom"/>
          </w:tcPr>
          <w:p>
            <w:pPr>
              <w:spacing w:after="0"/>
              <w:rPr>
                <w:sz w:val="20"/>
                <w:szCs w:val="20"/>
                <w:color w:val="auto"/>
              </w:rPr>
            </w:pPr>
            <w:r>
              <w:rPr>
                <w:rFonts w:ascii="Arial" w:cs="Arial" w:eastAsia="Arial" w:hAnsi="Arial"/>
                <w:sz w:val="14"/>
                <w:szCs w:val="14"/>
                <w:color w:val="auto"/>
              </w:rPr>
              <w:t>Early Retirement Reduction (for</w:t>
            </w:r>
          </w:p>
        </w:tc>
        <w:tc>
          <w:tcPr>
            <w:tcW w:w="2960" w:type="dxa"/>
            <w:vAlign w:val="bottom"/>
          </w:tcPr>
          <w:p>
            <w:pPr>
              <w:jc w:val="center"/>
              <w:ind w:left="248"/>
              <w:spacing w:after="0"/>
              <w:rPr>
                <w:sz w:val="20"/>
                <w:szCs w:val="20"/>
                <w:color w:val="auto"/>
              </w:rPr>
            </w:pPr>
            <w:r>
              <w:rPr>
                <w:rFonts w:ascii="Arial" w:cs="Arial" w:eastAsia="Arial" w:hAnsi="Arial"/>
                <w:sz w:val="14"/>
                <w:szCs w:val="14"/>
                <w:color w:val="auto"/>
              </w:rPr>
              <w:t>Benefits are reduced for commencement</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20"/>
                <w:szCs w:val="20"/>
                <w:color w:val="auto"/>
              </w:rPr>
            </w:pPr>
            <w:r>
              <w:rPr>
                <w:rFonts w:ascii="Arial" w:cs="Arial" w:eastAsia="Arial" w:hAnsi="Arial"/>
                <w:sz w:val="14"/>
                <w:szCs w:val="14"/>
                <w:color w:val="auto"/>
              </w:rPr>
              <w:t>retirements occurring between Early</w:t>
            </w:r>
          </w:p>
        </w:tc>
        <w:tc>
          <w:tcPr>
            <w:tcW w:w="2960" w:type="dxa"/>
            <w:vAlign w:val="bottom"/>
          </w:tcPr>
          <w:p>
            <w:pPr>
              <w:jc w:val="center"/>
              <w:ind w:left="228"/>
              <w:spacing w:after="0"/>
              <w:rPr>
                <w:sz w:val="20"/>
                <w:szCs w:val="20"/>
                <w:color w:val="auto"/>
              </w:rPr>
            </w:pPr>
            <w:r>
              <w:rPr>
                <w:rFonts w:ascii="Arial" w:cs="Arial" w:eastAsia="Arial" w:hAnsi="Arial"/>
                <w:sz w:val="14"/>
                <w:szCs w:val="14"/>
                <w:color w:val="auto"/>
              </w:rPr>
              <w:t>prior to the earlier of age 65 and 85 points</w:t>
            </w:r>
          </w:p>
        </w:tc>
        <w:tc>
          <w:tcPr>
            <w:tcW w:w="0" w:type="dxa"/>
            <w:vAlign w:val="bottom"/>
          </w:tcPr>
          <w:p>
            <w:pPr>
              <w:spacing w:after="0"/>
              <w:rPr>
                <w:sz w:val="1"/>
                <w:szCs w:val="1"/>
                <w:color w:val="auto"/>
              </w:rPr>
            </w:pPr>
          </w:p>
        </w:tc>
      </w:tr>
      <w:tr>
        <w:trPr>
          <w:trHeight w:val="172"/>
        </w:trPr>
        <w:tc>
          <w:tcPr>
            <w:tcW w:w="2600" w:type="dxa"/>
            <w:vAlign w:val="bottom"/>
          </w:tcPr>
          <w:p>
            <w:pPr>
              <w:spacing w:after="0"/>
              <w:rPr>
                <w:sz w:val="20"/>
                <w:szCs w:val="20"/>
                <w:color w:val="auto"/>
              </w:rPr>
            </w:pPr>
            <w:r>
              <w:rPr>
                <w:rFonts w:ascii="Arial" w:cs="Arial" w:eastAsia="Arial" w:hAnsi="Arial"/>
                <w:sz w:val="14"/>
                <w:szCs w:val="14"/>
                <w:color w:val="auto"/>
              </w:rPr>
              <w:t>Retirement and Normal Retirement)</w:t>
            </w:r>
          </w:p>
        </w:tc>
        <w:tc>
          <w:tcPr>
            <w:tcW w:w="2960" w:type="dxa"/>
            <w:vAlign w:val="bottom"/>
          </w:tcPr>
          <w:p>
            <w:pPr>
              <w:jc w:val="center"/>
              <w:ind w:left="248"/>
              <w:spacing w:after="0"/>
              <w:rPr>
                <w:sz w:val="20"/>
                <w:szCs w:val="20"/>
                <w:color w:val="auto"/>
              </w:rPr>
            </w:pPr>
            <w:r>
              <w:rPr>
                <w:rFonts w:ascii="Arial" w:cs="Arial" w:eastAsia="Arial" w:hAnsi="Arial"/>
                <w:sz w:val="14"/>
                <w:szCs w:val="14"/>
                <w:color w:val="auto"/>
              </w:rPr>
              <w:t>(age + service)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-652145</wp:posOffset>
            </wp:positionV>
            <wp:extent cx="6997700" cy="291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29146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41910</wp:posOffset>
            </wp:positionV>
            <wp:extent cx="6997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Salary plus bonus (50% of bonus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through 2001)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Age 65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Age 58 with 30 years of service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or age 60 with 10 years of service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Benefits are reduced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commencement prior to age 60</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Salary plus bonus</w:t>
      </w:r>
    </w:p>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Age 65</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Age 55 with 10 years of service</w:t>
      </w:r>
    </w:p>
    <w:p>
      <w:pPr>
        <w:spacing w:after="0" w:line="312"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Benefits are reduced for</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commencement prior to age 60</w:t>
      </w:r>
    </w:p>
    <w:p>
      <w:pPr>
        <w:spacing w:after="0" w:line="279" w:lineRule="exact"/>
        <w:rPr>
          <w:sz w:val="20"/>
          <w:szCs w:val="20"/>
          <w:color w:val="auto"/>
        </w:rPr>
      </w:pPr>
    </w:p>
    <w:p>
      <w:pPr>
        <w:sectPr>
          <w:pgSz w:w="11900" w:h="16838" w:orient="portrait"/>
          <w:cols w:equalWidth="0" w:num="3">
            <w:col w:w="5880" w:space="360"/>
            <w:col w:w="2160" w:space="560"/>
            <w:col w:w="228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(1) Final average pay was frozen for the NGR Subplan and the S&amp;MS Pension Plan as of December 31, 2014.</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Cash Balance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Cash Balance Formula is a hypothetical account balance consisting of pay credits plus interest. It has the following features:</w:t>
      </w:r>
    </w:p>
    <w:p>
      <w:pPr>
        <w:spacing w:after="0" w:line="117" w:lineRule="exact"/>
        <w:rPr>
          <w:sz w:val="20"/>
          <w:szCs w:val="20"/>
          <w:color w:val="auto"/>
        </w:rPr>
      </w:pPr>
    </w:p>
    <w:p>
      <w:pPr>
        <w:ind w:left="520" w:right="840" w:hanging="316"/>
        <w:spacing w:after="0" w:line="246" w:lineRule="auto"/>
        <w:tabs>
          <w:tab w:leader="none" w:pos="520" w:val="left"/>
        </w:tabs>
        <w:numPr>
          <w:ilvl w:val="0"/>
          <w:numId w:val="105"/>
        </w:numPr>
        <w:rPr>
          <w:rFonts w:ascii="Arial" w:cs="Arial" w:eastAsia="Arial" w:hAnsi="Arial"/>
          <w:sz w:val="18"/>
          <w:szCs w:val="18"/>
          <w:color w:val="276092"/>
        </w:rPr>
      </w:pPr>
      <w:r>
        <w:rPr>
          <w:rFonts w:ascii="Arial" w:cs="Arial" w:eastAsia="Arial" w:hAnsi="Arial"/>
          <w:sz w:val="18"/>
          <w:szCs w:val="18"/>
          <w:color w:val="auto"/>
        </w:rPr>
        <w:t>Pay credits are a percentage of pay that vary based on an employee’s “points” (age plus service). The range of percentages applicable to the NEOs on December 31, 2017 was 5.5% – 9.0%.</w:t>
      </w:r>
    </w:p>
    <w:p>
      <w:pPr>
        <w:spacing w:after="0" w:line="102" w:lineRule="exact"/>
        <w:rPr>
          <w:rFonts w:ascii="Arial" w:cs="Arial" w:eastAsia="Arial" w:hAnsi="Arial"/>
          <w:sz w:val="18"/>
          <w:szCs w:val="18"/>
          <w:color w:val="276092"/>
        </w:rPr>
      </w:pPr>
    </w:p>
    <w:p>
      <w:pPr>
        <w:ind w:left="520" w:hanging="316"/>
        <w:spacing w:after="0"/>
        <w:tabs>
          <w:tab w:leader="none" w:pos="520" w:val="left"/>
        </w:tabs>
        <w:numPr>
          <w:ilvl w:val="0"/>
          <w:numId w:val="105"/>
        </w:numPr>
        <w:rPr>
          <w:rFonts w:ascii="Arial" w:cs="Arial" w:eastAsia="Arial" w:hAnsi="Arial"/>
          <w:sz w:val="18"/>
          <w:szCs w:val="18"/>
          <w:color w:val="276092"/>
        </w:rPr>
      </w:pPr>
      <w:r>
        <w:rPr>
          <w:rFonts w:ascii="Arial" w:cs="Arial" w:eastAsia="Arial" w:hAnsi="Arial"/>
          <w:sz w:val="18"/>
          <w:szCs w:val="18"/>
          <w:color w:val="auto"/>
        </w:rPr>
        <w:t>Interest is credited at the 30-year U.S. Treasury bond rate. The December 31, 2017 interest credit rate was 2.80%.</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05"/>
        </w:numPr>
        <w:rPr>
          <w:rFonts w:ascii="Arial" w:cs="Arial" w:eastAsia="Arial" w:hAnsi="Arial"/>
          <w:sz w:val="18"/>
          <w:szCs w:val="18"/>
          <w:color w:val="276092"/>
        </w:rPr>
      </w:pPr>
      <w:r>
        <w:rPr>
          <w:rFonts w:ascii="Arial" w:cs="Arial" w:eastAsia="Arial" w:hAnsi="Arial"/>
          <w:sz w:val="18"/>
          <w:szCs w:val="18"/>
          <w:color w:val="auto"/>
        </w:rPr>
        <w:t>Eligible pay is salary plus bonus, as limited by Internal Revenue Code section 401(a)(17).</w:t>
      </w:r>
    </w:p>
    <w:p>
      <w:pPr>
        <w:spacing w:after="0" w:line="130" w:lineRule="exact"/>
        <w:rPr>
          <w:rFonts w:ascii="Arial" w:cs="Arial" w:eastAsia="Arial" w:hAnsi="Arial"/>
          <w:sz w:val="18"/>
          <w:szCs w:val="18"/>
          <w:color w:val="276092"/>
        </w:rPr>
      </w:pPr>
    </w:p>
    <w:p>
      <w:pPr>
        <w:ind w:left="520" w:right="640" w:hanging="316"/>
        <w:spacing w:after="0" w:line="246" w:lineRule="auto"/>
        <w:tabs>
          <w:tab w:leader="none" w:pos="520" w:val="left"/>
        </w:tabs>
        <w:numPr>
          <w:ilvl w:val="0"/>
          <w:numId w:val="105"/>
        </w:numPr>
        <w:rPr>
          <w:rFonts w:ascii="Arial" w:cs="Arial" w:eastAsia="Arial" w:hAnsi="Arial"/>
          <w:sz w:val="18"/>
          <w:szCs w:val="18"/>
          <w:color w:val="276092"/>
        </w:rPr>
      </w:pPr>
      <w:r>
        <w:rPr>
          <w:rFonts w:ascii="Arial" w:cs="Arial" w:eastAsia="Arial" w:hAnsi="Arial"/>
          <w:sz w:val="18"/>
          <w:szCs w:val="18"/>
          <w:color w:val="auto"/>
        </w:rPr>
        <w:t>Eligibility for early retirement occurs at age 55 with 10 years of service. Benefits may be reduced if commenced prior to Normal Retirement Age (65).</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ERISA 2 and SRIP (Nonqualified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9770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ERISA 2 and SRIP are nonqualified plans that restore benefits provided for under the Pension Plan and S&amp;MS Pension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132" w:lineRule="exact"/>
        <w:rPr>
          <w:sz w:val="20"/>
          <w:szCs w:val="20"/>
          <w:color w:val="auto"/>
        </w:rPr>
      </w:pPr>
    </w:p>
    <w:p>
      <w:pPr>
        <w:ind w:left="460" w:hanging="256"/>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P</w:t>
      </w:r>
      <w:r>
        <w:rPr>
          <w:rFonts w:ascii="Arial" w:cs="Arial" w:eastAsia="Arial" w:hAnsi="Arial"/>
          <w:sz w:val="18"/>
          <w:szCs w:val="18"/>
          <w:b w:val="1"/>
          <w:bCs w:val="1"/>
          <w:color w:val="FFFFFF"/>
        </w:rPr>
        <w:t>ENSION</w:t>
      </w:r>
      <w:r>
        <w:rPr>
          <w:rFonts w:ascii="Arial" w:cs="Arial" w:eastAsia="Arial" w:hAnsi="Arial"/>
          <w:sz w:val="22"/>
          <w:szCs w:val="22"/>
          <w:b w:val="1"/>
          <w:bCs w:val="1"/>
          <w:color w:val="FFFFFF"/>
        </w:rPr>
        <w:t xml:space="preserve"> B</w:t>
      </w:r>
      <w:r>
        <w:rPr>
          <w:rFonts w:ascii="Arial" w:cs="Arial" w:eastAsia="Arial" w:hAnsi="Arial"/>
          <w:sz w:val="18"/>
          <w:szCs w:val="18"/>
          <w:b w:val="1"/>
          <w:bCs w:val="1"/>
          <w:color w:val="FFFFFF"/>
        </w:rPr>
        <w:t>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OSERP, OSERP II and ESEPP (Nonqualified Supplemental Executive 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These plans provide supplemental pension benefits. They were closed to new hires in 2009. In addition, final average pay and associated service under these plans were frozen as of December 31, 2014.</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chart highlights the key features of these plans applicable to eligible NEOs.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520" w:type="dxa"/>
            <w:vAlign w:val="bottom"/>
            <w:shd w:val="clear" w:color="auto" w:fill="276092"/>
          </w:tcPr>
          <w:p>
            <w:pPr>
              <w:ind w:left="20"/>
              <w:spacing w:after="0"/>
              <w:rPr>
                <w:sz w:val="20"/>
                <w:szCs w:val="20"/>
                <w:color w:val="auto"/>
              </w:rPr>
            </w:pPr>
            <w:r>
              <w:rPr>
                <w:rFonts w:ascii="Arial" w:cs="Arial" w:eastAsia="Arial" w:hAnsi="Arial"/>
                <w:sz w:val="14"/>
                <w:szCs w:val="14"/>
                <w:b w:val="1"/>
                <w:bCs w:val="1"/>
                <w:color w:val="FFFFFF"/>
              </w:rPr>
              <w:t>Feature</w:t>
            </w:r>
          </w:p>
        </w:tc>
        <w:tc>
          <w:tcPr>
            <w:tcW w:w="5060" w:type="dxa"/>
            <w:vAlign w:val="bottom"/>
            <w:shd w:val="clear" w:color="auto" w:fill="276092"/>
          </w:tcPr>
          <w:p>
            <w:pPr>
              <w:jc w:val="center"/>
              <w:ind w:left="1268"/>
              <w:spacing w:after="0"/>
              <w:rPr>
                <w:sz w:val="20"/>
                <w:szCs w:val="20"/>
                <w:color w:val="auto"/>
              </w:rPr>
            </w:pPr>
            <w:r>
              <w:rPr>
                <w:rFonts w:ascii="Arial" w:cs="Arial" w:eastAsia="Arial" w:hAnsi="Arial"/>
                <w:sz w:val="14"/>
                <w:szCs w:val="14"/>
                <w:b w:val="1"/>
                <w:bCs w:val="1"/>
                <w:color w:val="FFFFFF"/>
              </w:rPr>
              <w:t>OSERP and OSERP II (1)</w:t>
            </w:r>
          </w:p>
        </w:tc>
        <w:tc>
          <w:tcPr>
            <w:tcW w:w="34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ESEPP</w:t>
            </w:r>
          </w:p>
        </w:tc>
        <w:tc>
          <w:tcPr>
            <w:tcW w:w="0" w:type="dxa"/>
            <w:vAlign w:val="bottom"/>
          </w:tcPr>
          <w:p>
            <w:pPr>
              <w:spacing w:after="0"/>
              <w:rPr>
                <w:sz w:val="1"/>
                <w:szCs w:val="1"/>
                <w:color w:val="auto"/>
              </w:rPr>
            </w:pPr>
          </w:p>
        </w:tc>
      </w:tr>
      <w:tr>
        <w:trPr>
          <w:trHeight w:val="234"/>
        </w:trPr>
        <w:tc>
          <w:tcPr>
            <w:tcW w:w="2520" w:type="dxa"/>
            <w:vAlign w:val="bottom"/>
            <w:shd w:val="clear" w:color="auto" w:fill="BECFDE"/>
          </w:tcPr>
          <w:p>
            <w:pPr>
              <w:spacing w:after="0"/>
              <w:rPr>
                <w:sz w:val="20"/>
                <w:szCs w:val="20"/>
                <w:color w:val="auto"/>
              </w:rPr>
            </w:pPr>
          </w:p>
        </w:tc>
        <w:tc>
          <w:tcPr>
            <w:tcW w:w="5060" w:type="dxa"/>
            <w:vAlign w:val="bottom"/>
            <w:shd w:val="clear" w:color="auto" w:fill="BECFDE"/>
          </w:tcPr>
          <w:p>
            <w:pPr>
              <w:jc w:val="center"/>
              <w:ind w:left="1248"/>
              <w:spacing w:after="0"/>
              <w:rPr>
                <w:sz w:val="20"/>
                <w:szCs w:val="20"/>
                <w:color w:val="auto"/>
              </w:rPr>
            </w:pPr>
            <w:r>
              <w:rPr>
                <w:rFonts w:ascii="Arial" w:cs="Arial" w:eastAsia="Arial" w:hAnsi="Arial"/>
                <w:sz w:val="14"/>
                <w:szCs w:val="14"/>
                <w:color w:val="auto"/>
              </w:rPr>
              <w:t>Final Average Pay times 2% for each year of service</w:t>
            </w:r>
          </w:p>
        </w:tc>
        <w:tc>
          <w:tcPr>
            <w:tcW w:w="34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Final Average Pay times 1.47% for each year that</w:t>
            </w:r>
          </w:p>
        </w:tc>
        <w:tc>
          <w:tcPr>
            <w:tcW w:w="0" w:type="dxa"/>
            <w:vAlign w:val="bottom"/>
          </w:tcPr>
          <w:p>
            <w:pPr>
              <w:spacing w:after="0"/>
              <w:rPr>
                <w:sz w:val="1"/>
                <w:szCs w:val="1"/>
                <w:color w:val="auto"/>
              </w:rPr>
            </w:pPr>
          </w:p>
        </w:tc>
      </w:tr>
      <w:tr>
        <w:trPr>
          <w:trHeight w:val="81"/>
        </w:trPr>
        <w:tc>
          <w:tcPr>
            <w:tcW w:w="2520" w:type="dxa"/>
            <w:vAlign w:val="bottom"/>
            <w:shd w:val="clear" w:color="auto" w:fill="BECFDE"/>
          </w:tcPr>
          <w:p>
            <w:pPr>
              <w:spacing w:after="0"/>
              <w:rPr>
                <w:sz w:val="7"/>
                <w:szCs w:val="7"/>
                <w:color w:val="auto"/>
              </w:rPr>
            </w:pPr>
          </w:p>
        </w:tc>
        <w:tc>
          <w:tcPr>
            <w:tcW w:w="5060" w:type="dxa"/>
            <w:vAlign w:val="bottom"/>
            <w:vMerge w:val="restart"/>
            <w:shd w:val="clear" w:color="auto" w:fill="BECFDE"/>
          </w:tcPr>
          <w:p>
            <w:pPr>
              <w:jc w:val="center"/>
              <w:ind w:left="1248"/>
              <w:spacing w:after="0"/>
              <w:rPr>
                <w:sz w:val="20"/>
                <w:szCs w:val="20"/>
                <w:color w:val="auto"/>
              </w:rPr>
            </w:pPr>
            <w:r>
              <w:rPr>
                <w:rFonts w:ascii="Arial" w:cs="Arial" w:eastAsia="Arial" w:hAnsi="Arial"/>
                <w:sz w:val="14"/>
                <w:szCs w:val="14"/>
                <w:color w:val="auto"/>
              </w:rPr>
              <w:t>up to 10 years, 1.5% for each subsequent year up to</w:t>
            </w:r>
          </w:p>
        </w:tc>
        <w:tc>
          <w:tcPr>
            <w:tcW w:w="344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vMerge w:val="restart"/>
            <w:shd w:val="clear" w:color="auto" w:fill="BECFDE"/>
          </w:tcPr>
          <w:p>
            <w:pPr>
              <w:ind w:left="20"/>
              <w:spacing w:after="0"/>
              <w:rPr>
                <w:sz w:val="20"/>
                <w:szCs w:val="20"/>
                <w:color w:val="auto"/>
              </w:rPr>
            </w:pPr>
            <w:r>
              <w:rPr>
                <w:rFonts w:ascii="Arial" w:cs="Arial" w:eastAsia="Arial" w:hAnsi="Arial"/>
                <w:sz w:val="14"/>
                <w:szCs w:val="14"/>
                <w:color w:val="auto"/>
              </w:rPr>
              <w:t>Benefit Formula</w:t>
            </w:r>
          </w:p>
        </w:tc>
        <w:tc>
          <w:tcPr>
            <w:tcW w:w="5060" w:type="dxa"/>
            <w:vAlign w:val="bottom"/>
            <w:vMerge w:val="continue"/>
            <w:shd w:val="clear" w:color="auto" w:fill="BECFDE"/>
          </w:tcPr>
          <w:p>
            <w:pPr>
              <w:spacing w:after="0"/>
              <w:rPr>
                <w:sz w:val="7"/>
                <w:szCs w:val="7"/>
                <w:color w:val="auto"/>
              </w:rPr>
            </w:pPr>
          </w:p>
        </w:tc>
        <w:tc>
          <w:tcPr>
            <w:tcW w:w="34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the NEO made maximum contributions to the ES</w:t>
            </w:r>
          </w:p>
        </w:tc>
        <w:tc>
          <w:tcPr>
            <w:tcW w:w="0" w:type="dxa"/>
            <w:vAlign w:val="bottom"/>
          </w:tcPr>
          <w:p>
            <w:pPr>
              <w:spacing w:after="0"/>
              <w:rPr>
                <w:sz w:val="1"/>
                <w:szCs w:val="1"/>
                <w:color w:val="auto"/>
              </w:rPr>
            </w:pPr>
          </w:p>
        </w:tc>
      </w:tr>
      <w:tr>
        <w:trPr>
          <w:trHeight w:val="81"/>
        </w:trPr>
        <w:tc>
          <w:tcPr>
            <w:tcW w:w="2520" w:type="dxa"/>
            <w:vAlign w:val="bottom"/>
            <w:vMerge w:val="continue"/>
            <w:shd w:val="clear" w:color="auto" w:fill="BECFDE"/>
          </w:tcPr>
          <w:p>
            <w:pPr>
              <w:spacing w:after="0"/>
              <w:rPr>
                <w:sz w:val="7"/>
                <w:szCs w:val="7"/>
                <w:color w:val="auto"/>
              </w:rPr>
            </w:pPr>
          </w:p>
        </w:tc>
        <w:tc>
          <w:tcPr>
            <w:tcW w:w="5060" w:type="dxa"/>
            <w:vAlign w:val="bottom"/>
            <w:vMerge w:val="restart"/>
            <w:shd w:val="clear" w:color="auto" w:fill="BECFDE"/>
          </w:tcPr>
          <w:p>
            <w:pPr>
              <w:jc w:val="center"/>
              <w:ind w:left="1248"/>
              <w:spacing w:after="0"/>
              <w:rPr>
                <w:sz w:val="20"/>
                <w:szCs w:val="20"/>
                <w:color w:val="auto"/>
              </w:rPr>
            </w:pPr>
            <w:r>
              <w:rPr>
                <w:rFonts w:ascii="Arial" w:cs="Arial" w:eastAsia="Arial" w:hAnsi="Arial"/>
                <w:sz w:val="14"/>
                <w:szCs w:val="14"/>
                <w:color w:val="auto"/>
              </w:rPr>
              <w:t>20 years, and 1% for each additional year over 20 and</w:t>
            </w:r>
          </w:p>
        </w:tc>
        <w:tc>
          <w:tcPr>
            <w:tcW w:w="344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BECFDE"/>
          </w:tcPr>
          <w:p>
            <w:pPr>
              <w:spacing w:after="0"/>
              <w:rPr>
                <w:sz w:val="7"/>
                <w:szCs w:val="7"/>
                <w:color w:val="auto"/>
              </w:rPr>
            </w:pPr>
          </w:p>
        </w:tc>
        <w:tc>
          <w:tcPr>
            <w:tcW w:w="5060" w:type="dxa"/>
            <w:vAlign w:val="bottom"/>
            <w:vMerge w:val="continue"/>
            <w:shd w:val="clear" w:color="auto" w:fill="BECFDE"/>
          </w:tcPr>
          <w:p>
            <w:pPr>
              <w:spacing w:after="0"/>
              <w:rPr>
                <w:sz w:val="7"/>
                <w:szCs w:val="7"/>
                <w:color w:val="auto"/>
              </w:rPr>
            </w:pPr>
          </w:p>
        </w:tc>
        <w:tc>
          <w:tcPr>
            <w:tcW w:w="344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Subplan</w:t>
            </w:r>
          </w:p>
        </w:tc>
        <w:tc>
          <w:tcPr>
            <w:tcW w:w="0" w:type="dxa"/>
            <w:vAlign w:val="bottom"/>
          </w:tcPr>
          <w:p>
            <w:pPr>
              <w:spacing w:after="0"/>
              <w:rPr>
                <w:sz w:val="1"/>
                <w:szCs w:val="1"/>
                <w:color w:val="auto"/>
              </w:rPr>
            </w:pPr>
          </w:p>
        </w:tc>
      </w:tr>
      <w:tr>
        <w:trPr>
          <w:trHeight w:val="91"/>
        </w:trPr>
        <w:tc>
          <w:tcPr>
            <w:tcW w:w="2520" w:type="dxa"/>
            <w:vAlign w:val="bottom"/>
            <w:shd w:val="clear" w:color="auto" w:fill="BECFDE"/>
          </w:tcPr>
          <w:p>
            <w:pPr>
              <w:spacing w:after="0"/>
              <w:rPr>
                <w:sz w:val="7"/>
                <w:szCs w:val="7"/>
                <w:color w:val="auto"/>
              </w:rPr>
            </w:pPr>
          </w:p>
        </w:tc>
        <w:tc>
          <w:tcPr>
            <w:tcW w:w="5060" w:type="dxa"/>
            <w:vAlign w:val="bottom"/>
            <w:vMerge w:val="restart"/>
            <w:shd w:val="clear" w:color="auto" w:fill="BECFDE"/>
          </w:tcPr>
          <w:p>
            <w:pPr>
              <w:jc w:val="center"/>
              <w:ind w:left="1248"/>
              <w:spacing w:after="0"/>
              <w:rPr>
                <w:sz w:val="20"/>
                <w:szCs w:val="20"/>
                <w:color w:val="auto"/>
              </w:rPr>
            </w:pPr>
            <w:r>
              <w:rPr>
                <w:rFonts w:ascii="Arial" w:cs="Arial" w:eastAsia="Arial" w:hAnsi="Arial"/>
                <w:sz w:val="14"/>
                <w:szCs w:val="14"/>
                <w:color w:val="auto"/>
              </w:rPr>
              <w:t>less than 45</w:t>
            </w:r>
          </w:p>
        </w:tc>
        <w:tc>
          <w:tcPr>
            <w:tcW w:w="3440" w:type="dxa"/>
            <w:vAlign w:val="bottom"/>
            <w:vMerge w:val="continue"/>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20" w:type="dxa"/>
            <w:vAlign w:val="bottom"/>
            <w:shd w:val="clear" w:color="auto" w:fill="BECFDE"/>
          </w:tcPr>
          <w:p>
            <w:pPr>
              <w:spacing w:after="0"/>
              <w:rPr>
                <w:sz w:val="7"/>
                <w:szCs w:val="7"/>
                <w:color w:val="auto"/>
              </w:rPr>
            </w:pPr>
          </w:p>
        </w:tc>
        <w:tc>
          <w:tcPr>
            <w:tcW w:w="5060" w:type="dxa"/>
            <w:vAlign w:val="bottom"/>
            <w:vMerge w:val="continue"/>
            <w:shd w:val="clear" w:color="auto" w:fill="BECFDE"/>
          </w:tcPr>
          <w:p>
            <w:pPr>
              <w:spacing w:after="0"/>
              <w:rPr>
                <w:sz w:val="7"/>
                <w:szCs w:val="7"/>
                <w:color w:val="auto"/>
              </w:rPr>
            </w:pPr>
          </w:p>
        </w:tc>
        <w:tc>
          <w:tcPr>
            <w:tcW w:w="3440" w:type="dxa"/>
            <w:vAlign w:val="bottom"/>
            <w:shd w:val="clear" w:color="auto" w:fill="BECFD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520" w:type="dxa"/>
            <w:vAlign w:val="bottom"/>
            <w:shd w:val="clear" w:color="auto" w:fill="BECFDE"/>
          </w:tcPr>
          <w:p>
            <w:pPr>
              <w:spacing w:after="0"/>
              <w:rPr>
                <w:sz w:val="5"/>
                <w:szCs w:val="5"/>
                <w:color w:val="auto"/>
              </w:rPr>
            </w:pPr>
          </w:p>
        </w:tc>
        <w:tc>
          <w:tcPr>
            <w:tcW w:w="5060" w:type="dxa"/>
            <w:vAlign w:val="bottom"/>
            <w:shd w:val="clear" w:color="auto" w:fill="BECFDE"/>
          </w:tcPr>
          <w:p>
            <w:pPr>
              <w:spacing w:after="0"/>
              <w:rPr>
                <w:sz w:val="5"/>
                <w:szCs w:val="5"/>
                <w:color w:val="auto"/>
              </w:rPr>
            </w:pPr>
          </w:p>
        </w:tc>
        <w:tc>
          <w:tcPr>
            <w:tcW w:w="3440" w:type="dxa"/>
            <w:vAlign w:val="bottom"/>
            <w:shd w:val="clear" w:color="auto" w:fill="BECFDE"/>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ectPr>
          <w:pgSz w:w="11900" w:h="16838" w:orient="portrait"/>
          <w:cols w:equalWidth="0" w:num="1">
            <w:col w:w="11240"/>
          </w:cols>
          <w:pgMar w:left="240" w:top="459" w:right="419" w:bottom="1440" w:gutter="0" w:footer="0" w:header="0"/>
        </w:sectPr>
      </w:pPr>
    </w:p>
    <w:p>
      <w:pPr>
        <w:ind w:left="240"/>
        <w:spacing w:after="0"/>
        <w:rPr>
          <w:sz w:val="20"/>
          <w:szCs w:val="20"/>
          <w:color w:val="auto"/>
        </w:rPr>
      </w:pPr>
      <w:r>
        <w:rPr>
          <w:rFonts w:ascii="Arial" w:cs="Arial" w:eastAsia="Arial" w:hAnsi="Arial"/>
          <w:sz w:val="14"/>
          <w:szCs w:val="14"/>
          <w:color w:val="auto"/>
        </w:rPr>
        <w:t>Final Average Pay</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Eligible Pay</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Normal Retirement</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Early Retirement</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Early Retirement Reduction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Reductions From Other Plans</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Arial" w:cs="Arial" w:eastAsia="Arial" w:hAnsi="Arial"/>
          <w:sz w:val="14"/>
          <w:szCs w:val="14"/>
          <w:color w:val="auto"/>
        </w:rPr>
        <w:t>Average of highest 3 years of Eligible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6350</wp:posOffset>
            </wp:positionV>
            <wp:extent cx="6997700" cy="3689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7700" cy="368935"/>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Salary and bonus (including amounts above Internal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Revenue Code limits and amounts deferred)</w:t>
      </w: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6350</wp:posOffset>
            </wp:positionV>
            <wp:extent cx="6997700" cy="2660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7700" cy="266065"/>
                    </a:xfrm>
                    <a:prstGeom prst="rect">
                      <a:avLst/>
                    </a:prstGeom>
                    <a:noFill/>
                  </pic:spPr>
                </pic:pic>
              </a:graphicData>
            </a:graphic>
          </wp:anchor>
        </w:drawing>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Age 55 with 10 years of service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Benefits are reduced for commencement prior to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earlier of age 65 or 85 points (age +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14605</wp:posOffset>
            </wp:positionV>
            <wp:extent cx="699770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Reduced by any other Company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6350</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4"/>
          <w:szCs w:val="14"/>
          <w:color w:val="auto"/>
        </w:rPr>
        <w:t>Average of highest 5 years of Eligible Pay</w:t>
      </w:r>
    </w:p>
    <w:p>
      <w:pPr>
        <w:spacing w:after="0" w:line="55" w:lineRule="exact"/>
        <w:rPr>
          <w:sz w:val="20"/>
          <w:szCs w:val="20"/>
          <w:color w:val="auto"/>
        </w:rPr>
      </w:pPr>
    </w:p>
    <w:p>
      <w:pPr>
        <w:jc w:val="center"/>
        <w:ind w:right="140"/>
        <w:spacing w:after="0" w:line="250" w:lineRule="auto"/>
        <w:rPr>
          <w:sz w:val="20"/>
          <w:szCs w:val="20"/>
          <w:color w:val="auto"/>
        </w:rPr>
      </w:pPr>
      <w:r>
        <w:rPr>
          <w:rFonts w:ascii="Arial" w:cs="Arial" w:eastAsia="Arial" w:hAnsi="Arial"/>
          <w:sz w:val="14"/>
          <w:szCs w:val="14"/>
          <w:color w:val="auto"/>
        </w:rPr>
        <w:t>Salary and bonus averaged separately (including amounts above Internal Revenue Code limits and amounts deferred)</w:t>
      </w:r>
    </w:p>
    <w:p>
      <w:pPr>
        <w:spacing w:after="0" w:line="118"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Age 65</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Age 58 with 30 years of service or</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Age 60 with 10 years of service</w:t>
      </w:r>
    </w:p>
    <w:p>
      <w:pPr>
        <w:spacing w:after="0" w:line="55" w:lineRule="exact"/>
        <w:rPr>
          <w:sz w:val="20"/>
          <w:szCs w:val="20"/>
          <w:color w:val="auto"/>
        </w:rPr>
      </w:pPr>
    </w:p>
    <w:p>
      <w:pPr>
        <w:ind w:left="820"/>
        <w:spacing w:after="0"/>
        <w:rPr>
          <w:sz w:val="20"/>
          <w:szCs w:val="20"/>
          <w:color w:val="auto"/>
        </w:rPr>
      </w:pPr>
      <w:r>
        <w:rPr>
          <w:rFonts w:ascii="Arial" w:cs="Arial" w:eastAsia="Arial" w:hAnsi="Arial"/>
          <w:sz w:val="14"/>
          <w:szCs w:val="14"/>
          <w:color w:val="auto"/>
        </w:rPr>
        <w:t>Benefits are reduced for</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commencement prior to age 60</w:t>
      </w:r>
    </w:p>
    <w:p>
      <w:pPr>
        <w:spacing w:after="0" w:line="82"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Reduced by ES Subplan and ERISA 2 benefits</w:t>
      </w:r>
    </w:p>
    <w:p>
      <w:pPr>
        <w:spacing w:after="0" w:line="144" w:lineRule="exact"/>
        <w:rPr>
          <w:sz w:val="20"/>
          <w:szCs w:val="20"/>
          <w:color w:val="auto"/>
        </w:rPr>
      </w:pPr>
    </w:p>
    <w:p>
      <w:pPr>
        <w:sectPr>
          <w:pgSz w:w="11900" w:h="16838" w:orient="portrait"/>
          <w:cols w:equalWidth="0" w:num="3">
            <w:col w:w="3560" w:space="720"/>
            <w:col w:w="3320" w:space="340"/>
            <w:col w:w="3300"/>
          </w:cols>
          <w:pgMar w:left="240" w:top="459" w:right="419" w:bottom="1440" w:gutter="0" w:footer="0" w:header="0"/>
          <w:type w:val="continuous"/>
        </w:sectPr>
      </w:pPr>
    </w:p>
    <w:p>
      <w:pPr>
        <w:ind w:left="640" w:right="240" w:hanging="436"/>
        <w:spacing w:after="0" w:line="246"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Ms. Warden participates in OSERP II, which mirrors the benefits provided under the Cash Balance Formula, ERISA 2 and OSERP provisions described above.</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Information on Executives Eligible for Early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NEOs were eligible for early retirement as of December 31, 2017:</w:t>
      </w:r>
    </w:p>
    <w:p>
      <w:pPr>
        <w:spacing w:after="0" w:line="117" w:lineRule="exact"/>
        <w:rPr>
          <w:sz w:val="20"/>
          <w:szCs w:val="20"/>
          <w:color w:val="auto"/>
        </w:rPr>
      </w:pPr>
    </w:p>
    <w:p>
      <w:pPr>
        <w:ind w:left="520" w:right="380" w:hanging="316"/>
        <w:spacing w:after="0" w:line="246" w:lineRule="auto"/>
        <w:tabs>
          <w:tab w:leader="none" w:pos="520" w:val="left"/>
        </w:tabs>
        <w:numPr>
          <w:ilvl w:val="0"/>
          <w:numId w:val="108"/>
        </w:numPr>
        <w:rPr>
          <w:rFonts w:ascii="Arial" w:cs="Arial" w:eastAsia="Arial" w:hAnsi="Arial"/>
          <w:sz w:val="18"/>
          <w:szCs w:val="18"/>
          <w:color w:val="276092"/>
        </w:rPr>
      </w:pPr>
      <w:r>
        <w:rPr>
          <w:rFonts w:ascii="Arial" w:cs="Arial" w:eastAsia="Arial" w:hAnsi="Arial"/>
          <w:sz w:val="18"/>
          <w:szCs w:val="18"/>
          <w:color w:val="auto"/>
        </w:rPr>
        <w:t>If Mr. Bush had retired on December 31, 2017, he would have been eligible to receive an estimated total annual pension benefit of $2,408,678 (commencing January 1, 2018) plus a supplemental benefit payable from retirement to age 62 of $5,437.</w:t>
      </w:r>
    </w:p>
    <w:p>
      <w:pPr>
        <w:spacing w:after="0" w:line="102" w:lineRule="exact"/>
        <w:rPr>
          <w:rFonts w:ascii="Arial" w:cs="Arial" w:eastAsia="Arial" w:hAnsi="Arial"/>
          <w:sz w:val="18"/>
          <w:szCs w:val="18"/>
          <w:color w:val="276092"/>
        </w:rPr>
      </w:pPr>
    </w:p>
    <w:p>
      <w:pPr>
        <w:ind w:left="520" w:right="40" w:hanging="316"/>
        <w:spacing w:after="0" w:line="246" w:lineRule="auto"/>
        <w:tabs>
          <w:tab w:leader="none" w:pos="520" w:val="left"/>
        </w:tabs>
        <w:numPr>
          <w:ilvl w:val="0"/>
          <w:numId w:val="108"/>
        </w:numPr>
        <w:rPr>
          <w:rFonts w:ascii="Arial" w:cs="Arial" w:eastAsia="Arial" w:hAnsi="Arial"/>
          <w:sz w:val="18"/>
          <w:szCs w:val="18"/>
          <w:color w:val="276092"/>
        </w:rPr>
      </w:pPr>
      <w:r>
        <w:rPr>
          <w:rFonts w:ascii="Arial" w:cs="Arial" w:eastAsia="Arial" w:hAnsi="Arial"/>
          <w:sz w:val="18"/>
          <w:szCs w:val="18"/>
          <w:color w:val="auto"/>
        </w:rPr>
        <w:t>Ms. Flach retired on December 31, 2017. Her total annual pension benefit is $790,646 (based on a commencement date of January 1, 2018) plus a supplemental benefit payable from retirement to age 62 of $3,152.</w:t>
      </w:r>
    </w:p>
    <w:p>
      <w:pPr>
        <w:spacing w:after="0" w:line="102" w:lineRule="exact"/>
        <w:rPr>
          <w:rFonts w:ascii="Arial" w:cs="Arial" w:eastAsia="Arial" w:hAnsi="Arial"/>
          <w:sz w:val="18"/>
          <w:szCs w:val="18"/>
          <w:color w:val="276092"/>
        </w:rPr>
      </w:pPr>
    </w:p>
    <w:p>
      <w:pPr>
        <w:ind w:left="520" w:right="200" w:hanging="316"/>
        <w:spacing w:after="0" w:line="246" w:lineRule="auto"/>
        <w:tabs>
          <w:tab w:leader="none" w:pos="520" w:val="left"/>
        </w:tabs>
        <w:numPr>
          <w:ilvl w:val="0"/>
          <w:numId w:val="108"/>
        </w:numPr>
        <w:rPr>
          <w:rFonts w:ascii="Arial" w:cs="Arial" w:eastAsia="Arial" w:hAnsi="Arial"/>
          <w:sz w:val="18"/>
          <w:szCs w:val="18"/>
          <w:color w:val="276092"/>
        </w:rPr>
      </w:pPr>
      <w:r>
        <w:rPr>
          <w:rFonts w:ascii="Arial" w:cs="Arial" w:eastAsia="Arial" w:hAnsi="Arial"/>
          <w:sz w:val="18"/>
          <w:szCs w:val="18"/>
          <w:color w:val="auto"/>
        </w:rPr>
        <w:t>If Mr. Pamiljans had retired on December 31, 2017, he would have been eligible to receive an estimated total annual pension benefit of $335,297 (commencing January 1, 2018).</w:t>
      </w:r>
    </w:p>
    <w:p>
      <w:pPr>
        <w:spacing w:after="0" w:line="12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59</w:t>
      </w:r>
    </w:p>
    <w:p>
      <w:pPr>
        <w:sectPr>
          <w:pgSz w:w="11900" w:h="16838" w:orient="portrait"/>
          <w:cols w:equalWidth="0" w:num="1">
            <w:col w:w="11240"/>
          </w:cols>
          <w:pgMar w:left="240" w:top="459" w:right="41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COMPENSATION TABLES | N</w:t>
      </w:r>
      <w:r>
        <w:rPr>
          <w:rFonts w:ascii="Arial" w:cs="Arial" w:eastAsia="Arial" w:hAnsi="Arial"/>
          <w:sz w:val="18"/>
          <w:szCs w:val="18"/>
          <w:b w:val="1"/>
          <w:bCs w:val="1"/>
          <w:color w:val="FFFFFF"/>
        </w:rPr>
        <w:t>ONQUALIFIED</w:t>
      </w:r>
      <w:r>
        <w:rPr>
          <w:rFonts w:ascii="Arial" w:cs="Arial" w:eastAsia="Arial" w:hAnsi="Arial"/>
          <w:sz w:val="22"/>
          <w:szCs w:val="22"/>
          <w:b w:val="1"/>
          <w:bCs w:val="1"/>
          <w:color w:val="FFFFFF"/>
        </w:rPr>
        <w:t xml:space="preserve"> D</w:t>
      </w:r>
      <w:r>
        <w:rPr>
          <w:rFonts w:ascii="Arial" w:cs="Arial" w:eastAsia="Arial" w:hAnsi="Arial"/>
          <w:sz w:val="18"/>
          <w:szCs w:val="18"/>
          <w:b w:val="1"/>
          <w:bCs w:val="1"/>
          <w:color w:val="FFFFFF"/>
        </w:rPr>
        <w:t>EFERRED</w:t>
      </w:r>
      <w:r>
        <w:rPr>
          <w:rFonts w:ascii="Arial" w:cs="Arial" w:eastAsia="Arial" w:hAnsi="Arial"/>
          <w:sz w:val="22"/>
          <w:szCs w:val="22"/>
          <w:b w:val="1"/>
          <w:bCs w:val="1"/>
          <w:color w:val="FFFFFF"/>
        </w:rPr>
        <w:t xml:space="preserve"> C</w:t>
      </w:r>
      <w:r>
        <w:rPr>
          <w:rFonts w:ascii="Arial" w:cs="Arial" w:eastAsia="Arial" w:hAnsi="Arial"/>
          <w:sz w:val="18"/>
          <w:szCs w:val="18"/>
          <w:b w:val="1"/>
          <w:bCs w:val="1"/>
          <w:color w:val="FFFFFF"/>
        </w:rPr>
        <w:t>OMPENSATION</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Nonqualified Deferred Compensation</w:t>
      </w:r>
    </w:p>
    <w:p>
      <w:pPr>
        <w:spacing w:after="0" w:line="27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160" w:type="dxa"/>
            <w:vAlign w:val="bottom"/>
            <w:shd w:val="clear" w:color="auto" w:fill="276092"/>
          </w:tcPr>
          <w:p>
            <w:pPr>
              <w:spacing w:after="0"/>
              <w:rPr>
                <w:sz w:val="14"/>
                <w:szCs w:val="14"/>
                <w:color w:val="auto"/>
              </w:rPr>
            </w:pPr>
          </w:p>
        </w:tc>
        <w:tc>
          <w:tcPr>
            <w:tcW w:w="166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Executive</w:t>
            </w:r>
          </w:p>
        </w:tc>
        <w:tc>
          <w:tcPr>
            <w:tcW w:w="10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Registrant</w:t>
            </w:r>
          </w:p>
        </w:tc>
        <w:tc>
          <w:tcPr>
            <w:tcW w:w="10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Aggregate</w:t>
            </w:r>
          </w:p>
        </w:tc>
        <w:tc>
          <w:tcPr>
            <w:tcW w:w="10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Aggregate</w:t>
            </w:r>
          </w:p>
        </w:tc>
        <w:tc>
          <w:tcPr>
            <w:tcW w:w="1020" w:type="dxa"/>
            <w:vAlign w:val="bottom"/>
            <w:shd w:val="clear" w:color="auto" w:fill="276092"/>
          </w:tcPr>
          <w:p>
            <w:pPr>
              <w:jc w:val="center"/>
              <w:ind w:right="28"/>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62"/>
        </w:trPr>
        <w:tc>
          <w:tcPr>
            <w:tcW w:w="4160" w:type="dxa"/>
            <w:vAlign w:val="bottom"/>
            <w:shd w:val="clear" w:color="auto" w:fill="276092"/>
          </w:tcPr>
          <w:p>
            <w:pPr>
              <w:spacing w:after="0"/>
              <w:rPr>
                <w:sz w:val="14"/>
                <w:szCs w:val="14"/>
                <w:color w:val="auto"/>
              </w:rPr>
            </w:pPr>
          </w:p>
        </w:tc>
        <w:tc>
          <w:tcPr>
            <w:tcW w:w="166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Contributions</w:t>
            </w:r>
          </w:p>
        </w:tc>
        <w:tc>
          <w:tcPr>
            <w:tcW w:w="10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Contributions</w:t>
            </w:r>
          </w:p>
        </w:tc>
        <w:tc>
          <w:tcPr>
            <w:tcW w:w="10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Earnings</w:t>
            </w:r>
          </w:p>
        </w:tc>
        <w:tc>
          <w:tcPr>
            <w:tcW w:w="10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Withdrawals/</w:t>
            </w:r>
          </w:p>
        </w:tc>
        <w:tc>
          <w:tcPr>
            <w:tcW w:w="1020" w:type="dxa"/>
            <w:vAlign w:val="bottom"/>
            <w:shd w:val="clear" w:color="auto" w:fill="276092"/>
          </w:tcPr>
          <w:p>
            <w:pPr>
              <w:jc w:val="center"/>
              <w:ind w:right="28"/>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62"/>
        </w:trPr>
        <w:tc>
          <w:tcPr>
            <w:tcW w:w="4160" w:type="dxa"/>
            <w:vAlign w:val="bottom"/>
            <w:shd w:val="clear" w:color="auto" w:fill="276092"/>
          </w:tcPr>
          <w:p>
            <w:pPr>
              <w:spacing w:after="0"/>
              <w:rPr>
                <w:sz w:val="14"/>
                <w:szCs w:val="14"/>
                <w:color w:val="auto"/>
              </w:rPr>
            </w:pPr>
          </w:p>
        </w:tc>
        <w:tc>
          <w:tcPr>
            <w:tcW w:w="1660" w:type="dxa"/>
            <w:vAlign w:val="bottom"/>
            <w:shd w:val="clear" w:color="auto" w:fill="276092"/>
          </w:tcPr>
          <w:p>
            <w:pPr>
              <w:spacing w:after="0"/>
              <w:rPr>
                <w:sz w:val="14"/>
                <w:szCs w:val="14"/>
                <w:color w:val="auto"/>
              </w:rPr>
            </w:pP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 Last FY (1)</w:t>
            </w:r>
          </w:p>
        </w:tc>
        <w:tc>
          <w:tcPr>
            <w:tcW w:w="10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 Last FY (2)</w:t>
            </w:r>
          </w:p>
        </w:tc>
        <w:tc>
          <w:tcPr>
            <w:tcW w:w="10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 Last FY (3)</w:t>
            </w:r>
          </w:p>
        </w:tc>
        <w:tc>
          <w:tcPr>
            <w:tcW w:w="10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Distributions</w:t>
            </w:r>
          </w:p>
        </w:tc>
        <w:tc>
          <w:tcPr>
            <w:tcW w:w="1020" w:type="dxa"/>
            <w:vAlign w:val="bottom"/>
            <w:shd w:val="clear" w:color="auto" w:fill="276092"/>
          </w:tcPr>
          <w:p>
            <w:pPr>
              <w:jc w:val="center"/>
              <w:ind w:right="28"/>
              <w:spacing w:after="0"/>
              <w:rPr>
                <w:sz w:val="20"/>
                <w:szCs w:val="20"/>
                <w:color w:val="auto"/>
              </w:rPr>
            </w:pPr>
            <w:r>
              <w:rPr>
                <w:rFonts w:ascii="Arial" w:cs="Arial" w:eastAsia="Arial" w:hAnsi="Arial"/>
                <w:sz w:val="14"/>
                <w:szCs w:val="14"/>
                <w:b w:val="1"/>
                <w:bCs w:val="1"/>
                <w:color w:val="FFFFFF"/>
              </w:rPr>
              <w:t>Last FYE (4)</w:t>
            </w:r>
          </w:p>
        </w:tc>
        <w:tc>
          <w:tcPr>
            <w:tcW w:w="0" w:type="dxa"/>
            <w:vAlign w:val="bottom"/>
          </w:tcPr>
          <w:p>
            <w:pPr>
              <w:spacing w:after="0"/>
              <w:rPr>
                <w:sz w:val="1"/>
                <w:szCs w:val="1"/>
                <w:color w:val="auto"/>
              </w:rPr>
            </w:pPr>
          </w:p>
        </w:tc>
      </w:tr>
      <w:tr>
        <w:trPr>
          <w:trHeight w:val="189"/>
        </w:trPr>
        <w:tc>
          <w:tcPr>
            <w:tcW w:w="416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276092"/>
          </w:tcPr>
          <w:p>
            <w:pPr>
              <w:ind w:left="420"/>
              <w:spacing w:after="0"/>
              <w:rPr>
                <w:sz w:val="20"/>
                <w:szCs w:val="20"/>
                <w:color w:val="auto"/>
              </w:rPr>
            </w:pPr>
            <w:r>
              <w:rPr>
                <w:rFonts w:ascii="Arial" w:cs="Arial" w:eastAsia="Arial" w:hAnsi="Arial"/>
                <w:sz w:val="14"/>
                <w:szCs w:val="14"/>
                <w:b w:val="1"/>
                <w:bCs w:val="1"/>
                <w:color w:val="FFFFFF"/>
              </w:rPr>
              <w:t>Plan Name</w:t>
            </w:r>
          </w:p>
        </w:tc>
        <w:tc>
          <w:tcPr>
            <w:tcW w:w="11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276092"/>
          </w:tcPr>
          <w:p>
            <w:pPr>
              <w:jc w:val="center"/>
              <w:ind w:righ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660" w:type="dxa"/>
            <w:vAlign w:val="bottom"/>
            <w:shd w:val="clear" w:color="auto" w:fill="BECFDE"/>
          </w:tcPr>
          <w:p>
            <w:pPr>
              <w:ind w:left="20"/>
              <w:spacing w:after="0"/>
              <w:rPr>
                <w:sz w:val="20"/>
                <w:szCs w:val="20"/>
                <w:color w:val="auto"/>
              </w:rPr>
            </w:pPr>
            <w:r>
              <w:rPr>
                <w:rFonts w:ascii="Arial" w:cs="Arial" w:eastAsia="Arial" w:hAnsi="Arial"/>
                <w:sz w:val="14"/>
                <w:szCs w:val="14"/>
                <w:color w:val="auto"/>
              </w:rPr>
              <w:t>Deferred Compensation</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456,102</w:t>
            </w:r>
          </w:p>
        </w:tc>
        <w:tc>
          <w:tcPr>
            <w:tcW w:w="100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3,116,783</w:t>
            </w:r>
          </w:p>
        </w:tc>
        <w:tc>
          <w:tcPr>
            <w:tcW w:w="0" w:type="dxa"/>
            <w:vAlign w:val="bottom"/>
          </w:tcPr>
          <w:p>
            <w:pPr>
              <w:spacing w:after="0"/>
              <w:rPr>
                <w:sz w:val="1"/>
                <w:szCs w:val="1"/>
                <w:color w:val="auto"/>
              </w:rPr>
            </w:pPr>
          </w:p>
        </w:tc>
      </w:tr>
      <w:tr>
        <w:trPr>
          <w:trHeight w:val="197"/>
        </w:trPr>
        <w:tc>
          <w:tcPr>
            <w:tcW w:w="4160" w:type="dxa"/>
            <w:vAlign w:val="bottom"/>
          </w:tcPr>
          <w:p>
            <w:pPr>
              <w:ind w:left="80"/>
              <w:spacing w:after="0"/>
              <w:rPr>
                <w:sz w:val="20"/>
                <w:szCs w:val="20"/>
                <w:color w:val="auto"/>
              </w:rPr>
            </w:pPr>
            <w:r>
              <w:rPr>
                <w:rFonts w:ascii="Arial" w:cs="Arial" w:eastAsia="Arial" w:hAnsi="Arial"/>
                <w:sz w:val="14"/>
                <w:szCs w:val="14"/>
                <w:color w:val="auto"/>
              </w:rPr>
              <w:t>Wesley G. Bush</w:t>
            </w:r>
          </w:p>
        </w:tc>
        <w:tc>
          <w:tcPr>
            <w:tcW w:w="16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100" w:type="dxa"/>
            <w:vAlign w:val="bottom"/>
          </w:tcPr>
          <w:p>
            <w:pPr>
              <w:jc w:val="center"/>
              <w:spacing w:after="0"/>
              <w:rPr>
                <w:sz w:val="20"/>
                <w:szCs w:val="20"/>
                <w:color w:val="auto"/>
              </w:rPr>
            </w:pPr>
            <w:r>
              <w:rPr>
                <w:rFonts w:ascii="Arial" w:cs="Arial" w:eastAsia="Arial" w:hAnsi="Arial"/>
                <w:sz w:val="14"/>
                <w:szCs w:val="14"/>
                <w:color w:val="auto"/>
              </w:rPr>
              <w:t>454,798</w:t>
            </w:r>
          </w:p>
        </w:tc>
        <w:tc>
          <w:tcPr>
            <w:tcW w:w="1060" w:type="dxa"/>
            <w:vAlign w:val="bottom"/>
          </w:tcPr>
          <w:p>
            <w:pPr>
              <w:jc w:val="center"/>
              <w:spacing w:after="0"/>
              <w:rPr>
                <w:sz w:val="20"/>
                <w:szCs w:val="20"/>
                <w:color w:val="auto"/>
              </w:rPr>
            </w:pPr>
            <w:r>
              <w:rPr>
                <w:rFonts w:ascii="Arial" w:cs="Arial" w:eastAsia="Arial" w:hAnsi="Arial"/>
                <w:sz w:val="14"/>
                <w:szCs w:val="14"/>
                <w:color w:val="auto"/>
              </w:rPr>
              <w:t>227,399</w:t>
            </w:r>
          </w:p>
        </w:tc>
        <w:tc>
          <w:tcPr>
            <w:tcW w:w="1020" w:type="dxa"/>
            <w:vAlign w:val="bottom"/>
          </w:tcPr>
          <w:p>
            <w:pPr>
              <w:jc w:val="center"/>
              <w:spacing w:after="0"/>
              <w:rPr>
                <w:sz w:val="20"/>
                <w:szCs w:val="20"/>
                <w:color w:val="auto"/>
              </w:rPr>
            </w:pPr>
            <w:r>
              <w:rPr>
                <w:rFonts w:ascii="Arial" w:cs="Arial" w:eastAsia="Arial" w:hAnsi="Arial"/>
                <w:sz w:val="14"/>
                <w:szCs w:val="14"/>
                <w:color w:val="auto"/>
              </w:rPr>
              <w:t>1,347,609</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10,556,370</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276092"/>
            </w:tcBorders>
          </w:tcPr>
          <w:p>
            <w:pPr>
              <w:spacing w:after="0"/>
              <w:rPr>
                <w:sz w:val="17"/>
                <w:szCs w:val="17"/>
                <w:color w:val="auto"/>
              </w:rPr>
            </w:pPr>
          </w:p>
        </w:tc>
        <w:tc>
          <w:tcPr>
            <w:tcW w:w="1660" w:type="dxa"/>
            <w:vAlign w:val="bottom"/>
            <w:tcBorders>
              <w:bottom w:val="single" w:sz="8" w:color="276092"/>
            </w:tcBorders>
            <w:shd w:val="clear" w:color="auto" w:fill="BECFDE"/>
          </w:tcPr>
          <w:p>
            <w:pPr>
              <w:ind w:left="20"/>
              <w:spacing w:after="0"/>
              <w:rPr>
                <w:sz w:val="20"/>
                <w:szCs w:val="20"/>
                <w:color w:val="auto"/>
              </w:rPr>
            </w:pPr>
            <w:r>
              <w:rPr>
                <w:rFonts w:ascii="Arial" w:cs="Arial" w:eastAsia="Arial" w:hAnsi="Arial"/>
                <w:sz w:val="14"/>
                <w:szCs w:val="14"/>
                <w:color w:val="auto"/>
              </w:rPr>
              <w:t>ORAC</w:t>
            </w:r>
          </w:p>
        </w:tc>
        <w:tc>
          <w:tcPr>
            <w:tcW w:w="11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238,199</w:t>
            </w:r>
          </w:p>
        </w:tc>
        <w:tc>
          <w:tcPr>
            <w:tcW w:w="10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76,026</w:t>
            </w:r>
          </w:p>
        </w:tc>
        <w:tc>
          <w:tcPr>
            <w:tcW w:w="10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726,221</w:t>
            </w:r>
          </w:p>
        </w:tc>
        <w:tc>
          <w:tcPr>
            <w:tcW w:w="0" w:type="dxa"/>
            <w:vAlign w:val="bottom"/>
          </w:tcPr>
          <w:p>
            <w:pPr>
              <w:spacing w:after="0"/>
              <w:rPr>
                <w:sz w:val="1"/>
                <w:szCs w:val="1"/>
                <w:color w:val="auto"/>
              </w:rPr>
            </w:pPr>
          </w:p>
        </w:tc>
      </w:tr>
      <w:tr>
        <w:trPr>
          <w:trHeight w:val="196"/>
        </w:trPr>
        <w:tc>
          <w:tcPr>
            <w:tcW w:w="4160" w:type="dxa"/>
            <w:vAlign w:val="bottom"/>
            <w:vMerge w:val="restart"/>
          </w:tcPr>
          <w:p>
            <w:pPr>
              <w:ind w:left="80"/>
              <w:spacing w:after="0"/>
              <w:rPr>
                <w:sz w:val="20"/>
                <w:szCs w:val="20"/>
                <w:color w:val="auto"/>
              </w:rPr>
            </w:pPr>
            <w:r>
              <w:rPr>
                <w:rFonts w:ascii="Arial" w:cs="Arial" w:eastAsia="Arial" w:hAnsi="Arial"/>
                <w:sz w:val="14"/>
                <w:szCs w:val="14"/>
                <w:color w:val="auto"/>
              </w:rPr>
              <w:t>Kenneth L. Bedingfield</w:t>
            </w:r>
          </w:p>
        </w:tc>
        <w:tc>
          <w:tcPr>
            <w:tcW w:w="16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100" w:type="dxa"/>
            <w:vAlign w:val="bottom"/>
          </w:tcPr>
          <w:p>
            <w:pPr>
              <w:jc w:val="center"/>
              <w:spacing w:after="0"/>
              <w:rPr>
                <w:sz w:val="20"/>
                <w:szCs w:val="20"/>
                <w:color w:val="auto"/>
              </w:rPr>
            </w:pPr>
            <w:r>
              <w:rPr>
                <w:rFonts w:ascii="Arial" w:cs="Arial" w:eastAsia="Arial" w:hAnsi="Arial"/>
                <w:sz w:val="14"/>
                <w:szCs w:val="14"/>
                <w:color w:val="auto"/>
              </w:rPr>
              <w:t>140,175</w:t>
            </w:r>
          </w:p>
        </w:tc>
        <w:tc>
          <w:tcPr>
            <w:tcW w:w="1060" w:type="dxa"/>
            <w:vAlign w:val="bottom"/>
          </w:tcPr>
          <w:p>
            <w:pPr>
              <w:jc w:val="center"/>
              <w:spacing w:after="0"/>
              <w:rPr>
                <w:sz w:val="20"/>
                <w:szCs w:val="20"/>
                <w:color w:val="auto"/>
              </w:rPr>
            </w:pPr>
            <w:r>
              <w:rPr>
                <w:rFonts w:ascii="Arial" w:cs="Arial" w:eastAsia="Arial" w:hAnsi="Arial"/>
                <w:sz w:val="14"/>
                <w:szCs w:val="14"/>
                <w:color w:val="auto"/>
              </w:rPr>
              <w:t>140,176</w:t>
            </w:r>
          </w:p>
        </w:tc>
        <w:tc>
          <w:tcPr>
            <w:tcW w:w="1020" w:type="dxa"/>
            <w:vAlign w:val="bottom"/>
          </w:tcPr>
          <w:p>
            <w:pPr>
              <w:jc w:val="center"/>
              <w:spacing w:after="0"/>
              <w:rPr>
                <w:sz w:val="20"/>
                <w:szCs w:val="20"/>
                <w:color w:val="auto"/>
              </w:rPr>
            </w:pPr>
            <w:r>
              <w:rPr>
                <w:rFonts w:ascii="Arial" w:cs="Arial" w:eastAsia="Arial" w:hAnsi="Arial"/>
                <w:sz w:val="14"/>
                <w:szCs w:val="14"/>
                <w:color w:val="auto"/>
              </w:rPr>
              <w:t>112,895</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989,068</w:t>
            </w:r>
          </w:p>
        </w:tc>
        <w:tc>
          <w:tcPr>
            <w:tcW w:w="0" w:type="dxa"/>
            <w:vAlign w:val="bottom"/>
          </w:tcPr>
          <w:p>
            <w:pPr>
              <w:spacing w:after="0"/>
              <w:rPr>
                <w:sz w:val="1"/>
                <w:szCs w:val="1"/>
                <w:color w:val="auto"/>
              </w:rPr>
            </w:pPr>
          </w:p>
        </w:tc>
      </w:tr>
      <w:tr>
        <w:trPr>
          <w:trHeight w:val="102"/>
        </w:trPr>
        <w:tc>
          <w:tcPr>
            <w:tcW w:w="4160" w:type="dxa"/>
            <w:vAlign w:val="bottom"/>
            <w:vMerge w:val="continue"/>
          </w:tcPr>
          <w:p>
            <w:pPr>
              <w:spacing w:after="0"/>
              <w:rPr>
                <w:sz w:val="8"/>
                <w:szCs w:val="8"/>
                <w:color w:val="auto"/>
              </w:rPr>
            </w:pPr>
          </w:p>
        </w:tc>
        <w:tc>
          <w:tcPr>
            <w:tcW w:w="1660" w:type="dxa"/>
            <w:vAlign w:val="bottom"/>
            <w:vMerge w:val="restart"/>
            <w:shd w:val="clear" w:color="auto" w:fill="BECFDE"/>
          </w:tcPr>
          <w:p>
            <w:pPr>
              <w:ind w:left="20"/>
              <w:spacing w:after="0"/>
              <w:rPr>
                <w:sz w:val="20"/>
                <w:szCs w:val="20"/>
                <w:color w:val="auto"/>
              </w:rPr>
            </w:pPr>
            <w:r>
              <w:rPr>
                <w:rFonts w:ascii="Arial" w:cs="Arial" w:eastAsia="Arial" w:hAnsi="Arial"/>
                <w:sz w:val="14"/>
                <w:szCs w:val="14"/>
                <w:color w:val="auto"/>
              </w:rPr>
              <w:t>ORAC</w:t>
            </w:r>
          </w:p>
        </w:tc>
        <w:tc>
          <w:tcPr>
            <w:tcW w:w="11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80,888</w:t>
            </w:r>
          </w:p>
        </w:tc>
        <w:tc>
          <w:tcPr>
            <w:tcW w:w="10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39,528</w:t>
            </w:r>
          </w:p>
        </w:tc>
        <w:tc>
          <w:tcPr>
            <w:tcW w:w="10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335,650</w:t>
            </w:r>
          </w:p>
        </w:tc>
        <w:tc>
          <w:tcPr>
            <w:tcW w:w="0" w:type="dxa"/>
            <w:vAlign w:val="bottom"/>
          </w:tcPr>
          <w:p>
            <w:pPr>
              <w:spacing w:after="0"/>
              <w:rPr>
                <w:sz w:val="1"/>
                <w:szCs w:val="1"/>
                <w:color w:val="auto"/>
              </w:rPr>
            </w:pPr>
          </w:p>
        </w:tc>
      </w:tr>
      <w:tr>
        <w:trPr>
          <w:trHeight w:val="101"/>
        </w:trPr>
        <w:tc>
          <w:tcPr>
            <w:tcW w:w="4160" w:type="dxa"/>
            <w:vAlign w:val="bottom"/>
            <w:tcBorders>
              <w:bottom w:val="single" w:sz="8" w:color="276092"/>
            </w:tcBorders>
          </w:tcPr>
          <w:p>
            <w:pPr>
              <w:spacing w:after="0"/>
              <w:rPr>
                <w:sz w:val="8"/>
                <w:szCs w:val="8"/>
                <w:color w:val="auto"/>
              </w:rPr>
            </w:pPr>
          </w:p>
        </w:tc>
        <w:tc>
          <w:tcPr>
            <w:tcW w:w="1660" w:type="dxa"/>
            <w:vAlign w:val="bottom"/>
            <w:tcBorders>
              <w:bottom w:val="single" w:sz="8" w:color="276092"/>
            </w:tcBorders>
            <w:vMerge w:val="continue"/>
            <w:shd w:val="clear" w:color="auto" w:fill="BECFDE"/>
          </w:tcPr>
          <w:p>
            <w:pPr>
              <w:spacing w:after="0"/>
              <w:rPr>
                <w:sz w:val="8"/>
                <w:szCs w:val="8"/>
                <w:color w:val="auto"/>
              </w:rPr>
            </w:pPr>
          </w:p>
        </w:tc>
        <w:tc>
          <w:tcPr>
            <w:tcW w:w="1100" w:type="dxa"/>
            <w:vAlign w:val="bottom"/>
            <w:tcBorders>
              <w:bottom w:val="single" w:sz="8" w:color="276092"/>
            </w:tcBorders>
            <w:vMerge w:val="continue"/>
            <w:shd w:val="clear" w:color="auto" w:fill="BECFDE"/>
          </w:tcPr>
          <w:p>
            <w:pPr>
              <w:spacing w:after="0"/>
              <w:rPr>
                <w:sz w:val="8"/>
                <w:szCs w:val="8"/>
                <w:color w:val="auto"/>
              </w:rPr>
            </w:pPr>
          </w:p>
        </w:tc>
        <w:tc>
          <w:tcPr>
            <w:tcW w:w="1060" w:type="dxa"/>
            <w:vAlign w:val="bottom"/>
            <w:tcBorders>
              <w:bottom w:val="single" w:sz="8" w:color="276092"/>
            </w:tcBorders>
            <w:vMerge w:val="continue"/>
            <w:shd w:val="clear" w:color="auto" w:fill="BECFDE"/>
          </w:tcPr>
          <w:p>
            <w:pPr>
              <w:spacing w:after="0"/>
              <w:rPr>
                <w:sz w:val="8"/>
                <w:szCs w:val="8"/>
                <w:color w:val="auto"/>
              </w:rPr>
            </w:pPr>
          </w:p>
        </w:tc>
        <w:tc>
          <w:tcPr>
            <w:tcW w:w="1020" w:type="dxa"/>
            <w:vAlign w:val="bottom"/>
            <w:tcBorders>
              <w:bottom w:val="single" w:sz="8" w:color="276092"/>
            </w:tcBorders>
            <w:vMerge w:val="continue"/>
            <w:shd w:val="clear" w:color="auto" w:fill="BECFDE"/>
          </w:tcPr>
          <w:p>
            <w:pPr>
              <w:spacing w:after="0"/>
              <w:rPr>
                <w:sz w:val="8"/>
                <w:szCs w:val="8"/>
                <w:color w:val="auto"/>
              </w:rPr>
            </w:pPr>
          </w:p>
        </w:tc>
        <w:tc>
          <w:tcPr>
            <w:tcW w:w="1000" w:type="dxa"/>
            <w:vAlign w:val="bottom"/>
            <w:tcBorders>
              <w:bottom w:val="single" w:sz="8" w:color="276092"/>
            </w:tcBorders>
            <w:vMerge w:val="continue"/>
            <w:shd w:val="clear" w:color="auto" w:fill="BECFDE"/>
          </w:tcPr>
          <w:p>
            <w:pPr>
              <w:spacing w:after="0"/>
              <w:rPr>
                <w:sz w:val="8"/>
                <w:szCs w:val="8"/>
                <w:color w:val="auto"/>
              </w:rPr>
            </w:pPr>
          </w:p>
        </w:tc>
        <w:tc>
          <w:tcPr>
            <w:tcW w:w="1020" w:type="dxa"/>
            <w:vAlign w:val="bottom"/>
            <w:tcBorders>
              <w:bottom w:val="single" w:sz="8" w:color="276092"/>
            </w:tcBorders>
            <w:vMerge w:val="continue"/>
            <w:shd w:val="clear" w:color="auto" w:fill="BECFD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660" w:type="dxa"/>
            <w:vAlign w:val="bottom"/>
          </w:tcPr>
          <w:p>
            <w:pPr>
              <w:ind w:left="20"/>
              <w:spacing w:after="0"/>
              <w:rPr>
                <w:sz w:val="20"/>
                <w:szCs w:val="20"/>
                <w:color w:val="auto"/>
              </w:rPr>
            </w:pPr>
            <w:r>
              <w:rPr>
                <w:rFonts w:ascii="Arial" w:cs="Arial" w:eastAsia="Arial" w:hAnsi="Arial"/>
                <w:sz w:val="14"/>
                <w:szCs w:val="14"/>
                <w:color w:val="auto"/>
              </w:rPr>
              <w:t>Deferred Compensation</w:t>
            </w: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22,855</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996,143</w:t>
            </w:r>
          </w:p>
        </w:tc>
        <w:tc>
          <w:tcPr>
            <w:tcW w:w="0" w:type="dxa"/>
            <w:vAlign w:val="bottom"/>
          </w:tcPr>
          <w:p>
            <w:pPr>
              <w:spacing w:after="0"/>
              <w:rPr>
                <w:sz w:val="1"/>
                <w:szCs w:val="1"/>
                <w:color w:val="auto"/>
              </w:rPr>
            </w:pPr>
          </w:p>
        </w:tc>
      </w:tr>
      <w:tr>
        <w:trPr>
          <w:trHeight w:val="209"/>
        </w:trPr>
        <w:tc>
          <w:tcPr>
            <w:tcW w:w="4160" w:type="dxa"/>
            <w:vAlign w:val="bottom"/>
          </w:tcPr>
          <w:p>
            <w:pPr>
              <w:ind w:left="80"/>
              <w:spacing w:after="0"/>
              <w:rPr>
                <w:sz w:val="20"/>
                <w:szCs w:val="20"/>
                <w:color w:val="auto"/>
              </w:rPr>
            </w:pPr>
            <w:r>
              <w:rPr>
                <w:rFonts w:ascii="Arial" w:cs="Arial" w:eastAsia="Arial" w:hAnsi="Arial"/>
                <w:sz w:val="14"/>
                <w:szCs w:val="14"/>
                <w:color w:val="auto"/>
              </w:rPr>
              <w:t>Gloria A. Flach</w:t>
            </w:r>
          </w:p>
        </w:tc>
        <w:tc>
          <w:tcPr>
            <w:tcW w:w="1660" w:type="dxa"/>
            <w:vAlign w:val="bottom"/>
            <w:shd w:val="clear" w:color="auto" w:fill="BECFDE"/>
          </w:tcPr>
          <w:p>
            <w:pPr>
              <w:ind w:left="20"/>
              <w:spacing w:after="0"/>
              <w:rPr>
                <w:sz w:val="20"/>
                <w:szCs w:val="20"/>
                <w:color w:val="auto"/>
              </w:rPr>
            </w:pPr>
            <w:r>
              <w:rPr>
                <w:rFonts w:ascii="Arial" w:cs="Arial" w:eastAsia="Arial" w:hAnsi="Arial"/>
                <w:sz w:val="14"/>
                <w:szCs w:val="14"/>
                <w:color w:val="auto"/>
              </w:rPr>
              <w:t>Savings Excess</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144,729</w:t>
            </w:r>
          </w:p>
        </w:tc>
        <w:tc>
          <w:tcPr>
            <w:tcW w:w="10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73,131</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22,121</w:t>
            </w:r>
          </w:p>
        </w:tc>
        <w:tc>
          <w:tcPr>
            <w:tcW w:w="100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1,034,369</w:t>
            </w:r>
          </w:p>
        </w:tc>
        <w:tc>
          <w:tcPr>
            <w:tcW w:w="0" w:type="dxa"/>
            <w:vAlign w:val="bottom"/>
          </w:tcPr>
          <w:p>
            <w:pPr>
              <w:spacing w:after="0"/>
              <w:rPr>
                <w:sz w:val="1"/>
                <w:szCs w:val="1"/>
                <w:color w:val="auto"/>
              </w:rPr>
            </w:pPr>
          </w:p>
        </w:tc>
      </w:tr>
      <w:tr>
        <w:trPr>
          <w:trHeight w:val="197"/>
        </w:trPr>
        <w:tc>
          <w:tcPr>
            <w:tcW w:w="4160" w:type="dxa"/>
            <w:vAlign w:val="bottom"/>
            <w:tcBorders>
              <w:bottom w:val="single" w:sz="8" w:color="276092"/>
            </w:tcBorders>
          </w:tcPr>
          <w:p>
            <w:pPr>
              <w:spacing w:after="0"/>
              <w:rPr>
                <w:sz w:val="17"/>
                <w:szCs w:val="17"/>
                <w:color w:val="auto"/>
              </w:rPr>
            </w:pPr>
          </w:p>
        </w:tc>
        <w:tc>
          <w:tcPr>
            <w:tcW w:w="1660" w:type="dxa"/>
            <w:vAlign w:val="bottom"/>
            <w:tcBorders>
              <w:bottom w:val="single" w:sz="8" w:color="276092"/>
            </w:tcBorders>
          </w:tcPr>
          <w:p>
            <w:pPr>
              <w:ind w:left="20"/>
              <w:spacing w:after="0"/>
              <w:rPr>
                <w:sz w:val="20"/>
                <w:szCs w:val="20"/>
                <w:color w:val="auto"/>
              </w:rPr>
            </w:pPr>
            <w:r>
              <w:rPr>
                <w:rFonts w:ascii="Arial" w:cs="Arial" w:eastAsia="Arial" w:hAnsi="Arial"/>
                <w:sz w:val="14"/>
                <w:szCs w:val="14"/>
                <w:color w:val="auto"/>
              </w:rPr>
              <w:t>ORAC</w:t>
            </w:r>
          </w:p>
        </w:tc>
        <w:tc>
          <w:tcPr>
            <w:tcW w:w="110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83,165</w:t>
            </w:r>
          </w:p>
        </w:tc>
        <w:tc>
          <w:tcPr>
            <w:tcW w:w="102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4,891</w:t>
            </w:r>
          </w:p>
        </w:tc>
        <w:tc>
          <w:tcPr>
            <w:tcW w:w="100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237,983</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17"/>
                <w:szCs w:val="17"/>
                <w:color w:val="auto"/>
              </w:rPr>
            </w:pPr>
          </w:p>
        </w:tc>
        <w:tc>
          <w:tcPr>
            <w:tcW w:w="1660" w:type="dxa"/>
            <w:vAlign w:val="bottom"/>
            <w:shd w:val="clear" w:color="auto" w:fill="BECFDE"/>
          </w:tcPr>
          <w:p>
            <w:pPr>
              <w:ind w:left="20"/>
              <w:spacing w:after="0"/>
              <w:rPr>
                <w:sz w:val="20"/>
                <w:szCs w:val="20"/>
                <w:color w:val="auto"/>
              </w:rPr>
            </w:pPr>
            <w:r>
              <w:rPr>
                <w:rFonts w:ascii="Arial" w:cs="Arial" w:eastAsia="Arial" w:hAnsi="Arial"/>
                <w:sz w:val="14"/>
                <w:szCs w:val="14"/>
                <w:color w:val="auto"/>
              </w:rPr>
              <w:t>Deferred Compensation</w:t>
            </w:r>
          </w:p>
        </w:tc>
        <w:tc>
          <w:tcPr>
            <w:tcW w:w="110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119,983</w:t>
            </w:r>
          </w:p>
        </w:tc>
        <w:tc>
          <w:tcPr>
            <w:tcW w:w="100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954,370</w:t>
            </w:r>
          </w:p>
        </w:tc>
        <w:tc>
          <w:tcPr>
            <w:tcW w:w="0" w:type="dxa"/>
            <w:vAlign w:val="bottom"/>
          </w:tcPr>
          <w:p>
            <w:pPr>
              <w:spacing w:after="0"/>
              <w:rPr>
                <w:sz w:val="1"/>
                <w:szCs w:val="1"/>
                <w:color w:val="auto"/>
              </w:rPr>
            </w:pPr>
          </w:p>
        </w:tc>
      </w:tr>
      <w:tr>
        <w:trPr>
          <w:trHeight w:val="197"/>
        </w:trPr>
        <w:tc>
          <w:tcPr>
            <w:tcW w:w="4160" w:type="dxa"/>
            <w:vAlign w:val="bottom"/>
          </w:tcPr>
          <w:p>
            <w:pPr>
              <w:ind w:left="80"/>
              <w:spacing w:after="0"/>
              <w:rPr>
                <w:sz w:val="20"/>
                <w:szCs w:val="20"/>
                <w:color w:val="auto"/>
              </w:rPr>
            </w:pPr>
            <w:r>
              <w:rPr>
                <w:rFonts w:ascii="Arial" w:cs="Arial" w:eastAsia="Arial" w:hAnsi="Arial"/>
                <w:sz w:val="14"/>
                <w:szCs w:val="14"/>
                <w:color w:val="auto"/>
              </w:rPr>
              <w:t>Janis G. Pamiljans</w:t>
            </w:r>
          </w:p>
        </w:tc>
        <w:tc>
          <w:tcPr>
            <w:tcW w:w="16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10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347,240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1,883,791</w:t>
            </w:r>
          </w:p>
        </w:tc>
        <w:tc>
          <w:tcPr>
            <w:tcW w:w="0" w:type="dxa"/>
            <w:vAlign w:val="bottom"/>
          </w:tcPr>
          <w:p>
            <w:pPr>
              <w:spacing w:after="0"/>
              <w:rPr>
                <w:sz w:val="1"/>
                <w:szCs w:val="1"/>
                <w:color w:val="auto"/>
              </w:rPr>
            </w:pPr>
          </w:p>
        </w:tc>
      </w:tr>
      <w:tr>
        <w:trPr>
          <w:trHeight w:val="203"/>
        </w:trPr>
        <w:tc>
          <w:tcPr>
            <w:tcW w:w="4160" w:type="dxa"/>
            <w:vAlign w:val="bottom"/>
            <w:tcBorders>
              <w:bottom w:val="single" w:sz="8" w:color="276092"/>
            </w:tcBorders>
          </w:tcPr>
          <w:p>
            <w:pPr>
              <w:spacing w:after="0"/>
              <w:rPr>
                <w:sz w:val="17"/>
                <w:szCs w:val="17"/>
                <w:color w:val="auto"/>
              </w:rPr>
            </w:pPr>
          </w:p>
        </w:tc>
        <w:tc>
          <w:tcPr>
            <w:tcW w:w="1660" w:type="dxa"/>
            <w:vAlign w:val="bottom"/>
            <w:tcBorders>
              <w:bottom w:val="single" w:sz="8" w:color="276092"/>
            </w:tcBorders>
            <w:shd w:val="clear" w:color="auto" w:fill="BECFDE"/>
          </w:tcPr>
          <w:p>
            <w:pPr>
              <w:ind w:left="20"/>
              <w:spacing w:after="0"/>
              <w:rPr>
                <w:sz w:val="20"/>
                <w:szCs w:val="20"/>
                <w:color w:val="auto"/>
              </w:rPr>
            </w:pPr>
            <w:r>
              <w:rPr>
                <w:rFonts w:ascii="Arial" w:cs="Arial" w:eastAsia="Arial" w:hAnsi="Arial"/>
                <w:sz w:val="14"/>
                <w:szCs w:val="14"/>
                <w:color w:val="auto"/>
              </w:rPr>
              <w:t>ORAC</w:t>
            </w:r>
          </w:p>
        </w:tc>
        <w:tc>
          <w:tcPr>
            <w:tcW w:w="11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44,962</w:t>
            </w:r>
          </w:p>
        </w:tc>
        <w:tc>
          <w:tcPr>
            <w:tcW w:w="10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12,933</w:t>
            </w:r>
          </w:p>
        </w:tc>
        <w:tc>
          <w:tcPr>
            <w:tcW w:w="100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119,517</w:t>
            </w:r>
          </w:p>
        </w:tc>
        <w:tc>
          <w:tcPr>
            <w:tcW w:w="0" w:type="dxa"/>
            <w:vAlign w:val="bottom"/>
          </w:tcPr>
          <w:p>
            <w:pPr>
              <w:spacing w:after="0"/>
              <w:rPr>
                <w:sz w:val="1"/>
                <w:szCs w:val="1"/>
                <w:color w:val="auto"/>
              </w:rPr>
            </w:pPr>
          </w:p>
        </w:tc>
      </w:tr>
      <w:tr>
        <w:trPr>
          <w:trHeight w:val="196"/>
        </w:trPr>
        <w:tc>
          <w:tcPr>
            <w:tcW w:w="4160" w:type="dxa"/>
            <w:vAlign w:val="bottom"/>
            <w:vMerge w:val="restart"/>
          </w:tcPr>
          <w:p>
            <w:pPr>
              <w:ind w:left="80"/>
              <w:spacing w:after="0"/>
              <w:rPr>
                <w:sz w:val="20"/>
                <w:szCs w:val="20"/>
                <w:color w:val="auto"/>
              </w:rPr>
            </w:pPr>
            <w:r>
              <w:rPr>
                <w:rFonts w:ascii="Arial" w:cs="Arial" w:eastAsia="Arial" w:hAnsi="Arial"/>
                <w:sz w:val="14"/>
                <w:szCs w:val="14"/>
                <w:color w:val="auto"/>
              </w:rPr>
              <w:t>Kathy J. Warden</w:t>
            </w:r>
          </w:p>
        </w:tc>
        <w:tc>
          <w:tcPr>
            <w:tcW w:w="1660" w:type="dxa"/>
            <w:vAlign w:val="bottom"/>
          </w:tcPr>
          <w:p>
            <w:pPr>
              <w:ind w:left="20"/>
              <w:spacing w:after="0"/>
              <w:rPr>
                <w:sz w:val="20"/>
                <w:szCs w:val="20"/>
                <w:color w:val="auto"/>
              </w:rPr>
            </w:pPr>
            <w:r>
              <w:rPr>
                <w:rFonts w:ascii="Arial" w:cs="Arial" w:eastAsia="Arial" w:hAnsi="Arial"/>
                <w:sz w:val="14"/>
                <w:szCs w:val="14"/>
                <w:color w:val="auto"/>
              </w:rPr>
              <w:t>Savings Excess</w:t>
            </w:r>
          </w:p>
        </w:tc>
        <w:tc>
          <w:tcPr>
            <w:tcW w:w="1100" w:type="dxa"/>
            <w:vAlign w:val="bottom"/>
          </w:tcPr>
          <w:p>
            <w:pPr>
              <w:jc w:val="center"/>
              <w:spacing w:after="0"/>
              <w:rPr>
                <w:sz w:val="20"/>
                <w:szCs w:val="20"/>
                <w:color w:val="auto"/>
              </w:rPr>
            </w:pPr>
            <w:r>
              <w:rPr>
                <w:rFonts w:ascii="Arial" w:cs="Arial" w:eastAsia="Arial" w:hAnsi="Arial"/>
                <w:sz w:val="14"/>
                <w:szCs w:val="14"/>
                <w:color w:val="auto"/>
              </w:rPr>
              <w:t>144,729</w:t>
            </w:r>
          </w:p>
        </w:tc>
        <w:tc>
          <w:tcPr>
            <w:tcW w:w="1060" w:type="dxa"/>
            <w:vAlign w:val="bottom"/>
          </w:tcPr>
          <w:p>
            <w:pPr>
              <w:jc w:val="center"/>
              <w:spacing w:after="0"/>
              <w:rPr>
                <w:sz w:val="20"/>
                <w:szCs w:val="20"/>
                <w:color w:val="auto"/>
              </w:rPr>
            </w:pPr>
            <w:r>
              <w:rPr>
                <w:rFonts w:ascii="Arial" w:cs="Arial" w:eastAsia="Arial" w:hAnsi="Arial"/>
                <w:sz w:val="14"/>
                <w:szCs w:val="14"/>
                <w:color w:val="auto"/>
              </w:rPr>
              <w:t>72,365</w:t>
            </w:r>
          </w:p>
        </w:tc>
        <w:tc>
          <w:tcPr>
            <w:tcW w:w="1020" w:type="dxa"/>
            <w:vAlign w:val="bottom"/>
          </w:tcPr>
          <w:p>
            <w:pPr>
              <w:jc w:val="center"/>
              <w:spacing w:after="0"/>
              <w:rPr>
                <w:sz w:val="20"/>
                <w:szCs w:val="20"/>
                <w:color w:val="auto"/>
              </w:rPr>
            </w:pPr>
            <w:r>
              <w:rPr>
                <w:rFonts w:ascii="Arial" w:cs="Arial" w:eastAsia="Arial" w:hAnsi="Arial"/>
                <w:sz w:val="14"/>
                <w:szCs w:val="14"/>
                <w:color w:val="auto"/>
              </w:rPr>
              <w:t>187,589</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1,272,491</w:t>
            </w:r>
          </w:p>
        </w:tc>
        <w:tc>
          <w:tcPr>
            <w:tcW w:w="0" w:type="dxa"/>
            <w:vAlign w:val="bottom"/>
          </w:tcPr>
          <w:p>
            <w:pPr>
              <w:spacing w:after="0"/>
              <w:rPr>
                <w:sz w:val="1"/>
                <w:szCs w:val="1"/>
                <w:color w:val="auto"/>
              </w:rPr>
            </w:pPr>
          </w:p>
        </w:tc>
      </w:tr>
      <w:tr>
        <w:trPr>
          <w:trHeight w:val="102"/>
        </w:trPr>
        <w:tc>
          <w:tcPr>
            <w:tcW w:w="4160" w:type="dxa"/>
            <w:vAlign w:val="bottom"/>
            <w:vMerge w:val="continue"/>
          </w:tcPr>
          <w:p>
            <w:pPr>
              <w:spacing w:after="0"/>
              <w:rPr>
                <w:sz w:val="8"/>
                <w:szCs w:val="8"/>
                <w:color w:val="auto"/>
              </w:rPr>
            </w:pPr>
          </w:p>
        </w:tc>
        <w:tc>
          <w:tcPr>
            <w:tcW w:w="1660" w:type="dxa"/>
            <w:vAlign w:val="bottom"/>
            <w:vMerge w:val="restart"/>
            <w:shd w:val="clear" w:color="auto" w:fill="BECFDE"/>
          </w:tcPr>
          <w:p>
            <w:pPr>
              <w:ind w:left="20"/>
              <w:spacing w:after="0"/>
              <w:rPr>
                <w:sz w:val="20"/>
                <w:szCs w:val="20"/>
                <w:color w:val="auto"/>
              </w:rPr>
            </w:pPr>
            <w:r>
              <w:rPr>
                <w:rFonts w:ascii="Arial" w:cs="Arial" w:eastAsia="Arial" w:hAnsi="Arial"/>
                <w:sz w:val="14"/>
                <w:szCs w:val="14"/>
                <w:color w:val="auto"/>
              </w:rPr>
              <w:t>ORAC</w:t>
            </w:r>
          </w:p>
        </w:tc>
        <w:tc>
          <w:tcPr>
            <w:tcW w:w="11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83,165</w:t>
            </w:r>
          </w:p>
        </w:tc>
        <w:tc>
          <w:tcPr>
            <w:tcW w:w="10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38,372</w:t>
            </w:r>
          </w:p>
        </w:tc>
        <w:tc>
          <w:tcPr>
            <w:tcW w:w="100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shd w:val="clear" w:color="auto" w:fill="BECFDE"/>
          </w:tcPr>
          <w:p>
            <w:pPr>
              <w:jc w:val="center"/>
              <w:spacing w:after="0"/>
              <w:rPr>
                <w:sz w:val="20"/>
                <w:szCs w:val="20"/>
                <w:color w:val="auto"/>
              </w:rPr>
            </w:pPr>
            <w:r>
              <w:rPr>
                <w:rFonts w:ascii="Arial" w:cs="Arial" w:eastAsia="Arial" w:hAnsi="Arial"/>
                <w:sz w:val="14"/>
                <w:szCs w:val="14"/>
                <w:color w:val="auto"/>
              </w:rPr>
              <w:t>261,646</w:t>
            </w:r>
          </w:p>
        </w:tc>
        <w:tc>
          <w:tcPr>
            <w:tcW w:w="0" w:type="dxa"/>
            <w:vAlign w:val="bottom"/>
          </w:tcPr>
          <w:p>
            <w:pPr>
              <w:spacing w:after="0"/>
              <w:rPr>
                <w:sz w:val="1"/>
                <w:szCs w:val="1"/>
                <w:color w:val="auto"/>
              </w:rPr>
            </w:pPr>
          </w:p>
        </w:tc>
      </w:tr>
      <w:tr>
        <w:trPr>
          <w:trHeight w:val="101"/>
        </w:trPr>
        <w:tc>
          <w:tcPr>
            <w:tcW w:w="4160" w:type="dxa"/>
            <w:vAlign w:val="bottom"/>
            <w:tcBorders>
              <w:bottom w:val="single" w:sz="8" w:color="276092"/>
            </w:tcBorders>
          </w:tcPr>
          <w:p>
            <w:pPr>
              <w:spacing w:after="0"/>
              <w:rPr>
                <w:sz w:val="8"/>
                <w:szCs w:val="8"/>
                <w:color w:val="auto"/>
              </w:rPr>
            </w:pPr>
          </w:p>
        </w:tc>
        <w:tc>
          <w:tcPr>
            <w:tcW w:w="1660" w:type="dxa"/>
            <w:vAlign w:val="bottom"/>
            <w:tcBorders>
              <w:bottom w:val="single" w:sz="8" w:color="276092"/>
            </w:tcBorders>
            <w:vMerge w:val="continue"/>
            <w:shd w:val="clear" w:color="auto" w:fill="BECFDE"/>
          </w:tcPr>
          <w:p>
            <w:pPr>
              <w:spacing w:after="0"/>
              <w:rPr>
                <w:sz w:val="8"/>
                <w:szCs w:val="8"/>
                <w:color w:val="auto"/>
              </w:rPr>
            </w:pPr>
          </w:p>
        </w:tc>
        <w:tc>
          <w:tcPr>
            <w:tcW w:w="1100" w:type="dxa"/>
            <w:vAlign w:val="bottom"/>
            <w:tcBorders>
              <w:bottom w:val="single" w:sz="8" w:color="276092"/>
            </w:tcBorders>
            <w:vMerge w:val="continue"/>
            <w:shd w:val="clear" w:color="auto" w:fill="BECFDE"/>
          </w:tcPr>
          <w:p>
            <w:pPr>
              <w:spacing w:after="0"/>
              <w:rPr>
                <w:sz w:val="8"/>
                <w:szCs w:val="8"/>
                <w:color w:val="auto"/>
              </w:rPr>
            </w:pPr>
          </w:p>
        </w:tc>
        <w:tc>
          <w:tcPr>
            <w:tcW w:w="1060" w:type="dxa"/>
            <w:vAlign w:val="bottom"/>
            <w:tcBorders>
              <w:bottom w:val="single" w:sz="8" w:color="276092"/>
            </w:tcBorders>
            <w:vMerge w:val="continue"/>
            <w:shd w:val="clear" w:color="auto" w:fill="BECFDE"/>
          </w:tcPr>
          <w:p>
            <w:pPr>
              <w:spacing w:after="0"/>
              <w:rPr>
                <w:sz w:val="8"/>
                <w:szCs w:val="8"/>
                <w:color w:val="auto"/>
              </w:rPr>
            </w:pPr>
          </w:p>
        </w:tc>
        <w:tc>
          <w:tcPr>
            <w:tcW w:w="1020" w:type="dxa"/>
            <w:vAlign w:val="bottom"/>
            <w:tcBorders>
              <w:bottom w:val="single" w:sz="8" w:color="276092"/>
            </w:tcBorders>
            <w:vMerge w:val="continue"/>
            <w:shd w:val="clear" w:color="auto" w:fill="BECFDE"/>
          </w:tcPr>
          <w:p>
            <w:pPr>
              <w:spacing w:after="0"/>
              <w:rPr>
                <w:sz w:val="8"/>
                <w:szCs w:val="8"/>
                <w:color w:val="auto"/>
              </w:rPr>
            </w:pPr>
          </w:p>
        </w:tc>
        <w:tc>
          <w:tcPr>
            <w:tcW w:w="1000" w:type="dxa"/>
            <w:vAlign w:val="bottom"/>
            <w:tcBorders>
              <w:bottom w:val="single" w:sz="8" w:color="276092"/>
            </w:tcBorders>
            <w:vMerge w:val="continue"/>
            <w:shd w:val="clear" w:color="auto" w:fill="BECFDE"/>
          </w:tcPr>
          <w:p>
            <w:pPr>
              <w:spacing w:after="0"/>
              <w:rPr>
                <w:sz w:val="8"/>
                <w:szCs w:val="8"/>
                <w:color w:val="auto"/>
              </w:rPr>
            </w:pPr>
          </w:p>
        </w:tc>
        <w:tc>
          <w:tcPr>
            <w:tcW w:w="1020" w:type="dxa"/>
            <w:vAlign w:val="bottom"/>
            <w:tcBorders>
              <w:bottom w:val="single" w:sz="8" w:color="276092"/>
            </w:tcBorders>
            <w:vMerge w:val="continue"/>
            <w:shd w:val="clear" w:color="auto" w:fill="BECFDE"/>
          </w:tcPr>
          <w:p>
            <w:pPr>
              <w:spacing w:after="0"/>
              <w:rPr>
                <w:sz w:val="8"/>
                <w:szCs w:val="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600" w:hanging="436"/>
        <w:spacing w:after="0" w:line="246"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NEO contributions in this column are also included in the 2017 Summary Compensation Table on page 49, under the columns entitled “Salary” and “Non-Equity Incentive Plan Compensation.”</w:t>
      </w:r>
    </w:p>
    <w:p>
      <w:pPr>
        <w:spacing w:after="0" w:line="102" w:lineRule="exact"/>
        <w:rPr>
          <w:rFonts w:ascii="Arial" w:cs="Arial" w:eastAsia="Arial" w:hAnsi="Arial"/>
          <w:sz w:val="18"/>
          <w:szCs w:val="18"/>
          <w:color w:val="auto"/>
        </w:rPr>
      </w:pPr>
    </w:p>
    <w:p>
      <w:pPr>
        <w:ind w:left="640" w:right="200" w:hanging="436"/>
        <w:spacing w:after="0" w:line="246"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Company contributions in this column are included in the 2017 Summary Compensation Table, under the column entitled “All Other Compensation.”</w:t>
      </w:r>
    </w:p>
    <w:p>
      <w:pPr>
        <w:spacing w:after="0" w:line="102" w:lineRule="exact"/>
        <w:rPr>
          <w:rFonts w:ascii="Arial" w:cs="Arial" w:eastAsia="Arial" w:hAnsi="Arial"/>
          <w:sz w:val="18"/>
          <w:szCs w:val="18"/>
          <w:color w:val="auto"/>
        </w:rPr>
      </w:pPr>
    </w:p>
    <w:p>
      <w:pPr>
        <w:ind w:left="640" w:right="300" w:hanging="436"/>
        <w:spacing w:after="0" w:line="246" w:lineRule="auto"/>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Aggregate earnings in the last fiscal year are not included in the 2017 Summary Compensation Table because they are not above market or preferential.</w:t>
      </w:r>
    </w:p>
    <w:p>
      <w:pPr>
        <w:spacing w:after="0" w:line="97" w:lineRule="exact"/>
        <w:rPr>
          <w:rFonts w:ascii="Arial" w:cs="Arial" w:eastAsia="Arial" w:hAnsi="Arial"/>
          <w:sz w:val="18"/>
          <w:szCs w:val="18"/>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NEO and Company contributions in this column may include balances for merged plans. Employee contributions by Mr. Bush,</w:t>
      </w:r>
    </w:p>
    <w:p>
      <w:pPr>
        <w:ind w:left="640" w:right="40"/>
        <w:spacing w:after="0" w:line="246" w:lineRule="auto"/>
        <w:rPr>
          <w:rFonts w:ascii="Arial" w:cs="Arial" w:eastAsia="Arial" w:hAnsi="Arial"/>
          <w:sz w:val="18"/>
          <w:szCs w:val="18"/>
          <w:color w:val="auto"/>
        </w:rPr>
      </w:pPr>
      <w:r>
        <w:rPr>
          <w:rFonts w:ascii="Arial" w:cs="Arial" w:eastAsia="Arial" w:hAnsi="Arial"/>
          <w:sz w:val="18"/>
          <w:szCs w:val="18"/>
          <w:color w:val="auto"/>
        </w:rPr>
        <w:t>Mr. Bedingfield, Ms. Flach and Ms. Warden for the years ended December 31, 2017, 2016 and 2015, collectively, previously reported as compensation in the Summary Compensation tables, were as follows:</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60" w:type="dxa"/>
            <w:vAlign w:val="bottom"/>
            <w:shd w:val="clear" w:color="auto" w:fill="276092"/>
          </w:tcPr>
          <w:p>
            <w:pPr>
              <w:spacing w:after="0"/>
              <w:rPr>
                <w:sz w:val="14"/>
                <w:szCs w:val="14"/>
                <w:color w:val="auto"/>
              </w:rPr>
            </w:pPr>
          </w:p>
        </w:tc>
        <w:tc>
          <w:tcPr>
            <w:tcW w:w="4740" w:type="dxa"/>
            <w:vAlign w:val="bottom"/>
            <w:shd w:val="clear" w:color="auto" w:fill="276092"/>
          </w:tcPr>
          <w:p>
            <w:pPr>
              <w:ind w:left="2280"/>
              <w:spacing w:after="0"/>
              <w:rPr>
                <w:sz w:val="20"/>
                <w:szCs w:val="20"/>
                <w:color w:val="auto"/>
              </w:rPr>
            </w:pPr>
            <w:r>
              <w:rPr>
                <w:rFonts w:ascii="Arial" w:cs="Arial" w:eastAsia="Arial" w:hAnsi="Arial"/>
                <w:sz w:val="14"/>
                <w:szCs w:val="14"/>
                <w:b w:val="1"/>
                <w:bCs w:val="1"/>
                <w:color w:val="FFFFFF"/>
              </w:rPr>
              <w:t>Employee Contributions</w:t>
            </w:r>
          </w:p>
        </w:tc>
      </w:tr>
      <w:tr>
        <w:trPr>
          <w:trHeight w:val="175"/>
        </w:trPr>
        <w:tc>
          <w:tcPr>
            <w:tcW w:w="326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4740" w:type="dxa"/>
            <w:vAlign w:val="bottom"/>
            <w:shd w:val="clear" w:color="auto" w:fill="276092"/>
          </w:tcPr>
          <w:p>
            <w:pPr>
              <w:jc w:val="center"/>
              <w:ind w:left="1408"/>
              <w:spacing w:after="0"/>
              <w:rPr>
                <w:sz w:val="20"/>
                <w:szCs w:val="20"/>
                <w:color w:val="auto"/>
              </w:rPr>
            </w:pPr>
            <w:r>
              <w:rPr>
                <w:rFonts w:ascii="Arial" w:cs="Arial" w:eastAsia="Arial" w:hAnsi="Arial"/>
                <w:sz w:val="14"/>
                <w:szCs w:val="14"/>
                <w:b w:val="1"/>
                <w:bCs w:val="1"/>
                <w:color w:val="FFFFFF"/>
              </w:rPr>
              <w:t>($)</w:t>
            </w:r>
          </w:p>
        </w:tc>
      </w:tr>
      <w:tr>
        <w:trPr>
          <w:trHeight w:val="203"/>
        </w:trPr>
        <w:tc>
          <w:tcPr>
            <w:tcW w:w="3260" w:type="dxa"/>
            <w:vAlign w:val="bottom"/>
            <w:shd w:val="clear" w:color="auto" w:fill="BECFDE"/>
          </w:tcPr>
          <w:p>
            <w:pPr>
              <w:ind w:left="40"/>
              <w:spacing w:after="0"/>
              <w:rPr>
                <w:sz w:val="20"/>
                <w:szCs w:val="20"/>
                <w:color w:val="auto"/>
              </w:rPr>
            </w:pPr>
            <w:r>
              <w:rPr>
                <w:rFonts w:ascii="Arial" w:cs="Arial" w:eastAsia="Arial" w:hAnsi="Arial"/>
                <w:sz w:val="14"/>
                <w:szCs w:val="14"/>
                <w:color w:val="auto"/>
              </w:rPr>
              <w:t>Mr. Bush</w:t>
            </w:r>
          </w:p>
        </w:tc>
        <w:tc>
          <w:tcPr>
            <w:tcW w:w="4740" w:type="dxa"/>
            <w:vAlign w:val="bottom"/>
            <w:shd w:val="clear" w:color="auto" w:fill="BECFDE"/>
          </w:tcPr>
          <w:p>
            <w:pPr>
              <w:jc w:val="center"/>
              <w:ind w:left="1428"/>
              <w:spacing w:after="0"/>
              <w:rPr>
                <w:sz w:val="20"/>
                <w:szCs w:val="20"/>
                <w:color w:val="auto"/>
              </w:rPr>
            </w:pPr>
            <w:r>
              <w:rPr>
                <w:rFonts w:ascii="Arial" w:cs="Arial" w:eastAsia="Arial" w:hAnsi="Arial"/>
                <w:sz w:val="14"/>
                <w:szCs w:val="14"/>
                <w:color w:val="auto"/>
              </w:rPr>
              <w:t>1,194,346</w:t>
            </w:r>
          </w:p>
        </w:tc>
      </w:tr>
      <w:tr>
        <w:trPr>
          <w:trHeight w:val="197"/>
        </w:trPr>
        <w:tc>
          <w:tcPr>
            <w:tcW w:w="3260" w:type="dxa"/>
            <w:vAlign w:val="bottom"/>
          </w:tcPr>
          <w:p>
            <w:pPr>
              <w:ind w:left="40"/>
              <w:spacing w:after="0"/>
              <w:rPr>
                <w:sz w:val="20"/>
                <w:szCs w:val="20"/>
                <w:color w:val="auto"/>
              </w:rPr>
            </w:pPr>
            <w:r>
              <w:rPr>
                <w:rFonts w:ascii="Arial" w:cs="Arial" w:eastAsia="Arial" w:hAnsi="Arial"/>
                <w:sz w:val="14"/>
                <w:szCs w:val="14"/>
                <w:color w:val="auto"/>
              </w:rPr>
              <w:t>Mr. Bedingfield</w:t>
            </w:r>
          </w:p>
        </w:tc>
        <w:tc>
          <w:tcPr>
            <w:tcW w:w="4740" w:type="dxa"/>
            <w:vAlign w:val="bottom"/>
          </w:tcPr>
          <w:p>
            <w:pPr>
              <w:jc w:val="center"/>
              <w:ind w:left="1428"/>
              <w:spacing w:after="0"/>
              <w:rPr>
                <w:sz w:val="20"/>
                <w:szCs w:val="20"/>
                <w:color w:val="auto"/>
              </w:rPr>
            </w:pPr>
            <w:r>
              <w:rPr>
                <w:rFonts w:ascii="Arial" w:cs="Arial" w:eastAsia="Arial" w:hAnsi="Arial"/>
                <w:sz w:val="14"/>
                <w:szCs w:val="14"/>
                <w:color w:val="auto"/>
              </w:rPr>
              <w:t>308,304</w:t>
            </w:r>
          </w:p>
        </w:tc>
      </w:tr>
      <w:tr>
        <w:trPr>
          <w:trHeight w:val="209"/>
        </w:trPr>
        <w:tc>
          <w:tcPr>
            <w:tcW w:w="3260" w:type="dxa"/>
            <w:vAlign w:val="bottom"/>
            <w:shd w:val="clear" w:color="auto" w:fill="BECFDE"/>
          </w:tcPr>
          <w:p>
            <w:pPr>
              <w:ind w:left="40"/>
              <w:spacing w:after="0"/>
              <w:rPr>
                <w:sz w:val="20"/>
                <w:szCs w:val="20"/>
                <w:color w:val="auto"/>
              </w:rPr>
            </w:pPr>
            <w:r>
              <w:rPr>
                <w:rFonts w:ascii="Arial" w:cs="Arial" w:eastAsia="Arial" w:hAnsi="Arial"/>
                <w:sz w:val="14"/>
                <w:szCs w:val="14"/>
                <w:color w:val="auto"/>
              </w:rPr>
              <w:t>Ms. Flach</w:t>
            </w:r>
          </w:p>
        </w:tc>
        <w:tc>
          <w:tcPr>
            <w:tcW w:w="4740" w:type="dxa"/>
            <w:vAlign w:val="bottom"/>
            <w:shd w:val="clear" w:color="auto" w:fill="BECFDE"/>
          </w:tcPr>
          <w:p>
            <w:pPr>
              <w:jc w:val="center"/>
              <w:ind w:left="1428"/>
              <w:spacing w:after="0"/>
              <w:rPr>
                <w:sz w:val="20"/>
                <w:szCs w:val="20"/>
                <w:color w:val="auto"/>
              </w:rPr>
            </w:pPr>
            <w:r>
              <w:rPr>
                <w:rFonts w:ascii="Arial" w:cs="Arial" w:eastAsia="Arial" w:hAnsi="Arial"/>
                <w:sz w:val="14"/>
                <w:szCs w:val="14"/>
                <w:color w:val="auto"/>
              </w:rPr>
              <w:t>261,778</w:t>
            </w:r>
          </w:p>
        </w:tc>
      </w:tr>
      <w:tr>
        <w:trPr>
          <w:trHeight w:val="197"/>
        </w:trPr>
        <w:tc>
          <w:tcPr>
            <w:tcW w:w="3260" w:type="dxa"/>
            <w:vAlign w:val="bottom"/>
            <w:tcBorders>
              <w:bottom w:val="single" w:sz="8" w:color="276092"/>
            </w:tcBorders>
          </w:tcPr>
          <w:p>
            <w:pPr>
              <w:ind w:left="40"/>
              <w:spacing w:after="0"/>
              <w:rPr>
                <w:sz w:val="20"/>
                <w:szCs w:val="20"/>
                <w:color w:val="auto"/>
              </w:rPr>
            </w:pPr>
            <w:r>
              <w:rPr>
                <w:rFonts w:ascii="Arial" w:cs="Arial" w:eastAsia="Arial" w:hAnsi="Arial"/>
                <w:sz w:val="14"/>
                <w:szCs w:val="14"/>
                <w:color w:val="auto"/>
              </w:rPr>
              <w:t>Ms. Warden</w:t>
            </w:r>
          </w:p>
        </w:tc>
        <w:tc>
          <w:tcPr>
            <w:tcW w:w="4740" w:type="dxa"/>
            <w:vAlign w:val="bottom"/>
            <w:tcBorders>
              <w:bottom w:val="single" w:sz="8" w:color="276092"/>
            </w:tcBorders>
          </w:tcPr>
          <w:p>
            <w:pPr>
              <w:jc w:val="center"/>
              <w:ind w:left="1428"/>
              <w:spacing w:after="0"/>
              <w:rPr>
                <w:sz w:val="20"/>
                <w:szCs w:val="20"/>
                <w:color w:val="auto"/>
              </w:rPr>
            </w:pPr>
            <w:r>
              <w:rPr>
                <w:rFonts w:ascii="Arial" w:cs="Arial" w:eastAsia="Arial" w:hAnsi="Arial"/>
                <w:sz w:val="14"/>
                <w:szCs w:val="14"/>
                <w:color w:val="auto"/>
              </w:rPr>
              <w:t>363,015</w:t>
            </w:r>
          </w:p>
        </w:tc>
      </w:tr>
    </w:tbl>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Employee contributions by Mr. Pamiljans for the year ended December 31, 2017 are presented in the table above. Because</w:t>
      </w:r>
    </w:p>
    <w:p>
      <w:pPr>
        <w:ind w:left="640" w:right="140"/>
        <w:spacing w:after="0" w:line="246" w:lineRule="auto"/>
        <w:rPr>
          <w:sz w:val="20"/>
          <w:szCs w:val="20"/>
          <w:color w:val="auto"/>
        </w:rPr>
      </w:pPr>
      <w:r>
        <w:rPr>
          <w:rFonts w:ascii="Arial" w:cs="Arial" w:eastAsia="Arial" w:hAnsi="Arial"/>
          <w:sz w:val="18"/>
          <w:szCs w:val="18"/>
          <w:color w:val="auto"/>
        </w:rPr>
        <w:t>Mr. Pamiljans was not an NEO for the years ended December 31, 2016 and 2015, employee contribution data for these years is not presented.</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Deferred Compensation Plans and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deferred compensation plans in which the NEOs participate are listed below:</w:t>
      </w:r>
    </w:p>
    <w:p>
      <w:pPr>
        <w:spacing w:after="0" w:line="95" w:lineRule="exact"/>
        <w:rPr>
          <w:sz w:val="20"/>
          <w:szCs w:val="20"/>
          <w:color w:val="auto"/>
        </w:rPr>
      </w:pPr>
    </w:p>
    <w:p>
      <w:pPr>
        <w:ind w:left="520" w:right="200" w:hanging="316"/>
        <w:spacing w:after="0" w:line="253" w:lineRule="auto"/>
        <w:tabs>
          <w:tab w:leader="none" w:pos="520" w:val="left"/>
        </w:tabs>
        <w:numPr>
          <w:ilvl w:val="0"/>
          <w:numId w:val="110"/>
        </w:numPr>
        <w:rPr>
          <w:rFonts w:ascii="Arial" w:cs="Arial" w:eastAsia="Arial" w:hAnsi="Arial"/>
          <w:sz w:val="18"/>
          <w:szCs w:val="18"/>
          <w:color w:val="276092"/>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is the Northrop Grumman Deferred Compensation Plan. In 2010, this plan was closed to new hires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existing participants ceased to be able to make contributions. Before 2011, eligible executives were allowed to defer a portion of their salary and bonus. No Company contributions were made to the plan.</w:t>
      </w:r>
    </w:p>
    <w:p>
      <w:pPr>
        <w:spacing w:after="0" w:line="74" w:lineRule="exact"/>
        <w:rPr>
          <w:rFonts w:ascii="Arial" w:cs="Arial" w:eastAsia="Arial" w:hAnsi="Arial"/>
          <w:sz w:val="18"/>
          <w:szCs w:val="18"/>
          <w:color w:val="276092"/>
        </w:rPr>
      </w:pPr>
    </w:p>
    <w:p>
      <w:pPr>
        <w:ind w:left="520" w:right="160" w:hanging="316"/>
        <w:spacing w:after="0" w:line="271" w:lineRule="auto"/>
        <w:tabs>
          <w:tab w:leader="none" w:pos="520" w:val="left"/>
        </w:tabs>
        <w:numPr>
          <w:ilvl w:val="0"/>
          <w:numId w:val="110"/>
        </w:numPr>
        <w:rPr>
          <w:rFonts w:ascii="Arial" w:cs="Arial" w:eastAsia="Arial" w:hAnsi="Arial"/>
          <w:sz w:val="18"/>
          <w:szCs w:val="18"/>
          <w:color w:val="276092"/>
        </w:rPr>
      </w:pPr>
      <w:r>
        <w:rPr>
          <w:rFonts w:ascii="Arial" w:cs="Arial" w:eastAsia="Arial" w:hAnsi="Arial"/>
          <w:sz w:val="18"/>
          <w:szCs w:val="18"/>
          <w:b w:val="1"/>
          <w:bCs w:val="1"/>
          <w:color w:val="auto"/>
        </w:rPr>
        <w:t xml:space="preserve">Officers Retirement Account Contribution Plan (ORAC) </w:t>
      </w:r>
      <w:r>
        <w:rPr>
          <w:rFonts w:ascii="Arial" w:cs="Arial" w:eastAsia="Arial" w:hAnsi="Arial"/>
          <w:sz w:val="18"/>
          <w:szCs w:val="18"/>
          <w:color w:val="auto"/>
        </w:rPr>
        <w:t>is the Northrop Grumman Officers Retirement Account Contribution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allows eligible executives, including NEOs, to receive a Company contribution of 4% of base salary and bonus.</w:t>
      </w:r>
    </w:p>
    <w:p>
      <w:pPr>
        <w:spacing w:after="0" w:line="59" w:lineRule="exact"/>
        <w:rPr>
          <w:rFonts w:ascii="Arial" w:cs="Arial" w:eastAsia="Arial" w:hAnsi="Arial"/>
          <w:sz w:val="18"/>
          <w:szCs w:val="18"/>
          <w:color w:val="276092"/>
        </w:rPr>
      </w:pPr>
    </w:p>
    <w:p>
      <w:pPr>
        <w:ind w:left="520" w:right="100" w:hanging="316"/>
        <w:spacing w:after="0" w:line="247" w:lineRule="auto"/>
        <w:tabs>
          <w:tab w:leader="none" w:pos="520" w:val="left"/>
        </w:tabs>
        <w:numPr>
          <w:ilvl w:val="0"/>
          <w:numId w:val="110"/>
        </w:numPr>
        <w:rPr>
          <w:rFonts w:ascii="Arial" w:cs="Arial" w:eastAsia="Arial" w:hAnsi="Arial"/>
          <w:sz w:val="18"/>
          <w:szCs w:val="18"/>
          <w:color w:val="276092"/>
        </w:rPr>
      </w:pPr>
      <w:r>
        <w:rPr>
          <w:rFonts w:ascii="Arial" w:cs="Arial" w:eastAsia="Arial" w:hAnsi="Arial"/>
          <w:sz w:val="18"/>
          <w:szCs w:val="18"/>
          <w:b w:val="1"/>
          <w:bCs w:val="1"/>
          <w:color w:val="auto"/>
        </w:rPr>
        <w:t xml:space="preserve">Savings Excess Plan (SEP) </w:t>
      </w:r>
      <w:r>
        <w:rPr>
          <w:rFonts w:ascii="Arial" w:cs="Arial" w:eastAsia="Arial" w:hAnsi="Arial"/>
          <w:sz w:val="18"/>
          <w:szCs w:val="18"/>
          <w:color w:val="auto"/>
        </w:rPr>
        <w:t>is the Northrop Grumman Savings Excess Plan. This plan allows eligible employees,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NEOs, to (i) defer up to 50% of their salary and bonus beyond the compensation limits of the tax qualified plans and receive a Company matching contribution of up to 4% on a maximum of 8% of pay and (ii) receive RAC contributions beyond the compensation limits in the qualified plans.</w:t>
      </w:r>
    </w:p>
    <w:p>
      <w:pPr>
        <w:spacing w:after="0" w:line="126" w:lineRule="exact"/>
        <w:rPr>
          <w:sz w:val="20"/>
          <w:szCs w:val="20"/>
          <w:color w:val="auto"/>
        </w:rPr>
      </w:pPr>
    </w:p>
    <w:p>
      <w:pPr>
        <w:ind w:left="460" w:hanging="256"/>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CEO PAY RATIO</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2017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both"/>
        <w:ind w:left="200" w:right="240"/>
        <w:spacing w:after="0" w:line="239" w:lineRule="auto"/>
        <w:rPr>
          <w:sz w:val="20"/>
          <w:szCs w:val="20"/>
          <w:color w:val="auto"/>
        </w:rPr>
      </w:pPr>
      <w:r>
        <w:rPr>
          <w:rFonts w:ascii="Arial" w:cs="Arial" w:eastAsia="Arial" w:hAnsi="Arial"/>
          <w:sz w:val="18"/>
          <w:szCs w:val="18"/>
          <w:color w:val="auto"/>
        </w:rPr>
        <w:t>Consistent with Section 953(b) of the Dodd-Frank Wall Street Reform and Consumer Protection Act, and Item 402(u) of Regulation S-K (the pay ratio rule), we are providing the following information about the relationship of the annual total compensation of employees and the annual total compensation of our Chief Executive Officer (CEO), Mr. Bush. We believe the pay ratio included in this information is a reasonable estimate calculated in a manner consistent with Item 402(u) of Regulation S-K.</w:t>
      </w:r>
    </w:p>
    <w:p>
      <w:pPr>
        <w:spacing w:after="0" w:line="9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determined that as of October 31, 2017, the company’s global employee population, applying the definition of employee under the pay ratio rule, consisted of 73,822 individuals. We selected October 31, 2017 to allow sufficient time to identify the median employee given the global scope of our operations. While the population is primarily comprised of U.S. based employees (92%), we scoped in individuals employed in countries such as the United Kingdom, Germany and Australia, as they represent a significant portion of our international population. As permitted under the pay ratio rule, we excluded the other individuals employed outside of the U.S. from the employee population. The number of excluded individuals totaled approximately 2,983 (~4% of the population) and were located in the following countries: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203"/>
        </w:trPr>
        <w:tc>
          <w:tcPr>
            <w:tcW w:w="3520" w:type="dxa"/>
            <w:vAlign w:val="bottom"/>
            <w:shd w:val="clear" w:color="auto" w:fill="276092"/>
          </w:tcPr>
          <w:p>
            <w:pPr>
              <w:ind w:left="40"/>
              <w:spacing w:after="0"/>
              <w:rPr>
                <w:sz w:val="20"/>
                <w:szCs w:val="20"/>
                <w:color w:val="auto"/>
              </w:rPr>
            </w:pPr>
            <w:r>
              <w:rPr>
                <w:rFonts w:ascii="Arial" w:cs="Arial" w:eastAsia="Arial" w:hAnsi="Arial"/>
                <w:sz w:val="14"/>
                <w:szCs w:val="14"/>
                <w:b w:val="1"/>
                <w:bCs w:val="1"/>
                <w:color w:val="FFFFFF"/>
              </w:rPr>
              <w:t>Countries (1)</w:t>
            </w:r>
          </w:p>
        </w:tc>
        <w:tc>
          <w:tcPr>
            <w:tcW w:w="5280" w:type="dxa"/>
            <w:vAlign w:val="bottom"/>
            <w:shd w:val="clear" w:color="auto" w:fill="276092"/>
          </w:tcPr>
          <w:p>
            <w:pPr>
              <w:ind w:left="2080"/>
              <w:spacing w:after="0"/>
              <w:rPr>
                <w:sz w:val="20"/>
                <w:szCs w:val="20"/>
                <w:color w:val="auto"/>
              </w:rPr>
            </w:pPr>
            <w:r>
              <w:rPr>
                <w:rFonts w:ascii="Arial" w:cs="Arial" w:eastAsia="Arial" w:hAnsi="Arial"/>
                <w:sz w:val="14"/>
                <w:szCs w:val="14"/>
                <w:b w:val="1"/>
                <w:bCs w:val="1"/>
                <w:color w:val="FFFFFF"/>
              </w:rPr>
              <w:t>Approximate Number of Excluded Individuals</w:t>
            </w:r>
          </w:p>
        </w:tc>
      </w:tr>
      <w:tr>
        <w:trPr>
          <w:trHeight w:val="203"/>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Belgium</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102</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Canada</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15</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Denmark</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15</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France</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425</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Italy</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243</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Japan</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54</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South Korea</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81</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Netherlands</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62</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Norway</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6</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Saudi Arabia</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1,889</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Singapore</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22</w:t>
            </w:r>
          </w:p>
        </w:tc>
      </w:tr>
      <w:tr>
        <w:trPr>
          <w:trHeight w:val="197"/>
        </w:trPr>
        <w:tc>
          <w:tcPr>
            <w:tcW w:w="3520" w:type="dxa"/>
            <w:vAlign w:val="bottom"/>
          </w:tcPr>
          <w:p>
            <w:pPr>
              <w:ind w:left="80"/>
              <w:spacing w:after="0"/>
              <w:rPr>
                <w:sz w:val="20"/>
                <w:szCs w:val="20"/>
                <w:color w:val="auto"/>
              </w:rPr>
            </w:pPr>
            <w:r>
              <w:rPr>
                <w:rFonts w:ascii="Arial" w:cs="Arial" w:eastAsia="Arial" w:hAnsi="Arial"/>
                <w:sz w:val="14"/>
                <w:szCs w:val="14"/>
                <w:color w:val="auto"/>
              </w:rPr>
              <w:t>Spain</w:t>
            </w:r>
          </w:p>
        </w:tc>
        <w:tc>
          <w:tcPr>
            <w:tcW w:w="5280" w:type="dxa"/>
            <w:vAlign w:val="bottom"/>
          </w:tcPr>
          <w:p>
            <w:pPr>
              <w:jc w:val="center"/>
              <w:ind w:left="2008"/>
              <w:spacing w:after="0"/>
              <w:rPr>
                <w:sz w:val="20"/>
                <w:szCs w:val="20"/>
                <w:color w:val="auto"/>
              </w:rPr>
            </w:pPr>
            <w:r>
              <w:rPr>
                <w:rFonts w:ascii="Arial" w:cs="Arial" w:eastAsia="Arial" w:hAnsi="Arial"/>
                <w:sz w:val="14"/>
                <w:szCs w:val="14"/>
                <w:color w:val="auto"/>
              </w:rPr>
              <w:t>1</w:t>
            </w:r>
          </w:p>
        </w:tc>
      </w:tr>
      <w:tr>
        <w:trPr>
          <w:trHeight w:val="209"/>
        </w:trPr>
        <w:tc>
          <w:tcPr>
            <w:tcW w:w="3520" w:type="dxa"/>
            <w:vAlign w:val="bottom"/>
            <w:shd w:val="clear" w:color="auto" w:fill="BECFDE"/>
          </w:tcPr>
          <w:p>
            <w:pPr>
              <w:ind w:left="80"/>
              <w:spacing w:after="0"/>
              <w:rPr>
                <w:sz w:val="20"/>
                <w:szCs w:val="20"/>
                <w:color w:val="auto"/>
              </w:rPr>
            </w:pPr>
            <w:r>
              <w:rPr>
                <w:rFonts w:ascii="Arial" w:cs="Arial" w:eastAsia="Arial" w:hAnsi="Arial"/>
                <w:sz w:val="14"/>
                <w:szCs w:val="14"/>
                <w:color w:val="auto"/>
              </w:rPr>
              <w:t>Switzerland</w:t>
            </w:r>
          </w:p>
        </w:tc>
        <w:tc>
          <w:tcPr>
            <w:tcW w:w="5280" w:type="dxa"/>
            <w:vAlign w:val="bottom"/>
            <w:shd w:val="clear" w:color="auto" w:fill="BECFDE"/>
          </w:tcPr>
          <w:p>
            <w:pPr>
              <w:jc w:val="center"/>
              <w:ind w:left="2008"/>
              <w:spacing w:after="0"/>
              <w:rPr>
                <w:sz w:val="20"/>
                <w:szCs w:val="20"/>
                <w:color w:val="auto"/>
              </w:rPr>
            </w:pPr>
            <w:r>
              <w:rPr>
                <w:rFonts w:ascii="Arial" w:cs="Arial" w:eastAsia="Arial" w:hAnsi="Arial"/>
                <w:sz w:val="14"/>
                <w:szCs w:val="14"/>
                <w:color w:val="auto"/>
              </w:rPr>
              <w:t>4</w:t>
            </w:r>
          </w:p>
        </w:tc>
      </w:tr>
      <w:tr>
        <w:trPr>
          <w:trHeight w:val="197"/>
        </w:trPr>
        <w:tc>
          <w:tcPr>
            <w:tcW w:w="3520" w:type="dxa"/>
            <w:vAlign w:val="bottom"/>
            <w:tcBorders>
              <w:bottom w:val="single" w:sz="8" w:color="276092"/>
            </w:tcBorders>
          </w:tcPr>
          <w:p>
            <w:pPr>
              <w:ind w:left="80"/>
              <w:spacing w:after="0"/>
              <w:rPr>
                <w:sz w:val="20"/>
                <w:szCs w:val="20"/>
                <w:color w:val="auto"/>
              </w:rPr>
            </w:pPr>
            <w:r>
              <w:rPr>
                <w:rFonts w:ascii="Arial" w:cs="Arial" w:eastAsia="Arial" w:hAnsi="Arial"/>
                <w:sz w:val="14"/>
                <w:szCs w:val="14"/>
                <w:color w:val="auto"/>
              </w:rPr>
              <w:t>United Arab Emirates</w:t>
            </w:r>
          </w:p>
        </w:tc>
        <w:tc>
          <w:tcPr>
            <w:tcW w:w="5280" w:type="dxa"/>
            <w:vAlign w:val="bottom"/>
            <w:tcBorders>
              <w:bottom w:val="single" w:sz="8" w:color="276092"/>
            </w:tcBorders>
          </w:tcPr>
          <w:p>
            <w:pPr>
              <w:jc w:val="center"/>
              <w:ind w:left="2008"/>
              <w:spacing w:after="0"/>
              <w:rPr>
                <w:sz w:val="20"/>
                <w:szCs w:val="20"/>
                <w:color w:val="auto"/>
              </w:rPr>
            </w:pPr>
            <w:r>
              <w:rPr>
                <w:rFonts w:ascii="Arial" w:cs="Arial" w:eastAsia="Arial" w:hAnsi="Arial"/>
                <w:sz w:val="14"/>
                <w:szCs w:val="14"/>
                <w:color w:val="auto"/>
              </w:rPr>
              <w:t>64</w:t>
            </w:r>
          </w:p>
        </w:tc>
      </w:tr>
      <w:tr>
        <w:trPr>
          <w:trHeight w:val="196"/>
        </w:trPr>
        <w:tc>
          <w:tcPr>
            <w:tcW w:w="352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b w:val="1"/>
                <w:bCs w:val="1"/>
                <w:color w:val="auto"/>
              </w:rPr>
              <w:t>Total</w:t>
            </w:r>
          </w:p>
        </w:tc>
        <w:tc>
          <w:tcPr>
            <w:tcW w:w="5280" w:type="dxa"/>
            <w:vAlign w:val="bottom"/>
            <w:tcBorders>
              <w:bottom w:val="single" w:sz="8" w:color="276092"/>
            </w:tcBorders>
            <w:shd w:val="clear" w:color="auto" w:fill="BECFDE"/>
          </w:tcPr>
          <w:p>
            <w:pPr>
              <w:jc w:val="center"/>
              <w:ind w:left="2008"/>
              <w:spacing w:after="0"/>
              <w:rPr>
                <w:sz w:val="20"/>
                <w:szCs w:val="20"/>
                <w:color w:val="auto"/>
              </w:rPr>
            </w:pPr>
            <w:r>
              <w:rPr>
                <w:rFonts w:ascii="Arial" w:cs="Arial" w:eastAsia="Arial" w:hAnsi="Arial"/>
                <w:sz w:val="14"/>
                <w:szCs w:val="14"/>
                <w:b w:val="1"/>
                <w:bCs w:val="1"/>
                <w:color w:val="auto"/>
              </w:rPr>
              <w:t>2,983</w:t>
            </w:r>
          </w:p>
        </w:tc>
      </w:tr>
    </w:tbl>
    <w:p>
      <w:pPr>
        <w:spacing w:after="0" w:line="18" w:lineRule="exact"/>
        <w:rPr>
          <w:sz w:val="20"/>
          <w:szCs w:val="20"/>
          <w:color w:val="auto"/>
        </w:rPr>
      </w:pPr>
    </w:p>
    <w:p>
      <w:pPr>
        <w:ind w:left="1680" w:right="1180" w:hanging="369"/>
        <w:spacing w:after="0" w:line="258" w:lineRule="auto"/>
        <w:tabs>
          <w:tab w:leader="none" w:pos="16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approximate number of excluded individuals in Saudi Arabia consists largely of individuals employed by a joint venture in which the Company holds a 51% ownership interest.</w:t>
      </w:r>
    </w:p>
    <w:p>
      <w:pPr>
        <w:spacing w:after="0" w:line="107" w:lineRule="exact"/>
        <w:rPr>
          <w:sz w:val="20"/>
          <w:szCs w:val="20"/>
          <w:color w:val="auto"/>
        </w:rPr>
      </w:pPr>
    </w:p>
    <w:p>
      <w:pPr>
        <w:jc w:val="both"/>
        <w:ind w:left="200" w:right="40"/>
        <w:spacing w:after="0"/>
        <w:rPr>
          <w:sz w:val="20"/>
          <w:szCs w:val="20"/>
          <w:color w:val="auto"/>
        </w:rPr>
      </w:pPr>
      <w:r>
        <w:rPr>
          <w:rFonts w:ascii="Arial" w:cs="Arial" w:eastAsia="Arial" w:hAnsi="Arial"/>
          <w:sz w:val="18"/>
          <w:szCs w:val="18"/>
          <w:color w:val="auto"/>
        </w:rPr>
        <w:t>After taking into account the exclusions above, our employee population consisted of 70,839 individuals. To identify the median employee, we used wages comprised of base and overtime pay for the 10-month period ending October 31, 2017. We believe this measure provides a reasonably obtainable and well reflective component of compensation from which to identify the median employee.</w:t>
      </w:r>
    </w:p>
    <w:p>
      <w:pPr>
        <w:spacing w:after="0" w:line="9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After identifying the median employee, we calculated the median employee’s annual total compensation in the same manner as the CEO’s annual total compensation was calculated in the Summary Compensation Table on page 49. The median employee’s annual total compensation was $101,872, which includes other forms of compensation including financial and wellness benefits. The CEO’s annual total compensation was $18,869,057, as reported in the “Total” column of the Summary Compensation Table. Based on this information, for 2017 the ratio of the annual total compensation of the CEO to the annual total compensation of the median employee was 185 : 1.</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61</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TERMINATION PAYMENTS AND BENEFITS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Terms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terms of equity awards granted to the NEOs under the 2011 Plan provide for accelerated vesting if an NEO’s employment terminates for certain reasons.</w:t>
      </w:r>
    </w:p>
    <w:p>
      <w:pPr>
        <w:spacing w:after="0" w:line="89" w:lineRule="exact"/>
        <w:rPr>
          <w:sz w:val="20"/>
          <w:szCs w:val="20"/>
          <w:color w:val="auto"/>
        </w:rPr>
      </w:pPr>
    </w:p>
    <w:p>
      <w:pPr>
        <w:ind w:left="200" w:right="140"/>
        <w:spacing w:after="0"/>
        <w:rPr>
          <w:sz w:val="20"/>
          <w:szCs w:val="20"/>
          <w:color w:val="auto"/>
        </w:rPr>
      </w:pPr>
      <w:r>
        <w:rPr>
          <w:rFonts w:ascii="Arial" w:cs="Arial" w:eastAsia="Arial" w:hAnsi="Arial"/>
          <w:sz w:val="18"/>
          <w:szCs w:val="18"/>
          <w:color w:val="auto"/>
        </w:rPr>
        <w:t>Generally for RPSRs, vesting of a prorated portion of each award occurs from termination due to early retirement, death or disability, and full vesting occurs upon normal retirement (mandatory at age 65), all subject to the Compensation Committee’s approval of the earnout percentage based on the RPSR performance metrics for the three-year performance period.</w:t>
      </w:r>
    </w:p>
    <w:p>
      <w:pPr>
        <w:spacing w:after="0" w:line="95"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Generally for RSRs, vesting of a prorated portion of each award occurs from termination due to early retirement, and full vesting occurs upon normal retirement (mandatory at age 65), death or disability.</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Possible Accelerated Equity Vesting Due to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terms of equity awards to the NEOs under the 2011 Plan provide for possible accelerated vesting of RSRs and RPSRs when the Company is involved in certain types of change in control events, which are more fully described in the 2011 Plan (e.g., certain business combinations after which the Company is not the surviving entity and the surviving entity does not assume the awards). Possible acceleration would occur with respect to RSRs and RPSRs in certain change in control events that result in a termination of the NEO (other than for cause) within the specified period (double trigger). The acceleration of awards requires this double trigger, unless an acquiring company fails to assume the awards. The award terms provide that acceleration will not occur to the extent that it would result in an excise tax that decreases the after-tax value of the awards to an NEO.</w:t>
      </w:r>
    </w:p>
    <w:p>
      <w:pPr>
        <w:spacing w:after="0" w:line="95"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In cases where acceleration would occur under these limited change in control provisions, distributions for RPSRs and RSRs would be in full.</w:t>
      </w:r>
    </w:p>
    <w:p>
      <w:pPr>
        <w:spacing w:after="0" w:line="89"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table below provides the estimated value of accelerated equity vesting if such a change in control had occurred on December 31, 2017. The estimated value is computed by multiplying unvested shares as of December 31, 2017 by the closing market price of the Company’s common stock on December 29, 2017, the last trading day of the year ($306.91). For RPSRs, Company performance is assumed to be at target levels through the close of each three-year performance period.</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5100" w:type="dxa"/>
            <w:vAlign w:val="bottom"/>
            <w:shd w:val="clear" w:color="auto" w:fill="276092"/>
          </w:tcPr>
          <w:p>
            <w:pPr>
              <w:spacing w:after="0"/>
              <w:rPr>
                <w:sz w:val="18"/>
                <w:szCs w:val="18"/>
                <w:color w:val="auto"/>
              </w:rPr>
            </w:pPr>
          </w:p>
        </w:tc>
        <w:tc>
          <w:tcPr>
            <w:tcW w:w="1280" w:type="dxa"/>
            <w:vAlign w:val="bottom"/>
            <w:shd w:val="clear" w:color="auto" w:fill="276092"/>
          </w:tcPr>
          <w:p>
            <w:pPr>
              <w:jc w:val="center"/>
              <w:ind w:left="108"/>
              <w:spacing w:after="0"/>
              <w:rPr>
                <w:sz w:val="20"/>
                <w:szCs w:val="20"/>
                <w:color w:val="auto"/>
              </w:rPr>
            </w:pPr>
            <w:r>
              <w:rPr>
                <w:rFonts w:ascii="Arial" w:cs="Arial" w:eastAsia="Arial" w:hAnsi="Arial"/>
                <w:sz w:val="14"/>
                <w:szCs w:val="14"/>
                <w:b w:val="1"/>
                <w:bCs w:val="1"/>
                <w:color w:val="FFFFFF"/>
              </w:rPr>
              <w:t>RSRs</w:t>
            </w:r>
          </w:p>
        </w:tc>
        <w:tc>
          <w:tcPr>
            <w:tcW w:w="11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RPSRs</w:t>
            </w:r>
          </w:p>
        </w:tc>
        <w:tc>
          <w:tcPr>
            <w:tcW w:w="1280" w:type="dxa"/>
            <w:vAlign w:val="bottom"/>
            <w:shd w:val="clear" w:color="auto" w:fill="276092"/>
          </w:tcPr>
          <w:p>
            <w:pPr>
              <w:spacing w:after="0"/>
              <w:rPr>
                <w:sz w:val="18"/>
                <w:szCs w:val="18"/>
                <w:color w:val="auto"/>
              </w:rPr>
            </w:pPr>
          </w:p>
        </w:tc>
      </w:tr>
      <w:tr>
        <w:trPr>
          <w:trHeight w:val="168"/>
        </w:trPr>
        <w:tc>
          <w:tcPr>
            <w:tcW w:w="5100" w:type="dxa"/>
            <w:vAlign w:val="bottom"/>
            <w:shd w:val="clear" w:color="auto" w:fill="276092"/>
          </w:tcPr>
          <w:p>
            <w:pPr>
              <w:spacing w:after="0"/>
              <w:rPr>
                <w:sz w:val="14"/>
                <w:szCs w:val="14"/>
                <w:color w:val="auto"/>
              </w:rPr>
            </w:pPr>
          </w:p>
        </w:tc>
        <w:tc>
          <w:tcPr>
            <w:tcW w:w="1280" w:type="dxa"/>
            <w:vAlign w:val="bottom"/>
            <w:shd w:val="clear" w:color="auto" w:fill="276092"/>
          </w:tcPr>
          <w:p>
            <w:pPr>
              <w:jc w:val="center"/>
              <w:ind w:left="108"/>
              <w:spacing w:after="0"/>
              <w:rPr>
                <w:sz w:val="20"/>
                <w:szCs w:val="20"/>
                <w:color w:val="auto"/>
              </w:rPr>
            </w:pPr>
            <w:r>
              <w:rPr>
                <w:rFonts w:ascii="Arial" w:cs="Arial" w:eastAsia="Arial" w:hAnsi="Arial"/>
                <w:sz w:val="14"/>
                <w:szCs w:val="14"/>
                <w:b w:val="1"/>
                <w:bCs w:val="1"/>
                <w:color w:val="FFFFFF"/>
              </w:rPr>
              <w:t>Acceleration</w:t>
            </w:r>
          </w:p>
        </w:tc>
        <w:tc>
          <w:tcPr>
            <w:tcW w:w="11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Acceleration</w:t>
            </w:r>
          </w:p>
        </w:tc>
        <w:tc>
          <w:tcPr>
            <w:tcW w:w="1280" w:type="dxa"/>
            <w:vAlign w:val="bottom"/>
            <w:shd w:val="clear" w:color="auto" w:fill="276092"/>
          </w:tcPr>
          <w:p>
            <w:pPr>
              <w:spacing w:after="0"/>
              <w:rPr>
                <w:sz w:val="14"/>
                <w:szCs w:val="14"/>
                <w:color w:val="auto"/>
              </w:rPr>
            </w:pPr>
          </w:p>
        </w:tc>
      </w:tr>
      <w:tr>
        <w:trPr>
          <w:trHeight w:val="162"/>
        </w:trPr>
        <w:tc>
          <w:tcPr>
            <w:tcW w:w="5100" w:type="dxa"/>
            <w:vAlign w:val="bottom"/>
            <w:shd w:val="clear" w:color="auto" w:fill="276092"/>
          </w:tcPr>
          <w:p>
            <w:pPr>
              <w:spacing w:after="0"/>
              <w:rPr>
                <w:sz w:val="14"/>
                <w:szCs w:val="14"/>
                <w:color w:val="auto"/>
              </w:rPr>
            </w:pPr>
          </w:p>
        </w:tc>
        <w:tc>
          <w:tcPr>
            <w:tcW w:w="1280" w:type="dxa"/>
            <w:vAlign w:val="bottom"/>
            <w:shd w:val="clear" w:color="auto" w:fill="276092"/>
          </w:tcPr>
          <w:p>
            <w:pPr>
              <w:ind w:left="360"/>
              <w:spacing w:after="0"/>
              <w:rPr>
                <w:sz w:val="20"/>
                <w:szCs w:val="20"/>
                <w:color w:val="auto"/>
              </w:rPr>
            </w:pPr>
            <w:r>
              <w:rPr>
                <w:rFonts w:ascii="Arial" w:cs="Arial" w:eastAsia="Arial" w:hAnsi="Arial"/>
                <w:sz w:val="14"/>
                <w:szCs w:val="14"/>
                <w:b w:val="1"/>
                <w:bCs w:val="1"/>
                <w:color w:val="FFFFFF"/>
              </w:rPr>
              <w:t>of Vesting</w:t>
            </w:r>
          </w:p>
        </w:tc>
        <w:tc>
          <w:tcPr>
            <w:tcW w:w="1140" w:type="dxa"/>
            <w:vAlign w:val="bottom"/>
            <w:shd w:val="clear" w:color="auto" w:fill="276092"/>
          </w:tcPr>
          <w:p>
            <w:pPr>
              <w:ind w:left="200"/>
              <w:spacing w:after="0"/>
              <w:rPr>
                <w:sz w:val="20"/>
                <w:szCs w:val="20"/>
                <w:color w:val="auto"/>
              </w:rPr>
            </w:pPr>
            <w:r>
              <w:rPr>
                <w:rFonts w:ascii="Arial" w:cs="Arial" w:eastAsia="Arial" w:hAnsi="Arial"/>
                <w:sz w:val="14"/>
                <w:szCs w:val="14"/>
                <w:b w:val="1"/>
                <w:bCs w:val="1"/>
                <w:color w:val="FFFFFF"/>
              </w:rPr>
              <w:t>of Vesting</w:t>
            </w:r>
          </w:p>
        </w:tc>
        <w:tc>
          <w:tcPr>
            <w:tcW w:w="1280" w:type="dxa"/>
            <w:vAlign w:val="bottom"/>
            <w:shd w:val="clear" w:color="auto" w:fill="276092"/>
          </w:tcPr>
          <w:p>
            <w:pPr>
              <w:ind w:left="320"/>
              <w:spacing w:after="0"/>
              <w:rPr>
                <w:sz w:val="20"/>
                <w:szCs w:val="20"/>
                <w:color w:val="auto"/>
              </w:rPr>
            </w:pPr>
            <w:r>
              <w:rPr>
                <w:rFonts w:ascii="Arial" w:cs="Arial" w:eastAsia="Arial" w:hAnsi="Arial"/>
                <w:sz w:val="14"/>
                <w:szCs w:val="14"/>
                <w:b w:val="1"/>
                <w:bCs w:val="1"/>
                <w:color w:val="FFFFFF"/>
              </w:rPr>
              <w:t>Total</w:t>
            </w:r>
          </w:p>
        </w:tc>
      </w:tr>
      <w:tr>
        <w:trPr>
          <w:trHeight w:val="202"/>
        </w:trPr>
        <w:tc>
          <w:tcPr>
            <w:tcW w:w="5100" w:type="dxa"/>
            <w:vAlign w:val="bottom"/>
            <w:shd w:val="clear" w:color="auto" w:fill="276092"/>
          </w:tcPr>
          <w:p>
            <w:pPr>
              <w:ind w:left="80"/>
              <w:spacing w:after="0"/>
              <w:rPr>
                <w:sz w:val="20"/>
                <w:szCs w:val="20"/>
                <w:color w:val="auto"/>
              </w:rPr>
            </w:pPr>
            <w:r>
              <w:rPr>
                <w:rFonts w:ascii="Arial" w:cs="Arial" w:eastAsia="Arial" w:hAnsi="Arial"/>
                <w:sz w:val="14"/>
                <w:szCs w:val="14"/>
                <w:b w:val="1"/>
                <w:bCs w:val="1"/>
                <w:color w:val="FFFFFF"/>
              </w:rPr>
              <w:t>Name</w:t>
            </w:r>
          </w:p>
        </w:tc>
        <w:tc>
          <w:tcPr>
            <w:tcW w:w="1280" w:type="dxa"/>
            <w:vAlign w:val="bottom"/>
            <w:shd w:val="clear" w:color="auto" w:fill="276092"/>
          </w:tcPr>
          <w:p>
            <w:pPr>
              <w:jc w:val="center"/>
              <w:ind w:left="10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276092"/>
          </w:tcPr>
          <w:p>
            <w:pPr>
              <w:jc w:val="center"/>
              <w:ind w:right="228"/>
              <w:spacing w:after="0"/>
              <w:rPr>
                <w:sz w:val="20"/>
                <w:szCs w:val="20"/>
                <w:color w:val="auto"/>
              </w:rPr>
            </w:pPr>
            <w:r>
              <w:rPr>
                <w:rFonts w:ascii="Arial" w:cs="Arial" w:eastAsia="Arial" w:hAnsi="Arial"/>
                <w:sz w:val="14"/>
                <w:szCs w:val="14"/>
                <w:b w:val="1"/>
                <w:bCs w:val="1"/>
                <w:color w:val="FFFFFF"/>
              </w:rPr>
              <w:t>($)</w:t>
            </w:r>
          </w:p>
        </w:tc>
      </w:tr>
      <w:tr>
        <w:trPr>
          <w:trHeight w:val="203"/>
        </w:trPr>
        <w:tc>
          <w:tcPr>
            <w:tcW w:w="5100" w:type="dxa"/>
            <w:vAlign w:val="bottom"/>
            <w:shd w:val="clear" w:color="auto" w:fill="BECFDE"/>
          </w:tcPr>
          <w:p>
            <w:pPr>
              <w:ind w:left="80"/>
              <w:spacing w:after="0"/>
              <w:rPr>
                <w:sz w:val="20"/>
                <w:szCs w:val="20"/>
                <w:color w:val="auto"/>
              </w:rPr>
            </w:pPr>
            <w:r>
              <w:rPr>
                <w:rFonts w:ascii="Arial" w:cs="Arial" w:eastAsia="Arial" w:hAnsi="Arial"/>
                <w:sz w:val="14"/>
                <w:szCs w:val="14"/>
                <w:color w:val="auto"/>
              </w:rPr>
              <w:t>Wesley G. Bush</w:t>
            </w:r>
          </w:p>
        </w:tc>
        <w:tc>
          <w:tcPr>
            <w:tcW w:w="1280" w:type="dxa"/>
            <w:vAlign w:val="bottom"/>
            <w:shd w:val="clear" w:color="auto" w:fill="BECFDE"/>
          </w:tcPr>
          <w:p>
            <w:pPr>
              <w:jc w:val="center"/>
              <w:ind w:left="88"/>
              <w:spacing w:after="0"/>
              <w:rPr>
                <w:sz w:val="20"/>
                <w:szCs w:val="20"/>
                <w:color w:val="auto"/>
              </w:rPr>
            </w:pPr>
            <w:r>
              <w:rPr>
                <w:rFonts w:ascii="Arial" w:cs="Arial" w:eastAsia="Arial" w:hAnsi="Arial"/>
                <w:sz w:val="14"/>
                <w:szCs w:val="14"/>
                <w:color w:val="auto"/>
              </w:rPr>
              <w:t>14,111,415</w:t>
            </w:r>
          </w:p>
        </w:tc>
        <w:tc>
          <w:tcPr>
            <w:tcW w:w="11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20,507,726</w:t>
            </w:r>
          </w:p>
        </w:tc>
        <w:tc>
          <w:tcPr>
            <w:tcW w:w="1280" w:type="dxa"/>
            <w:vAlign w:val="bottom"/>
            <w:shd w:val="clear" w:color="auto" w:fill="BECFDE"/>
          </w:tcPr>
          <w:p>
            <w:pPr>
              <w:jc w:val="center"/>
              <w:ind w:right="208"/>
              <w:spacing w:after="0"/>
              <w:rPr>
                <w:sz w:val="20"/>
                <w:szCs w:val="20"/>
                <w:color w:val="auto"/>
              </w:rPr>
            </w:pPr>
            <w:r>
              <w:rPr>
                <w:rFonts w:ascii="Arial" w:cs="Arial" w:eastAsia="Arial" w:hAnsi="Arial"/>
                <w:sz w:val="14"/>
                <w:szCs w:val="14"/>
                <w:color w:val="auto"/>
              </w:rPr>
              <w:t>34,619,141</w:t>
            </w:r>
          </w:p>
        </w:tc>
      </w:tr>
      <w:tr>
        <w:trPr>
          <w:trHeight w:val="197"/>
        </w:trPr>
        <w:tc>
          <w:tcPr>
            <w:tcW w:w="5100" w:type="dxa"/>
            <w:vAlign w:val="bottom"/>
          </w:tcPr>
          <w:p>
            <w:pPr>
              <w:ind w:left="80"/>
              <w:spacing w:after="0"/>
              <w:rPr>
                <w:sz w:val="20"/>
                <w:szCs w:val="20"/>
                <w:color w:val="auto"/>
              </w:rPr>
            </w:pPr>
            <w:r>
              <w:rPr>
                <w:rFonts w:ascii="Arial" w:cs="Arial" w:eastAsia="Arial" w:hAnsi="Arial"/>
                <w:sz w:val="14"/>
                <w:szCs w:val="14"/>
                <w:color w:val="auto"/>
              </w:rPr>
              <w:t>Kenneth L. Bedingfield</w:t>
            </w:r>
          </w:p>
        </w:tc>
        <w:tc>
          <w:tcPr>
            <w:tcW w:w="1280" w:type="dxa"/>
            <w:vAlign w:val="bottom"/>
          </w:tcPr>
          <w:p>
            <w:pPr>
              <w:jc w:val="center"/>
              <w:ind w:left="88"/>
              <w:spacing w:after="0"/>
              <w:rPr>
                <w:sz w:val="20"/>
                <w:szCs w:val="20"/>
                <w:color w:val="auto"/>
              </w:rPr>
            </w:pPr>
            <w:r>
              <w:rPr>
                <w:rFonts w:ascii="Arial" w:cs="Arial" w:eastAsia="Arial" w:hAnsi="Arial"/>
                <w:sz w:val="14"/>
                <w:szCs w:val="14"/>
                <w:color w:val="auto"/>
              </w:rPr>
              <w:t>4,502,677</w:t>
            </w:r>
          </w:p>
        </w:tc>
        <w:tc>
          <w:tcPr>
            <w:tcW w:w="1140" w:type="dxa"/>
            <w:vAlign w:val="bottom"/>
          </w:tcPr>
          <w:p>
            <w:pPr>
              <w:jc w:val="center"/>
              <w:spacing w:after="0"/>
              <w:rPr>
                <w:sz w:val="20"/>
                <w:szCs w:val="20"/>
                <w:color w:val="auto"/>
              </w:rPr>
            </w:pPr>
            <w:r>
              <w:rPr>
                <w:rFonts w:ascii="Arial" w:cs="Arial" w:eastAsia="Arial" w:hAnsi="Arial"/>
                <w:sz w:val="14"/>
                <w:szCs w:val="14"/>
                <w:color w:val="auto"/>
              </w:rPr>
              <w:t>6,386,490</w:t>
            </w: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rPr>
              <w:t>10,889,167</w:t>
            </w:r>
          </w:p>
        </w:tc>
      </w:tr>
      <w:tr>
        <w:trPr>
          <w:trHeight w:val="209"/>
        </w:trPr>
        <w:tc>
          <w:tcPr>
            <w:tcW w:w="5100" w:type="dxa"/>
            <w:vAlign w:val="bottom"/>
            <w:shd w:val="clear" w:color="auto" w:fill="BECFDE"/>
          </w:tcPr>
          <w:p>
            <w:pPr>
              <w:ind w:left="80"/>
              <w:spacing w:after="0"/>
              <w:rPr>
                <w:sz w:val="20"/>
                <w:szCs w:val="20"/>
                <w:color w:val="auto"/>
              </w:rPr>
            </w:pPr>
            <w:r>
              <w:rPr>
                <w:rFonts w:ascii="Arial" w:cs="Arial" w:eastAsia="Arial" w:hAnsi="Arial"/>
                <w:sz w:val="14"/>
                <w:szCs w:val="14"/>
                <w:color w:val="auto"/>
              </w:rPr>
              <w:t>Gloria A. Flach</w:t>
            </w:r>
          </w:p>
        </w:tc>
        <w:tc>
          <w:tcPr>
            <w:tcW w:w="1280" w:type="dxa"/>
            <w:vAlign w:val="bottom"/>
            <w:shd w:val="clear" w:color="auto" w:fill="BECFDE"/>
          </w:tcPr>
          <w:p>
            <w:pPr>
              <w:jc w:val="center"/>
              <w:ind w:left="88"/>
              <w:spacing w:after="0"/>
              <w:rPr>
                <w:sz w:val="20"/>
                <w:szCs w:val="20"/>
                <w:color w:val="auto"/>
              </w:rPr>
            </w:pPr>
            <w:r>
              <w:rPr>
                <w:rFonts w:ascii="Arial" w:cs="Arial" w:eastAsia="Arial" w:hAnsi="Arial"/>
                <w:sz w:val="14"/>
                <w:szCs w:val="14"/>
                <w:color w:val="auto"/>
              </w:rPr>
              <w:t>5,138,901</w:t>
            </w:r>
          </w:p>
        </w:tc>
        <w:tc>
          <w:tcPr>
            <w:tcW w:w="114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7,177,397</w:t>
            </w:r>
          </w:p>
        </w:tc>
        <w:tc>
          <w:tcPr>
            <w:tcW w:w="1280" w:type="dxa"/>
            <w:vAlign w:val="bottom"/>
            <w:shd w:val="clear" w:color="auto" w:fill="BECFDE"/>
          </w:tcPr>
          <w:p>
            <w:pPr>
              <w:jc w:val="center"/>
              <w:ind w:right="208"/>
              <w:spacing w:after="0"/>
              <w:rPr>
                <w:sz w:val="20"/>
                <w:szCs w:val="20"/>
                <w:color w:val="auto"/>
              </w:rPr>
            </w:pPr>
            <w:r>
              <w:rPr>
                <w:rFonts w:ascii="Arial" w:cs="Arial" w:eastAsia="Arial" w:hAnsi="Arial"/>
                <w:sz w:val="14"/>
                <w:szCs w:val="14"/>
                <w:color w:val="auto"/>
              </w:rPr>
              <w:t>12,316,298</w:t>
            </w:r>
          </w:p>
        </w:tc>
      </w:tr>
      <w:tr>
        <w:trPr>
          <w:trHeight w:val="197"/>
        </w:trPr>
        <w:tc>
          <w:tcPr>
            <w:tcW w:w="5100" w:type="dxa"/>
            <w:vAlign w:val="bottom"/>
          </w:tcPr>
          <w:p>
            <w:pPr>
              <w:ind w:left="80"/>
              <w:spacing w:after="0"/>
              <w:rPr>
                <w:sz w:val="20"/>
                <w:szCs w:val="20"/>
                <w:color w:val="auto"/>
              </w:rPr>
            </w:pPr>
            <w:r>
              <w:rPr>
                <w:rFonts w:ascii="Arial" w:cs="Arial" w:eastAsia="Arial" w:hAnsi="Arial"/>
                <w:sz w:val="14"/>
                <w:szCs w:val="14"/>
                <w:color w:val="auto"/>
              </w:rPr>
              <w:t>Janis G. Pamiljans</w:t>
            </w:r>
          </w:p>
        </w:tc>
        <w:tc>
          <w:tcPr>
            <w:tcW w:w="1280" w:type="dxa"/>
            <w:vAlign w:val="bottom"/>
          </w:tcPr>
          <w:p>
            <w:pPr>
              <w:jc w:val="center"/>
              <w:ind w:left="88"/>
              <w:spacing w:after="0"/>
              <w:rPr>
                <w:sz w:val="20"/>
                <w:szCs w:val="20"/>
                <w:color w:val="auto"/>
              </w:rPr>
            </w:pPr>
            <w:r>
              <w:rPr>
                <w:rFonts w:ascii="Arial" w:cs="Arial" w:eastAsia="Arial" w:hAnsi="Arial"/>
                <w:sz w:val="14"/>
                <w:szCs w:val="14"/>
                <w:color w:val="auto"/>
              </w:rPr>
              <w:t>2,425,510</w:t>
            </w:r>
          </w:p>
        </w:tc>
        <w:tc>
          <w:tcPr>
            <w:tcW w:w="1140" w:type="dxa"/>
            <w:vAlign w:val="bottom"/>
          </w:tcPr>
          <w:p>
            <w:pPr>
              <w:jc w:val="center"/>
              <w:spacing w:after="0"/>
              <w:rPr>
                <w:sz w:val="20"/>
                <w:szCs w:val="20"/>
                <w:color w:val="auto"/>
              </w:rPr>
            </w:pPr>
            <w:r>
              <w:rPr>
                <w:rFonts w:ascii="Arial" w:cs="Arial" w:eastAsia="Arial" w:hAnsi="Arial"/>
                <w:sz w:val="14"/>
                <w:szCs w:val="14"/>
                <w:color w:val="auto"/>
              </w:rPr>
              <w:t>3,431,560</w:t>
            </w: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rPr>
              <w:t>5,857,070</w:t>
            </w:r>
          </w:p>
        </w:tc>
      </w:tr>
      <w:tr>
        <w:trPr>
          <w:trHeight w:val="203"/>
        </w:trPr>
        <w:tc>
          <w:tcPr>
            <w:tcW w:w="5100" w:type="dxa"/>
            <w:vAlign w:val="bottom"/>
            <w:tcBorders>
              <w:bottom w:val="single" w:sz="8" w:color="276092"/>
            </w:tcBorders>
            <w:shd w:val="clear" w:color="auto" w:fill="BECFDE"/>
          </w:tcPr>
          <w:p>
            <w:pPr>
              <w:ind w:left="80"/>
              <w:spacing w:after="0"/>
              <w:rPr>
                <w:sz w:val="20"/>
                <w:szCs w:val="20"/>
                <w:color w:val="auto"/>
              </w:rPr>
            </w:pPr>
            <w:r>
              <w:rPr>
                <w:rFonts w:ascii="Arial" w:cs="Arial" w:eastAsia="Arial" w:hAnsi="Arial"/>
                <w:sz w:val="14"/>
                <w:szCs w:val="14"/>
                <w:color w:val="auto"/>
              </w:rPr>
              <w:t>Kathy J. Warden</w:t>
            </w:r>
          </w:p>
        </w:tc>
        <w:tc>
          <w:tcPr>
            <w:tcW w:w="1280" w:type="dxa"/>
            <w:vAlign w:val="bottom"/>
            <w:tcBorders>
              <w:bottom w:val="single" w:sz="8" w:color="276092"/>
            </w:tcBorders>
            <w:shd w:val="clear" w:color="auto" w:fill="BECFDE"/>
          </w:tcPr>
          <w:p>
            <w:pPr>
              <w:jc w:val="center"/>
              <w:ind w:left="88"/>
              <w:spacing w:after="0"/>
              <w:rPr>
                <w:sz w:val="20"/>
                <w:szCs w:val="20"/>
                <w:color w:val="auto"/>
              </w:rPr>
            </w:pPr>
            <w:r>
              <w:rPr>
                <w:rFonts w:ascii="Arial" w:cs="Arial" w:eastAsia="Arial" w:hAnsi="Arial"/>
                <w:sz w:val="14"/>
                <w:szCs w:val="14"/>
                <w:color w:val="auto"/>
              </w:rPr>
              <w:t>4,967,645</w:t>
            </w:r>
          </w:p>
        </w:tc>
        <w:tc>
          <w:tcPr>
            <w:tcW w:w="1140" w:type="dxa"/>
            <w:vAlign w:val="bottom"/>
            <w:tcBorders>
              <w:bottom w:val="single" w:sz="8" w:color="276092"/>
            </w:tcBorders>
            <w:shd w:val="clear" w:color="auto" w:fill="BECFDE"/>
          </w:tcPr>
          <w:p>
            <w:pPr>
              <w:jc w:val="center"/>
              <w:spacing w:after="0"/>
              <w:rPr>
                <w:sz w:val="20"/>
                <w:szCs w:val="20"/>
                <w:color w:val="auto"/>
              </w:rPr>
            </w:pPr>
            <w:r>
              <w:rPr>
                <w:rFonts w:ascii="Arial" w:cs="Arial" w:eastAsia="Arial" w:hAnsi="Arial"/>
                <w:sz w:val="14"/>
                <w:szCs w:val="14"/>
                <w:color w:val="auto"/>
              </w:rPr>
              <w:t>7,177,398</w:t>
            </w:r>
          </w:p>
        </w:tc>
        <w:tc>
          <w:tcPr>
            <w:tcW w:w="1280" w:type="dxa"/>
            <w:vAlign w:val="bottom"/>
            <w:tcBorders>
              <w:bottom w:val="single" w:sz="8" w:color="276092"/>
            </w:tcBorders>
            <w:shd w:val="clear" w:color="auto" w:fill="BECFDE"/>
          </w:tcPr>
          <w:p>
            <w:pPr>
              <w:jc w:val="center"/>
              <w:ind w:right="208"/>
              <w:spacing w:after="0"/>
              <w:rPr>
                <w:sz w:val="20"/>
                <w:szCs w:val="20"/>
                <w:color w:val="auto"/>
              </w:rPr>
            </w:pPr>
            <w:r>
              <w:rPr>
                <w:rFonts w:ascii="Arial" w:cs="Arial" w:eastAsia="Arial" w:hAnsi="Arial"/>
                <w:sz w:val="14"/>
                <w:szCs w:val="14"/>
                <w:color w:val="auto"/>
              </w:rPr>
              <w:t>12,145,043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-985520</wp:posOffset>
            </wp:positionV>
            <wp:extent cx="147510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31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Termination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22"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following table provides estimated payments and benefits that the Company would have provided to each NEO if his or her employment had terminated on December 31, 2017 for the reasons set forth in the table below. The Company stock price is assumed to be $306.91, the closing market price on December 29, 2017, the last trading day of the year. These payments and benefits are payable based on:</w:t>
      </w:r>
    </w:p>
    <w:p>
      <w:pPr>
        <w:spacing w:after="0" w:line="107" w:lineRule="exact"/>
        <w:rPr>
          <w:sz w:val="20"/>
          <w:szCs w:val="20"/>
          <w:color w:val="auto"/>
        </w:rPr>
      </w:pPr>
    </w:p>
    <w:p>
      <w:pPr>
        <w:ind w:left="520" w:hanging="316"/>
        <w:spacing w:after="0"/>
        <w:tabs>
          <w:tab w:leader="none" w:pos="520" w:val="left"/>
        </w:tabs>
        <w:numPr>
          <w:ilvl w:val="0"/>
          <w:numId w:val="113"/>
        </w:numPr>
        <w:rPr>
          <w:rFonts w:ascii="Arial" w:cs="Arial" w:eastAsia="Arial" w:hAnsi="Arial"/>
          <w:sz w:val="18"/>
          <w:szCs w:val="18"/>
          <w:color w:val="276092"/>
        </w:rPr>
      </w:pPr>
      <w:r>
        <w:rPr>
          <w:rFonts w:ascii="Arial" w:cs="Arial" w:eastAsia="Arial" w:hAnsi="Arial"/>
          <w:sz w:val="18"/>
          <w:szCs w:val="18"/>
          <w:color w:val="auto"/>
        </w:rPr>
        <w:t>the Severance Plan;</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13"/>
        </w:numPr>
        <w:rPr>
          <w:rFonts w:ascii="Arial" w:cs="Arial" w:eastAsia="Arial" w:hAnsi="Arial"/>
          <w:sz w:val="18"/>
          <w:szCs w:val="18"/>
          <w:color w:val="276092"/>
        </w:rPr>
      </w:pPr>
      <w:r>
        <w:rPr>
          <w:rFonts w:ascii="Arial" w:cs="Arial" w:eastAsia="Arial" w:hAnsi="Arial"/>
          <w:sz w:val="18"/>
          <w:szCs w:val="18"/>
          <w:color w:val="auto"/>
        </w:rPr>
        <w:t>the 2011 Plan and the terms and conditions of equity awards made pursuant to the plan;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13"/>
        </w:numPr>
        <w:rPr>
          <w:rFonts w:ascii="Arial" w:cs="Arial" w:eastAsia="Arial" w:hAnsi="Arial"/>
          <w:sz w:val="18"/>
          <w:szCs w:val="18"/>
          <w:color w:val="276092"/>
        </w:rPr>
      </w:pPr>
      <w:r>
        <w:rPr>
          <w:rFonts w:ascii="Arial" w:cs="Arial" w:eastAsia="Arial" w:hAnsi="Arial"/>
          <w:sz w:val="18"/>
          <w:szCs w:val="18"/>
          <w:color w:val="auto"/>
        </w:rPr>
        <w:t>the SORMP (Retiree Medical and Life Insurance).</w:t>
      </w:r>
    </w:p>
    <w:p>
      <w:pPr>
        <w:spacing w:after="0" w:line="11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and the NEO’s age. The amounts described below are in addition to an NEO’s benefits described in the Pension Benefits and Nonqualified Deferred Compensation Tables on pages 56 and 60, respectively, as well as benefits generally available to our employees such as distributions under our savings plan, disability or life insurance benefits and accrued vacation.</w:t>
      </w:r>
    </w:p>
    <w:p>
      <w:pPr>
        <w:spacing w:after="0" w:line="135" w:lineRule="exact"/>
        <w:rPr>
          <w:sz w:val="20"/>
          <w:szCs w:val="20"/>
          <w:color w:val="auto"/>
        </w:rPr>
      </w:pPr>
    </w:p>
    <w:p>
      <w:pPr>
        <w:ind w:left="460" w:hanging="256"/>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TERMINATION PAYMENTS AND BENEFITS | T</w:t>
      </w:r>
      <w:r>
        <w:rPr>
          <w:rFonts w:ascii="Arial" w:cs="Arial" w:eastAsia="Arial" w:hAnsi="Arial"/>
          <w:sz w:val="18"/>
          <w:szCs w:val="18"/>
          <w:b w:val="1"/>
          <w:bCs w:val="1"/>
          <w:color w:val="FFFFFF"/>
        </w:rPr>
        <w:t>ERMINATION</w:t>
      </w:r>
      <w:r>
        <w:rPr>
          <w:rFonts w:ascii="Arial" w:cs="Arial" w:eastAsia="Arial" w:hAnsi="Arial"/>
          <w:sz w:val="22"/>
          <w:szCs w:val="22"/>
          <w:b w:val="1"/>
          <w:bCs w:val="1"/>
          <w:color w:val="FFFFFF"/>
        </w:rPr>
        <w:t xml:space="preserve"> P</w:t>
      </w:r>
      <w:r>
        <w:rPr>
          <w:rFonts w:ascii="Arial" w:cs="Arial" w:eastAsia="Arial" w:hAnsi="Arial"/>
          <w:sz w:val="18"/>
          <w:szCs w:val="18"/>
          <w:b w:val="1"/>
          <w:bCs w:val="1"/>
          <w:color w:val="FFFFFF"/>
        </w:rPr>
        <w:t>AYMENT</w:t>
      </w:r>
      <w:r>
        <w:rPr>
          <w:rFonts w:ascii="Arial" w:cs="Arial" w:eastAsia="Arial" w:hAnsi="Arial"/>
          <w:sz w:val="22"/>
          <w:szCs w:val="22"/>
          <w:b w:val="1"/>
          <w:bCs w:val="1"/>
          <w:color w:val="FFFFFF"/>
        </w:rPr>
        <w:t xml:space="preserve"> T</w:t>
      </w:r>
      <w:r>
        <w:rPr>
          <w:rFonts w:ascii="Arial" w:cs="Arial" w:eastAsia="Arial" w:hAnsi="Arial"/>
          <w:sz w:val="18"/>
          <w:szCs w:val="18"/>
          <w:b w:val="1"/>
          <w:bCs w:val="1"/>
          <w:color w:val="FFFFFF"/>
        </w:rPr>
        <w:t>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auto"/>
        </w:rPr>
        <w:t>Termination Payment Table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Potential Termination Payments</w:t>
      </w:r>
    </w:p>
    <w:p>
      <w:pPr>
        <w:spacing w:after="0" w:line="25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1640" w:type="dxa"/>
            <w:vAlign w:val="bottom"/>
            <w:shd w:val="clear" w:color="auto" w:fill="276092"/>
          </w:tcPr>
          <w:p>
            <w:pPr>
              <w:spacing w:after="0"/>
              <w:rPr>
                <w:sz w:val="16"/>
                <w:szCs w:val="16"/>
                <w:color w:val="auto"/>
              </w:rPr>
            </w:pPr>
          </w:p>
        </w:tc>
        <w:tc>
          <w:tcPr>
            <w:tcW w:w="3700" w:type="dxa"/>
            <w:vAlign w:val="bottom"/>
            <w:shd w:val="clear" w:color="auto" w:fill="276092"/>
          </w:tcPr>
          <w:p>
            <w:pPr>
              <w:spacing w:after="0"/>
              <w:rPr>
                <w:sz w:val="16"/>
                <w:szCs w:val="16"/>
                <w:color w:val="auto"/>
              </w:rPr>
            </w:pPr>
          </w:p>
        </w:tc>
        <w:tc>
          <w:tcPr>
            <w:tcW w:w="1920" w:type="dxa"/>
            <w:vAlign w:val="bottom"/>
            <w:shd w:val="clear" w:color="auto" w:fill="276092"/>
          </w:tcPr>
          <w:p>
            <w:pPr>
              <w:spacing w:after="0"/>
              <w:rPr>
                <w:sz w:val="16"/>
                <w:szCs w:val="16"/>
                <w:color w:val="auto"/>
              </w:rPr>
            </w:pPr>
          </w:p>
        </w:tc>
        <w:tc>
          <w:tcPr>
            <w:tcW w:w="1360" w:type="dxa"/>
            <w:vAlign w:val="bottom"/>
            <w:shd w:val="clear" w:color="auto" w:fill="276092"/>
          </w:tcPr>
          <w:p>
            <w:pPr>
              <w:spacing w:after="0"/>
              <w:rPr>
                <w:sz w:val="16"/>
                <w:szCs w:val="16"/>
                <w:color w:val="auto"/>
              </w:rPr>
            </w:pPr>
          </w:p>
        </w:tc>
        <w:tc>
          <w:tcPr>
            <w:tcW w:w="12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Post-CIC</w:t>
            </w:r>
          </w:p>
        </w:tc>
        <w:tc>
          <w:tcPr>
            <w:tcW w:w="1120" w:type="dxa"/>
            <w:vAlign w:val="bottom"/>
            <w:shd w:val="clear" w:color="auto" w:fill="27609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276092"/>
          </w:tcPr>
          <w:p>
            <w:pPr>
              <w:spacing w:after="0"/>
              <w:rPr>
                <w:sz w:val="14"/>
                <w:szCs w:val="14"/>
                <w:color w:val="auto"/>
              </w:rPr>
            </w:pPr>
          </w:p>
        </w:tc>
        <w:tc>
          <w:tcPr>
            <w:tcW w:w="3700" w:type="dxa"/>
            <w:vAlign w:val="bottom"/>
            <w:shd w:val="clear" w:color="auto" w:fill="276092"/>
          </w:tcPr>
          <w:p>
            <w:pPr>
              <w:spacing w:after="0"/>
              <w:rPr>
                <w:sz w:val="14"/>
                <w:szCs w:val="14"/>
                <w:color w:val="auto"/>
              </w:rPr>
            </w:pPr>
          </w:p>
        </w:tc>
        <w:tc>
          <w:tcPr>
            <w:tcW w:w="1920" w:type="dxa"/>
            <w:vAlign w:val="bottom"/>
            <w:shd w:val="clear" w:color="auto" w:fill="276092"/>
          </w:tcPr>
          <w:p>
            <w:pPr>
              <w:spacing w:after="0"/>
              <w:rPr>
                <w:sz w:val="14"/>
                <w:szCs w:val="14"/>
                <w:color w:val="auto"/>
              </w:rPr>
            </w:pPr>
          </w:p>
        </w:tc>
        <w:tc>
          <w:tcPr>
            <w:tcW w:w="13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Involuntary</w:t>
            </w:r>
          </w:p>
        </w:tc>
        <w:tc>
          <w:tcPr>
            <w:tcW w:w="12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Involuntary</w:t>
            </w:r>
          </w:p>
        </w:tc>
        <w:tc>
          <w:tcPr>
            <w:tcW w:w="1120" w:type="dxa"/>
            <w:vAlign w:val="bottom"/>
            <w:shd w:val="clear" w:color="auto" w:fill="27609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shd w:val="clear" w:color="auto" w:fill="276092"/>
          </w:tcPr>
          <w:p>
            <w:pPr>
              <w:spacing w:after="0"/>
              <w:rPr>
                <w:sz w:val="14"/>
                <w:szCs w:val="14"/>
                <w:color w:val="auto"/>
              </w:rPr>
            </w:pPr>
          </w:p>
        </w:tc>
        <w:tc>
          <w:tcPr>
            <w:tcW w:w="3700" w:type="dxa"/>
            <w:vAlign w:val="bottom"/>
            <w:shd w:val="clear" w:color="auto" w:fill="276092"/>
          </w:tcPr>
          <w:p>
            <w:pPr>
              <w:spacing w:after="0"/>
              <w:rPr>
                <w:sz w:val="14"/>
                <w:szCs w:val="14"/>
                <w:color w:val="auto"/>
              </w:rPr>
            </w:pPr>
          </w:p>
        </w:tc>
        <w:tc>
          <w:tcPr>
            <w:tcW w:w="1920" w:type="dxa"/>
            <w:vAlign w:val="bottom"/>
            <w:shd w:val="clear" w:color="auto" w:fill="276092"/>
          </w:tcPr>
          <w:p>
            <w:pPr>
              <w:ind w:left="1120"/>
              <w:spacing w:after="0"/>
              <w:rPr>
                <w:sz w:val="20"/>
                <w:szCs w:val="20"/>
                <w:color w:val="auto"/>
              </w:rPr>
            </w:pPr>
            <w:r>
              <w:rPr>
                <w:rFonts w:ascii="Arial" w:cs="Arial" w:eastAsia="Arial" w:hAnsi="Arial"/>
                <w:sz w:val="14"/>
                <w:szCs w:val="14"/>
                <w:b w:val="1"/>
                <w:bCs w:val="1"/>
                <w:color w:val="FFFFFF"/>
              </w:rPr>
              <w:t>Voluntary</w:t>
            </w:r>
          </w:p>
        </w:tc>
        <w:tc>
          <w:tcPr>
            <w:tcW w:w="13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Termination</w:t>
            </w:r>
          </w:p>
        </w:tc>
        <w:tc>
          <w:tcPr>
            <w:tcW w:w="12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or Good Reason</w:t>
            </w:r>
          </w:p>
        </w:tc>
        <w:tc>
          <w:tcPr>
            <w:tcW w:w="1120" w:type="dxa"/>
            <w:vAlign w:val="bottom"/>
            <w:shd w:val="clear" w:color="auto" w:fill="276092"/>
          </w:tcPr>
          <w:p>
            <w:pPr>
              <w:ind w:left="160"/>
              <w:spacing w:after="0"/>
              <w:rPr>
                <w:sz w:val="20"/>
                <w:szCs w:val="20"/>
                <w:color w:val="auto"/>
              </w:rPr>
            </w:pPr>
            <w:r>
              <w:rPr>
                <w:rFonts w:ascii="Arial" w:cs="Arial" w:eastAsia="Arial" w:hAnsi="Arial"/>
                <w:sz w:val="14"/>
                <w:szCs w:val="14"/>
                <w:b w:val="1"/>
                <w:bCs w:val="1"/>
                <w:color w:val="FFFFFF"/>
              </w:rPr>
              <w:t>Death or</w:t>
            </w:r>
          </w:p>
        </w:tc>
        <w:tc>
          <w:tcPr>
            <w:tcW w:w="0" w:type="dxa"/>
            <w:vAlign w:val="bottom"/>
          </w:tcPr>
          <w:p>
            <w:pPr>
              <w:spacing w:after="0"/>
              <w:rPr>
                <w:sz w:val="1"/>
                <w:szCs w:val="1"/>
                <w:color w:val="auto"/>
              </w:rPr>
            </w:pPr>
          </w:p>
        </w:tc>
      </w:tr>
      <w:tr>
        <w:trPr>
          <w:trHeight w:val="162"/>
        </w:trPr>
        <w:tc>
          <w:tcPr>
            <w:tcW w:w="1640" w:type="dxa"/>
            <w:vAlign w:val="bottom"/>
            <w:shd w:val="clear" w:color="auto" w:fill="276092"/>
          </w:tcPr>
          <w:p>
            <w:pPr>
              <w:spacing w:after="0"/>
              <w:rPr>
                <w:sz w:val="14"/>
                <w:szCs w:val="14"/>
                <w:color w:val="auto"/>
              </w:rPr>
            </w:pPr>
          </w:p>
        </w:tc>
        <w:tc>
          <w:tcPr>
            <w:tcW w:w="3700" w:type="dxa"/>
            <w:vAlign w:val="bottom"/>
            <w:shd w:val="clear" w:color="auto" w:fill="276092"/>
          </w:tcPr>
          <w:p>
            <w:pPr>
              <w:spacing w:after="0"/>
              <w:rPr>
                <w:sz w:val="14"/>
                <w:szCs w:val="14"/>
                <w:color w:val="auto"/>
              </w:rPr>
            </w:pPr>
          </w:p>
        </w:tc>
        <w:tc>
          <w:tcPr>
            <w:tcW w:w="1920" w:type="dxa"/>
            <w:vAlign w:val="bottom"/>
            <w:shd w:val="clear" w:color="auto" w:fill="276092"/>
          </w:tcPr>
          <w:p>
            <w:pPr>
              <w:ind w:left="1040"/>
              <w:spacing w:after="0"/>
              <w:rPr>
                <w:sz w:val="20"/>
                <w:szCs w:val="20"/>
                <w:color w:val="auto"/>
              </w:rPr>
            </w:pPr>
            <w:r>
              <w:rPr>
                <w:rFonts w:ascii="Arial" w:cs="Arial" w:eastAsia="Arial" w:hAnsi="Arial"/>
                <w:sz w:val="14"/>
                <w:szCs w:val="14"/>
                <w:b w:val="1"/>
                <w:bCs w:val="1"/>
                <w:color w:val="FFFFFF"/>
              </w:rPr>
              <w:t>Termination</w:t>
            </w:r>
          </w:p>
        </w:tc>
        <w:tc>
          <w:tcPr>
            <w:tcW w:w="13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Not For Cause (1)</w:t>
            </w:r>
          </w:p>
        </w:tc>
        <w:tc>
          <w:tcPr>
            <w:tcW w:w="12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Termination (2)</w:t>
            </w:r>
          </w:p>
        </w:tc>
        <w:tc>
          <w:tcPr>
            <w:tcW w:w="1120" w:type="dxa"/>
            <w:vAlign w:val="bottom"/>
            <w:shd w:val="clear" w:color="auto" w:fill="276092"/>
          </w:tcPr>
          <w:p>
            <w:pPr>
              <w:jc w:val="center"/>
              <w:ind w:right="208"/>
              <w:spacing w:after="0"/>
              <w:rPr>
                <w:sz w:val="20"/>
                <w:szCs w:val="20"/>
                <w:color w:val="auto"/>
              </w:rPr>
            </w:pPr>
            <w:r>
              <w:rPr>
                <w:rFonts w:ascii="Arial" w:cs="Arial" w:eastAsia="Arial" w:hAnsi="Arial"/>
                <w:sz w:val="14"/>
                <w:szCs w:val="14"/>
                <w:b w:val="1"/>
                <w:bCs w:val="1"/>
                <w:color w:val="FFFFFF"/>
              </w:rPr>
              <w:t>Disability</w:t>
            </w:r>
          </w:p>
        </w:tc>
        <w:tc>
          <w:tcPr>
            <w:tcW w:w="0" w:type="dxa"/>
            <w:vAlign w:val="bottom"/>
          </w:tcPr>
          <w:p>
            <w:pPr>
              <w:spacing w:after="0"/>
              <w:rPr>
                <w:sz w:val="1"/>
                <w:szCs w:val="1"/>
                <w:color w:val="auto"/>
              </w:rPr>
            </w:pPr>
          </w:p>
        </w:tc>
      </w:tr>
      <w:tr>
        <w:trPr>
          <w:trHeight w:val="202"/>
        </w:trPr>
        <w:tc>
          <w:tcPr>
            <w:tcW w:w="1640" w:type="dxa"/>
            <w:vAlign w:val="bottom"/>
            <w:shd w:val="clear" w:color="auto" w:fill="276092"/>
          </w:tcPr>
          <w:p>
            <w:pPr>
              <w:ind w:left="60"/>
              <w:spacing w:after="0"/>
              <w:rPr>
                <w:sz w:val="20"/>
                <w:szCs w:val="20"/>
                <w:color w:val="auto"/>
              </w:rPr>
            </w:pPr>
            <w:r>
              <w:rPr>
                <w:rFonts w:ascii="Arial" w:cs="Arial" w:eastAsia="Arial" w:hAnsi="Arial"/>
                <w:sz w:val="14"/>
                <w:szCs w:val="14"/>
                <w:b w:val="1"/>
                <w:bCs w:val="1"/>
                <w:color w:val="FFFFFF"/>
              </w:rPr>
              <w:t>Name</w:t>
            </w:r>
          </w:p>
        </w:tc>
        <w:tc>
          <w:tcPr>
            <w:tcW w:w="3700" w:type="dxa"/>
            <w:vAlign w:val="bottom"/>
            <w:shd w:val="clear" w:color="auto" w:fill="276092"/>
          </w:tcPr>
          <w:p>
            <w:pPr>
              <w:ind w:left="200"/>
              <w:spacing w:after="0"/>
              <w:rPr>
                <w:sz w:val="20"/>
                <w:szCs w:val="20"/>
                <w:color w:val="auto"/>
              </w:rPr>
            </w:pPr>
            <w:r>
              <w:rPr>
                <w:rFonts w:ascii="Arial" w:cs="Arial" w:eastAsia="Arial" w:hAnsi="Arial"/>
                <w:sz w:val="14"/>
                <w:szCs w:val="14"/>
                <w:b w:val="1"/>
                <w:bCs w:val="1"/>
                <w:color w:val="FFFFFF"/>
              </w:rPr>
              <w:t>Executive Benefits</w:t>
            </w:r>
          </w:p>
        </w:tc>
        <w:tc>
          <w:tcPr>
            <w:tcW w:w="1920" w:type="dxa"/>
            <w:vAlign w:val="bottom"/>
            <w:shd w:val="clear" w:color="auto" w:fill="276092"/>
          </w:tcPr>
          <w:p>
            <w:pPr>
              <w:jc w:val="center"/>
              <w:ind w:left="908"/>
              <w:spacing w:after="0"/>
              <w:rPr>
                <w:sz w:val="20"/>
                <w:szCs w:val="20"/>
                <w:color w:val="auto"/>
              </w:rPr>
            </w:pPr>
            <w:r>
              <w:rPr>
                <w:rFonts w:ascii="Arial" w:cs="Arial" w:eastAsia="Arial" w:hAnsi="Arial"/>
                <w:sz w:val="14"/>
                <w:szCs w:val="14"/>
                <w:b w:val="1"/>
                <w:bCs w:val="1"/>
                <w:color w:val="FFFFFF"/>
              </w:rPr>
              <w:t>($)</w:t>
            </w:r>
          </w:p>
        </w:tc>
        <w:tc>
          <w:tcPr>
            <w:tcW w:w="136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280" w:type="dxa"/>
            <w:vAlign w:val="bottom"/>
            <w:shd w:val="clear" w:color="auto" w:fill="276092"/>
          </w:tcPr>
          <w:p>
            <w:pPr>
              <w:jc w:val="center"/>
              <w:spacing w:after="0"/>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276092"/>
          </w:tcPr>
          <w:p>
            <w:pPr>
              <w:jc w:val="center"/>
              <w:ind w:right="1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1640" w:type="dxa"/>
            <w:vAlign w:val="bottom"/>
            <w:vMerge w:val="restart"/>
          </w:tcPr>
          <w:p>
            <w:pPr>
              <w:ind w:left="80"/>
              <w:spacing w:after="0"/>
              <w:rPr>
                <w:sz w:val="20"/>
                <w:szCs w:val="20"/>
                <w:color w:val="auto"/>
              </w:rPr>
            </w:pPr>
            <w:r>
              <w:rPr>
                <w:rFonts w:ascii="Arial" w:cs="Arial" w:eastAsia="Arial" w:hAnsi="Arial"/>
                <w:sz w:val="14"/>
                <w:szCs w:val="14"/>
                <w:color w:val="auto"/>
              </w:rPr>
              <w:t>Wesley G. Bush</w:t>
            </w:r>
          </w:p>
        </w:tc>
        <w:tc>
          <w:tcPr>
            <w:tcW w:w="3700" w:type="dxa"/>
            <w:vAlign w:val="bottom"/>
            <w:shd w:val="clear" w:color="auto" w:fill="BECFDE"/>
          </w:tcPr>
          <w:p>
            <w:pPr>
              <w:ind w:left="200"/>
              <w:spacing w:after="0"/>
              <w:rPr>
                <w:sz w:val="20"/>
                <w:szCs w:val="20"/>
                <w:color w:val="auto"/>
              </w:rPr>
            </w:pPr>
            <w:r>
              <w:rPr>
                <w:rFonts w:ascii="Arial" w:cs="Arial" w:eastAsia="Arial" w:hAnsi="Arial"/>
                <w:sz w:val="14"/>
                <w:szCs w:val="14"/>
                <w:color w:val="auto"/>
              </w:rPr>
              <w:t>Long-term Incentives (3)</w:t>
            </w:r>
          </w:p>
        </w:tc>
        <w:tc>
          <w:tcPr>
            <w:tcW w:w="1920" w:type="dxa"/>
            <w:vAlign w:val="bottom"/>
            <w:shd w:val="clear" w:color="auto" w:fill="BECFDE"/>
          </w:tcPr>
          <w:p>
            <w:pPr>
              <w:jc w:val="center"/>
              <w:ind w:left="888"/>
              <w:spacing w:after="0"/>
              <w:rPr>
                <w:sz w:val="20"/>
                <w:szCs w:val="20"/>
                <w:color w:val="auto"/>
              </w:rPr>
            </w:pPr>
            <w:r>
              <w:rPr>
                <w:rFonts w:ascii="Arial" w:cs="Arial" w:eastAsia="Arial" w:hAnsi="Arial"/>
                <w:sz w:val="14"/>
                <w:szCs w:val="14"/>
                <w:color w:val="auto"/>
              </w:rPr>
              <w:t>19,753,035</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19,753,035</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34,619,141</w:t>
            </w:r>
          </w:p>
        </w:tc>
        <w:tc>
          <w:tcPr>
            <w:tcW w:w="112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24,665,743</w:t>
            </w:r>
          </w:p>
        </w:tc>
        <w:tc>
          <w:tcPr>
            <w:tcW w:w="0" w:type="dxa"/>
            <w:vAlign w:val="bottom"/>
          </w:tcPr>
          <w:p>
            <w:pPr>
              <w:spacing w:after="0"/>
              <w:rPr>
                <w:sz w:val="1"/>
                <w:szCs w:val="1"/>
                <w:color w:val="auto"/>
              </w:rPr>
            </w:pPr>
          </w:p>
        </w:tc>
      </w:tr>
      <w:tr>
        <w:trPr>
          <w:trHeight w:val="96"/>
        </w:trPr>
        <w:tc>
          <w:tcPr>
            <w:tcW w:w="1640" w:type="dxa"/>
            <w:vAlign w:val="bottom"/>
            <w:vMerge w:val="continue"/>
          </w:tcPr>
          <w:p>
            <w:pPr>
              <w:spacing w:after="0"/>
              <w:rPr>
                <w:sz w:val="8"/>
                <w:szCs w:val="8"/>
                <w:color w:val="auto"/>
              </w:rPr>
            </w:pPr>
          </w:p>
        </w:tc>
        <w:tc>
          <w:tcPr>
            <w:tcW w:w="3700" w:type="dxa"/>
            <w:vAlign w:val="bottom"/>
            <w:vMerge w:val="restart"/>
          </w:tcPr>
          <w:p>
            <w:pPr>
              <w:ind w:left="200"/>
              <w:spacing w:after="0"/>
              <w:rPr>
                <w:sz w:val="20"/>
                <w:szCs w:val="20"/>
                <w:color w:val="auto"/>
              </w:rPr>
            </w:pPr>
            <w:r>
              <w:rPr>
                <w:rFonts w:ascii="Arial" w:cs="Arial" w:eastAsia="Arial" w:hAnsi="Arial"/>
                <w:sz w:val="14"/>
                <w:szCs w:val="14"/>
                <w:color w:val="auto"/>
              </w:rPr>
              <w:t>Retiree Medical and Life Insurance (4)</w:t>
            </w:r>
          </w:p>
        </w:tc>
        <w:tc>
          <w:tcPr>
            <w:tcW w:w="1920" w:type="dxa"/>
            <w:vAlign w:val="bottom"/>
            <w:vMerge w:val="restart"/>
          </w:tcPr>
          <w:p>
            <w:pPr>
              <w:jc w:val="center"/>
              <w:ind w:left="888"/>
              <w:spacing w:after="0"/>
              <w:rPr>
                <w:sz w:val="20"/>
                <w:szCs w:val="20"/>
                <w:color w:val="auto"/>
              </w:rPr>
            </w:pPr>
            <w:r>
              <w:rPr>
                <w:rFonts w:ascii="Arial" w:cs="Arial" w:eastAsia="Arial" w:hAnsi="Arial"/>
                <w:sz w:val="14"/>
                <w:szCs w:val="14"/>
                <w:color w:val="auto"/>
              </w:rPr>
              <w:t>1,889,724</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1,889,724</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1,889,724</w:t>
            </w:r>
          </w:p>
        </w:tc>
        <w:tc>
          <w:tcPr>
            <w:tcW w:w="1120" w:type="dxa"/>
            <w:vAlign w:val="bottom"/>
            <w:vMerge w:val="restart"/>
          </w:tcPr>
          <w:p>
            <w:pPr>
              <w:jc w:val="center"/>
              <w:ind w:right="168"/>
              <w:spacing w:after="0"/>
              <w:rPr>
                <w:sz w:val="20"/>
                <w:szCs w:val="20"/>
                <w:color w:val="auto"/>
              </w:rPr>
            </w:pPr>
            <w:r>
              <w:rPr>
                <w:rFonts w:ascii="Arial" w:cs="Arial" w:eastAsia="Arial" w:hAnsi="Arial"/>
                <w:sz w:val="14"/>
                <w:szCs w:val="14"/>
                <w:color w:val="auto"/>
              </w:rPr>
              <w:t>1,889,724</w:t>
            </w:r>
          </w:p>
        </w:tc>
        <w:tc>
          <w:tcPr>
            <w:tcW w:w="0" w:type="dxa"/>
            <w:vAlign w:val="bottom"/>
          </w:tcPr>
          <w:p>
            <w:pPr>
              <w:spacing w:after="0"/>
              <w:rPr>
                <w:sz w:val="1"/>
                <w:szCs w:val="1"/>
                <w:color w:val="auto"/>
              </w:rPr>
            </w:pPr>
          </w:p>
        </w:tc>
      </w:tr>
      <w:tr>
        <w:trPr>
          <w:trHeight w:val="128"/>
        </w:trPr>
        <w:tc>
          <w:tcPr>
            <w:tcW w:w="1640" w:type="dxa"/>
            <w:vAlign w:val="bottom"/>
            <w:tcBorders>
              <w:bottom w:val="single" w:sz="8" w:color="276092"/>
            </w:tcBorders>
          </w:tcPr>
          <w:p>
            <w:pPr>
              <w:spacing w:after="0"/>
              <w:rPr>
                <w:sz w:val="11"/>
                <w:szCs w:val="11"/>
                <w:color w:val="auto"/>
              </w:rPr>
            </w:pPr>
          </w:p>
        </w:tc>
        <w:tc>
          <w:tcPr>
            <w:tcW w:w="3700" w:type="dxa"/>
            <w:vAlign w:val="bottom"/>
            <w:tcBorders>
              <w:bottom w:val="single" w:sz="8" w:color="276092"/>
            </w:tcBorders>
            <w:vMerge w:val="continue"/>
          </w:tcPr>
          <w:p>
            <w:pPr>
              <w:spacing w:after="0"/>
              <w:rPr>
                <w:sz w:val="11"/>
                <w:szCs w:val="11"/>
                <w:color w:val="auto"/>
              </w:rPr>
            </w:pPr>
          </w:p>
        </w:tc>
        <w:tc>
          <w:tcPr>
            <w:tcW w:w="1920" w:type="dxa"/>
            <w:vAlign w:val="bottom"/>
            <w:tcBorders>
              <w:bottom w:val="single" w:sz="8" w:color="276092"/>
            </w:tcBorders>
            <w:vMerge w:val="continue"/>
          </w:tcPr>
          <w:p>
            <w:pPr>
              <w:spacing w:after="0"/>
              <w:rPr>
                <w:sz w:val="11"/>
                <w:szCs w:val="11"/>
                <w:color w:val="auto"/>
              </w:rPr>
            </w:pPr>
          </w:p>
        </w:tc>
        <w:tc>
          <w:tcPr>
            <w:tcW w:w="1360" w:type="dxa"/>
            <w:vAlign w:val="bottom"/>
            <w:tcBorders>
              <w:bottom w:val="single" w:sz="8" w:color="276092"/>
            </w:tcBorders>
            <w:vMerge w:val="continue"/>
          </w:tcPr>
          <w:p>
            <w:pPr>
              <w:spacing w:after="0"/>
              <w:rPr>
                <w:sz w:val="11"/>
                <w:szCs w:val="11"/>
                <w:color w:val="auto"/>
              </w:rPr>
            </w:pPr>
          </w:p>
        </w:tc>
        <w:tc>
          <w:tcPr>
            <w:tcW w:w="1280" w:type="dxa"/>
            <w:vAlign w:val="bottom"/>
            <w:tcBorders>
              <w:bottom w:val="single" w:sz="8" w:color="276092"/>
            </w:tcBorders>
            <w:vMerge w:val="continue"/>
          </w:tcPr>
          <w:p>
            <w:pPr>
              <w:spacing w:after="0"/>
              <w:rPr>
                <w:sz w:val="11"/>
                <w:szCs w:val="11"/>
                <w:color w:val="auto"/>
              </w:rPr>
            </w:pPr>
          </w:p>
        </w:tc>
        <w:tc>
          <w:tcPr>
            <w:tcW w:w="1120" w:type="dxa"/>
            <w:vAlign w:val="bottom"/>
            <w:tcBorders>
              <w:bottom w:val="single" w:sz="8" w:color="276092"/>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700" w:type="dxa"/>
            <w:vAlign w:val="bottom"/>
            <w:shd w:val="clear" w:color="auto" w:fill="BECFDE"/>
          </w:tcPr>
          <w:p>
            <w:pPr>
              <w:ind w:left="200"/>
              <w:spacing w:after="0"/>
              <w:rPr>
                <w:sz w:val="20"/>
                <w:szCs w:val="20"/>
                <w:color w:val="auto"/>
              </w:rPr>
            </w:pPr>
            <w:r>
              <w:rPr>
                <w:rFonts w:ascii="Arial" w:cs="Arial" w:eastAsia="Arial" w:hAnsi="Arial"/>
                <w:sz w:val="14"/>
                <w:szCs w:val="14"/>
                <w:color w:val="auto"/>
              </w:rPr>
              <w:t>Long-term Incentives (3)</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ind w:left="5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10,889,167</w:t>
            </w:r>
          </w:p>
        </w:tc>
        <w:tc>
          <w:tcPr>
            <w:tcW w:w="112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7,746,715</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Severance Benefits (5)</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640" w:type="dxa"/>
            <w:vAlign w:val="bottom"/>
            <w:vMerge w:val="restart"/>
          </w:tcPr>
          <w:p>
            <w:pPr>
              <w:ind w:left="80"/>
              <w:spacing w:after="0"/>
              <w:rPr>
                <w:sz w:val="20"/>
                <w:szCs w:val="20"/>
                <w:color w:val="auto"/>
              </w:rPr>
            </w:pPr>
            <w:r>
              <w:rPr>
                <w:rFonts w:ascii="Arial" w:cs="Arial" w:eastAsia="Arial" w:hAnsi="Arial"/>
                <w:sz w:val="14"/>
                <w:szCs w:val="14"/>
                <w:color w:val="auto"/>
              </w:rPr>
              <w:t>Kenneth L. Bedingfield</w:t>
            </w: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Cash Severance</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2,385,000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1640" w:type="dxa"/>
            <w:vAlign w:val="bottom"/>
            <w:vMerge w:val="continue"/>
          </w:tcPr>
          <w:p>
            <w:pPr>
              <w:spacing w:after="0"/>
              <w:rPr>
                <w:sz w:val="8"/>
                <w:szCs w:val="8"/>
                <w:color w:val="auto"/>
              </w:rPr>
            </w:pPr>
          </w:p>
        </w:tc>
        <w:tc>
          <w:tcPr>
            <w:tcW w:w="3700" w:type="dxa"/>
            <w:vAlign w:val="bottom"/>
            <w:vMerge w:val="restart"/>
          </w:tcPr>
          <w:p>
            <w:pPr>
              <w:ind w:left="560"/>
              <w:spacing w:after="0"/>
              <w:rPr>
                <w:sz w:val="20"/>
                <w:szCs w:val="20"/>
                <w:color w:val="auto"/>
              </w:rPr>
            </w:pPr>
            <w:r>
              <w:rPr>
                <w:rFonts w:ascii="Arial" w:cs="Arial" w:eastAsia="Arial" w:hAnsi="Arial"/>
                <w:sz w:val="14"/>
                <w:szCs w:val="14"/>
                <w:color w:val="auto"/>
              </w:rPr>
              <w:t>Medical/Dental Continuation</w:t>
            </w:r>
          </w:p>
        </w:tc>
        <w:tc>
          <w:tcPr>
            <w:tcW w:w="1920" w:type="dxa"/>
            <w:vAlign w:val="bottom"/>
            <w:vMerge w:val="restart"/>
          </w:tcPr>
          <w:p>
            <w:pPr>
              <w:ind w:left="134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8,104</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Financial Planning/Income Tax</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1640" w:type="dxa"/>
            <w:vAlign w:val="bottom"/>
            <w:tcBorders>
              <w:bottom w:val="single" w:sz="8" w:color="276092"/>
            </w:tcBorders>
          </w:tcPr>
          <w:p>
            <w:pPr>
              <w:spacing w:after="0"/>
              <w:rPr>
                <w:sz w:val="19"/>
                <w:szCs w:val="19"/>
                <w:color w:val="auto"/>
              </w:rPr>
            </w:pPr>
          </w:p>
        </w:tc>
        <w:tc>
          <w:tcPr>
            <w:tcW w:w="3700" w:type="dxa"/>
            <w:vAlign w:val="bottom"/>
            <w:tcBorders>
              <w:bottom w:val="single" w:sz="8" w:color="276092"/>
            </w:tcBorders>
          </w:tcPr>
          <w:p>
            <w:pPr>
              <w:ind w:left="560"/>
              <w:spacing w:after="0"/>
              <w:rPr>
                <w:sz w:val="20"/>
                <w:szCs w:val="20"/>
                <w:color w:val="auto"/>
              </w:rPr>
            </w:pPr>
            <w:r>
              <w:rPr>
                <w:rFonts w:ascii="Arial" w:cs="Arial" w:eastAsia="Arial" w:hAnsi="Arial"/>
                <w:sz w:val="14"/>
                <w:szCs w:val="14"/>
                <w:color w:val="auto"/>
              </w:rPr>
              <w:t>Outplacement Services</w:t>
            </w:r>
          </w:p>
        </w:tc>
        <w:tc>
          <w:tcPr>
            <w:tcW w:w="1920" w:type="dxa"/>
            <w:vAlign w:val="bottom"/>
            <w:tcBorders>
              <w:bottom w:val="single" w:sz="8" w:color="276092"/>
            </w:tcBorders>
          </w:tcPr>
          <w:p>
            <w:pPr>
              <w:ind w:left="13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119,250</w:t>
            </w:r>
          </w:p>
        </w:tc>
        <w:tc>
          <w:tcPr>
            <w:tcW w:w="128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276092"/>
            </w:tcBorders>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700" w:type="dxa"/>
            <w:vAlign w:val="bottom"/>
            <w:shd w:val="clear" w:color="auto" w:fill="BECFDE"/>
          </w:tcPr>
          <w:p>
            <w:pPr>
              <w:ind w:left="200"/>
              <w:spacing w:after="0"/>
              <w:rPr>
                <w:sz w:val="20"/>
                <w:szCs w:val="20"/>
                <w:color w:val="auto"/>
              </w:rPr>
            </w:pPr>
            <w:r>
              <w:rPr>
                <w:rFonts w:ascii="Arial" w:cs="Arial" w:eastAsia="Arial" w:hAnsi="Arial"/>
                <w:sz w:val="14"/>
                <w:szCs w:val="14"/>
                <w:color w:val="auto"/>
              </w:rPr>
              <w:t>Long-term Incentives (3)</w:t>
            </w:r>
          </w:p>
        </w:tc>
        <w:tc>
          <w:tcPr>
            <w:tcW w:w="1920" w:type="dxa"/>
            <w:vAlign w:val="bottom"/>
            <w:shd w:val="clear" w:color="auto" w:fill="BECFDE"/>
          </w:tcPr>
          <w:p>
            <w:pPr>
              <w:jc w:val="center"/>
              <w:ind w:left="888"/>
              <w:spacing w:after="0"/>
              <w:rPr>
                <w:sz w:val="20"/>
                <w:szCs w:val="20"/>
                <w:color w:val="auto"/>
              </w:rPr>
            </w:pPr>
            <w:r>
              <w:rPr>
                <w:rFonts w:ascii="Arial" w:cs="Arial" w:eastAsia="Arial" w:hAnsi="Arial"/>
                <w:sz w:val="14"/>
                <w:szCs w:val="14"/>
                <w:color w:val="auto"/>
              </w:rPr>
              <w:t>7,103,739</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7,103,739</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12,316,298</w:t>
            </w:r>
          </w:p>
        </w:tc>
        <w:tc>
          <w:tcPr>
            <w:tcW w:w="112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8,832,563</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Severance Benefits (5)</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640" w:type="dxa"/>
            <w:vAlign w:val="bottom"/>
            <w:vMerge w:val="restart"/>
          </w:tcPr>
          <w:p>
            <w:pPr>
              <w:ind w:left="80"/>
              <w:spacing w:after="0"/>
              <w:rPr>
                <w:sz w:val="20"/>
                <w:szCs w:val="20"/>
                <w:color w:val="auto"/>
              </w:rPr>
            </w:pPr>
            <w:r>
              <w:rPr>
                <w:rFonts w:ascii="Arial" w:cs="Arial" w:eastAsia="Arial" w:hAnsi="Arial"/>
                <w:sz w:val="14"/>
                <w:szCs w:val="14"/>
                <w:color w:val="auto"/>
              </w:rPr>
              <w:t>Gloria A. Flach (6)</w:t>
            </w: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Cash Severance</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2,430,000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1640" w:type="dxa"/>
            <w:vAlign w:val="bottom"/>
            <w:vMerge w:val="continue"/>
          </w:tcPr>
          <w:p>
            <w:pPr>
              <w:spacing w:after="0"/>
              <w:rPr>
                <w:sz w:val="8"/>
                <w:szCs w:val="8"/>
                <w:color w:val="auto"/>
              </w:rPr>
            </w:pPr>
          </w:p>
        </w:tc>
        <w:tc>
          <w:tcPr>
            <w:tcW w:w="3700" w:type="dxa"/>
            <w:vAlign w:val="bottom"/>
            <w:vMerge w:val="restart"/>
          </w:tcPr>
          <w:p>
            <w:pPr>
              <w:ind w:left="560"/>
              <w:spacing w:after="0"/>
              <w:rPr>
                <w:sz w:val="20"/>
                <w:szCs w:val="20"/>
                <w:color w:val="auto"/>
              </w:rPr>
            </w:pPr>
            <w:r>
              <w:rPr>
                <w:rFonts w:ascii="Arial" w:cs="Arial" w:eastAsia="Arial" w:hAnsi="Arial"/>
                <w:sz w:val="14"/>
                <w:szCs w:val="14"/>
                <w:color w:val="auto"/>
              </w:rPr>
              <w:t>Medical/Dental Continuation</w:t>
            </w:r>
          </w:p>
        </w:tc>
        <w:tc>
          <w:tcPr>
            <w:tcW w:w="1920" w:type="dxa"/>
            <w:vAlign w:val="bottom"/>
            <w:vMerge w:val="restart"/>
          </w:tcPr>
          <w:p>
            <w:pPr>
              <w:ind w:left="134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5,668</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Financial Planning/Income Tax</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1640" w:type="dxa"/>
            <w:vAlign w:val="bottom"/>
            <w:tcBorders>
              <w:bottom w:val="single" w:sz="8" w:color="276092"/>
            </w:tcBorders>
          </w:tcPr>
          <w:p>
            <w:pPr>
              <w:spacing w:after="0"/>
              <w:rPr>
                <w:sz w:val="19"/>
                <w:szCs w:val="19"/>
                <w:color w:val="auto"/>
              </w:rPr>
            </w:pPr>
          </w:p>
        </w:tc>
        <w:tc>
          <w:tcPr>
            <w:tcW w:w="3700" w:type="dxa"/>
            <w:vAlign w:val="bottom"/>
            <w:tcBorders>
              <w:bottom w:val="single" w:sz="8" w:color="276092"/>
            </w:tcBorders>
          </w:tcPr>
          <w:p>
            <w:pPr>
              <w:ind w:left="560"/>
              <w:spacing w:after="0"/>
              <w:rPr>
                <w:sz w:val="20"/>
                <w:szCs w:val="20"/>
                <w:color w:val="auto"/>
              </w:rPr>
            </w:pPr>
            <w:r>
              <w:rPr>
                <w:rFonts w:ascii="Arial" w:cs="Arial" w:eastAsia="Arial" w:hAnsi="Arial"/>
                <w:sz w:val="14"/>
                <w:szCs w:val="14"/>
                <w:color w:val="auto"/>
              </w:rPr>
              <w:t>Outplacement Services</w:t>
            </w:r>
          </w:p>
        </w:tc>
        <w:tc>
          <w:tcPr>
            <w:tcW w:w="1920" w:type="dxa"/>
            <w:vAlign w:val="bottom"/>
            <w:tcBorders>
              <w:bottom w:val="single" w:sz="8" w:color="276092"/>
            </w:tcBorders>
          </w:tcPr>
          <w:p>
            <w:pPr>
              <w:ind w:left="13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121,500</w:t>
            </w:r>
          </w:p>
        </w:tc>
        <w:tc>
          <w:tcPr>
            <w:tcW w:w="128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276092"/>
            </w:tcBorders>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700" w:type="dxa"/>
            <w:vAlign w:val="bottom"/>
            <w:shd w:val="clear" w:color="auto" w:fill="BECFDE"/>
          </w:tcPr>
          <w:p>
            <w:pPr>
              <w:ind w:left="200"/>
              <w:spacing w:after="0"/>
              <w:rPr>
                <w:sz w:val="20"/>
                <w:szCs w:val="20"/>
                <w:color w:val="auto"/>
              </w:rPr>
            </w:pPr>
            <w:r>
              <w:rPr>
                <w:rFonts w:ascii="Arial" w:cs="Arial" w:eastAsia="Arial" w:hAnsi="Arial"/>
                <w:sz w:val="14"/>
                <w:szCs w:val="14"/>
                <w:color w:val="auto"/>
              </w:rPr>
              <w:t>Long-term Incentives (3)</w:t>
            </w:r>
          </w:p>
        </w:tc>
        <w:tc>
          <w:tcPr>
            <w:tcW w:w="1920" w:type="dxa"/>
            <w:vAlign w:val="bottom"/>
            <w:shd w:val="clear" w:color="auto" w:fill="BECFDE"/>
          </w:tcPr>
          <w:p>
            <w:pPr>
              <w:jc w:val="center"/>
              <w:ind w:left="888"/>
              <w:spacing w:after="0"/>
              <w:rPr>
                <w:sz w:val="20"/>
                <w:szCs w:val="20"/>
                <w:color w:val="auto"/>
              </w:rPr>
            </w:pPr>
            <w:r>
              <w:rPr>
                <w:rFonts w:ascii="Arial" w:cs="Arial" w:eastAsia="Arial" w:hAnsi="Arial"/>
                <w:sz w:val="14"/>
                <w:szCs w:val="14"/>
                <w:color w:val="auto"/>
              </w:rPr>
              <w:t>1,500,483</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1,500,483</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5,857,070</w:t>
            </w:r>
          </w:p>
        </w:tc>
        <w:tc>
          <w:tcPr>
            <w:tcW w:w="112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3,569,056</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Severance Benefits (5)</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640" w:type="dxa"/>
            <w:vAlign w:val="bottom"/>
            <w:vMerge w:val="restart"/>
          </w:tcPr>
          <w:p>
            <w:pPr>
              <w:ind w:left="80"/>
              <w:spacing w:after="0"/>
              <w:rPr>
                <w:sz w:val="20"/>
                <w:szCs w:val="20"/>
                <w:color w:val="auto"/>
              </w:rPr>
            </w:pPr>
            <w:r>
              <w:rPr>
                <w:rFonts w:ascii="Arial" w:cs="Arial" w:eastAsia="Arial" w:hAnsi="Arial"/>
                <w:sz w:val="14"/>
                <w:szCs w:val="14"/>
                <w:color w:val="auto"/>
              </w:rPr>
              <w:t>Janis G. Pamiljans</w:t>
            </w: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Cash Severance</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2,430,000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1640" w:type="dxa"/>
            <w:vAlign w:val="bottom"/>
            <w:vMerge w:val="continue"/>
          </w:tcPr>
          <w:p>
            <w:pPr>
              <w:spacing w:after="0"/>
              <w:rPr>
                <w:sz w:val="8"/>
                <w:szCs w:val="8"/>
                <w:color w:val="auto"/>
              </w:rPr>
            </w:pPr>
          </w:p>
        </w:tc>
        <w:tc>
          <w:tcPr>
            <w:tcW w:w="3700" w:type="dxa"/>
            <w:vAlign w:val="bottom"/>
            <w:vMerge w:val="restart"/>
          </w:tcPr>
          <w:p>
            <w:pPr>
              <w:ind w:left="560"/>
              <w:spacing w:after="0"/>
              <w:rPr>
                <w:sz w:val="20"/>
                <w:szCs w:val="20"/>
                <w:color w:val="auto"/>
              </w:rPr>
            </w:pPr>
            <w:r>
              <w:rPr>
                <w:rFonts w:ascii="Arial" w:cs="Arial" w:eastAsia="Arial" w:hAnsi="Arial"/>
                <w:sz w:val="14"/>
                <w:szCs w:val="14"/>
                <w:color w:val="auto"/>
              </w:rPr>
              <w:t>Medical/Dental Continuation</w:t>
            </w:r>
          </w:p>
        </w:tc>
        <w:tc>
          <w:tcPr>
            <w:tcW w:w="1920" w:type="dxa"/>
            <w:vAlign w:val="bottom"/>
            <w:vMerge w:val="restart"/>
          </w:tcPr>
          <w:p>
            <w:pPr>
              <w:ind w:left="134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14,988</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Financial Planning/Income Tax</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1640" w:type="dxa"/>
            <w:vAlign w:val="bottom"/>
            <w:tcBorders>
              <w:bottom w:val="single" w:sz="8" w:color="276092"/>
            </w:tcBorders>
          </w:tcPr>
          <w:p>
            <w:pPr>
              <w:spacing w:after="0"/>
              <w:rPr>
                <w:sz w:val="19"/>
                <w:szCs w:val="19"/>
                <w:color w:val="auto"/>
              </w:rPr>
            </w:pPr>
          </w:p>
        </w:tc>
        <w:tc>
          <w:tcPr>
            <w:tcW w:w="3700" w:type="dxa"/>
            <w:vAlign w:val="bottom"/>
            <w:tcBorders>
              <w:bottom w:val="single" w:sz="8" w:color="276092"/>
            </w:tcBorders>
          </w:tcPr>
          <w:p>
            <w:pPr>
              <w:ind w:left="560"/>
              <w:spacing w:after="0"/>
              <w:rPr>
                <w:sz w:val="20"/>
                <w:szCs w:val="20"/>
                <w:color w:val="auto"/>
              </w:rPr>
            </w:pPr>
            <w:r>
              <w:rPr>
                <w:rFonts w:ascii="Arial" w:cs="Arial" w:eastAsia="Arial" w:hAnsi="Arial"/>
                <w:sz w:val="14"/>
                <w:szCs w:val="14"/>
                <w:color w:val="auto"/>
              </w:rPr>
              <w:t>Outplacement Services</w:t>
            </w:r>
          </w:p>
        </w:tc>
        <w:tc>
          <w:tcPr>
            <w:tcW w:w="1920" w:type="dxa"/>
            <w:vAlign w:val="bottom"/>
            <w:tcBorders>
              <w:bottom w:val="single" w:sz="8" w:color="276092"/>
            </w:tcBorders>
          </w:tcPr>
          <w:p>
            <w:pPr>
              <w:ind w:left="13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121,500</w:t>
            </w:r>
          </w:p>
        </w:tc>
        <w:tc>
          <w:tcPr>
            <w:tcW w:w="128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276092"/>
            </w:tcBorders>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3700" w:type="dxa"/>
            <w:vAlign w:val="bottom"/>
            <w:shd w:val="clear" w:color="auto" w:fill="BECFDE"/>
          </w:tcPr>
          <w:p>
            <w:pPr>
              <w:ind w:left="200"/>
              <w:spacing w:after="0"/>
              <w:rPr>
                <w:sz w:val="20"/>
                <w:szCs w:val="20"/>
                <w:color w:val="auto"/>
              </w:rPr>
            </w:pPr>
            <w:r>
              <w:rPr>
                <w:rFonts w:ascii="Arial" w:cs="Arial" w:eastAsia="Arial" w:hAnsi="Arial"/>
                <w:sz w:val="14"/>
                <w:szCs w:val="14"/>
                <w:color w:val="auto"/>
              </w:rPr>
              <w:t>Long-term Incentives (3)</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ind w:left="5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12,145,043</w:t>
            </w:r>
          </w:p>
        </w:tc>
        <w:tc>
          <w:tcPr>
            <w:tcW w:w="1120" w:type="dxa"/>
            <w:vAlign w:val="bottom"/>
            <w:shd w:val="clear" w:color="auto" w:fill="BECFDE"/>
          </w:tcPr>
          <w:p>
            <w:pPr>
              <w:jc w:val="center"/>
              <w:ind w:right="168"/>
              <w:spacing w:after="0"/>
              <w:rPr>
                <w:sz w:val="20"/>
                <w:szCs w:val="20"/>
                <w:color w:val="auto"/>
              </w:rPr>
            </w:pPr>
            <w:r>
              <w:rPr>
                <w:rFonts w:ascii="Arial" w:cs="Arial" w:eastAsia="Arial" w:hAnsi="Arial"/>
                <w:sz w:val="14"/>
                <w:szCs w:val="14"/>
                <w:color w:val="auto"/>
              </w:rPr>
              <w:t>8,661,307</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Severance Benefits (5)</w:t>
            </w:r>
          </w:p>
        </w:tc>
        <w:tc>
          <w:tcPr>
            <w:tcW w:w="1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640" w:type="dxa"/>
            <w:vAlign w:val="bottom"/>
            <w:vMerge w:val="restart"/>
          </w:tcPr>
          <w:p>
            <w:pPr>
              <w:ind w:left="80"/>
              <w:spacing w:after="0"/>
              <w:rPr>
                <w:sz w:val="20"/>
                <w:szCs w:val="20"/>
                <w:color w:val="auto"/>
              </w:rPr>
            </w:pPr>
            <w:r>
              <w:rPr>
                <w:rFonts w:ascii="Arial" w:cs="Arial" w:eastAsia="Arial" w:hAnsi="Arial"/>
                <w:sz w:val="14"/>
                <w:szCs w:val="14"/>
                <w:color w:val="auto"/>
              </w:rPr>
              <w:t>Kathy J. Warden</w:t>
            </w: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Cash Severance</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2,430,000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1640" w:type="dxa"/>
            <w:vAlign w:val="bottom"/>
            <w:vMerge w:val="continue"/>
          </w:tcPr>
          <w:p>
            <w:pPr>
              <w:spacing w:after="0"/>
              <w:rPr>
                <w:sz w:val="8"/>
                <w:szCs w:val="8"/>
                <w:color w:val="auto"/>
              </w:rPr>
            </w:pPr>
          </w:p>
        </w:tc>
        <w:tc>
          <w:tcPr>
            <w:tcW w:w="3700" w:type="dxa"/>
            <w:vAlign w:val="bottom"/>
            <w:vMerge w:val="restart"/>
          </w:tcPr>
          <w:p>
            <w:pPr>
              <w:ind w:left="560"/>
              <w:spacing w:after="0"/>
              <w:rPr>
                <w:sz w:val="20"/>
                <w:szCs w:val="20"/>
                <w:color w:val="auto"/>
              </w:rPr>
            </w:pPr>
            <w:r>
              <w:rPr>
                <w:rFonts w:ascii="Arial" w:cs="Arial" w:eastAsia="Arial" w:hAnsi="Arial"/>
                <w:sz w:val="14"/>
                <w:szCs w:val="14"/>
                <w:color w:val="auto"/>
              </w:rPr>
              <w:t>Medical/Dental Continuation</w:t>
            </w:r>
          </w:p>
        </w:tc>
        <w:tc>
          <w:tcPr>
            <w:tcW w:w="1920" w:type="dxa"/>
            <w:vAlign w:val="bottom"/>
            <w:vMerge w:val="restart"/>
          </w:tcPr>
          <w:p>
            <w:pPr>
              <w:ind w:left="1340"/>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3,625</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8"/>
        </w:trPr>
        <w:tc>
          <w:tcPr>
            <w:tcW w:w="164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640" w:type="dxa"/>
            <w:vAlign w:val="bottom"/>
          </w:tcPr>
          <w:p>
            <w:pPr>
              <w:spacing w:after="0"/>
              <w:rPr>
                <w:sz w:val="20"/>
                <w:szCs w:val="20"/>
                <w:color w:val="auto"/>
              </w:rPr>
            </w:pPr>
          </w:p>
        </w:tc>
        <w:tc>
          <w:tcPr>
            <w:tcW w:w="3700" w:type="dxa"/>
            <w:vAlign w:val="bottom"/>
            <w:shd w:val="clear" w:color="auto" w:fill="BECFDE"/>
          </w:tcPr>
          <w:p>
            <w:pPr>
              <w:ind w:left="560"/>
              <w:spacing w:after="0"/>
              <w:rPr>
                <w:sz w:val="20"/>
                <w:szCs w:val="20"/>
                <w:color w:val="auto"/>
              </w:rPr>
            </w:pPr>
            <w:r>
              <w:rPr>
                <w:rFonts w:ascii="Arial" w:cs="Arial" w:eastAsia="Arial" w:hAnsi="Arial"/>
                <w:sz w:val="14"/>
                <w:szCs w:val="14"/>
                <w:color w:val="auto"/>
              </w:rPr>
              <w:t>Financial Planning/Income Tax</w:t>
            </w:r>
          </w:p>
        </w:tc>
        <w:tc>
          <w:tcPr>
            <w:tcW w:w="1920" w:type="dxa"/>
            <w:vAlign w:val="bottom"/>
            <w:shd w:val="clear" w:color="auto" w:fill="BECFDE"/>
          </w:tcPr>
          <w:p>
            <w:pPr>
              <w:ind w:left="13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BECFDE"/>
          </w:tcPr>
          <w:p>
            <w:pPr>
              <w:jc w:val="center"/>
              <w:spacing w:after="0"/>
              <w:rPr>
                <w:sz w:val="20"/>
                <w:szCs w:val="20"/>
                <w:color w:val="auto"/>
              </w:rPr>
            </w:pPr>
            <w:r>
              <w:rPr>
                <w:rFonts w:ascii="Arial" w:cs="Arial" w:eastAsia="Arial" w:hAnsi="Arial"/>
                <w:sz w:val="14"/>
                <w:szCs w:val="14"/>
                <w:color w:val="auto"/>
              </w:rPr>
              <w:t>15,000</w:t>
            </w:r>
          </w:p>
        </w:tc>
        <w:tc>
          <w:tcPr>
            <w:tcW w:w="1280" w:type="dxa"/>
            <w:vAlign w:val="bottom"/>
            <w:shd w:val="clear" w:color="auto" w:fill="BECFDE"/>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BECFDE"/>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24"/>
        </w:trPr>
        <w:tc>
          <w:tcPr>
            <w:tcW w:w="1640" w:type="dxa"/>
            <w:vAlign w:val="bottom"/>
            <w:tcBorders>
              <w:bottom w:val="single" w:sz="8" w:color="276092"/>
            </w:tcBorders>
          </w:tcPr>
          <w:p>
            <w:pPr>
              <w:spacing w:after="0"/>
              <w:rPr>
                <w:sz w:val="19"/>
                <w:szCs w:val="19"/>
                <w:color w:val="auto"/>
              </w:rPr>
            </w:pPr>
          </w:p>
        </w:tc>
        <w:tc>
          <w:tcPr>
            <w:tcW w:w="3700" w:type="dxa"/>
            <w:vAlign w:val="bottom"/>
            <w:tcBorders>
              <w:bottom w:val="single" w:sz="8" w:color="276092"/>
            </w:tcBorders>
          </w:tcPr>
          <w:p>
            <w:pPr>
              <w:ind w:left="560"/>
              <w:spacing w:after="0"/>
              <w:rPr>
                <w:sz w:val="20"/>
                <w:szCs w:val="20"/>
                <w:color w:val="auto"/>
              </w:rPr>
            </w:pPr>
            <w:r>
              <w:rPr>
                <w:rFonts w:ascii="Arial" w:cs="Arial" w:eastAsia="Arial" w:hAnsi="Arial"/>
                <w:sz w:val="14"/>
                <w:szCs w:val="14"/>
                <w:color w:val="auto"/>
              </w:rPr>
              <w:t>Outplacement Services</w:t>
            </w:r>
          </w:p>
        </w:tc>
        <w:tc>
          <w:tcPr>
            <w:tcW w:w="1920" w:type="dxa"/>
            <w:vAlign w:val="bottom"/>
            <w:tcBorders>
              <w:bottom w:val="single" w:sz="8" w:color="276092"/>
            </w:tcBorders>
          </w:tcPr>
          <w:p>
            <w:pPr>
              <w:ind w:left="13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rPr>
              <w:t>121,500</w:t>
            </w:r>
          </w:p>
        </w:tc>
        <w:tc>
          <w:tcPr>
            <w:tcW w:w="1280" w:type="dxa"/>
            <w:vAlign w:val="bottom"/>
            <w:tcBorders>
              <w:bottom w:val="single" w:sz="8" w:color="276092"/>
            </w:tcBorders>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Borders>
              <w:bottom w:val="single" w:sz="8" w:color="276092"/>
            </w:tcBorders>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240" w:hanging="436"/>
        <w:spacing w:after="0" w:line="24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Similar treatment provided for certain “good reason” terminations, as described in “Key Components of Our Programs - Severance Benefits” found on page 45; however, there would be no termination payment in the event of an involuntary termination for cause.</w:t>
      </w:r>
    </w:p>
    <w:p>
      <w:pPr>
        <w:spacing w:after="0" w:line="102" w:lineRule="exact"/>
        <w:rPr>
          <w:rFonts w:ascii="Arial" w:cs="Arial" w:eastAsia="Arial" w:hAnsi="Arial"/>
          <w:sz w:val="18"/>
          <w:szCs w:val="18"/>
          <w:color w:val="auto"/>
        </w:rPr>
      </w:pPr>
    </w:p>
    <w:p>
      <w:pPr>
        <w:ind w:left="640" w:right="260" w:hanging="436"/>
        <w:spacing w:after="0" w:line="24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amounts assume full acceleration, which, as discussed above, may not occur to the extent that it would result in an excise tax that decreases the after-tax value of the awards to an NEO.</w:t>
      </w:r>
    </w:p>
    <w:p>
      <w:pPr>
        <w:spacing w:after="0" w:line="102" w:lineRule="exact"/>
        <w:rPr>
          <w:rFonts w:ascii="Arial" w:cs="Arial" w:eastAsia="Arial" w:hAnsi="Arial"/>
          <w:sz w:val="18"/>
          <w:szCs w:val="18"/>
          <w:color w:val="auto"/>
        </w:rPr>
      </w:pPr>
    </w:p>
    <w:p>
      <w:pPr>
        <w:ind w:left="640" w:right="720" w:hanging="436"/>
        <w:spacing w:after="0" w:line="246"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Long-term Incentives include grants of RPSRs and RSRs. Results in a benefit under Voluntary Termination only if eligible for retirement treatment under the terms and conditions of the grants.</w:t>
      </w:r>
    </w:p>
    <w:p>
      <w:pPr>
        <w:spacing w:after="0" w:line="102" w:lineRule="exact"/>
        <w:rPr>
          <w:rFonts w:ascii="Arial" w:cs="Arial" w:eastAsia="Arial" w:hAnsi="Arial"/>
          <w:sz w:val="18"/>
          <w:szCs w:val="18"/>
          <w:color w:val="auto"/>
        </w:rPr>
      </w:pPr>
    </w:p>
    <w:p>
      <w:pPr>
        <w:ind w:left="640" w:right="320" w:hanging="436"/>
        <w:spacing w:after="0" w:line="248"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Represents SORMP benefits outlined in “Key Components of Our Programs - Retiree Medical Arrangement.” Mr. Bush is the only NEO eligible for benefits under this plan due to his date of hire and years of service as an executive. Retiree medical values for</w:t>
      </w:r>
    </w:p>
    <w:p>
      <w:pPr>
        <w:spacing w:after="0" w:line="1" w:lineRule="exact"/>
        <w:rPr>
          <w:rFonts w:ascii="Arial" w:cs="Arial" w:eastAsia="Arial" w:hAnsi="Arial"/>
          <w:sz w:val="17"/>
          <w:szCs w:val="17"/>
          <w:color w:val="auto"/>
        </w:rPr>
      </w:pPr>
    </w:p>
    <w:p>
      <w:pPr>
        <w:ind w:left="640" w:right="60"/>
        <w:spacing w:after="0" w:line="246" w:lineRule="auto"/>
        <w:rPr>
          <w:rFonts w:ascii="Arial" w:cs="Arial" w:eastAsia="Arial" w:hAnsi="Arial"/>
          <w:sz w:val="17"/>
          <w:szCs w:val="17"/>
          <w:color w:val="auto"/>
        </w:rPr>
      </w:pPr>
      <w:r>
        <w:rPr>
          <w:rFonts w:ascii="Arial" w:cs="Arial" w:eastAsia="Arial" w:hAnsi="Arial"/>
          <w:sz w:val="18"/>
          <w:szCs w:val="18"/>
          <w:color w:val="auto"/>
        </w:rPr>
        <w:t>Mr. Bush reflect cost associated with disability. If termination results from death, the retiree medical insurance expense would be less than the disability amount indicated.</w:t>
      </w:r>
    </w:p>
    <w:p>
      <w:pPr>
        <w:spacing w:after="0" w:line="102" w:lineRule="exact"/>
        <w:rPr>
          <w:rFonts w:ascii="Arial" w:cs="Arial" w:eastAsia="Arial" w:hAnsi="Arial"/>
          <w:sz w:val="17"/>
          <w:szCs w:val="17"/>
          <w:color w:val="auto"/>
        </w:rPr>
      </w:pPr>
    </w:p>
    <w:p>
      <w:pPr>
        <w:ind w:left="640" w:right="40" w:hanging="436"/>
        <w:spacing w:after="0" w:line="239" w:lineRule="auto"/>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the following benefits under the Severance Plan, assuming a termination date of December 31, 2017: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pacing w:after="0" w:line="9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Mr. Bush does not receive severance benefits as he is not eligible to participate in a Northrop Grumman severance plan.</w:t>
      </w:r>
    </w:p>
    <w:p>
      <w:pPr>
        <w:spacing w:after="0" w:line="117" w:lineRule="exact"/>
        <w:rPr>
          <w:rFonts w:ascii="Arial" w:cs="Arial" w:eastAsia="Arial" w:hAnsi="Arial"/>
          <w:sz w:val="18"/>
          <w:szCs w:val="18"/>
          <w:color w:val="auto"/>
        </w:rPr>
      </w:pPr>
    </w:p>
    <w:p>
      <w:pPr>
        <w:ind w:left="640" w:right="60" w:hanging="43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Ms. Flach retired on December 31, 2017 and is eligible for prorated payout of her outstanding grants based on the number of days in the applicable vesting period that Ms. Flach was employed with the Company. For further detail, refer to the Outstanding Equity Awards Table on page 54.</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63</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Audit Committee believes that the appointment of Deloitte &amp; Touche LLP (Deloitte) is in the best interests of the Company and its shareholders, and proposes and recommends that the shareholders ratify the Audit Committee’s appointment of Deloitte as our independent auditor for 2018. Deloitte served as our independent auditor for 2017, and Deloitte or its predecessors have served as the independent auditor for the Company (including certain of its predecessor companies) since 1975. The Audit Committee is responsible for the appointment, compensation, retention, oversight, evaluation and termination, if necessary, of our independent auditor. The Audit Committee is responsible for reviewing and pre-approving audit and non-audit services and related fees for the independent auditor. In addition, the Audit Committee, at least annually, reviews and evaluates with management and our internal auditors Deloitte’s performance and periodically considers whether to change the independent auditor. The Audit Committee also reviews the performance of Deloitte’s lead audit partner, and the Audit Committee and its Chairperson oversee the rotation of Deloitte’s lead audit partner and are involved in the selection of the lead audit partner.</w:t>
      </w:r>
    </w:p>
    <w:p>
      <w:pPr>
        <w:spacing w:after="0" w:line="98"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Although ratification is not required by our Bylaws or otherwise, the Audit Committee is submitting the selection of Deloitte to shareholders as a matter of good corporate governance. If the shareholders fail to ratify the appointment of Deloitte, the Audit Committee will consider this in its selection of auditor for the following year. A representative from Deloitte will attend the Annual Meeting and will have the opportunity to make a statement and respond to appropriate questions.</w:t>
      </w:r>
    </w:p>
    <w:p>
      <w:pPr>
        <w:spacing w:after="0" w:line="321"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Audit Fees and 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aggregate fees billed for the years ended December 31, 2017 and 2016 by Deloitte, the member firms of</w:t>
      </w:r>
    </w:p>
    <w:p>
      <w:pPr>
        <w:ind w:left="200"/>
        <w:spacing w:after="0"/>
        <w:rPr>
          <w:sz w:val="20"/>
          <w:szCs w:val="20"/>
          <w:color w:val="auto"/>
        </w:rPr>
      </w:pPr>
      <w:r>
        <w:rPr>
          <w:rFonts w:ascii="Arial" w:cs="Arial" w:eastAsia="Arial" w:hAnsi="Arial"/>
          <w:sz w:val="18"/>
          <w:szCs w:val="18"/>
          <w:color w:val="auto"/>
        </w:rPr>
        <w:t>Deloitte Touche Tohmatsu Limited and their respective affiliates:</w:t>
      </w: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300" w:type="dxa"/>
            <w:vAlign w:val="bottom"/>
            <w:shd w:val="clear" w:color="auto" w:fill="276092"/>
          </w:tcPr>
          <w:p>
            <w:pPr>
              <w:spacing w:after="0"/>
              <w:rPr>
                <w:sz w:val="19"/>
                <w:szCs w:val="19"/>
                <w:color w:val="auto"/>
              </w:rPr>
            </w:pPr>
          </w:p>
        </w:tc>
        <w:tc>
          <w:tcPr>
            <w:tcW w:w="3040" w:type="dxa"/>
            <w:vAlign w:val="bottom"/>
            <w:shd w:val="clear" w:color="auto" w:fill="276092"/>
          </w:tcPr>
          <w:p>
            <w:pPr>
              <w:spacing w:after="0"/>
              <w:rPr>
                <w:sz w:val="19"/>
                <w:szCs w:val="19"/>
                <w:color w:val="auto"/>
              </w:rPr>
            </w:pPr>
          </w:p>
        </w:tc>
        <w:tc>
          <w:tcPr>
            <w:tcW w:w="1580" w:type="dxa"/>
            <w:vAlign w:val="bottom"/>
            <w:shd w:val="clear" w:color="auto" w:fill="276092"/>
          </w:tcPr>
          <w:p>
            <w:pPr>
              <w:jc w:val="right"/>
              <w:ind w:right="840"/>
              <w:spacing w:after="0"/>
              <w:rPr>
                <w:sz w:val="20"/>
                <w:szCs w:val="20"/>
                <w:color w:val="auto"/>
              </w:rPr>
            </w:pPr>
            <w:r>
              <w:rPr>
                <w:rFonts w:ascii="Arial" w:cs="Arial" w:eastAsia="Arial" w:hAnsi="Arial"/>
                <w:sz w:val="14"/>
                <w:szCs w:val="14"/>
                <w:b w:val="1"/>
                <w:bCs w:val="1"/>
                <w:color w:val="FFFFFF"/>
              </w:rPr>
              <w:t>2017</w:t>
            </w:r>
          </w:p>
        </w:tc>
        <w:tc>
          <w:tcPr>
            <w:tcW w:w="580" w:type="dxa"/>
            <w:vAlign w:val="bottom"/>
            <w:shd w:val="clear" w:color="auto" w:fill="276092"/>
          </w:tcPr>
          <w:p>
            <w:pPr>
              <w:spacing w:after="0"/>
              <w:rPr>
                <w:sz w:val="19"/>
                <w:szCs w:val="19"/>
                <w:color w:val="auto"/>
              </w:rPr>
            </w:pPr>
          </w:p>
        </w:tc>
        <w:tc>
          <w:tcPr>
            <w:tcW w:w="1520" w:type="dxa"/>
            <w:vAlign w:val="bottom"/>
            <w:shd w:val="clear" w:color="auto" w:fill="276092"/>
          </w:tcPr>
          <w:p>
            <w:pPr>
              <w:jc w:val="right"/>
              <w:ind w:right="760"/>
              <w:spacing w:after="0"/>
              <w:rPr>
                <w:sz w:val="20"/>
                <w:szCs w:val="20"/>
                <w:color w:val="auto"/>
              </w:rPr>
            </w:pPr>
            <w:r>
              <w:rPr>
                <w:rFonts w:ascii="Arial" w:cs="Arial" w:eastAsia="Arial" w:hAnsi="Arial"/>
                <w:sz w:val="14"/>
                <w:szCs w:val="14"/>
                <w:b w:val="1"/>
                <w:bCs w:val="1"/>
                <w:color w:val="FFFFFF"/>
              </w:rPr>
              <w:t>2016</w:t>
            </w:r>
          </w:p>
        </w:tc>
      </w:tr>
      <w:tr>
        <w:trPr>
          <w:trHeight w:val="257"/>
        </w:trPr>
        <w:tc>
          <w:tcPr>
            <w:tcW w:w="4300" w:type="dxa"/>
            <w:vAlign w:val="bottom"/>
            <w:shd w:val="clear" w:color="auto" w:fill="BECFDE"/>
          </w:tcPr>
          <w:p>
            <w:pPr>
              <w:ind w:left="60"/>
              <w:spacing w:after="0"/>
              <w:rPr>
                <w:sz w:val="20"/>
                <w:szCs w:val="20"/>
                <w:color w:val="auto"/>
              </w:rPr>
            </w:pPr>
            <w:r>
              <w:rPr>
                <w:rFonts w:ascii="Arial" w:cs="Arial" w:eastAsia="Arial" w:hAnsi="Arial"/>
                <w:sz w:val="16"/>
                <w:szCs w:val="16"/>
                <w:color w:val="auto"/>
              </w:rPr>
              <w:t>Audit Fees (a)</w:t>
            </w:r>
          </w:p>
        </w:tc>
        <w:tc>
          <w:tcPr>
            <w:tcW w:w="3040" w:type="dxa"/>
            <w:vAlign w:val="bottom"/>
            <w:shd w:val="clear" w:color="auto" w:fill="BECFDE"/>
          </w:tcPr>
          <w:p>
            <w:pPr>
              <w:jc w:val="right"/>
              <w:ind w:right="2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BECFDE"/>
          </w:tcPr>
          <w:p>
            <w:pPr>
              <w:jc w:val="right"/>
              <w:ind w:right="60"/>
              <w:spacing w:after="0"/>
              <w:rPr>
                <w:sz w:val="20"/>
                <w:szCs w:val="20"/>
                <w:color w:val="auto"/>
              </w:rPr>
            </w:pPr>
            <w:r>
              <w:rPr>
                <w:rFonts w:ascii="Arial" w:cs="Arial" w:eastAsia="Arial" w:hAnsi="Arial"/>
                <w:sz w:val="16"/>
                <w:szCs w:val="16"/>
                <w:color w:val="auto"/>
              </w:rPr>
              <w:t>15,110,000</w:t>
            </w:r>
          </w:p>
        </w:tc>
        <w:tc>
          <w:tcPr>
            <w:tcW w:w="580" w:type="dxa"/>
            <w:vAlign w:val="bottom"/>
            <w:shd w:val="clear" w:color="auto" w:fill="BECFDE"/>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15,253,000</w:t>
            </w:r>
          </w:p>
        </w:tc>
      </w:tr>
      <w:tr>
        <w:trPr>
          <w:trHeight w:val="247"/>
        </w:trPr>
        <w:tc>
          <w:tcPr>
            <w:tcW w:w="4300" w:type="dxa"/>
            <w:vAlign w:val="bottom"/>
          </w:tcPr>
          <w:p>
            <w:pPr>
              <w:ind w:left="60"/>
              <w:spacing w:after="0"/>
              <w:rPr>
                <w:sz w:val="20"/>
                <w:szCs w:val="20"/>
                <w:color w:val="auto"/>
              </w:rPr>
            </w:pPr>
            <w:r>
              <w:rPr>
                <w:rFonts w:ascii="Arial" w:cs="Arial" w:eastAsia="Arial" w:hAnsi="Arial"/>
                <w:sz w:val="16"/>
                <w:szCs w:val="16"/>
                <w:color w:val="auto"/>
              </w:rPr>
              <w:t>Audit-Related Fees (b)</w:t>
            </w:r>
          </w:p>
        </w:tc>
        <w:tc>
          <w:tcPr>
            <w:tcW w:w="3040" w:type="dxa"/>
            <w:vAlign w:val="bottom"/>
          </w:tcPr>
          <w:p>
            <w:pPr>
              <w:spacing w:after="0"/>
              <w:rPr>
                <w:sz w:val="21"/>
                <w:szCs w:val="21"/>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color w:val="auto"/>
              </w:rPr>
              <w:t>803,000</w:t>
            </w:r>
          </w:p>
        </w:tc>
        <w:tc>
          <w:tcPr>
            <w:tcW w:w="580" w:type="dxa"/>
            <w:vAlign w:val="bottom"/>
          </w:tcPr>
          <w:p>
            <w:pPr>
              <w:spacing w:after="0"/>
              <w:rPr>
                <w:sz w:val="21"/>
                <w:szCs w:val="21"/>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803,000</w:t>
            </w:r>
          </w:p>
        </w:tc>
      </w:tr>
      <w:tr>
        <w:trPr>
          <w:trHeight w:val="266"/>
        </w:trPr>
        <w:tc>
          <w:tcPr>
            <w:tcW w:w="4300" w:type="dxa"/>
            <w:vAlign w:val="bottom"/>
            <w:shd w:val="clear" w:color="auto" w:fill="BECFDE"/>
          </w:tcPr>
          <w:p>
            <w:pPr>
              <w:ind w:left="60"/>
              <w:spacing w:after="0"/>
              <w:rPr>
                <w:sz w:val="20"/>
                <w:szCs w:val="20"/>
                <w:color w:val="auto"/>
              </w:rPr>
            </w:pPr>
            <w:r>
              <w:rPr>
                <w:rFonts w:ascii="Arial" w:cs="Arial" w:eastAsia="Arial" w:hAnsi="Arial"/>
                <w:sz w:val="16"/>
                <w:szCs w:val="16"/>
                <w:color w:val="auto"/>
              </w:rPr>
              <w:t>Tax-Related Fees (c)</w:t>
            </w:r>
          </w:p>
        </w:tc>
        <w:tc>
          <w:tcPr>
            <w:tcW w:w="3040" w:type="dxa"/>
            <w:vAlign w:val="bottom"/>
            <w:shd w:val="clear" w:color="auto" w:fill="BECFDE"/>
          </w:tcPr>
          <w:p>
            <w:pPr>
              <w:spacing w:after="0"/>
              <w:rPr>
                <w:sz w:val="23"/>
                <w:szCs w:val="23"/>
                <w:color w:val="auto"/>
              </w:rPr>
            </w:pPr>
          </w:p>
        </w:tc>
        <w:tc>
          <w:tcPr>
            <w:tcW w:w="1580" w:type="dxa"/>
            <w:vAlign w:val="bottom"/>
            <w:shd w:val="clear" w:color="auto" w:fill="BECFDE"/>
          </w:tcPr>
          <w:p>
            <w:pPr>
              <w:jc w:val="right"/>
              <w:ind w:right="60"/>
              <w:spacing w:after="0"/>
              <w:rPr>
                <w:sz w:val="20"/>
                <w:szCs w:val="20"/>
                <w:color w:val="auto"/>
              </w:rPr>
            </w:pPr>
            <w:r>
              <w:rPr>
                <w:rFonts w:ascii="Arial" w:cs="Arial" w:eastAsia="Arial" w:hAnsi="Arial"/>
                <w:sz w:val="16"/>
                <w:szCs w:val="16"/>
                <w:color w:val="auto"/>
              </w:rPr>
              <w:t>637,000</w:t>
            </w:r>
          </w:p>
        </w:tc>
        <w:tc>
          <w:tcPr>
            <w:tcW w:w="580" w:type="dxa"/>
            <w:vAlign w:val="bottom"/>
            <w:shd w:val="clear" w:color="auto" w:fill="BECFDE"/>
          </w:tcPr>
          <w:p>
            <w:pPr>
              <w:spacing w:after="0"/>
              <w:rPr>
                <w:sz w:val="23"/>
                <w:szCs w:val="23"/>
                <w:color w:val="auto"/>
              </w:rPr>
            </w:pPr>
          </w:p>
        </w:tc>
        <w:tc>
          <w:tcPr>
            <w:tcW w:w="1520" w:type="dxa"/>
            <w:vAlign w:val="bottom"/>
            <w:shd w:val="clear" w:color="auto" w:fill="BECFDE"/>
          </w:tcPr>
          <w:p>
            <w:pPr>
              <w:jc w:val="right"/>
              <w:ind w:right="40"/>
              <w:spacing w:after="0"/>
              <w:rPr>
                <w:sz w:val="20"/>
                <w:szCs w:val="20"/>
                <w:color w:val="auto"/>
              </w:rPr>
            </w:pPr>
            <w:r>
              <w:rPr>
                <w:rFonts w:ascii="Arial" w:cs="Arial" w:eastAsia="Arial" w:hAnsi="Arial"/>
                <w:sz w:val="16"/>
                <w:szCs w:val="16"/>
                <w:color w:val="auto"/>
              </w:rPr>
              <w:t>377,000</w:t>
            </w:r>
          </w:p>
        </w:tc>
      </w:tr>
      <w:tr>
        <w:trPr>
          <w:trHeight w:val="247"/>
        </w:trPr>
        <w:tc>
          <w:tcPr>
            <w:tcW w:w="4300" w:type="dxa"/>
            <w:vAlign w:val="bottom"/>
          </w:tcPr>
          <w:p>
            <w:pPr>
              <w:ind w:left="60"/>
              <w:spacing w:after="0"/>
              <w:rPr>
                <w:sz w:val="20"/>
                <w:szCs w:val="20"/>
                <w:color w:val="auto"/>
              </w:rPr>
            </w:pPr>
            <w:r>
              <w:rPr>
                <w:rFonts w:ascii="Arial" w:cs="Arial" w:eastAsia="Arial" w:hAnsi="Arial"/>
                <w:sz w:val="16"/>
                <w:szCs w:val="16"/>
                <w:color w:val="auto"/>
              </w:rPr>
              <w:t>All Other Fees</w:t>
            </w:r>
          </w:p>
        </w:tc>
        <w:tc>
          <w:tcPr>
            <w:tcW w:w="3040" w:type="dxa"/>
            <w:vAlign w:val="bottom"/>
          </w:tcPr>
          <w:p>
            <w:pPr>
              <w:spacing w:after="0"/>
              <w:rPr>
                <w:sz w:val="21"/>
                <w:szCs w:val="21"/>
                <w:color w:val="auto"/>
              </w:rPr>
            </w:pPr>
          </w:p>
        </w:tc>
        <w:tc>
          <w:tcPr>
            <w:tcW w:w="15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15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60"/>
        </w:trPr>
        <w:tc>
          <w:tcPr>
            <w:tcW w:w="4300" w:type="dxa"/>
            <w:vAlign w:val="bottom"/>
            <w:tcBorders>
              <w:bottom w:val="single" w:sz="8" w:color="276092"/>
            </w:tcBorders>
            <w:shd w:val="clear" w:color="auto" w:fill="BECFDE"/>
          </w:tcPr>
          <w:p>
            <w:pPr>
              <w:ind w:left="60"/>
              <w:spacing w:after="0"/>
              <w:rPr>
                <w:sz w:val="20"/>
                <w:szCs w:val="20"/>
                <w:color w:val="auto"/>
              </w:rPr>
            </w:pPr>
            <w:r>
              <w:rPr>
                <w:rFonts w:ascii="Arial" w:cs="Arial" w:eastAsia="Arial" w:hAnsi="Arial"/>
                <w:sz w:val="16"/>
                <w:szCs w:val="16"/>
                <w:color w:val="auto"/>
              </w:rPr>
              <w:t>Total Fees</w:t>
            </w:r>
          </w:p>
        </w:tc>
        <w:tc>
          <w:tcPr>
            <w:tcW w:w="3040" w:type="dxa"/>
            <w:vAlign w:val="bottom"/>
            <w:tcBorders>
              <w:bottom w:val="single" w:sz="8" w:color="276092"/>
            </w:tcBorders>
            <w:shd w:val="clear" w:color="auto" w:fill="BECFDE"/>
          </w:tcPr>
          <w:p>
            <w:pPr>
              <w:jc w:val="right"/>
              <w:ind w:right="2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276092"/>
            </w:tcBorders>
            <w:shd w:val="clear" w:color="auto" w:fill="BECFDE"/>
          </w:tcPr>
          <w:p>
            <w:pPr>
              <w:jc w:val="right"/>
              <w:ind w:right="60"/>
              <w:spacing w:after="0"/>
              <w:rPr>
                <w:sz w:val="20"/>
                <w:szCs w:val="20"/>
                <w:color w:val="auto"/>
              </w:rPr>
            </w:pPr>
            <w:r>
              <w:rPr>
                <w:rFonts w:ascii="Arial" w:cs="Arial" w:eastAsia="Arial" w:hAnsi="Arial"/>
                <w:sz w:val="16"/>
                <w:szCs w:val="16"/>
                <w:color w:val="auto"/>
              </w:rPr>
              <w:t>16,550,000</w:t>
            </w:r>
          </w:p>
        </w:tc>
        <w:tc>
          <w:tcPr>
            <w:tcW w:w="580" w:type="dxa"/>
            <w:vAlign w:val="bottom"/>
            <w:tcBorders>
              <w:bottom w:val="single" w:sz="8" w:color="276092"/>
            </w:tcBorders>
            <w:shd w:val="clear" w:color="auto" w:fill="BECFDE"/>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276092"/>
            </w:tcBorders>
            <w:shd w:val="clear" w:color="auto" w:fill="BECFDE"/>
          </w:tcPr>
          <w:p>
            <w:pPr>
              <w:jc w:val="right"/>
              <w:ind w:right="40"/>
              <w:spacing w:after="0"/>
              <w:rPr>
                <w:sz w:val="20"/>
                <w:szCs w:val="20"/>
                <w:color w:val="auto"/>
              </w:rPr>
            </w:pPr>
            <w:r>
              <w:rPr>
                <w:rFonts w:ascii="Arial" w:cs="Arial" w:eastAsia="Arial" w:hAnsi="Arial"/>
                <w:sz w:val="16"/>
                <w:szCs w:val="16"/>
                <w:color w:val="auto"/>
              </w:rPr>
              <w:t>16,433,000</w:t>
            </w:r>
          </w:p>
        </w:tc>
      </w:tr>
    </w:tbl>
    <w:p>
      <w:pPr>
        <w:spacing w:after="0" w:line="242" w:lineRule="exact"/>
        <w:rPr>
          <w:sz w:val="20"/>
          <w:szCs w:val="20"/>
          <w:color w:val="auto"/>
        </w:rPr>
      </w:pPr>
    </w:p>
    <w:p>
      <w:pPr>
        <w:ind w:left="640" w:right="100" w:hanging="436"/>
        <w:spacing w:after="0" w:line="23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Audit fees for 2017 and 2016 reflect fees of $12,900,000 in each year for the consolidated financial statement audits and include the audit of internal controls pursuant to Section 404 of the Sarbanes-Oxley Act of 2002. Audit fees for 2017 and 2016 also include $1,544,000 and $1,576,000, respectively, for foreign statutory audits. Fees for foreign statutory audits are reported in the year in which the audits are performed. For example, foreign statutory audit fees reported in 2017 relate to audits of the Company’s foreign entities for the fiscal year ended 2016. The remaining 2017 audit fees primarily relate to audit services associated with the Company’s evaluation of the adoption of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procedures and consultations related to the Company’s Form 8-K filings in connection with its debt issuance in October 2017.</w:t>
      </w:r>
    </w:p>
    <w:p>
      <w:pPr>
        <w:spacing w:after="0" w:line="108" w:lineRule="exact"/>
        <w:rPr>
          <w:rFonts w:ascii="Arial" w:cs="Arial" w:eastAsia="Arial" w:hAnsi="Arial"/>
          <w:sz w:val="18"/>
          <w:szCs w:val="18"/>
          <w:color w:val="auto"/>
        </w:rPr>
      </w:pPr>
    </w:p>
    <w:p>
      <w:pPr>
        <w:jc w:val="both"/>
        <w:ind w:left="640" w:right="280" w:hanging="436"/>
        <w:spacing w:after="0" w:line="239"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Audit-related fees reflect fees for services that are reasonably related to the performance of the audit or review of the Company’s financial statements, including fees related to independent assessment of controls concerning outsourcing activities. Audit-related fees exclude fees that totaled $1,423,000 and $1,370,000 for 2017 and 2016, respectively, related to benefit plan audits which are paid for by the plans.</w:t>
      </w:r>
    </w:p>
    <w:p>
      <w:pPr>
        <w:spacing w:after="0" w:line="107" w:lineRule="exact"/>
        <w:rPr>
          <w:rFonts w:ascii="Arial" w:cs="Arial" w:eastAsia="Arial" w:hAnsi="Arial"/>
          <w:sz w:val="18"/>
          <w:szCs w:val="18"/>
          <w:color w:val="auto"/>
        </w:rPr>
      </w:pPr>
    </w:p>
    <w:p>
      <w:pPr>
        <w:ind w:left="640" w:right="220" w:hanging="436"/>
        <w:spacing w:after="0" w:line="246"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Tax-related fees during 2017 and 2016 reflect fees of $637,000 and $377,000, respectively, for services concerning foreign income tax compliance, foreign Value Added Tax compliance and other tax matters.</w:t>
      </w:r>
    </w:p>
    <w:p>
      <w:pPr>
        <w:spacing w:after="0" w:line="316"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Policy on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both"/>
        <w:ind w:left="200" w:right="60"/>
        <w:spacing w:after="0" w:line="239" w:lineRule="auto"/>
        <w:rPr>
          <w:sz w:val="20"/>
          <w:szCs w:val="20"/>
          <w:color w:val="auto"/>
        </w:rPr>
      </w:pPr>
      <w:r>
        <w:rPr>
          <w:rFonts w:ascii="Arial" w:cs="Arial" w:eastAsia="Arial" w:hAnsi="Arial"/>
          <w:sz w:val="18"/>
          <w:szCs w:val="18"/>
          <w:color w:val="auto"/>
        </w:rPr>
        <w:t>It is the Audit Committee’s policy to pre-approve all audit and permitted non-audit services provided by our independent auditor in order to provide reasonable assurance that the provision of these services does not impair the auditor’s independence. Pre-approval may be given at any time. The Audit Committee has delegated pre-approval authority for any individual project up to $100,000 to the Chairperson of the Audit Committee.</w:t>
      </w:r>
    </w:p>
    <w:p>
      <w:pPr>
        <w:spacing w:after="0" w:line="94" w:lineRule="exact"/>
        <w:rPr>
          <w:sz w:val="20"/>
          <w:szCs w:val="20"/>
          <w:color w:val="auto"/>
        </w:rPr>
      </w:pPr>
    </w:p>
    <w:p>
      <w:pPr>
        <w:ind w:left="200" w:right="780"/>
        <w:spacing w:after="0"/>
        <w:rPr>
          <w:sz w:val="20"/>
          <w:szCs w:val="20"/>
          <w:color w:val="auto"/>
        </w:rPr>
      </w:pPr>
      <w:r>
        <w:rPr>
          <w:rFonts w:ascii="Arial" w:cs="Arial" w:eastAsia="Arial" w:hAnsi="Arial"/>
          <w:sz w:val="18"/>
          <w:szCs w:val="18"/>
          <w:color w:val="auto"/>
        </w:rPr>
        <w:t>The decisions of the Chairperson to pre-approve a permitted service are reported to the Audit Committee at its next meeting. The independent auditor is required to periodically report to the full Audit Committee regarding the extent of services provided by the independent auditor in accordance with this pre-approval policy, as well as the fees for the services performed to date.</w:t>
      </w:r>
    </w:p>
    <w:p>
      <w:pPr>
        <w:spacing w:after="0" w:line="133" w:lineRule="exact"/>
        <w:rPr>
          <w:sz w:val="20"/>
          <w:szCs w:val="20"/>
          <w:color w:val="auto"/>
        </w:rPr>
      </w:pPr>
    </w:p>
    <w:p>
      <w:pPr>
        <w:ind w:left="460" w:hanging="256"/>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THREE: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540"/>
        <w:spacing w:after="0" w:line="275" w:lineRule="auto"/>
        <w:rPr>
          <w:sz w:val="20"/>
          <w:szCs w:val="20"/>
          <w:color w:val="auto"/>
        </w:rPr>
      </w:pPr>
      <w:r>
        <w:rPr>
          <w:rFonts w:ascii="Arial" w:cs="Arial" w:eastAsia="Arial" w:hAnsi="Arial"/>
          <w:sz w:val="17"/>
          <w:szCs w:val="17"/>
          <w:color w:val="auto"/>
        </w:rPr>
        <w:t>The Audit Committee approved all audit and non-audit services provided by Deloitte, the member firms of Deloitte Touche Tohmatsu Limited and their respective affiliates during 2017 and 2016, in each case before being engaged to provide those services.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142875</wp:posOffset>
            </wp:positionV>
            <wp:extent cx="7014845" cy="4629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014845" cy="462915"/>
                    </a:xfrm>
                    <a:prstGeom prst="rect">
                      <a:avLst/>
                    </a:prstGeom>
                    <a:noFill/>
                  </pic:spPr>
                </pic:pic>
              </a:graphicData>
            </a:graphic>
          </wp:anchor>
        </w:drawing>
      </w: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276092"/>
        </w:rPr>
        <w:t>THE BOARD OF DIRECTORS UNANIMOUSLY RECOMMENDS THAT YOU VOTE</w:t>
      </w:r>
    </w:p>
    <w:p>
      <w:pPr>
        <w:jc w:val="center"/>
        <w:ind w:right="-319"/>
        <w:spacing w:after="0"/>
        <w:rPr>
          <w:sz w:val="20"/>
          <w:szCs w:val="20"/>
          <w:color w:val="auto"/>
        </w:rPr>
      </w:pPr>
      <w:r>
        <w:rPr>
          <w:rFonts w:ascii="Arial" w:cs="Arial" w:eastAsia="Arial" w:hAnsi="Arial"/>
          <w:sz w:val="22"/>
          <w:szCs w:val="22"/>
          <w:color w:val="276092"/>
        </w:rPr>
        <w:t>“FOR” PROPOSAL THREE.</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65</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AUDIT COMMITTEE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Audit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Committee’s written charter describes the Audit Committee’s responsibilities and has been approved by the Board of Directors.</w:t>
      </w:r>
    </w:p>
    <w:p>
      <w:pPr>
        <w:spacing w:after="0" w:line="94"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89"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9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In connection with the preparation of the Company’s financial statements as of and for the year ended December 31, 2017, the Audit Committee reviewed and discussed the audited financial statements with the Company’s Chief Executive Officer, Chief Financial Officer and Deloitte. The Audit Committee also discussed with Deloitte the communications required under applicable professional auditing standards and regulations, including the matters required to be discussed by Auditing Standard No. 1301, Communications with Audit Committees, as adopted by the Public Company Accounting Oversight Board (PCAOB) and, with and without management present, discussed and reviewed the results of Deloitte’s examination of the financial statements. Additionally, the Audit Committee discussed with the Company’s internal auditors the results of their audits completed during 2017.</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Audit Committee received the written disclosures and the letter from Deloitte required by the applicable requirements of the PCAOB regarding the independent auditor’s communications with the Audit Committee concerning independence. In addition, the Audit Committee discussed with Deloitte that firm’s independence from the Company.</w:t>
      </w:r>
    </w:p>
    <w:p>
      <w:pPr>
        <w:spacing w:after="0" w:line="95"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Based on the Audit Committee’s review and discussions described in this report, the Audit Committee recommended to the Board of Directors that the audited financial statements for the year ended December 31, 2017 be included in the Company’s Annual Report on Form 10-K for the year ended December 31, 2017 for filing with the SEC. The Audit Committee also reappointed Deloitte to serve as the Company’s independent auditor for 2018, and requested that this appointment be submitted to shareholders for ratification at the Annual Meeting.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AUDIT COMMITTEE</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WILLIAM H. HERNANDEZ, CHAIRPERSON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MARIANNE C. BROWN</w:t>
      </w:r>
    </w:p>
    <w:p>
      <w:pPr>
        <w:jc w:val="center"/>
        <w:ind w:right="-219"/>
        <w:spacing w:after="0" w:line="234" w:lineRule="auto"/>
        <w:rPr>
          <w:sz w:val="20"/>
          <w:szCs w:val="20"/>
          <w:color w:val="auto"/>
        </w:rPr>
      </w:pPr>
      <w:r>
        <w:rPr>
          <w:rFonts w:ascii="Arial" w:cs="Arial" w:eastAsia="Arial" w:hAnsi="Arial"/>
          <w:sz w:val="18"/>
          <w:szCs w:val="18"/>
          <w:b w:val="1"/>
          <w:bCs w:val="1"/>
          <w:color w:val="auto"/>
        </w:rPr>
        <w:t>VICTOR H. FAZIO</w:t>
      </w:r>
    </w:p>
    <w:p>
      <w:pPr>
        <w:jc w:val="center"/>
        <w:ind w:right="-219"/>
        <w:spacing w:after="0" w:line="235" w:lineRule="auto"/>
        <w:rPr>
          <w:sz w:val="20"/>
          <w:szCs w:val="20"/>
          <w:color w:val="auto"/>
        </w:rPr>
      </w:pPr>
      <w:r>
        <w:rPr>
          <w:rFonts w:ascii="Arial" w:cs="Arial" w:eastAsia="Arial" w:hAnsi="Arial"/>
          <w:sz w:val="18"/>
          <w:szCs w:val="18"/>
          <w:b w:val="1"/>
          <w:bCs w:val="1"/>
          <w:color w:val="auto"/>
        </w:rPr>
        <w:t>ANN M. FUDGE</w:t>
      </w:r>
    </w:p>
    <w:p>
      <w:pPr>
        <w:jc w:val="center"/>
        <w:ind w:right="-219"/>
        <w:spacing w:after="0" w:line="235" w:lineRule="auto"/>
        <w:rPr>
          <w:sz w:val="20"/>
          <w:szCs w:val="20"/>
          <w:color w:val="auto"/>
        </w:rPr>
      </w:pPr>
      <w:r>
        <w:rPr>
          <w:rFonts w:ascii="Arial" w:cs="Arial" w:eastAsia="Arial" w:hAnsi="Arial"/>
          <w:sz w:val="18"/>
          <w:szCs w:val="18"/>
          <w:b w:val="1"/>
          <w:bCs w:val="1"/>
          <w:color w:val="auto"/>
        </w:rPr>
        <w:t>MADELEINE A. KLEINER</w:t>
      </w:r>
    </w:p>
    <w:p>
      <w:pPr>
        <w:jc w:val="center"/>
        <w:ind w:right="-219"/>
        <w:spacing w:after="0" w:line="235" w:lineRule="auto"/>
        <w:rPr>
          <w:sz w:val="20"/>
          <w:szCs w:val="20"/>
          <w:color w:val="auto"/>
        </w:rPr>
      </w:pPr>
      <w:r>
        <w:rPr>
          <w:rFonts w:ascii="Arial" w:cs="Arial" w:eastAsia="Arial" w:hAnsi="Arial"/>
          <w:sz w:val="18"/>
          <w:szCs w:val="18"/>
          <w:b w:val="1"/>
          <w:bCs w:val="1"/>
          <w:color w:val="auto"/>
        </w:rPr>
        <w:t>JAMES S. TURLEY</w:t>
      </w:r>
    </w:p>
    <w:p>
      <w:pPr>
        <w:jc w:val="center"/>
        <w:ind w:right="-219"/>
        <w:spacing w:after="0"/>
        <w:rPr>
          <w:sz w:val="20"/>
          <w:szCs w:val="20"/>
          <w:color w:val="auto"/>
        </w:rPr>
      </w:pPr>
      <w:r>
        <w:rPr>
          <w:rFonts w:ascii="Arial" w:cs="Arial" w:eastAsia="Arial" w:hAnsi="Arial"/>
          <w:sz w:val="18"/>
          <w:szCs w:val="18"/>
          <w:b w:val="1"/>
          <w:bCs w:val="1"/>
          <w:color w:val="auto"/>
        </w:rPr>
        <w:t>MARK A. WELSH III</w:t>
      </w:r>
    </w:p>
    <w:p>
      <w:pPr>
        <w:spacing w:after="0" w:line="141" w:lineRule="exact"/>
        <w:rPr>
          <w:sz w:val="20"/>
          <w:szCs w:val="20"/>
          <w:color w:val="auto"/>
        </w:rPr>
      </w:pPr>
    </w:p>
    <w:p>
      <w:pPr>
        <w:ind w:left="460" w:hanging="256"/>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FOUR: SHAREHOLDER PROPOSAL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Mr. John Chevedden, 2215 Nelson Avenue, No. 205, Redondo Beach, California 90278, a beneficial owner of 50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32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Proposal Four: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jc w:val="both"/>
        <w:ind w:left="200" w:right="380"/>
        <w:spacing w:after="0"/>
        <w:rPr>
          <w:sz w:val="20"/>
          <w:szCs w:val="20"/>
          <w:color w:val="auto"/>
        </w:rPr>
      </w:pPr>
      <w:r>
        <w:rPr>
          <w:rFonts w:ascii="Arial" w:cs="Arial" w:eastAsia="Arial" w:hAnsi="Arial"/>
          <w:sz w:val="18"/>
          <w:szCs w:val="18"/>
          <w:color w:val="auto"/>
        </w:rPr>
        <w:t>Resolved, Shareowners ask our board to take the steps necessary (unilaterally if possible) to amend our bylaws and each appropriate governing document to give holders in the aggregate of 10% of our outstanding common stock the power to call a special shareowner meeting. This proposal does not impact our board’s current power to call a special meeting.</w:t>
      </w:r>
    </w:p>
    <w:p>
      <w:pPr>
        <w:spacing w:after="0" w:line="95" w:lineRule="exact"/>
        <w:rPr>
          <w:sz w:val="20"/>
          <w:szCs w:val="20"/>
          <w:color w:val="auto"/>
        </w:rPr>
      </w:pPr>
    </w:p>
    <w:p>
      <w:pPr>
        <w:ind w:left="200" w:right="480"/>
        <w:spacing w:after="0" w:line="246" w:lineRule="auto"/>
        <w:rPr>
          <w:sz w:val="20"/>
          <w:szCs w:val="20"/>
          <w:color w:val="auto"/>
        </w:rPr>
      </w:pPr>
      <w:r>
        <w:rPr>
          <w:rFonts w:ascii="Arial" w:cs="Arial" w:eastAsia="Arial" w:hAnsi="Arial"/>
          <w:sz w:val="18"/>
          <w:szCs w:val="18"/>
          <w:color w:val="auto"/>
        </w:rPr>
        <w:t>Scores of Fortune 500 companies allow a more reasonable 10% of shares to call a special meeting compared to Northrop Grumman (NOC). Northrop shareholders do not have the full right to call a special meeting that is available under Delaware law.</w:t>
      </w:r>
    </w:p>
    <w:p>
      <w:pPr>
        <w:spacing w:after="0" w:line="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Special meetings allow shareowners to vote on important matters, such as electing new directors that can arise between annual meetings.</w:t>
      </w:r>
    </w:p>
    <w:p>
      <w:pPr>
        <w:ind w:left="200"/>
        <w:spacing w:after="0"/>
        <w:rPr>
          <w:sz w:val="20"/>
          <w:szCs w:val="20"/>
          <w:color w:val="auto"/>
        </w:rPr>
      </w:pPr>
      <w:r>
        <w:rPr>
          <w:rFonts w:ascii="Arial" w:cs="Arial" w:eastAsia="Arial" w:hAnsi="Arial"/>
          <w:sz w:val="18"/>
          <w:szCs w:val="18"/>
          <w:color w:val="auto"/>
        </w:rPr>
        <w:t>This proposal topic won more than 70%-support at Edwards Lifesciences and SunEdison in 2013.</w:t>
      </w:r>
    </w:p>
    <w:p>
      <w:pPr>
        <w:spacing w:after="0" w:line="10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A full right for shareholders to call a special meeting could give shareholders greater standing to improve the makeup of our board of directors after the 2018 annual meeting. For instance, Donald Felsinger, a former CEO is now our Lead Director. The Lead Director position has additional oversight of our CEO compared to other directors. For Wesley Bush, CEO, this is somewhat like answering to a Lead Director who is a member of the same CEO club - not in the best interest of shareholders. Plus one could argue that Mr. Felsinger believed CEOs should be paid lavishly when he was a CEO.</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Victor Fazio, a lobbyist, with 17-years long-tenure, was on our Audit Committee. Long-tenure can impair the independence of a director.</w:t>
      </w:r>
    </w:p>
    <w:p>
      <w:pPr>
        <w:ind w:left="200"/>
        <w:spacing w:after="0"/>
        <w:rPr>
          <w:sz w:val="20"/>
          <w:szCs w:val="20"/>
          <w:color w:val="auto"/>
        </w:rPr>
      </w:pPr>
      <w:r>
        <w:rPr>
          <w:rFonts w:ascii="Arial" w:cs="Arial" w:eastAsia="Arial" w:hAnsi="Arial"/>
          <w:sz w:val="18"/>
          <w:szCs w:val="18"/>
          <w:color w:val="auto"/>
        </w:rPr>
        <w:t>Independence is an all-important qualification for a member of our Audit Committee.</w:t>
      </w:r>
    </w:p>
    <w:p>
      <w:pPr>
        <w:spacing w:after="0" w:line="104" w:lineRule="exact"/>
        <w:rPr>
          <w:sz w:val="20"/>
          <w:szCs w:val="20"/>
          <w:color w:val="auto"/>
        </w:rPr>
      </w:pPr>
    </w:p>
    <w:p>
      <w:pPr>
        <w:jc w:val="both"/>
        <w:ind w:left="200" w:right="340"/>
        <w:spacing w:after="0"/>
        <w:rPr>
          <w:sz w:val="20"/>
          <w:szCs w:val="20"/>
          <w:color w:val="auto"/>
        </w:rPr>
      </w:pPr>
      <w:r>
        <w:rPr>
          <w:rFonts w:ascii="Arial" w:cs="Arial" w:eastAsia="Arial" w:hAnsi="Arial"/>
          <w:sz w:val="18"/>
          <w:szCs w:val="18"/>
          <w:color w:val="auto"/>
        </w:rPr>
        <w:t>We had a retired Admiral and retired General on our board. Thus serious consideration should be given to avoiding a 3rd director from primarily a military background. If we had 3 such directors they could become a powerful faction on the board that could tend to vote in lockstep. This may not be good for board diversity – having 3 directors who could speak with one voice.</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Please vote to increase management accountability to shareholders:</w:t>
      </w: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Shareholder Meeting Improvement - Proposal 4</w:t>
      </w:r>
    </w:p>
    <w:p>
      <w:pPr>
        <w:spacing w:after="0" w:line="35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Board of Directors’ Statement in Opposition to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300"/>
        <w:spacing w:after="0" w:line="237" w:lineRule="auto"/>
        <w:rPr>
          <w:sz w:val="20"/>
          <w:szCs w:val="20"/>
          <w:color w:val="auto"/>
        </w:rPr>
      </w:pPr>
      <w:r>
        <w:rPr>
          <w:rFonts w:ascii="Arial" w:cs="Arial" w:eastAsia="Arial" w:hAnsi="Arial"/>
          <w:sz w:val="18"/>
          <w:szCs w:val="18"/>
          <w:color w:val="auto"/>
        </w:rPr>
        <w:t>The Board of Directors unanimously recommends that shareholders vote against this Proposal Four. Almost eight years ago, after thoughtful deliberation with the benefit of significant input from shareholders, the Board of Directors recommended, and shareholders overwhelmingly approved, amendments to the Company’s Certificate of Incorporation and Bylaws to adopt robust and well-balanced special meeting provisions. Those provisions give shareholders holding 25% or more of the Company’s outstanding shares of common stock the right to call special meetings, provided certain limited requirements are met. This Proposal Four - which recommends an alternative threshold of 10% of outstanding shares to call a special meeting - is unnecessary and ill-advised.</w:t>
      </w:r>
    </w:p>
    <w:p>
      <w:pPr>
        <w:spacing w:after="0" w:line="97"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In framing the special meeting provisions, the Board sought and was guided by extensive input from our shareholders and other stakeholders. The Board was mindful that our shareholders both expressed support for special meeting provisions generally and cautioned that the framework should be balanced and ensure adequate protections for all shareholders. The Board believes the Company’s current provisions accomplish those goals. The Company’s current 25% threshold is also among the more common thresholds for large public companies who offer shareholders the right to call special meetings, and the overall approach remains consistent with the special meeting provisions adopted by other Fortune 500 companies.</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Board continues to believe that our special meeting provisions - including specifically the 25% ownership threshold - remain well aligned with our shareholders’ perspectives, best practices and the Company’s best interests. The Board believes they balance and promote the interests of all our shareholders, particularly in the context of our broader governance construct. For example, because our shareholders have the right to propose business for consideration at our annual meeting of shareholders, the Board believes that special meetings should be called only to consider extraordinary events that are of interest to a broad base of our shareholders; specifically, such as when strategic, significant transactional or similar considerations dictate that a matter be addressed on an expeditious basis and cannot be delayed until the next annual meeting of shareholders. The proponent’s shareholder Proposal Four, if adopted, could result in a small minority of shareholders, potentially with narrow, short-term interests, calling a special meeting to</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67</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PROPOSAL FOUR: SHAREHOLDER PROPOSAL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pursue matters that have little likelihood of success and that as much as 90% of shareholders may not view as requiring immediate attention, without regard to how the costs and other burdens might impact the Company’s future success or the interests of the vast majority of shareholders. Not surprisingly, since the special meeting provision was adopted in 2010, we have received very positive feedback from our shareholders in discussions regarding our approach. In that feedback, we have heard no input suggesting the threshold should be reduced to 10%, or that it presents a barrier for shareholders to bring matters of concern to the Company’s attention.</w:t>
      </w:r>
    </w:p>
    <w:p>
      <w:pPr>
        <w:spacing w:after="0" w:line="9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For every special meeting, we must incur significant expenses, including legal, printing and mailing expenses, as well as other costs normally associated with holding a shareholders meeting. Moreover, organizing and preparing for a special meeting involves significant time and attention from our directors, officers and other employees, thus diverting attention away from their focus on meeting our business objectives and enhancing shareholder value. Recognizing the substantial administrative and financial burdens that a special meeting imposes on the Company and its shareholders, the Board believes that the Company’s existing 25% threshold strikes the appropriate balance between allowing shareholders to vote on important matters that arise between annual meetings and protecting against the risk that a small group of shareholders call a meeting that serves only a narrow agenda not favored by the majority of shareholders. The proponent’s shareholder Proposal Four to lower the threshold to call a special meeting to 10% would serve only to undermine the balance our Board sought to preserve.</w:t>
      </w:r>
    </w:p>
    <w:p>
      <w:pPr>
        <w:spacing w:after="0" w:line="99"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As we continue to engage with our shareholders, we remain confident that our special meeting provisions, including the 25% ownership threshold, are consistent with industry practices, provide our shareholders with a meaningful and appropriate right to call special meetings, and balance the need to protect the interests of all of our shareholders. The Board believes that adoption of shareholder Proposal Four – and a threshold of 10% – is not only unnecessary, but contrary to the best interests of the Company and our shareholders.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Vote Required</w:t>
      </w:r>
    </w:p>
    <w:p>
      <w:pPr>
        <w:spacing w:after="0" w:line="121"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142875</wp:posOffset>
            </wp:positionV>
            <wp:extent cx="7014845" cy="4546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14845" cy="454660"/>
                    </a:xfrm>
                    <a:prstGeom prst="rect">
                      <a:avLst/>
                    </a:prstGeom>
                    <a:noFill/>
                  </pic:spPr>
                </pic:pic>
              </a:graphicData>
            </a:graphic>
          </wp:anchor>
        </w:drawing>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276092"/>
        </w:rPr>
        <w:t>THE BOARD OF DIRECTORS UNANIMOUSLY RECOMMENDS THAT YOU VOTE</w:t>
      </w:r>
    </w:p>
    <w:p>
      <w:pPr>
        <w:jc w:val="center"/>
        <w:ind w:right="-339"/>
        <w:spacing w:after="0"/>
        <w:rPr>
          <w:sz w:val="20"/>
          <w:szCs w:val="20"/>
          <w:color w:val="auto"/>
        </w:rPr>
      </w:pPr>
      <w:r>
        <w:rPr>
          <w:rFonts w:ascii="Arial" w:cs="Arial" w:eastAsia="Arial" w:hAnsi="Arial"/>
          <w:sz w:val="22"/>
          <w:szCs w:val="22"/>
          <w:color w:val="276092"/>
        </w:rPr>
        <w:t>“AGAINST” PROPOSAL FOUR.</w:t>
      </w:r>
    </w:p>
    <w:p>
      <w:pPr>
        <w:spacing w:after="0" w:line="250" w:lineRule="exact"/>
        <w:rPr>
          <w:sz w:val="20"/>
          <w:szCs w:val="20"/>
          <w:color w:val="auto"/>
        </w:rPr>
      </w:pPr>
    </w:p>
    <w:p>
      <w:pPr>
        <w:ind w:left="460" w:hanging="256"/>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Why did I receive a “Notice of Internet Availability of Proxy Materials” but not a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March 30, 2018, we mailed a “Notice of Internet Availability of Proxy Materials” to participating shareholders, containing instructions on how to access the proxy materials on the internet.</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You may vote your shares of our common stock if you owned your shares as of the close of business on March 20, 2018 (Record Date). As of the Record Date, there were 174,383,808 shares of our common stock outstanding. You may cast one vote for each share of common stock you hold as of the Record Date on all matters presented.</w:t>
      </w:r>
    </w:p>
    <w:p>
      <w:pPr>
        <w:spacing w:after="0" w:line="32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How many votes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97700"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presence in person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310"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How can I receive a paper copy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What am I being asked to vote on and what are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820"/>
        <w:spacing w:after="0" w:line="246" w:lineRule="auto"/>
        <w:rPr>
          <w:sz w:val="20"/>
          <w:szCs w:val="20"/>
          <w:color w:val="auto"/>
        </w:rPr>
      </w:pPr>
      <w:r>
        <w:rPr>
          <w:rFonts w:ascii="Arial" w:cs="Arial" w:eastAsia="Arial" w:hAnsi="Arial"/>
          <w:sz w:val="18"/>
          <w:szCs w:val="18"/>
          <w:color w:val="auto"/>
        </w:rPr>
        <w:t>The following table lists the proposals scheduled to be voted on, the vote required for approval of each proposal and the effect of abstentions and broker non-votes: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1980" w:type="dxa"/>
            <w:vAlign w:val="bottom"/>
          </w:tcPr>
          <w:p>
            <w:pPr>
              <w:jc w:val="center"/>
              <w:ind w:left="239"/>
              <w:spacing w:after="0"/>
              <w:rPr>
                <w:sz w:val="20"/>
                <w:szCs w:val="20"/>
                <w:color w:val="auto"/>
              </w:rPr>
            </w:pPr>
            <w:r>
              <w:rPr>
                <w:rFonts w:ascii="Arial" w:cs="Arial" w:eastAsia="Arial" w:hAnsi="Arial"/>
                <w:sz w:val="16"/>
                <w:szCs w:val="16"/>
                <w:b w:val="1"/>
                <w:bCs w:val="1"/>
                <w:color w:val="auto"/>
                <w:w w:val="99"/>
              </w:rPr>
              <w:t>Board</w:t>
            </w: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6"/>
                <w:szCs w:val="16"/>
                <w:b w:val="1"/>
                <w:bCs w:val="1"/>
                <w:color w:val="auto"/>
              </w:rPr>
              <w:t>Broker</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Unmarked</w:t>
            </w:r>
          </w:p>
        </w:tc>
      </w:tr>
      <w:tr>
        <w:trPr>
          <w:trHeight w:val="228"/>
        </w:trPr>
        <w:tc>
          <w:tcPr>
            <w:tcW w:w="3520" w:type="dxa"/>
            <w:vAlign w:val="bottom"/>
            <w:tcBorders>
              <w:bottom w:val="single" w:sz="8" w:color="276092"/>
            </w:tcBorders>
          </w:tcPr>
          <w:p>
            <w:pPr>
              <w:ind w:left="80"/>
              <w:spacing w:after="0"/>
              <w:rPr>
                <w:sz w:val="20"/>
                <w:szCs w:val="20"/>
                <w:color w:val="auto"/>
              </w:rPr>
            </w:pPr>
            <w:r>
              <w:rPr>
                <w:rFonts w:ascii="Arial" w:cs="Arial" w:eastAsia="Arial" w:hAnsi="Arial"/>
                <w:sz w:val="16"/>
                <w:szCs w:val="16"/>
                <w:b w:val="1"/>
                <w:bCs w:val="1"/>
                <w:color w:val="auto"/>
              </w:rPr>
              <w:t>Proposal</w:t>
            </w:r>
          </w:p>
        </w:tc>
        <w:tc>
          <w:tcPr>
            <w:tcW w:w="1980" w:type="dxa"/>
            <w:vAlign w:val="bottom"/>
            <w:tcBorders>
              <w:bottom w:val="single" w:sz="8" w:color="276092"/>
            </w:tcBorders>
          </w:tcPr>
          <w:p>
            <w:pPr>
              <w:jc w:val="center"/>
              <w:ind w:left="219"/>
              <w:spacing w:after="0"/>
              <w:rPr>
                <w:sz w:val="20"/>
                <w:szCs w:val="20"/>
                <w:color w:val="auto"/>
              </w:rPr>
            </w:pPr>
            <w:r>
              <w:rPr>
                <w:rFonts w:ascii="Arial" w:cs="Arial" w:eastAsia="Arial" w:hAnsi="Arial"/>
                <w:sz w:val="16"/>
                <w:szCs w:val="16"/>
                <w:b w:val="1"/>
                <w:bCs w:val="1"/>
                <w:color w:val="auto"/>
              </w:rPr>
              <w:t>Recommendation</w:t>
            </w:r>
          </w:p>
        </w:tc>
        <w:tc>
          <w:tcPr>
            <w:tcW w:w="1780" w:type="dxa"/>
            <w:vAlign w:val="bottom"/>
            <w:tcBorders>
              <w:bottom w:val="single" w:sz="8" w:color="276092"/>
            </w:tcBorders>
          </w:tcPr>
          <w:p>
            <w:pPr>
              <w:ind w:left="320"/>
              <w:spacing w:after="0"/>
              <w:rPr>
                <w:sz w:val="20"/>
                <w:szCs w:val="20"/>
                <w:color w:val="auto"/>
              </w:rPr>
            </w:pPr>
            <w:r>
              <w:rPr>
                <w:rFonts w:ascii="Arial" w:cs="Arial" w:eastAsia="Arial" w:hAnsi="Arial"/>
                <w:sz w:val="16"/>
                <w:szCs w:val="16"/>
                <w:b w:val="1"/>
                <w:bCs w:val="1"/>
                <w:color w:val="auto"/>
              </w:rPr>
              <w:t>Vote Required</w:t>
            </w:r>
          </w:p>
        </w:tc>
        <w:tc>
          <w:tcPr>
            <w:tcW w:w="1200" w:type="dxa"/>
            <w:vAlign w:val="bottom"/>
            <w:tcBorders>
              <w:bottom w:val="single" w:sz="8" w:color="276092"/>
            </w:tcBorders>
          </w:tcPr>
          <w:p>
            <w:pPr>
              <w:ind w:left="120"/>
              <w:spacing w:after="0"/>
              <w:rPr>
                <w:sz w:val="20"/>
                <w:szCs w:val="20"/>
                <w:color w:val="auto"/>
              </w:rPr>
            </w:pPr>
            <w:r>
              <w:rPr>
                <w:rFonts w:ascii="Arial" w:cs="Arial" w:eastAsia="Arial" w:hAnsi="Arial"/>
                <w:sz w:val="16"/>
                <w:szCs w:val="16"/>
                <w:b w:val="1"/>
                <w:bCs w:val="1"/>
                <w:color w:val="auto"/>
              </w:rPr>
              <w:t>Abstentions</w:t>
            </w:r>
          </w:p>
        </w:tc>
        <w:tc>
          <w:tcPr>
            <w:tcW w:w="1040" w:type="dxa"/>
            <w:vAlign w:val="bottom"/>
            <w:tcBorders>
              <w:bottom w:val="single" w:sz="8" w:color="276092"/>
            </w:tcBorders>
          </w:tcPr>
          <w:p>
            <w:pPr>
              <w:ind w:left="140"/>
              <w:spacing w:after="0"/>
              <w:rPr>
                <w:sz w:val="20"/>
                <w:szCs w:val="20"/>
                <w:color w:val="auto"/>
              </w:rPr>
            </w:pPr>
            <w:r>
              <w:rPr>
                <w:rFonts w:ascii="Arial" w:cs="Arial" w:eastAsia="Arial" w:hAnsi="Arial"/>
                <w:sz w:val="16"/>
                <w:szCs w:val="16"/>
                <w:b w:val="1"/>
                <w:bCs w:val="1"/>
                <w:color w:val="auto"/>
              </w:rPr>
              <w:t>Non-Votes</w:t>
            </w:r>
          </w:p>
        </w:tc>
        <w:tc>
          <w:tcPr>
            <w:tcW w:w="1500" w:type="dxa"/>
            <w:vAlign w:val="bottom"/>
            <w:tcBorders>
              <w:bottom w:val="single" w:sz="8" w:color="276092"/>
            </w:tcBorders>
          </w:tcPr>
          <w:p>
            <w:pPr>
              <w:jc w:val="center"/>
              <w:spacing w:after="0"/>
              <w:rPr>
                <w:sz w:val="20"/>
                <w:szCs w:val="20"/>
                <w:color w:val="auto"/>
              </w:rPr>
            </w:pPr>
            <w:r>
              <w:rPr>
                <w:rFonts w:ascii="Arial" w:cs="Arial" w:eastAsia="Arial" w:hAnsi="Arial"/>
                <w:sz w:val="16"/>
                <w:szCs w:val="16"/>
                <w:b w:val="1"/>
                <w:bCs w:val="1"/>
                <w:color w:val="auto"/>
                <w:w w:val="99"/>
              </w:rPr>
              <w:t>Proxy Cards</w:t>
            </w:r>
          </w:p>
        </w:tc>
      </w:tr>
      <w:tr>
        <w:trPr>
          <w:trHeight w:val="184"/>
        </w:trPr>
        <w:tc>
          <w:tcPr>
            <w:tcW w:w="3520" w:type="dxa"/>
            <w:vAlign w:val="bottom"/>
          </w:tcPr>
          <w:p>
            <w:pPr>
              <w:ind w:left="80"/>
              <w:spacing w:after="0"/>
              <w:rPr>
                <w:sz w:val="20"/>
                <w:szCs w:val="20"/>
                <w:color w:val="auto"/>
              </w:rPr>
            </w:pPr>
            <w:r>
              <w:rPr>
                <w:rFonts w:ascii="Arial" w:cs="Arial" w:eastAsia="Arial" w:hAnsi="Arial"/>
                <w:sz w:val="16"/>
                <w:szCs w:val="16"/>
                <w:color w:val="auto"/>
              </w:rPr>
              <w:t>Election of Directors</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276092"/>
              </w:rPr>
              <w:t>FOR</w:t>
            </w:r>
          </w:p>
        </w:tc>
        <w:tc>
          <w:tcPr>
            <w:tcW w:w="1780" w:type="dxa"/>
            <w:vAlign w:val="bottom"/>
          </w:tcPr>
          <w:p>
            <w:pPr>
              <w:ind w:left="160"/>
              <w:spacing w:after="0"/>
              <w:rPr>
                <w:sz w:val="20"/>
                <w:szCs w:val="20"/>
                <w:color w:val="auto"/>
              </w:rPr>
            </w:pPr>
            <w:r>
              <w:rPr>
                <w:rFonts w:ascii="Arial" w:cs="Arial" w:eastAsia="Arial" w:hAnsi="Arial"/>
                <w:sz w:val="16"/>
                <w:szCs w:val="16"/>
                <w:color w:val="auto"/>
              </w:rPr>
              <w:t>Majority of votes cast</w:t>
            </w:r>
          </w:p>
        </w:tc>
        <w:tc>
          <w:tcPr>
            <w:tcW w:w="120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040" w:type="dxa"/>
            <w:vAlign w:val="bottom"/>
          </w:tcPr>
          <w:p>
            <w:pPr>
              <w:ind w:left="280"/>
              <w:spacing w:after="0"/>
              <w:rPr>
                <w:sz w:val="20"/>
                <w:szCs w:val="20"/>
                <w:color w:val="auto"/>
              </w:rPr>
            </w:pPr>
            <w:r>
              <w:rPr>
                <w:rFonts w:ascii="Arial" w:cs="Arial" w:eastAsia="Arial" w:hAnsi="Arial"/>
                <w:sz w:val="16"/>
                <w:szCs w:val="16"/>
                <w:color w:val="auto"/>
              </w:rPr>
              <w:t>No effect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Voted “FOR”</w:t>
            </w:r>
          </w:p>
        </w:tc>
      </w:tr>
      <w:tr>
        <w:trPr>
          <w:trHeight w:val="228"/>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i w:val="1"/>
                <w:iCs w:val="1"/>
                <w:color w:val="276092"/>
              </w:rPr>
              <w:t>(Proposal One)</w:t>
            </w:r>
          </w:p>
        </w:tc>
        <w:tc>
          <w:tcPr>
            <w:tcW w:w="1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04"/>
        </w:trPr>
        <w:tc>
          <w:tcPr>
            <w:tcW w:w="3520" w:type="dxa"/>
            <w:vAlign w:val="bottom"/>
          </w:tcPr>
          <w:p>
            <w:pPr>
              <w:ind w:left="80"/>
              <w:spacing w:after="0"/>
              <w:rPr>
                <w:sz w:val="20"/>
                <w:szCs w:val="20"/>
                <w:color w:val="auto"/>
              </w:rPr>
            </w:pPr>
            <w:r>
              <w:rPr>
                <w:rFonts w:ascii="Arial" w:cs="Arial" w:eastAsia="Arial" w:hAnsi="Arial"/>
                <w:sz w:val="16"/>
                <w:szCs w:val="16"/>
                <w:color w:val="auto"/>
              </w:rPr>
              <w:t>Advisory Vote on Compensation of</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276092"/>
              </w:rPr>
              <w:t>FOR</w:t>
            </w:r>
          </w:p>
        </w:tc>
        <w:tc>
          <w:tcPr>
            <w:tcW w:w="1780" w:type="dxa"/>
            <w:vAlign w:val="bottom"/>
          </w:tcPr>
          <w:p>
            <w:pPr>
              <w:ind w:left="160"/>
              <w:spacing w:after="0"/>
              <w:rPr>
                <w:sz w:val="20"/>
                <w:szCs w:val="20"/>
                <w:color w:val="auto"/>
              </w:rPr>
            </w:pPr>
            <w:r>
              <w:rPr>
                <w:rFonts w:ascii="Arial" w:cs="Arial" w:eastAsia="Arial" w:hAnsi="Arial"/>
                <w:sz w:val="16"/>
                <w:szCs w:val="16"/>
                <w:color w:val="auto"/>
              </w:rPr>
              <w:t>Majority of votes cast</w:t>
            </w:r>
          </w:p>
        </w:tc>
        <w:tc>
          <w:tcPr>
            <w:tcW w:w="120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040" w:type="dxa"/>
            <w:vAlign w:val="bottom"/>
          </w:tcPr>
          <w:p>
            <w:pPr>
              <w:ind w:left="280"/>
              <w:spacing w:after="0"/>
              <w:rPr>
                <w:sz w:val="20"/>
                <w:szCs w:val="20"/>
                <w:color w:val="auto"/>
              </w:rPr>
            </w:pPr>
            <w:r>
              <w:rPr>
                <w:rFonts w:ascii="Arial" w:cs="Arial" w:eastAsia="Arial" w:hAnsi="Arial"/>
                <w:sz w:val="16"/>
                <w:szCs w:val="16"/>
                <w:color w:val="auto"/>
              </w:rPr>
              <w:t>No effect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Voted “FOR”</w:t>
            </w:r>
          </w:p>
        </w:tc>
      </w:tr>
      <w:tr>
        <w:trPr>
          <w:trHeight w:val="169"/>
        </w:trPr>
        <w:tc>
          <w:tcPr>
            <w:tcW w:w="3520" w:type="dxa"/>
            <w:vAlign w:val="bottom"/>
          </w:tcPr>
          <w:p>
            <w:pPr>
              <w:ind w:left="80"/>
              <w:spacing w:after="0" w:line="169" w:lineRule="exact"/>
              <w:rPr>
                <w:sz w:val="20"/>
                <w:szCs w:val="20"/>
                <w:color w:val="auto"/>
              </w:rPr>
            </w:pPr>
            <w:r>
              <w:rPr>
                <w:rFonts w:ascii="Arial" w:cs="Arial" w:eastAsia="Arial" w:hAnsi="Arial"/>
                <w:sz w:val="16"/>
                <w:szCs w:val="16"/>
                <w:color w:val="auto"/>
              </w:rPr>
              <w:t>Named Executive Officers</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28"/>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i w:val="1"/>
                <w:iCs w:val="1"/>
                <w:color w:val="276092"/>
              </w:rPr>
              <w:t>(Proposal Two)</w:t>
            </w:r>
          </w:p>
        </w:tc>
        <w:tc>
          <w:tcPr>
            <w:tcW w:w="1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04"/>
        </w:trPr>
        <w:tc>
          <w:tcPr>
            <w:tcW w:w="3520" w:type="dxa"/>
            <w:vAlign w:val="bottom"/>
          </w:tcPr>
          <w:p>
            <w:pPr>
              <w:ind w:left="80"/>
              <w:spacing w:after="0"/>
              <w:rPr>
                <w:sz w:val="20"/>
                <w:szCs w:val="20"/>
                <w:color w:val="auto"/>
              </w:rPr>
            </w:pPr>
            <w:r>
              <w:rPr>
                <w:rFonts w:ascii="Arial" w:cs="Arial" w:eastAsia="Arial" w:hAnsi="Arial"/>
                <w:sz w:val="16"/>
                <w:szCs w:val="16"/>
                <w:color w:val="auto"/>
              </w:rPr>
              <w:t>Ratification of Appointment of</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276092"/>
              </w:rPr>
              <w:t>FOR</w:t>
            </w:r>
          </w:p>
        </w:tc>
        <w:tc>
          <w:tcPr>
            <w:tcW w:w="1780" w:type="dxa"/>
            <w:vAlign w:val="bottom"/>
          </w:tcPr>
          <w:p>
            <w:pPr>
              <w:ind w:left="160"/>
              <w:spacing w:after="0"/>
              <w:rPr>
                <w:sz w:val="20"/>
                <w:szCs w:val="20"/>
                <w:color w:val="auto"/>
              </w:rPr>
            </w:pPr>
            <w:r>
              <w:rPr>
                <w:rFonts w:ascii="Arial" w:cs="Arial" w:eastAsia="Arial" w:hAnsi="Arial"/>
                <w:sz w:val="16"/>
                <w:szCs w:val="16"/>
                <w:color w:val="auto"/>
              </w:rPr>
              <w:t>Majority of votes cast</w:t>
            </w:r>
          </w:p>
        </w:tc>
        <w:tc>
          <w:tcPr>
            <w:tcW w:w="120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040" w:type="dxa"/>
            <w:vAlign w:val="bottom"/>
          </w:tcPr>
          <w:p>
            <w:pPr>
              <w:ind w:left="280"/>
              <w:spacing w:after="0"/>
              <w:rPr>
                <w:sz w:val="20"/>
                <w:szCs w:val="20"/>
                <w:color w:val="auto"/>
              </w:rPr>
            </w:pPr>
            <w:r>
              <w:rPr>
                <w:rFonts w:ascii="Arial" w:cs="Arial" w:eastAsia="Arial" w:hAnsi="Arial"/>
                <w:sz w:val="16"/>
                <w:szCs w:val="16"/>
                <w:color w:val="auto"/>
              </w:rPr>
              <w:t>No effect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Voted “FOR”</w:t>
            </w:r>
          </w:p>
        </w:tc>
      </w:tr>
      <w:tr>
        <w:trPr>
          <w:trHeight w:val="169"/>
        </w:trPr>
        <w:tc>
          <w:tcPr>
            <w:tcW w:w="3520" w:type="dxa"/>
            <w:vAlign w:val="bottom"/>
          </w:tcPr>
          <w:p>
            <w:pPr>
              <w:ind w:left="80"/>
              <w:spacing w:after="0" w:line="169" w:lineRule="exact"/>
              <w:rPr>
                <w:sz w:val="20"/>
                <w:szCs w:val="20"/>
                <w:color w:val="auto"/>
              </w:rPr>
            </w:pPr>
            <w:r>
              <w:rPr>
                <w:rFonts w:ascii="Arial" w:cs="Arial" w:eastAsia="Arial" w:hAnsi="Arial"/>
                <w:sz w:val="16"/>
                <w:szCs w:val="16"/>
                <w:color w:val="auto"/>
              </w:rPr>
              <w:t>Independent Auditor</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28"/>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i w:val="1"/>
                <w:iCs w:val="1"/>
                <w:color w:val="276092"/>
              </w:rPr>
              <w:t>(Proposal Three)</w:t>
            </w:r>
          </w:p>
        </w:tc>
        <w:tc>
          <w:tcPr>
            <w:tcW w:w="1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04"/>
        </w:trPr>
        <w:tc>
          <w:tcPr>
            <w:tcW w:w="3520" w:type="dxa"/>
            <w:vAlign w:val="bottom"/>
          </w:tcPr>
          <w:p>
            <w:pPr>
              <w:ind w:left="80"/>
              <w:spacing w:after="0"/>
              <w:rPr>
                <w:sz w:val="20"/>
                <w:szCs w:val="20"/>
                <w:color w:val="auto"/>
              </w:rPr>
            </w:pPr>
            <w:r>
              <w:rPr>
                <w:rFonts w:ascii="Arial" w:cs="Arial" w:eastAsia="Arial" w:hAnsi="Arial"/>
                <w:sz w:val="16"/>
                <w:szCs w:val="16"/>
                <w:color w:val="auto"/>
              </w:rPr>
              <w:t>Shareholder Proposal to Modify</w:t>
            </w:r>
          </w:p>
        </w:tc>
        <w:tc>
          <w:tcPr>
            <w:tcW w:w="1980" w:type="dxa"/>
            <w:vAlign w:val="bottom"/>
          </w:tcPr>
          <w:p>
            <w:pPr>
              <w:jc w:val="center"/>
              <w:ind w:left="319"/>
              <w:spacing w:after="0"/>
              <w:rPr>
                <w:sz w:val="20"/>
                <w:szCs w:val="20"/>
                <w:color w:val="auto"/>
              </w:rPr>
            </w:pPr>
            <w:r>
              <w:rPr>
                <w:rFonts w:ascii="Arial" w:cs="Arial" w:eastAsia="Arial" w:hAnsi="Arial"/>
                <w:sz w:val="16"/>
                <w:szCs w:val="16"/>
                <w:b w:val="1"/>
                <w:bCs w:val="1"/>
                <w:color w:val="276092"/>
              </w:rPr>
              <w:t>AGAINST</w:t>
            </w:r>
          </w:p>
        </w:tc>
        <w:tc>
          <w:tcPr>
            <w:tcW w:w="1780" w:type="dxa"/>
            <w:vAlign w:val="bottom"/>
          </w:tcPr>
          <w:p>
            <w:pPr>
              <w:ind w:left="160"/>
              <w:spacing w:after="0"/>
              <w:rPr>
                <w:sz w:val="20"/>
                <w:szCs w:val="20"/>
                <w:color w:val="auto"/>
              </w:rPr>
            </w:pPr>
            <w:r>
              <w:rPr>
                <w:rFonts w:ascii="Arial" w:cs="Arial" w:eastAsia="Arial" w:hAnsi="Arial"/>
                <w:sz w:val="16"/>
                <w:szCs w:val="16"/>
                <w:color w:val="auto"/>
              </w:rPr>
              <w:t>Majority of votes cast</w:t>
            </w:r>
          </w:p>
        </w:tc>
        <w:tc>
          <w:tcPr>
            <w:tcW w:w="1200" w:type="dxa"/>
            <w:vAlign w:val="bottom"/>
          </w:tcPr>
          <w:p>
            <w:pPr>
              <w:ind w:left="300"/>
              <w:spacing w:after="0"/>
              <w:rPr>
                <w:sz w:val="20"/>
                <w:szCs w:val="20"/>
                <w:color w:val="auto"/>
              </w:rPr>
            </w:pPr>
            <w:r>
              <w:rPr>
                <w:rFonts w:ascii="Arial" w:cs="Arial" w:eastAsia="Arial" w:hAnsi="Arial"/>
                <w:sz w:val="16"/>
                <w:szCs w:val="16"/>
                <w:color w:val="auto"/>
              </w:rPr>
              <w:t>No effect</w:t>
            </w:r>
          </w:p>
        </w:tc>
        <w:tc>
          <w:tcPr>
            <w:tcW w:w="1040" w:type="dxa"/>
            <w:vAlign w:val="bottom"/>
          </w:tcPr>
          <w:p>
            <w:pPr>
              <w:ind w:left="280"/>
              <w:spacing w:after="0"/>
              <w:rPr>
                <w:sz w:val="20"/>
                <w:szCs w:val="20"/>
                <w:color w:val="auto"/>
              </w:rPr>
            </w:pPr>
            <w:r>
              <w:rPr>
                <w:rFonts w:ascii="Arial" w:cs="Arial" w:eastAsia="Arial" w:hAnsi="Arial"/>
                <w:sz w:val="16"/>
                <w:szCs w:val="16"/>
                <w:color w:val="auto"/>
              </w:rPr>
              <w:t>No effect</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Voted “AGAINST”</w:t>
            </w:r>
          </w:p>
        </w:tc>
      </w:tr>
      <w:tr>
        <w:trPr>
          <w:trHeight w:val="189"/>
        </w:trPr>
        <w:tc>
          <w:tcPr>
            <w:tcW w:w="3520" w:type="dxa"/>
            <w:vAlign w:val="bottom"/>
          </w:tcPr>
          <w:p>
            <w:pPr>
              <w:ind w:left="80"/>
              <w:spacing w:after="0"/>
              <w:rPr>
                <w:sz w:val="20"/>
                <w:szCs w:val="20"/>
                <w:color w:val="auto"/>
              </w:rPr>
            </w:pPr>
            <w:r>
              <w:rPr>
                <w:rFonts w:ascii="Arial" w:cs="Arial" w:eastAsia="Arial" w:hAnsi="Arial"/>
                <w:sz w:val="16"/>
                <w:szCs w:val="16"/>
                <w:color w:val="auto"/>
              </w:rPr>
              <w:t>Ownership Threshold for Shareholders to</w:t>
            </w:r>
          </w:p>
        </w:tc>
        <w:tc>
          <w:tcPr>
            <w:tcW w:w="1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69"/>
        </w:trPr>
        <w:tc>
          <w:tcPr>
            <w:tcW w:w="3520" w:type="dxa"/>
            <w:vAlign w:val="bottom"/>
          </w:tcPr>
          <w:p>
            <w:pPr>
              <w:ind w:left="80"/>
              <w:spacing w:after="0" w:line="169" w:lineRule="exact"/>
              <w:rPr>
                <w:sz w:val="20"/>
                <w:szCs w:val="20"/>
                <w:color w:val="auto"/>
              </w:rPr>
            </w:pPr>
            <w:r>
              <w:rPr>
                <w:rFonts w:ascii="Arial" w:cs="Arial" w:eastAsia="Arial" w:hAnsi="Arial"/>
                <w:sz w:val="16"/>
                <w:szCs w:val="16"/>
                <w:color w:val="auto"/>
              </w:rPr>
              <w:t>Call a Special Meeting</w:t>
            </w:r>
          </w:p>
        </w:tc>
        <w:tc>
          <w:tcPr>
            <w:tcW w:w="1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28"/>
        </w:trPr>
        <w:tc>
          <w:tcPr>
            <w:tcW w:w="35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i w:val="1"/>
                <w:iCs w:val="1"/>
                <w:color w:val="276092"/>
              </w:rPr>
              <w:t>(Proposal Four)</w:t>
            </w:r>
          </w:p>
        </w:tc>
        <w:tc>
          <w:tcPr>
            <w:tcW w:w="19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9770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w:t>
      </w:r>
    </w:p>
    <w:p>
      <w:pPr>
        <w:spacing w:after="0" w:line="13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69</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200" w:right="120"/>
        <w:spacing w:after="0"/>
        <w:rPr>
          <w:sz w:val="20"/>
          <w:szCs w:val="20"/>
          <w:color w:val="auto"/>
        </w:rPr>
      </w:pPr>
      <w:r>
        <w:rPr>
          <w:rFonts w:ascii="Arial" w:cs="Arial" w:eastAsia="Arial" w:hAnsi="Arial"/>
          <w:sz w:val="18"/>
          <w:szCs w:val="18"/>
          <w:color w:val="auto"/>
        </w:rPr>
        <w:t>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spacing w:after="0" w:line="9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or the shareholder proposal, in which case a broker non-vote will occur and your shares will not be voted on these matters.</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 xml:space="preserve">If you hold shares as a record holder, you may vote by proxy prior to the Annual Meeting, as discussed below, or you may vote in person at the Annual Meeting. Shares represented by a properly executed proxy will be voted at the Annual Meeting in accordance with the shareholder’s instructions. If no instructions are given, the shares will be voted according to the recommendations of the Board. Registered shareholders and plan participants may go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to view this Proxy Statement and the Annual Report.</w:t>
      </w:r>
    </w:p>
    <w:p>
      <w:pPr>
        <w:spacing w:after="0" w:line="208" w:lineRule="exact"/>
        <w:rPr>
          <w:sz w:val="20"/>
          <w:szCs w:val="20"/>
          <w:color w:val="auto"/>
        </w:rPr>
      </w:pPr>
    </w:p>
    <w:p>
      <w:pPr>
        <w:ind w:left="3440" w:right="200" w:hanging="1322"/>
        <w:spacing w:after="0" w:line="275" w:lineRule="auto"/>
        <w:tabs>
          <w:tab w:leader="none" w:pos="3420" w:val="left"/>
        </w:tabs>
        <w:rPr>
          <w:sz w:val="20"/>
          <w:szCs w:val="20"/>
          <w:color w:val="auto"/>
        </w:rPr>
      </w:pPr>
      <w:r>
        <w:rPr>
          <w:rFonts w:ascii="Arial" w:cs="Arial" w:eastAsia="Arial" w:hAnsi="Arial"/>
          <w:sz w:val="18"/>
          <w:szCs w:val="18"/>
          <w:b w:val="1"/>
          <w:bCs w:val="1"/>
          <w:i w:val="1"/>
          <w:iCs w:val="1"/>
          <w:color w:val="auto"/>
        </w:rPr>
        <w:t>By Internet</w:t>
      </w:r>
      <w:r>
        <w:rPr>
          <w:sz w:val="20"/>
          <w:szCs w:val="20"/>
          <w:color w:val="auto"/>
        </w:rPr>
        <w:tab/>
      </w:r>
      <w:r>
        <w:rPr>
          <w:rFonts w:ascii="Arial" w:cs="Arial" w:eastAsia="Arial" w:hAnsi="Arial"/>
          <w:sz w:val="17"/>
          <w:szCs w:val="17"/>
          <w:color w:val="auto"/>
        </w:rPr>
        <w:t xml:space="preserve">Registered shareholders and plan participants may vote on the internet, as well as view the documents, by logging on to </w:t>
      </w:r>
      <w:r>
        <w:rPr>
          <w:rFonts w:ascii="Arial" w:cs="Arial" w:eastAsia="Arial" w:hAnsi="Arial"/>
          <w:sz w:val="17"/>
          <w:szCs w:val="17"/>
          <w:i w:val="1"/>
          <w:iCs w:val="1"/>
          <w:color w:val="auto"/>
        </w:rPr>
        <w:t>www.envisionreports.com/noc</w:t>
      </w:r>
      <w:r>
        <w:rPr>
          <w:rFonts w:ascii="Arial" w:cs="Arial" w:eastAsia="Arial" w:hAnsi="Arial"/>
          <w:sz w:val="17"/>
          <w:szCs w:val="17"/>
          <w:color w:val="auto"/>
        </w:rPr>
        <w:t xml:space="preserve"> and following the instructions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-269240</wp:posOffset>
            </wp:positionV>
            <wp:extent cx="403225" cy="3860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03225" cy="386080"/>
                    </a:xfrm>
                    <a:prstGeom prst="rect">
                      <a:avLst/>
                    </a:prstGeom>
                    <a:noFill/>
                  </pic:spPr>
                </pic:pic>
              </a:graphicData>
            </a:graphic>
          </wp:anchor>
        </w:drawing>
      </w:r>
    </w:p>
    <w:p>
      <w:pPr>
        <w:spacing w:after="0" w:line="356" w:lineRule="exact"/>
        <w:rPr>
          <w:sz w:val="20"/>
          <w:szCs w:val="20"/>
          <w:color w:val="auto"/>
        </w:rPr>
      </w:pPr>
    </w:p>
    <w:p>
      <w:pPr>
        <w:ind w:left="3440" w:right="320" w:hanging="1322"/>
        <w:spacing w:after="0" w:line="275" w:lineRule="auto"/>
        <w:tabs>
          <w:tab w:leader="none" w:pos="3420" w:val="left"/>
        </w:tabs>
        <w:rPr>
          <w:sz w:val="20"/>
          <w:szCs w:val="20"/>
          <w:color w:val="auto"/>
        </w:rPr>
      </w:pPr>
      <w:r>
        <w:rPr>
          <w:rFonts w:ascii="Arial" w:cs="Arial" w:eastAsia="Arial" w:hAnsi="Arial"/>
          <w:sz w:val="18"/>
          <w:szCs w:val="18"/>
          <w:b w:val="1"/>
          <w:bCs w:val="1"/>
          <w:i w:val="1"/>
          <w:iCs w:val="1"/>
          <w:color w:val="auto"/>
        </w:rPr>
        <w:t>By Telephone</w:t>
      </w:r>
      <w:r>
        <w:rPr>
          <w:sz w:val="20"/>
          <w:szCs w:val="20"/>
          <w:color w:val="auto"/>
        </w:rPr>
        <w:tab/>
      </w:r>
      <w:r>
        <w:rPr>
          <w:rFonts w:ascii="Arial" w:cs="Arial" w:eastAsia="Arial" w:hAnsi="Arial"/>
          <w:sz w:val="17"/>
          <w:szCs w:val="17"/>
          <w:color w:val="auto"/>
        </w:rPr>
        <w:t>Registered shareholders and plan participants may grant a proxy by calling 800-652-VOTE (800-652-8683) (toll-free) with a touch-tone telephone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-269240</wp:posOffset>
            </wp:positionV>
            <wp:extent cx="180340" cy="3257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0340" cy="32575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81" w:lineRule="exact"/>
        <w:rPr>
          <w:sz w:val="20"/>
          <w:szCs w:val="20"/>
          <w:color w:val="auto"/>
        </w:rPr>
      </w:pPr>
    </w:p>
    <w:p>
      <w:pPr>
        <w:jc w:val="center"/>
        <w:ind w:left="2100"/>
        <w:spacing w:after="0"/>
        <w:rPr>
          <w:sz w:val="20"/>
          <w:szCs w:val="20"/>
          <w:color w:val="auto"/>
        </w:rPr>
      </w:pPr>
      <w:r>
        <w:rPr>
          <w:rFonts w:ascii="Arial" w:cs="Arial" w:eastAsia="Arial" w:hAnsi="Arial"/>
          <w:sz w:val="18"/>
          <w:szCs w:val="18"/>
          <w:b w:val="1"/>
          <w:bCs w:val="1"/>
          <w:i w:val="1"/>
          <w:iCs w:val="1"/>
          <w:color w:val="auto"/>
        </w:rPr>
        <w:t>By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-116205</wp:posOffset>
            </wp:positionV>
            <wp:extent cx="403225" cy="3943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0322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Registered shareholders and plan participants may vote by scanning the QR code on their proxy card or notice with their mobile device.</w:t>
      </w:r>
    </w:p>
    <w:p>
      <w:pPr>
        <w:spacing w:after="0" w:line="200" w:lineRule="exact"/>
        <w:rPr>
          <w:sz w:val="20"/>
          <w:szCs w:val="20"/>
          <w:color w:val="auto"/>
        </w:rPr>
      </w:pPr>
    </w:p>
    <w:p>
      <w:pPr>
        <w:sectPr>
          <w:pgSz w:w="11900" w:h="16838" w:orient="portrait"/>
          <w:cols w:equalWidth="0" w:num="2">
            <w:col w:w="3160" w:space="280"/>
            <w:col w:w="7760"/>
          </w:cols>
          <w:pgMar w:left="240" w:top="459" w:right="459" w:bottom="1440" w:gutter="0" w:footer="0" w:header="0"/>
          <w:type w:val="continuous"/>
        </w:sectPr>
      </w:pPr>
    </w:p>
    <w:p>
      <w:pPr>
        <w:spacing w:after="0" w:line="191" w:lineRule="exact"/>
        <w:rPr>
          <w:sz w:val="20"/>
          <w:szCs w:val="20"/>
          <w:color w:val="auto"/>
        </w:rPr>
      </w:pPr>
    </w:p>
    <w:p>
      <w:pPr>
        <w:ind w:left="2100"/>
        <w:spacing w:after="0"/>
        <w:rPr>
          <w:sz w:val="20"/>
          <w:szCs w:val="20"/>
          <w:color w:val="auto"/>
        </w:rPr>
      </w:pPr>
      <w:r>
        <w:rPr>
          <w:rFonts w:ascii="Arial" w:cs="Arial" w:eastAsia="Arial" w:hAnsi="Arial"/>
          <w:sz w:val="18"/>
          <w:szCs w:val="18"/>
          <w:b w:val="1"/>
          <w:bCs w:val="1"/>
          <w:i w:val="1"/>
          <w:i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-116205</wp:posOffset>
            </wp:positionV>
            <wp:extent cx="334645" cy="3943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4645"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Registered shareholders and plan participants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Arial" w:cs="Arial" w:eastAsia="Arial" w:hAnsi="Arial"/>
          <w:sz w:val="18"/>
          <w:szCs w:val="18"/>
          <w:i w:val="1"/>
          <w:iCs w:val="1"/>
          <w:color w:val="auto"/>
        </w:rPr>
        <w:t>www.envisionreports.com/noc</w:t>
      </w:r>
      <w:r>
        <w:rPr>
          <w:rFonts w:ascii="Arial" w:cs="Arial" w:eastAsia="Arial" w:hAnsi="Arial"/>
          <w:sz w:val="18"/>
          <w:szCs w:val="18"/>
          <w:color w:val="auto"/>
        </w:rPr>
        <w:t xml:space="preserve"> and following the instructions given.</w:t>
      </w:r>
    </w:p>
    <w:p>
      <w:pPr>
        <w:spacing w:after="0" w:line="200" w:lineRule="exact"/>
        <w:rPr>
          <w:sz w:val="20"/>
          <w:szCs w:val="20"/>
          <w:color w:val="auto"/>
        </w:rPr>
      </w:pPr>
    </w:p>
    <w:p>
      <w:pPr>
        <w:sectPr>
          <w:pgSz w:w="11900" w:h="16838" w:orient="portrait"/>
          <w:cols w:equalWidth="0" w:num="2">
            <w:col w:w="2740" w:space="700"/>
            <w:col w:w="7760"/>
          </w:cols>
          <w:pgMar w:left="240" w:top="459" w:right="459" w:bottom="1440" w:gutter="0" w:footer="0" w:header="0"/>
          <w:type w:val="continuous"/>
        </w:sectPr>
      </w:pPr>
    </w:p>
    <w:p>
      <w:pPr>
        <w:spacing w:after="0" w:line="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in person may revoke the proxy by giving notice of revocation to the inspector of election at the meeting or by voting by ballot at the meeting.</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How do I vote my shares if they are held by a bank, broker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9770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Persons who own stock beneficially through a bank, broker or other agent may not vote directly and will need to instruct the record owner to vote their shares using the procedure identified by the bank, broker or other agent. Beneficial owners who hold our common stock in “street name” through a broker receive voting instruction forms from their broker. Most beneficial owners will be able to provide voting instructions by telephone or on the internet by following the instructions on the form they receive from their broker. Beneficial owners may view this Proxy Statement and the Annual Report on the internet by logging on to </w:t>
      </w:r>
      <w:r>
        <w:rPr>
          <w:rFonts w:ascii="Arial" w:cs="Arial" w:eastAsia="Arial" w:hAnsi="Arial"/>
          <w:sz w:val="18"/>
          <w:szCs w:val="18"/>
          <w:i w:val="1"/>
          <w:iCs w:val="1"/>
          <w:color w:val="auto"/>
        </w:rPr>
        <w:t>www.edocumentview.com/noc</w:t>
      </w:r>
      <w:r>
        <w:rPr>
          <w:rFonts w:ascii="Arial" w:cs="Arial" w:eastAsia="Arial" w:hAnsi="Arial"/>
          <w:sz w:val="18"/>
          <w:szCs w:val="18"/>
          <w:color w:val="auto"/>
        </w:rPr>
        <w:t>. A person who beneficially owns shares of our common stock through a bank, broker or other agent can vote his or her shares in person at the Annual Meeting only if he or she obtains from the bank, broker or other nominee a proxy, often referred to as a “legal proxy,” to vote those shares, and presents the proxy to the inspector of election at the meeting together with his or her ballot.</w:t>
      </w:r>
    </w:p>
    <w:p>
      <w:pPr>
        <w:spacing w:after="0" w:line="138" w:lineRule="exact"/>
        <w:rPr>
          <w:sz w:val="20"/>
          <w:szCs w:val="20"/>
          <w:color w:val="auto"/>
        </w:rPr>
      </w:pPr>
    </w:p>
    <w:p>
      <w:pPr>
        <w:ind w:left="460" w:hanging="256"/>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00"/>
          </w:cols>
          <w:pgMar w:left="24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440"/>
        <w:spacing w:after="0"/>
        <w:rPr>
          <w:sz w:val="20"/>
          <w:szCs w:val="20"/>
          <w:color w:val="auto"/>
        </w:rPr>
      </w:pPr>
      <w:r>
        <w:rPr>
          <w:rFonts w:ascii="Arial" w:cs="Arial" w:eastAsia="Arial" w:hAnsi="Arial"/>
          <w:sz w:val="18"/>
          <w:szCs w:val="18"/>
          <w:color w:val="auto"/>
        </w:rPr>
        <w:t>Beneficial owners who hold shares in “street name” may revoke a proxy or change a vote by submitting a new, later-dated voting instruction form, contacting the bank, broker or other agent or by voting in person at the Annual Meeting by obtaining a legal proxy as described above.</w:t>
      </w:r>
    </w:p>
    <w:p>
      <w:pPr>
        <w:spacing w:after="0" w:line="325" w:lineRule="exact"/>
        <w:rPr>
          <w:sz w:val="20"/>
          <w:szCs w:val="20"/>
          <w:color w:val="auto"/>
        </w:rPr>
      </w:pPr>
    </w:p>
    <w:p>
      <w:pPr>
        <w:ind w:left="260"/>
        <w:spacing w:after="0"/>
        <w:rPr>
          <w:sz w:val="20"/>
          <w:szCs w:val="20"/>
          <w:color w:val="auto"/>
        </w:rPr>
      </w:pPr>
      <w:r>
        <w:rPr>
          <w:rFonts w:ascii="Arial" w:cs="Arial" w:eastAsia="Arial" w:hAnsi="Arial"/>
          <w:sz w:val="20"/>
          <w:szCs w:val="20"/>
          <w:b w:val="1"/>
          <w:bCs w:val="1"/>
          <w:color w:val="auto"/>
        </w:rPr>
        <w:t>How do I vote my shares held under a Northrop Grumman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55"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203" w:lineRule="exact"/>
        <w:rPr>
          <w:sz w:val="20"/>
          <w:szCs w:val="20"/>
          <w:color w:val="auto"/>
        </w:rPr>
      </w:pPr>
    </w:p>
    <w:p>
      <w:pPr>
        <w:jc w:val="both"/>
        <w:ind w:left="200" w:right="600"/>
        <w:spacing w:after="0"/>
        <w:rPr>
          <w:sz w:val="20"/>
          <w:szCs w:val="20"/>
          <w:color w:val="auto"/>
        </w:rPr>
      </w:pPr>
      <w:r>
        <w:rPr>
          <w:rFonts w:ascii="Arial" w:cs="Arial" w:eastAsia="Arial" w:hAnsi="Arial"/>
          <w:sz w:val="18"/>
          <w:szCs w:val="18"/>
          <w:color w:val="auto"/>
        </w:rPr>
        <w:t>Voting instructions from savings plan participants must be received by the applicable plan Trustee or Voting Manager by 11:59 p.m. Eastern Daylight Time on May 13, 2018 in order to be used by the plan Trustee or Voting Manager to determine the votes cast with respect to plan shares.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71</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MISCELLANEOUS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Voting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w:t>
      </w:r>
      <w:r>
        <w:rPr>
          <w:rFonts w:ascii="Arial" w:cs="Arial" w:eastAsia="Arial" w:hAnsi="Arial"/>
          <w:sz w:val="18"/>
          <w:szCs w:val="18"/>
          <w:b w:val="1"/>
          <w:bCs w:val="1"/>
          <w:i w:val="1"/>
          <w:iCs w:val="1"/>
          <w:color w:val="auto"/>
        </w:rPr>
        <w:t>Northrop Grumman Corporation, 2980</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Fairview Park Drive, Falls Church, Virginia 22042</w:t>
      </w:r>
      <w:r>
        <w:rPr>
          <w:rFonts w:ascii="Arial" w:cs="Arial" w:eastAsia="Arial" w:hAnsi="Arial"/>
          <w:sz w:val="18"/>
          <w:szCs w:val="18"/>
          <w:color w:val="auto"/>
        </w:rPr>
        <w:t>. Our Bylaws are also available in the Investor Relations section of our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www.northropgrumman.com</w:t>
      </w:r>
      <w:r>
        <w:rPr>
          <w:rFonts w:ascii="Arial" w:cs="Arial" w:eastAsia="Arial" w:hAnsi="Arial"/>
          <w:sz w:val="18"/>
          <w:szCs w:val="18"/>
          <w:color w:val="auto"/>
        </w:rPr>
        <w:t>. If any other business properly comes before the Annual Meeting, the shares represented by proxies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voted in accordance with the judgment of the persons authorized to vote them.</w:t>
      </w:r>
    </w:p>
    <w:p>
      <w:pPr>
        <w:spacing w:after="0" w:line="324"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Shareholder Proposals for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shareholder who intends to present a proposal at the 2019 Annual Meeting must deliver the proposal to the Corporate Secretary at</w:t>
      </w:r>
    </w:p>
    <w:p>
      <w:pPr>
        <w:ind w:left="200"/>
        <w:spacing w:after="0"/>
        <w:rPr>
          <w:sz w:val="20"/>
          <w:szCs w:val="20"/>
          <w:color w:val="auto"/>
        </w:rPr>
      </w:pPr>
      <w:r>
        <w:rPr>
          <w:rFonts w:ascii="Arial" w:cs="Arial" w:eastAsia="Arial" w:hAnsi="Arial"/>
          <w:sz w:val="18"/>
          <w:szCs w:val="18"/>
          <w:b w:val="1"/>
          <w:bCs w:val="1"/>
          <w:i w:val="1"/>
          <w:iCs w:val="1"/>
          <w:color w:val="auto"/>
        </w:rPr>
        <w:t>Northrop Grumman Corporation, 2980 Fairview Park Drive, Falls Church, Virginia 22042</w:t>
      </w:r>
      <w:r>
        <w:rPr>
          <w:rFonts w:ascii="Arial" w:cs="Arial" w:eastAsia="Arial" w:hAnsi="Arial"/>
          <w:sz w:val="18"/>
          <w:szCs w:val="18"/>
          <w:color w:val="auto"/>
        </w:rPr>
        <w:t>:</w:t>
      </w:r>
    </w:p>
    <w:p>
      <w:pPr>
        <w:spacing w:after="0" w:line="117" w:lineRule="exact"/>
        <w:rPr>
          <w:sz w:val="20"/>
          <w:szCs w:val="20"/>
          <w:color w:val="auto"/>
        </w:rPr>
      </w:pPr>
    </w:p>
    <w:p>
      <w:pPr>
        <w:ind w:left="520" w:hanging="316"/>
        <w:spacing w:after="0" w:line="246" w:lineRule="auto"/>
        <w:tabs>
          <w:tab w:leader="none" w:pos="520" w:val="left"/>
        </w:tabs>
        <w:numPr>
          <w:ilvl w:val="0"/>
          <w:numId w:val="121"/>
        </w:numPr>
        <w:rPr>
          <w:rFonts w:ascii="Arial" w:cs="Arial" w:eastAsia="Arial" w:hAnsi="Arial"/>
          <w:sz w:val="18"/>
          <w:szCs w:val="18"/>
          <w:color w:val="276092"/>
        </w:rPr>
      </w:pPr>
      <w:r>
        <w:rPr>
          <w:rFonts w:ascii="Arial" w:cs="Arial" w:eastAsia="Arial" w:hAnsi="Arial"/>
          <w:sz w:val="18"/>
          <w:szCs w:val="18"/>
          <w:color w:val="auto"/>
        </w:rPr>
        <w:t>not later than November 30, 2018, if the proposal is submitted for inclusion in the Company’s proxy materials for that meeting pursuant to Rule 14a-8 under the Exchange Act; and</w:t>
      </w:r>
    </w:p>
    <w:p>
      <w:pPr>
        <w:spacing w:after="0" w:line="102" w:lineRule="exact"/>
        <w:rPr>
          <w:rFonts w:ascii="Arial" w:cs="Arial" w:eastAsia="Arial" w:hAnsi="Arial"/>
          <w:sz w:val="18"/>
          <w:szCs w:val="18"/>
          <w:color w:val="276092"/>
        </w:rPr>
      </w:pPr>
    </w:p>
    <w:p>
      <w:pPr>
        <w:ind w:left="520" w:right="20" w:hanging="316"/>
        <w:spacing w:after="0" w:line="239" w:lineRule="auto"/>
        <w:tabs>
          <w:tab w:leader="none" w:pos="520" w:val="left"/>
        </w:tabs>
        <w:numPr>
          <w:ilvl w:val="0"/>
          <w:numId w:val="121"/>
        </w:numPr>
        <w:rPr>
          <w:rFonts w:ascii="Arial" w:cs="Arial" w:eastAsia="Arial" w:hAnsi="Arial"/>
          <w:sz w:val="18"/>
          <w:szCs w:val="18"/>
          <w:color w:val="276092"/>
        </w:rPr>
      </w:pPr>
      <w:r>
        <w:rPr>
          <w:rFonts w:ascii="Arial" w:cs="Arial" w:eastAsia="Arial" w:hAnsi="Arial"/>
          <w:sz w:val="18"/>
          <w:szCs w:val="18"/>
          <w:color w:val="auto"/>
        </w:rPr>
        <w:t>not earlier than November 30, 2018 and not later than December 30, 2018, if the proposal is submitted pursuant to the Bylaws, but not pursuant to Rule 14a-8, in which case we are not required to include the proposal in our proxy materials. If the 2019 Annual Meeting is convened more than 30 days prior to or delayed by more than 30 days after the one-year anniversary of the Annual Meeting, our Bylaws provide different notice requirements.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shareholder who wishes to introduce a proposal should review our Bylaws and applicable proxy rules of the SEC.</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Shareholder Nominations for Director Election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 xml:space="preserve">Any shareholder who intends to nominate a person for election as a director at the 2019 Annual Meeting must deliver a notice of such nomination (along with certain other information required by our Bylaws) to the Corporate Secretary at </w:t>
      </w:r>
      <w:r>
        <w:rPr>
          <w:rFonts w:ascii="Arial" w:cs="Arial" w:eastAsia="Arial" w:hAnsi="Arial"/>
          <w:sz w:val="18"/>
          <w:szCs w:val="18"/>
          <w:b w:val="1"/>
          <w:bCs w:val="1"/>
          <w:i w:val="1"/>
          <w:iCs w:val="1"/>
          <w:color w:val="auto"/>
        </w:rPr>
        <w:t>Northrop Grumman Corporation,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2980 Fairview Park Drive, Falls Church, Virginia 22042</w:t>
      </w:r>
      <w:r>
        <w:rPr>
          <w:rFonts w:ascii="Arial" w:cs="Arial" w:eastAsia="Arial" w:hAnsi="Arial"/>
          <w:sz w:val="18"/>
          <w:szCs w:val="18"/>
          <w:b w:val="1"/>
          <w:bCs w:val="1"/>
          <w:color w:val="auto"/>
        </w:rPr>
        <w:t>:</w:t>
      </w:r>
    </w:p>
    <w:p>
      <w:pPr>
        <w:spacing w:after="0" w:line="108" w:lineRule="exact"/>
        <w:rPr>
          <w:sz w:val="20"/>
          <w:szCs w:val="20"/>
          <w:color w:val="auto"/>
        </w:rPr>
      </w:pPr>
    </w:p>
    <w:p>
      <w:pPr>
        <w:jc w:val="both"/>
        <w:ind w:left="520" w:right="80" w:hanging="316"/>
        <w:spacing w:after="0"/>
        <w:tabs>
          <w:tab w:leader="none" w:pos="520" w:val="left"/>
        </w:tabs>
        <w:numPr>
          <w:ilvl w:val="0"/>
          <w:numId w:val="122"/>
        </w:numPr>
        <w:rPr>
          <w:rFonts w:ascii="Arial" w:cs="Arial" w:eastAsia="Arial" w:hAnsi="Arial"/>
          <w:sz w:val="18"/>
          <w:szCs w:val="18"/>
          <w:color w:val="276092"/>
        </w:rPr>
      </w:pPr>
      <w:r>
        <w:rPr>
          <w:rFonts w:ascii="Arial" w:cs="Arial" w:eastAsia="Arial" w:hAnsi="Arial"/>
          <w:sz w:val="18"/>
          <w:szCs w:val="18"/>
          <w:color w:val="auto"/>
        </w:rPr>
        <w:t>not earlier than October 31, 2018 and not later than November 30, 2018,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108" w:lineRule="exact"/>
        <w:rPr>
          <w:rFonts w:ascii="Arial" w:cs="Arial" w:eastAsia="Arial" w:hAnsi="Arial"/>
          <w:sz w:val="18"/>
          <w:szCs w:val="18"/>
          <w:color w:val="276092"/>
        </w:rPr>
      </w:pPr>
    </w:p>
    <w:p>
      <w:pPr>
        <w:ind w:left="520" w:right="120" w:hanging="316"/>
        <w:spacing w:after="0" w:line="239" w:lineRule="auto"/>
        <w:tabs>
          <w:tab w:leader="none" w:pos="520" w:val="left"/>
        </w:tabs>
        <w:numPr>
          <w:ilvl w:val="0"/>
          <w:numId w:val="122"/>
        </w:numPr>
        <w:rPr>
          <w:rFonts w:ascii="Arial" w:cs="Arial" w:eastAsia="Arial" w:hAnsi="Arial"/>
          <w:sz w:val="18"/>
          <w:szCs w:val="18"/>
          <w:color w:val="276092"/>
        </w:rPr>
      </w:pPr>
      <w:r>
        <w:rPr>
          <w:rFonts w:ascii="Arial" w:cs="Arial" w:eastAsia="Arial" w:hAnsi="Arial"/>
          <w:sz w:val="18"/>
          <w:szCs w:val="18"/>
          <w:color w:val="auto"/>
        </w:rPr>
        <w:t>not earlier than November 30, 2018 and not later than December 30, 2018, if the nomination is submitted pursuant to the Bylaws, but not pursuant to our proxy access provision, in which case we are not required to include the nomination in our proxy materials. If the 2019 Annual Meeting is convened more than 30 days prior to or delayed by more than 30 days after the one-year anniversary of the Annual Meeting, our Bylaws provide different notice requirements.</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shareholder who wishes to nominate a person for election as a director should review our Bylaws.</w:t>
      </w:r>
    </w:p>
    <w:p>
      <w:pPr>
        <w:spacing w:after="0" w:line="317"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Householding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Secretary at the following address and phone number: </w:t>
      </w:r>
      <w:r>
        <w:rPr>
          <w:rFonts w:ascii="Arial" w:cs="Arial" w:eastAsia="Arial" w:hAnsi="Arial"/>
          <w:sz w:val="18"/>
          <w:szCs w:val="18"/>
          <w:b w:val="1"/>
          <w:bCs w:val="1"/>
          <w:i w:val="1"/>
          <w:iCs w:val="1"/>
          <w:color w:val="auto"/>
        </w:rPr>
        <w:t>Northrop Grumman Corporation, 2980 Fairview Park Drive, Falls Church, Virginia 22042, (703) 280-2900</w:t>
      </w:r>
      <w:r>
        <w:rPr>
          <w:rFonts w:ascii="Arial" w:cs="Arial" w:eastAsia="Arial" w:hAnsi="Arial"/>
          <w:sz w:val="18"/>
          <w:szCs w:val="18"/>
          <w:color w:val="auto"/>
        </w:rPr>
        <w:t>. To receive separate copies of 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pacing w:after="0" w:line="133" w:lineRule="exact"/>
        <w:rPr>
          <w:sz w:val="20"/>
          <w:szCs w:val="20"/>
          <w:color w:val="auto"/>
        </w:rPr>
      </w:pPr>
    </w:p>
    <w:p>
      <w:pPr>
        <w:ind w:left="460" w:hanging="256"/>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20"/>
          <w:szCs w:val="20"/>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MISCELLANEOUS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Cost of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$20,000,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203" w:lineRule="exact"/>
        <w:rPr>
          <w:sz w:val="20"/>
          <w:szCs w:val="20"/>
          <w:color w:val="auto"/>
        </w:rPr>
      </w:pPr>
    </w:p>
    <w:p>
      <w:pPr>
        <w:ind w:left="200" w:right="660"/>
        <w:spacing w:after="0" w:line="246" w:lineRule="auto"/>
        <w:rPr>
          <w:sz w:val="20"/>
          <w:szCs w:val="20"/>
          <w:color w:val="auto"/>
        </w:rPr>
      </w:pPr>
      <w:r>
        <w:rPr>
          <w:rFonts w:ascii="Arial" w:cs="Arial" w:eastAsia="Arial" w:hAnsi="Arial"/>
          <w:sz w:val="18"/>
          <w:szCs w:val="18"/>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316"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640"/>
        <w:spacing w:after="0" w:line="246" w:lineRule="auto"/>
        <w:rPr>
          <w:sz w:val="20"/>
          <w:szCs w:val="20"/>
          <w:color w:val="auto"/>
        </w:rPr>
      </w:pPr>
      <w:r>
        <w:rPr>
          <w:rFonts w:ascii="Arial" w:cs="Arial" w:eastAsia="Arial" w:hAnsi="Arial"/>
          <w:sz w:val="18"/>
          <w:szCs w:val="18"/>
          <w:color w:val="auto"/>
        </w:rPr>
        <w:t>You may obtain a copy of the following corporate governance materials on the Investor Relations section of our website (</w:t>
      </w:r>
      <w:r>
        <w:rPr>
          <w:rFonts w:ascii="Arial" w:cs="Arial" w:eastAsia="Arial" w:hAnsi="Arial"/>
          <w:sz w:val="18"/>
          <w:szCs w:val="18"/>
          <w:i w:val="1"/>
          <w:iCs w:val="1"/>
          <w:color w:val="auto"/>
        </w:rPr>
        <w:t>www.northropgrumman.com</w:t>
      </w:r>
      <w:r>
        <w:rPr>
          <w:rFonts w:ascii="Arial" w:cs="Arial" w:eastAsia="Arial" w:hAnsi="Arial"/>
          <w:sz w:val="18"/>
          <w:szCs w:val="18"/>
          <w:color w:val="auto"/>
        </w:rPr>
        <w:t>) under Corporate Governance:</w:t>
      </w:r>
    </w:p>
    <w:p>
      <w:pPr>
        <w:spacing w:after="0" w:line="102" w:lineRule="exact"/>
        <w:rPr>
          <w:sz w:val="20"/>
          <w:szCs w:val="20"/>
          <w:color w:val="auto"/>
        </w:rPr>
      </w:pPr>
    </w:p>
    <w:p>
      <w:pPr>
        <w:ind w:left="520" w:hanging="316"/>
        <w:spacing w:after="0"/>
        <w:tabs>
          <w:tab w:leader="none" w:pos="520" w:val="left"/>
        </w:tabs>
        <w:numPr>
          <w:ilvl w:val="0"/>
          <w:numId w:val="124"/>
        </w:numPr>
        <w:rPr>
          <w:rFonts w:ascii="Arial" w:cs="Arial" w:eastAsia="Arial" w:hAnsi="Arial"/>
          <w:sz w:val="18"/>
          <w:szCs w:val="18"/>
          <w:color w:val="276092"/>
        </w:rPr>
      </w:pPr>
      <w:r>
        <w:rPr>
          <w:rFonts w:ascii="Arial" w:cs="Arial" w:eastAsia="Arial" w:hAnsi="Arial"/>
          <w:sz w:val="18"/>
          <w:szCs w:val="18"/>
          <w:color w:val="auto"/>
        </w:rPr>
        <w:t>Bylaws;</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24"/>
        </w:numPr>
        <w:rPr>
          <w:rFonts w:ascii="Arial" w:cs="Arial" w:eastAsia="Arial" w:hAnsi="Arial"/>
          <w:sz w:val="18"/>
          <w:szCs w:val="18"/>
          <w:color w:val="276092"/>
        </w:rPr>
      </w:pPr>
      <w:r>
        <w:rPr>
          <w:rFonts w:ascii="Arial" w:cs="Arial" w:eastAsia="Arial" w:hAnsi="Arial"/>
          <w:sz w:val="18"/>
          <w:szCs w:val="18"/>
          <w:color w:val="auto"/>
        </w:rPr>
        <w:t>Principles of Corporate Governance;</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24"/>
        </w:numPr>
        <w:rPr>
          <w:rFonts w:ascii="Arial" w:cs="Arial" w:eastAsia="Arial" w:hAnsi="Arial"/>
          <w:sz w:val="18"/>
          <w:szCs w:val="18"/>
          <w:color w:val="276092"/>
        </w:rPr>
      </w:pPr>
      <w:r>
        <w:rPr>
          <w:rFonts w:ascii="Arial" w:cs="Arial" w:eastAsia="Arial" w:hAnsi="Arial"/>
          <w:sz w:val="18"/>
          <w:szCs w:val="18"/>
          <w:color w:val="auto"/>
        </w:rPr>
        <w:t>Standards of Business Conduct;</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24"/>
        </w:numPr>
        <w:rPr>
          <w:rFonts w:ascii="Arial" w:cs="Arial" w:eastAsia="Arial" w:hAnsi="Arial"/>
          <w:sz w:val="18"/>
          <w:szCs w:val="18"/>
          <w:color w:val="276092"/>
        </w:rPr>
      </w:pPr>
      <w:r>
        <w:rPr>
          <w:rFonts w:ascii="Arial" w:cs="Arial" w:eastAsia="Arial" w:hAnsi="Arial"/>
          <w:sz w:val="18"/>
          <w:szCs w:val="18"/>
          <w:color w:val="auto"/>
        </w:rPr>
        <w:t>Policy and Procedure Regarding Company Transactions with Related Persons; and</w:t>
      </w:r>
    </w:p>
    <w:p>
      <w:pPr>
        <w:spacing w:after="0" w:line="130" w:lineRule="exact"/>
        <w:rPr>
          <w:rFonts w:ascii="Arial" w:cs="Arial" w:eastAsia="Arial" w:hAnsi="Arial"/>
          <w:sz w:val="18"/>
          <w:szCs w:val="18"/>
          <w:color w:val="276092"/>
        </w:rPr>
      </w:pPr>
    </w:p>
    <w:p>
      <w:pPr>
        <w:ind w:left="520" w:hanging="316"/>
        <w:spacing w:after="0"/>
        <w:tabs>
          <w:tab w:leader="none" w:pos="520" w:val="left"/>
        </w:tabs>
        <w:numPr>
          <w:ilvl w:val="0"/>
          <w:numId w:val="124"/>
        </w:numPr>
        <w:rPr>
          <w:rFonts w:ascii="Arial" w:cs="Arial" w:eastAsia="Arial" w:hAnsi="Arial"/>
          <w:sz w:val="18"/>
          <w:szCs w:val="18"/>
          <w:color w:val="276092"/>
        </w:rPr>
      </w:pPr>
      <w:r>
        <w:rPr>
          <w:rFonts w:ascii="Arial" w:cs="Arial" w:eastAsia="Arial" w:hAnsi="Arial"/>
          <w:sz w:val="18"/>
          <w:szCs w:val="18"/>
          <w:color w:val="auto"/>
        </w:rPr>
        <w:t>Board Committee Charters.</w:t>
      </w:r>
    </w:p>
    <w:p>
      <w:pPr>
        <w:spacing w:after="0" w:line="225" w:lineRule="exact"/>
        <w:rPr>
          <w:sz w:val="20"/>
          <w:szCs w:val="20"/>
          <w:color w:val="auto"/>
        </w:rPr>
      </w:pPr>
    </w:p>
    <w:p>
      <w:pPr>
        <w:ind w:left="200" w:right="840"/>
        <w:spacing w:after="0" w:line="246" w:lineRule="auto"/>
        <w:rPr>
          <w:sz w:val="20"/>
          <w:szCs w:val="20"/>
          <w:color w:val="auto"/>
        </w:rPr>
      </w:pPr>
      <w:r>
        <w:rPr>
          <w:rFonts w:ascii="Arial" w:cs="Arial" w:eastAsia="Arial" w:hAnsi="Arial"/>
          <w:sz w:val="18"/>
          <w:szCs w:val="18"/>
          <w:color w:val="auto"/>
        </w:rPr>
        <w:t xml:space="preserve">Copies of these documents are also available without charge to any shareholder upon written request to the Corporate Secretary, </w:t>
      </w:r>
      <w:r>
        <w:rPr>
          <w:rFonts w:ascii="Arial" w:cs="Arial" w:eastAsia="Arial" w:hAnsi="Arial"/>
          <w:sz w:val="18"/>
          <w:szCs w:val="18"/>
          <w:b w:val="1"/>
          <w:bCs w:val="1"/>
          <w:i w:val="1"/>
          <w:iCs w:val="1"/>
          <w:color w:val="auto"/>
        </w:rPr>
        <w:t>Northrop Grumman Corporation, 2980 Fairview Park Drive, Falls Church, Virginia 22042</w:t>
      </w:r>
      <w:r>
        <w:rPr>
          <w:rFonts w:ascii="Arial" w:cs="Arial" w:eastAsia="Arial" w:hAnsi="Arial"/>
          <w:sz w:val="18"/>
          <w:szCs w:val="18"/>
          <w:color w:val="auto"/>
        </w:rPr>
        <w:t>.</w:t>
      </w:r>
    </w:p>
    <w:p>
      <w:pPr>
        <w:spacing w:after="0" w:line="197" w:lineRule="exact"/>
        <w:rPr>
          <w:sz w:val="20"/>
          <w:szCs w:val="20"/>
          <w:color w:val="auto"/>
        </w:rPr>
      </w:pPr>
    </w:p>
    <w:p>
      <w:pPr>
        <w:jc w:val="both"/>
        <w:ind w:left="200" w:right="500"/>
        <w:spacing w:after="0"/>
        <w:rPr>
          <w:sz w:val="20"/>
          <w:szCs w:val="20"/>
          <w:color w:val="auto"/>
        </w:rPr>
      </w:pPr>
      <w:r>
        <w:rPr>
          <w:rFonts w:ascii="Arial" w:cs="Arial" w:eastAsia="Arial" w:hAnsi="Arial"/>
          <w:sz w:val="18"/>
          <w:szCs w:val="18"/>
          <w:color w:val="auto"/>
        </w:rPr>
        <w:t>We disclose amendments to provisions of our Standards of Business Conduct by posting amendments on our website. Waivers of the provisions of our Standards of Business Conduct that apply to our directors or executive officers are disclosed in a Current Report on Form 8-K.</w:t>
      </w:r>
    </w:p>
    <w:p>
      <w:pPr>
        <w:spacing w:after="0" w:line="32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Committee Report” and those portions of the information included under the section entitled “Audit Committee Report” required by the SEC’s rules to be included therein, shall not be deemed to be “soliciting material” or “filed” with the SEC and shall not be deemed incorporated by reference into any of those prior filings or into any future filings made by the Company under those statutes, except to the extent we specifically incorporate these items by reference.</w:t>
      </w:r>
    </w:p>
    <w:p>
      <w:pPr>
        <w:spacing w:after="0" w:line="311" w:lineRule="exact"/>
        <w:rPr>
          <w:sz w:val="20"/>
          <w:szCs w:val="20"/>
          <w:color w:val="auto"/>
        </w:rPr>
      </w:pPr>
    </w:p>
    <w:p>
      <w:pPr>
        <w:ind w:left="260"/>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59690</wp:posOffset>
            </wp:positionV>
            <wp:extent cx="699770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30, 2018</w:t>
      </w:r>
    </w:p>
    <w:p>
      <w:pPr>
        <w:spacing w:after="0" w:line="104" w:lineRule="exact"/>
        <w:rPr>
          <w:sz w:val="20"/>
          <w:szCs w:val="20"/>
          <w:color w:val="auto"/>
        </w:rPr>
      </w:pPr>
    </w:p>
    <w:p>
      <w:pPr>
        <w:ind w:left="200" w:right="620" w:firstLine="441"/>
        <w:spacing w:after="0" w:line="239" w:lineRule="auto"/>
        <w:rPr>
          <w:sz w:val="20"/>
          <w:szCs w:val="20"/>
          <w:color w:val="auto"/>
        </w:rPr>
      </w:pPr>
      <w:r>
        <w:rPr>
          <w:rFonts w:ascii="Arial" w:cs="Arial" w:eastAsia="Arial" w:hAnsi="Arial"/>
          <w:sz w:val="18"/>
          <w:szCs w:val="18"/>
          <w:color w:val="auto"/>
        </w:rPr>
        <w:t>NOTICE: THE COMPANY FILED AN ANNUAL REPORT ON FORM 10-K FOR THE YEAR ENDED DECEMBER 31, 2017 ON JANUARY 29, 2018. SHAREHOLDERS OF RECORD ON MARCH 20, 2018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283210</wp:posOffset>
            </wp:positionV>
            <wp:extent cx="1637665" cy="5403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63766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Jennifer C. McGarey</w:t>
      </w:r>
    </w:p>
    <w:p>
      <w:pPr>
        <w:ind w:left="8140"/>
        <w:spacing w:after="0"/>
        <w:rPr>
          <w:sz w:val="20"/>
          <w:szCs w:val="20"/>
          <w:color w:val="auto"/>
        </w:rPr>
      </w:pPr>
      <w:r>
        <w:rPr>
          <w:rFonts w:ascii="Arial" w:cs="Arial" w:eastAsia="Arial" w:hAnsi="Arial"/>
          <w:sz w:val="17"/>
          <w:szCs w:val="17"/>
          <w:i w:val="1"/>
          <w:iCs w:val="1"/>
          <w:color w:val="auto"/>
        </w:rPr>
        <w:t>Corporate Vice President and Secretary</w:t>
      </w:r>
    </w:p>
    <w:p>
      <w:pPr>
        <w:spacing w:after="0" w:line="153" w:lineRule="exact"/>
        <w:rPr>
          <w:sz w:val="20"/>
          <w:szCs w:val="20"/>
          <w:color w:val="auto"/>
        </w:rPr>
      </w:pPr>
    </w:p>
    <w:p>
      <w:pPr>
        <w:ind w:left="518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73</w:t>
      </w:r>
    </w:p>
    <w:p>
      <w:pPr>
        <w:sectPr>
          <w:pgSz w:w="11900" w:h="16838" w:orient="portrait"/>
          <w:cols w:equalWidth="0" w:num="1">
            <w:col w:w="11320"/>
          </w:cols>
          <w:pgMar w:left="24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and reconciliations for the non-GAAP financial measures contained in this Proxy Statement are provided below. Other companies may define these measures differently or may utilize different non-GAAP financial measures.</w:t>
      </w:r>
    </w:p>
    <w:p>
      <w:pPr>
        <w:spacing w:after="0" w:line="73" w:lineRule="exact"/>
        <w:rPr>
          <w:sz w:val="20"/>
          <w:szCs w:val="20"/>
          <w:color w:val="auto"/>
        </w:rPr>
      </w:pPr>
    </w:p>
    <w:p>
      <w:pPr>
        <w:ind w:left="200" w:right="180"/>
        <w:spacing w:after="0" w:line="244" w:lineRule="auto"/>
        <w:rPr>
          <w:sz w:val="20"/>
          <w:szCs w:val="20"/>
          <w:color w:val="auto"/>
        </w:rPr>
      </w:pPr>
      <w:r>
        <w:rPr>
          <w:rFonts w:ascii="Arial" w:cs="Arial" w:eastAsia="Arial" w:hAnsi="Arial"/>
          <w:sz w:val="18"/>
          <w:szCs w:val="18"/>
          <w:b w:val="1"/>
          <w:bCs w:val="1"/>
          <w:u w:val="single" w:color="auto"/>
          <w:color w:val="auto"/>
        </w:rPr>
        <w:t>Cash flow metrics</w:t>
      </w:r>
      <w:r>
        <w:rPr>
          <w:rFonts w:ascii="Arial" w:cs="Arial" w:eastAsia="Arial" w:hAnsi="Arial"/>
          <w:sz w:val="18"/>
          <w:szCs w:val="18"/>
          <w:b w:val="1"/>
          <w:bCs w:val="1"/>
          <w:color w:val="auto"/>
        </w:rPr>
        <w:t xml:space="preserve">: </w:t>
      </w:r>
      <w:r>
        <w:rPr>
          <w:rFonts w:ascii="Arial" w:cs="Arial" w:eastAsia="Arial" w:hAnsi="Arial"/>
          <w:sz w:val="18"/>
          <w:szCs w:val="18"/>
          <w:color w:val="auto"/>
        </w:rPr>
        <w:t>We use cash flow metrics as internal measures of financial performance and for performance-based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We also use these measures as a key factor in our planning for, and consideration of, acquisitions, stock repurchases and the payment of dividends.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w:t>
      </w:r>
    </w:p>
    <w:p>
      <w:pPr>
        <w:spacing w:after="0" w:line="69" w:lineRule="exact"/>
        <w:rPr>
          <w:sz w:val="20"/>
          <w:szCs w:val="20"/>
          <w:color w:val="auto"/>
        </w:rPr>
      </w:pPr>
    </w:p>
    <w:p>
      <w:pPr>
        <w:ind w:left="1080" w:right="40"/>
        <w:spacing w:after="0" w:line="253" w:lineRule="auto"/>
        <w:rPr>
          <w:sz w:val="20"/>
          <w:szCs w:val="20"/>
          <w:color w:val="auto"/>
        </w:rPr>
      </w:pPr>
      <w:r>
        <w:rPr>
          <w:rFonts w:ascii="Arial" w:cs="Arial" w:eastAsia="Arial" w:hAnsi="Arial"/>
          <w:sz w:val="18"/>
          <w:szCs w:val="18"/>
          <w:b w:val="1"/>
          <w:bCs w:val="1"/>
          <w:u w:val="single" w:color="auto"/>
          <w:color w:val="auto"/>
        </w:rPr>
        <w:t>Cash provided by operating activities before after-tax discretionary pension contribution</w:t>
      </w:r>
      <w:r>
        <w:rPr>
          <w:rFonts w:ascii="Arial" w:cs="Arial" w:eastAsia="Arial" w:hAnsi="Arial"/>
          <w:sz w:val="18"/>
          <w:szCs w:val="18"/>
          <w:color w:val="auto"/>
        </w:rPr>
        <w:t>: Cash provided by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before the after-tax impact of discretionary pension contribution. Cash provided by operating activities before after-tax discretionary pension contribution is reconciled below.</w:t>
      </w:r>
    </w:p>
    <w:p>
      <w:pPr>
        <w:spacing w:after="0" w:line="61" w:lineRule="exact"/>
        <w:rPr>
          <w:sz w:val="20"/>
          <w:szCs w:val="20"/>
          <w:color w:val="auto"/>
        </w:rPr>
      </w:pPr>
    </w:p>
    <w:p>
      <w:pPr>
        <w:ind w:left="1080" w:right="520"/>
        <w:spacing w:after="0" w:line="271" w:lineRule="auto"/>
        <w:rPr>
          <w:sz w:val="20"/>
          <w:szCs w:val="20"/>
          <w:color w:val="auto"/>
        </w:rPr>
      </w:pPr>
      <w:r>
        <w:rPr>
          <w:rFonts w:ascii="Arial" w:cs="Arial" w:eastAsia="Arial" w:hAnsi="Arial"/>
          <w:sz w:val="18"/>
          <w:szCs w:val="18"/>
          <w:b w:val="1"/>
          <w:bCs w:val="1"/>
          <w:u w:val="single" w:color="auto"/>
          <w:color w:val="auto"/>
        </w:rPr>
        <w:t>Cash Flow from Operations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operating activities before after-tax pension contribution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above, divided by net income excluding the impact of 2017 tax reform.</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b w:val="1"/>
          <w:bCs w:val="1"/>
          <w:u w:val="single" w:color="auto"/>
          <w:color w:val="auto"/>
        </w:rPr>
        <w:t>Free cash flow</w:t>
      </w:r>
      <w:r>
        <w:rPr>
          <w:rFonts w:ascii="Arial" w:cs="Arial" w:eastAsia="Arial" w:hAnsi="Arial"/>
          <w:sz w:val="18"/>
          <w:szCs w:val="18"/>
          <w:color w:val="auto"/>
        </w:rPr>
        <w:t>: Net cash provided by operating activities less capital expenditures. Free cash flow is reconciled below.</w:t>
      </w:r>
    </w:p>
    <w:p>
      <w:pPr>
        <w:spacing w:after="0" w:line="104" w:lineRule="exact"/>
        <w:rPr>
          <w:sz w:val="20"/>
          <w:szCs w:val="20"/>
          <w:color w:val="auto"/>
        </w:rPr>
      </w:pPr>
    </w:p>
    <w:p>
      <w:pPr>
        <w:ind w:left="1080" w:right="560"/>
        <w:spacing w:after="0" w:line="271" w:lineRule="auto"/>
        <w:rPr>
          <w:sz w:val="20"/>
          <w:szCs w:val="20"/>
          <w:color w:val="auto"/>
        </w:rPr>
      </w:pPr>
      <w:r>
        <w:rPr>
          <w:rFonts w:ascii="Arial" w:cs="Arial" w:eastAsia="Arial" w:hAnsi="Arial"/>
          <w:sz w:val="18"/>
          <w:szCs w:val="18"/>
          <w:b w:val="1"/>
          <w:bCs w:val="1"/>
          <w:u w:val="single" w:color="auto"/>
          <w:color w:val="auto"/>
        </w:rPr>
        <w:t>Free cash flow before after-tax discretionary pension contribution</w:t>
      </w:r>
      <w:r>
        <w:rPr>
          <w:rFonts w:ascii="Arial" w:cs="Arial" w:eastAsia="Arial" w:hAnsi="Arial"/>
          <w:sz w:val="18"/>
          <w:szCs w:val="18"/>
          <w:color w:val="auto"/>
        </w:rPr>
        <w:t>: Free cash flow before the after-tax impact of</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pension contribution. Free cash flow before after-tax discretionary pension contribution is reconciled below.</w:t>
      </w:r>
    </w:p>
    <w:p>
      <w:pPr>
        <w:spacing w:after="0" w:line="46" w:lineRule="exact"/>
        <w:rPr>
          <w:sz w:val="20"/>
          <w:szCs w:val="20"/>
          <w:color w:val="auto"/>
        </w:rPr>
      </w:pPr>
    </w:p>
    <w:p>
      <w:pPr>
        <w:ind w:left="1080"/>
        <w:spacing w:after="0" w:line="271" w:lineRule="auto"/>
        <w:rPr>
          <w:sz w:val="20"/>
          <w:szCs w:val="20"/>
          <w:color w:val="auto"/>
        </w:rPr>
      </w:pPr>
      <w:r>
        <w:rPr>
          <w:rFonts w:ascii="Arial" w:cs="Arial" w:eastAsia="Arial" w:hAnsi="Arial"/>
          <w:sz w:val="18"/>
          <w:szCs w:val="18"/>
          <w:b w:val="1"/>
          <w:bCs w:val="1"/>
          <w:u w:val="single" w:color="auto"/>
          <w:color w:val="auto"/>
        </w:rPr>
        <w:t>Cumulative free cash flow</w:t>
      </w:r>
      <w:r>
        <w:rPr>
          <w:rFonts w:ascii="Arial" w:cs="Arial" w:eastAsia="Arial" w:hAnsi="Arial"/>
          <w:sz w:val="18"/>
          <w:szCs w:val="18"/>
          <w:color w:val="auto"/>
        </w:rPr>
        <w:t>: The aggregate free cash flow before the after-tax impact of total pension funding over a three-year</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46"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b w:val="1"/>
          <w:bCs w:val="1"/>
          <w:u w:val="single" w:color="auto"/>
          <w:color w:val="auto"/>
        </w:rPr>
        <w:t>Pension-adjusted metrics</w:t>
      </w:r>
      <w:r>
        <w:rPr>
          <w:rFonts w:ascii="Arial" w:cs="Arial" w:eastAsia="Arial" w:hAnsi="Arial"/>
          <w:sz w:val="18"/>
          <w:szCs w:val="18"/>
          <w:color w:val="auto"/>
        </w:rPr>
        <w:t>: For financial statement purposes, we account for our employee pension plans in accordance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(FAS). 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 The following pension-adjusted measures may be useful to investors and other users of our financial statements in evaluating our performance based upon the pension costs charged to our contracts.</w:t>
      </w:r>
    </w:p>
    <w:p>
      <w:pPr>
        <w:spacing w:after="0" w:line="71" w:lineRule="exact"/>
        <w:rPr>
          <w:sz w:val="20"/>
          <w:szCs w:val="20"/>
          <w:color w:val="auto"/>
        </w:rPr>
      </w:pPr>
    </w:p>
    <w:p>
      <w:pPr>
        <w:jc w:val="both"/>
        <w:ind w:left="1080" w:right="220"/>
        <w:spacing w:after="0" w:line="253" w:lineRule="auto"/>
        <w:rPr>
          <w:sz w:val="20"/>
          <w:szCs w:val="20"/>
          <w:color w:val="auto"/>
        </w:rPr>
      </w:pPr>
      <w:r>
        <w:rPr>
          <w:rFonts w:ascii="Arial" w:cs="Arial" w:eastAsia="Arial" w:hAnsi="Arial"/>
          <w:sz w:val="18"/>
          <w:szCs w:val="18"/>
          <w:b w:val="1"/>
          <w:bCs w:val="1"/>
          <w:u w:val="single" w:color="auto"/>
          <w:color w:val="auto"/>
        </w:rPr>
        <w:t>Net FAS/CAS pension adjustment</w:t>
      </w:r>
      <w:r>
        <w:rPr>
          <w:rFonts w:ascii="Arial" w:cs="Arial" w:eastAsia="Arial" w:hAnsi="Arial"/>
          <w:sz w:val="18"/>
          <w:szCs w:val="18"/>
          <w:color w:val="auto"/>
        </w:rPr>
        <w:t>: The difference between pension expense charged to contracts and included as cost in</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operating income in accordance with CAS and pension expense determined in accordance with FAS. Net FAS/CAS pension adjustment is presented below.</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8"/>
          <w:szCs w:val="18"/>
          <w:b w:val="1"/>
          <w:bCs w:val="1"/>
          <w:u w:val="single" w:color="auto"/>
          <w:color w:val="auto"/>
        </w:rPr>
        <w:t>Pension-adjusted operating income</w:t>
      </w:r>
      <w:r>
        <w:rPr>
          <w:rFonts w:ascii="Arial" w:cs="Arial" w:eastAsia="Arial" w:hAnsi="Arial"/>
          <w:sz w:val="18"/>
          <w:szCs w:val="18"/>
          <w:color w:val="auto"/>
        </w:rPr>
        <w:t>: Operating income before the net FAS/CAS pension adjustment as defined above.</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Pension-adjusted operating income is reconciled below.</w:t>
      </w:r>
    </w:p>
    <w:p>
      <w:pPr>
        <w:spacing w:after="0" w:line="82" w:lineRule="exact"/>
        <w:rPr>
          <w:sz w:val="20"/>
          <w:szCs w:val="20"/>
          <w:color w:val="auto"/>
        </w:rPr>
      </w:pPr>
    </w:p>
    <w:p>
      <w:pPr>
        <w:ind w:left="1080" w:right="200"/>
        <w:spacing w:after="0" w:line="271" w:lineRule="auto"/>
        <w:rPr>
          <w:sz w:val="20"/>
          <w:szCs w:val="20"/>
          <w:color w:val="auto"/>
        </w:rPr>
      </w:pPr>
      <w:r>
        <w:rPr>
          <w:rFonts w:ascii="Arial" w:cs="Arial" w:eastAsia="Arial" w:hAnsi="Arial"/>
          <w:sz w:val="18"/>
          <w:szCs w:val="18"/>
          <w:b w:val="1"/>
          <w:bCs w:val="1"/>
          <w:u w:val="single" w:color="auto"/>
          <w:color w:val="auto"/>
        </w:rPr>
        <w:t>Pension-adjusted operating margin rate</w:t>
      </w:r>
      <w:r>
        <w:rPr>
          <w:rFonts w:ascii="Arial" w:cs="Arial" w:eastAsia="Arial" w:hAnsi="Arial"/>
          <w:sz w:val="18"/>
          <w:szCs w:val="18"/>
          <w:color w:val="auto"/>
        </w:rPr>
        <w:t>: Pension-adjusted operating income as defined above, divided by sales. Pension-adjusted operating margin rate is reconciled below.</w:t>
      </w:r>
    </w:p>
    <w:p>
      <w:pPr>
        <w:spacing w:after="0" w:line="46" w:lineRule="exact"/>
        <w:rPr>
          <w:sz w:val="20"/>
          <w:szCs w:val="20"/>
          <w:color w:val="auto"/>
        </w:rPr>
      </w:pPr>
    </w:p>
    <w:p>
      <w:pPr>
        <w:ind w:left="1080" w:right="280"/>
        <w:spacing w:after="0" w:line="271" w:lineRule="auto"/>
        <w:rPr>
          <w:sz w:val="20"/>
          <w:szCs w:val="20"/>
          <w:color w:val="auto"/>
        </w:rPr>
      </w:pPr>
      <w:r>
        <w:rPr>
          <w:rFonts w:ascii="Arial" w:cs="Arial" w:eastAsia="Arial" w:hAnsi="Arial"/>
          <w:sz w:val="18"/>
          <w:szCs w:val="18"/>
          <w:b w:val="1"/>
          <w:bCs w:val="1"/>
          <w:u w:val="single" w:color="auto"/>
          <w:color w:val="auto"/>
        </w:rPr>
        <w:t>After-tax net pension adjustment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net income impact, after tax at the statutory rate of 35 percent, of the net FAS/CAS</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adjustment as defined above. After-tax net pension adjustment is presented below.</w:t>
      </w:r>
    </w:p>
    <w:p>
      <w:pPr>
        <w:spacing w:after="0" w:line="46" w:lineRule="exact"/>
        <w:rPr>
          <w:sz w:val="20"/>
          <w:szCs w:val="20"/>
          <w:color w:val="auto"/>
        </w:rPr>
      </w:pPr>
    </w:p>
    <w:p>
      <w:pPr>
        <w:ind w:left="1080" w:right="240"/>
        <w:spacing w:after="0" w:line="271" w:lineRule="auto"/>
        <w:rPr>
          <w:sz w:val="20"/>
          <w:szCs w:val="20"/>
          <w:color w:val="auto"/>
        </w:rPr>
      </w:pPr>
      <w:r>
        <w:rPr>
          <w:rFonts w:ascii="Arial" w:cs="Arial" w:eastAsia="Arial" w:hAnsi="Arial"/>
          <w:sz w:val="18"/>
          <w:szCs w:val="18"/>
          <w:b w:val="1"/>
          <w:bCs w:val="1"/>
          <w:u w:val="single" w:color="auto"/>
          <w:color w:val="auto"/>
        </w:rPr>
        <w:t>Pension-adjusted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Net income before the after-tax net pension adjustment as defined above and excluding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2017 tax reform. Pension-adjusted net income is reconciled below.</w:t>
      </w:r>
    </w:p>
    <w:p>
      <w:pPr>
        <w:spacing w:after="0" w:line="46" w:lineRule="exact"/>
        <w:rPr>
          <w:sz w:val="20"/>
          <w:szCs w:val="20"/>
          <w:color w:val="auto"/>
        </w:rPr>
      </w:pPr>
    </w:p>
    <w:p>
      <w:pPr>
        <w:ind w:left="1080" w:right="380"/>
        <w:spacing w:after="0" w:line="271" w:lineRule="auto"/>
        <w:rPr>
          <w:sz w:val="20"/>
          <w:szCs w:val="20"/>
          <w:color w:val="auto"/>
        </w:rPr>
      </w:pPr>
      <w:r>
        <w:rPr>
          <w:rFonts w:ascii="Arial" w:cs="Arial" w:eastAsia="Arial" w:hAnsi="Arial"/>
          <w:sz w:val="18"/>
          <w:szCs w:val="18"/>
          <w:b w:val="1"/>
          <w:bCs w:val="1"/>
          <w:u w:val="single" w:color="auto"/>
          <w:color w:val="auto"/>
        </w:rPr>
        <w:t>Pre-tax net pension adjustment per share</w:t>
      </w:r>
      <w:r>
        <w:rPr>
          <w:rFonts w:ascii="Arial" w:cs="Arial" w:eastAsia="Arial" w:hAnsi="Arial"/>
          <w:sz w:val="18"/>
          <w:szCs w:val="18"/>
          <w:color w:val="auto"/>
        </w:rPr>
        <w:t>: The per share impact, before tax, of the net FAS/CAS pension adjustment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above. Pre-tax net pension adjustment per share is presented below.</w:t>
      </w:r>
    </w:p>
    <w:p>
      <w:pPr>
        <w:spacing w:after="0" w:line="46" w:lineRule="exact"/>
        <w:rPr>
          <w:sz w:val="20"/>
          <w:szCs w:val="20"/>
          <w:color w:val="auto"/>
        </w:rPr>
      </w:pPr>
    </w:p>
    <w:p>
      <w:pPr>
        <w:ind w:left="1080" w:right="360"/>
        <w:spacing w:after="0" w:line="271" w:lineRule="auto"/>
        <w:rPr>
          <w:sz w:val="20"/>
          <w:szCs w:val="20"/>
          <w:color w:val="auto"/>
        </w:rPr>
      </w:pPr>
      <w:r>
        <w:rPr>
          <w:rFonts w:ascii="Arial" w:cs="Arial" w:eastAsia="Arial" w:hAnsi="Arial"/>
          <w:sz w:val="18"/>
          <w:szCs w:val="18"/>
          <w:b w:val="1"/>
          <w:bCs w:val="1"/>
          <w:u w:val="single" w:color="auto"/>
          <w:color w:val="auto"/>
        </w:rPr>
        <w:t>After-tax net pension adjustment per share</w:t>
      </w:r>
      <w:r>
        <w:rPr>
          <w:rFonts w:ascii="Arial" w:cs="Arial" w:eastAsia="Arial" w:hAnsi="Arial"/>
          <w:sz w:val="18"/>
          <w:szCs w:val="18"/>
          <w:color w:val="auto"/>
        </w:rPr>
        <w:t>: The per share impact, after tax at the statutory rate of 35 percent, of the net</w:t>
      </w:r>
      <w:r>
        <w:rPr>
          <w:rFonts w:ascii="Arial" w:cs="Arial" w:eastAsia="Arial" w:hAnsi="Arial"/>
          <w:sz w:val="18"/>
          <w:szCs w:val="18"/>
          <w:b w:val="1"/>
          <w:bCs w:val="1"/>
          <w:color w:val="auto"/>
        </w:rPr>
        <w:t xml:space="preserve"> </w:t>
      </w:r>
      <w:r>
        <w:rPr>
          <w:rFonts w:ascii="Arial" w:cs="Arial" w:eastAsia="Arial" w:hAnsi="Arial"/>
          <w:sz w:val="18"/>
          <w:szCs w:val="18"/>
          <w:color w:val="auto"/>
        </w:rPr>
        <w:t>FAS/CAS pension adjustment as defined above. After-tax net pension adjustment per share is presented below.</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b w:val="1"/>
          <w:bCs w:val="1"/>
          <w:u w:val="single" w:color="auto"/>
          <w:color w:val="auto"/>
        </w:rPr>
        <w:t>Pension-adjusted diluted EPS</w:t>
      </w:r>
      <w:r>
        <w:rPr>
          <w:rFonts w:ascii="Arial" w:cs="Arial" w:eastAsia="Arial" w:hAnsi="Arial"/>
          <w:sz w:val="18"/>
          <w:szCs w:val="18"/>
          <w:color w:val="auto"/>
        </w:rPr>
        <w:t>: Diluted EPS excluding the after-tax net pension adjustment per share as defined above.</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Pension-adjusted diluted EPS is reconciled below.</w:t>
      </w:r>
    </w:p>
    <w:p>
      <w:pPr>
        <w:spacing w:after="0" w:line="82"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u w:val="single" w:color="auto"/>
          <w:color w:val="auto"/>
        </w:rPr>
        <w:t>Diluted EPS excluding 2017 tax reform and related discretionary pension contribution impacts:</w:t>
      </w:r>
      <w:r>
        <w:rPr>
          <w:rFonts w:ascii="Arial" w:cs="Arial" w:eastAsia="Arial" w:hAnsi="Arial"/>
          <w:sz w:val="18"/>
          <w:szCs w:val="18"/>
          <w:b w:val="1"/>
          <w:bCs w:val="1"/>
          <w:color w:val="auto"/>
        </w:rPr>
        <w:t xml:space="preserve"> </w:t>
      </w:r>
      <w:r>
        <w:rPr>
          <w:rFonts w:ascii="Arial" w:cs="Arial" w:eastAsia="Arial" w:hAnsi="Arial"/>
          <w:sz w:val="18"/>
          <w:szCs w:val="18"/>
          <w:color w:val="auto"/>
        </w:rPr>
        <w:t>Net earnings excluding the impacts</w:t>
      </w:r>
      <w:r>
        <w:rPr>
          <w:rFonts w:ascii="Arial" w:cs="Arial" w:eastAsia="Arial" w:hAnsi="Arial"/>
          <w:sz w:val="18"/>
          <w:szCs w:val="18"/>
          <w:b w:val="1"/>
          <w:bCs w:val="1"/>
          <w:color w:val="auto"/>
        </w:rPr>
        <w:t xml:space="preserve"> </w:t>
      </w:r>
      <w:r>
        <w:rPr>
          <w:rFonts w:ascii="Arial" w:cs="Arial" w:eastAsia="Arial" w:hAnsi="Arial"/>
          <w:sz w:val="18"/>
          <w:szCs w:val="18"/>
          <w:color w:val="auto"/>
        </w:rPr>
        <w:t>of 2017 tax reform and our related discretionary pension contribution divided by weighted average diluted shares outstanding. This measure may be useful to investors and other users of our financial statements in understanding the impact of these items to our</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A-1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APPENDIX A -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-139065</wp:posOffset>
            </wp:positionV>
            <wp:extent cx="6997700" cy="3175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770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financial results, but should not be considered in isolation or as an alternative to earnings per share presented in accordance with GAAP.</w:t>
      </w:r>
    </w:p>
    <w:p>
      <w:pPr>
        <w:ind w:left="200"/>
        <w:spacing w:after="0"/>
        <w:rPr>
          <w:sz w:val="20"/>
          <w:szCs w:val="20"/>
          <w:color w:val="auto"/>
        </w:rPr>
      </w:pPr>
      <w:r>
        <w:rPr>
          <w:rFonts w:ascii="Arial" w:cs="Arial" w:eastAsia="Arial" w:hAnsi="Arial"/>
          <w:sz w:val="18"/>
          <w:szCs w:val="18"/>
          <w:color w:val="auto"/>
        </w:rPr>
        <w:t>Diluted earnings per share excluding 2017 tax reform and related discretionary pension contribution impacts is reconciled below.</w:t>
      </w:r>
    </w:p>
    <w:p>
      <w:pPr>
        <w:spacing w:after="0" w:line="82"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u w:val="single" w:color="auto"/>
          <w:color w:val="auto"/>
        </w:rPr>
        <w:t>Segment operating income</w:t>
      </w:r>
      <w:r>
        <w:rPr>
          <w:rFonts w:ascii="Arial" w:cs="Arial" w:eastAsia="Arial" w:hAnsi="Arial"/>
          <w:sz w:val="18"/>
          <w:szCs w:val="18"/>
          <w:color w:val="auto"/>
        </w:rPr>
        <w:t>: Total earnings from our three segments including allocated pension expense recognized under CAS,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unallocated corporate items and FAS pension expense. This measure may be useful to investors and other users of our financial statements as a supplemental measure in evaluating the financial performance and operational trends of our sectors. Segment operating income is reconciled below.</w:t>
      </w:r>
    </w:p>
    <w:p>
      <w:pPr>
        <w:spacing w:after="0" w:line="66"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u w:val="single" w:color="auto"/>
          <w:color w:val="auto"/>
        </w:rPr>
        <w:t>Segment operating margin rate</w:t>
      </w:r>
      <w:r>
        <w:rPr>
          <w:rFonts w:ascii="Arial" w:cs="Arial" w:eastAsia="Arial" w:hAnsi="Arial"/>
          <w:sz w:val="18"/>
          <w:szCs w:val="18"/>
          <w:color w:val="auto"/>
        </w:rPr>
        <w:t>: Segment operating income as defined above, and reconciled below, divided by sales. This measure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useful to investors and other users of our financial statements as a supplemental measure in evaluating the financial performance and operational trends of our sectors.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62"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8120" w:type="dxa"/>
            <w:vAlign w:val="bottom"/>
            <w:shd w:val="clear" w:color="auto" w:fill="276092"/>
          </w:tcPr>
          <w:p>
            <w:pPr>
              <w:spacing w:after="0"/>
              <w:rPr>
                <w:sz w:val="14"/>
                <w:szCs w:val="14"/>
                <w:color w:val="auto"/>
              </w:rPr>
            </w:pPr>
          </w:p>
        </w:tc>
        <w:tc>
          <w:tcPr>
            <w:tcW w:w="440" w:type="dxa"/>
            <w:vAlign w:val="bottom"/>
            <w:shd w:val="clear" w:color="auto" w:fill="276092"/>
          </w:tcPr>
          <w:p>
            <w:pPr>
              <w:spacing w:after="0"/>
              <w:rPr>
                <w:sz w:val="14"/>
                <w:szCs w:val="14"/>
                <w:color w:val="auto"/>
              </w:rPr>
            </w:pPr>
          </w:p>
        </w:tc>
        <w:tc>
          <w:tcPr>
            <w:tcW w:w="1440" w:type="dxa"/>
            <w:vAlign w:val="bottom"/>
            <w:gridSpan w:val="2"/>
            <w:shd w:val="clear" w:color="auto" w:fill="276092"/>
          </w:tcPr>
          <w:p>
            <w:pPr>
              <w:jc w:val="right"/>
              <w:ind w:right="10"/>
              <w:spacing w:after="0"/>
              <w:rPr>
                <w:sz w:val="20"/>
                <w:szCs w:val="20"/>
                <w:color w:val="auto"/>
              </w:rPr>
            </w:pPr>
            <w:r>
              <w:rPr>
                <w:rFonts w:ascii="Arial" w:cs="Arial" w:eastAsia="Arial" w:hAnsi="Arial"/>
                <w:sz w:val="14"/>
                <w:szCs w:val="14"/>
                <w:b w:val="1"/>
                <w:bCs w:val="1"/>
                <w:color w:val="FFFFFF"/>
              </w:rPr>
              <w:t>Total Year</w:t>
            </w:r>
          </w:p>
        </w:tc>
        <w:tc>
          <w:tcPr>
            <w:tcW w:w="1020" w:type="dxa"/>
            <w:vAlign w:val="bottom"/>
            <w:shd w:val="clear" w:color="auto" w:fill="276092"/>
          </w:tcPr>
          <w:p>
            <w:pPr>
              <w:spacing w:after="0"/>
              <w:rPr>
                <w:sz w:val="14"/>
                <w:szCs w:val="14"/>
                <w:color w:val="auto"/>
              </w:rPr>
            </w:pPr>
          </w:p>
        </w:tc>
      </w:tr>
      <w:tr>
        <w:trPr>
          <w:trHeight w:val="176"/>
        </w:trPr>
        <w:tc>
          <w:tcPr>
            <w:tcW w:w="8120" w:type="dxa"/>
            <w:vAlign w:val="bottom"/>
            <w:shd w:val="clear" w:color="auto" w:fill="276092"/>
          </w:tcPr>
          <w:p>
            <w:pPr>
              <w:ind w:left="100"/>
              <w:spacing w:after="0"/>
              <w:rPr>
                <w:sz w:val="20"/>
                <w:szCs w:val="20"/>
                <w:color w:val="auto"/>
              </w:rPr>
            </w:pPr>
            <w:r>
              <w:rPr>
                <w:rFonts w:ascii="Arial" w:cs="Arial" w:eastAsia="Arial" w:hAnsi="Arial"/>
                <w:sz w:val="14"/>
                <w:szCs w:val="14"/>
                <w:b w:val="1"/>
                <w:bCs w:val="1"/>
                <w:color w:val="FFFFFF"/>
              </w:rPr>
              <w:t>($M)</w:t>
            </w:r>
          </w:p>
        </w:tc>
        <w:tc>
          <w:tcPr>
            <w:tcW w:w="440" w:type="dxa"/>
            <w:vAlign w:val="bottom"/>
            <w:shd w:val="clear" w:color="auto" w:fill="276092"/>
          </w:tcPr>
          <w:p>
            <w:pPr>
              <w:spacing w:after="0"/>
              <w:rPr>
                <w:sz w:val="15"/>
                <w:szCs w:val="15"/>
                <w:color w:val="auto"/>
              </w:rPr>
            </w:pPr>
          </w:p>
        </w:tc>
        <w:tc>
          <w:tcPr>
            <w:tcW w:w="1080" w:type="dxa"/>
            <w:vAlign w:val="bottom"/>
            <w:shd w:val="clear" w:color="auto" w:fill="276092"/>
          </w:tcPr>
          <w:p>
            <w:pPr>
              <w:jc w:val="right"/>
              <w:ind w:right="531"/>
              <w:spacing w:after="0"/>
              <w:rPr>
                <w:sz w:val="20"/>
                <w:szCs w:val="20"/>
                <w:color w:val="auto"/>
              </w:rPr>
            </w:pPr>
            <w:r>
              <w:rPr>
                <w:rFonts w:ascii="Arial" w:cs="Arial" w:eastAsia="Arial" w:hAnsi="Arial"/>
                <w:sz w:val="14"/>
                <w:szCs w:val="14"/>
                <w:b w:val="1"/>
                <w:bCs w:val="1"/>
                <w:color w:val="FFFFFF"/>
              </w:rPr>
              <w:t>2017</w:t>
            </w:r>
          </w:p>
        </w:tc>
        <w:tc>
          <w:tcPr>
            <w:tcW w:w="360" w:type="dxa"/>
            <w:vAlign w:val="bottom"/>
            <w:shd w:val="clear" w:color="auto" w:fill="276092"/>
          </w:tcPr>
          <w:p>
            <w:pPr>
              <w:spacing w:after="0"/>
              <w:rPr>
                <w:sz w:val="15"/>
                <w:szCs w:val="15"/>
                <w:color w:val="auto"/>
              </w:rPr>
            </w:pPr>
          </w:p>
        </w:tc>
        <w:tc>
          <w:tcPr>
            <w:tcW w:w="1020" w:type="dxa"/>
            <w:vAlign w:val="bottom"/>
            <w:shd w:val="clear" w:color="auto" w:fill="276092"/>
          </w:tcPr>
          <w:p>
            <w:pPr>
              <w:jc w:val="right"/>
              <w:ind w:right="511"/>
              <w:spacing w:after="0"/>
              <w:rPr>
                <w:sz w:val="20"/>
                <w:szCs w:val="20"/>
                <w:color w:val="auto"/>
              </w:rPr>
            </w:pPr>
            <w:r>
              <w:rPr>
                <w:rFonts w:ascii="Arial" w:cs="Arial" w:eastAsia="Arial" w:hAnsi="Arial"/>
                <w:sz w:val="14"/>
                <w:szCs w:val="14"/>
                <w:b w:val="1"/>
                <w:bCs w:val="1"/>
                <w:color w:val="FFFFFF"/>
              </w:rPr>
              <w:t>2016</w:t>
            </w:r>
          </w:p>
        </w:tc>
      </w:tr>
      <w:tr>
        <w:trPr>
          <w:trHeight w:val="202"/>
        </w:trPr>
        <w:tc>
          <w:tcPr>
            <w:tcW w:w="812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Cash provided by operating activities before after-tax discretionary pension contribution</w:t>
            </w:r>
          </w:p>
        </w:tc>
        <w:tc>
          <w:tcPr>
            <w:tcW w:w="44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line="201" w:lineRule="exact"/>
              <w:rPr>
                <w:sz w:val="20"/>
                <w:szCs w:val="20"/>
                <w:color w:val="auto"/>
              </w:rPr>
            </w:pPr>
            <w:r>
              <w:rPr>
                <w:rFonts w:ascii="Arial" w:cs="Arial" w:eastAsia="Arial" w:hAnsi="Arial"/>
                <w:sz w:val="18"/>
                <w:szCs w:val="18"/>
                <w:b w:val="1"/>
                <w:bCs w:val="1"/>
                <w:color w:val="auto"/>
              </w:rPr>
              <w:t>2,938</w:t>
            </w:r>
          </w:p>
        </w:tc>
        <w:tc>
          <w:tcPr>
            <w:tcW w:w="360" w:type="dxa"/>
            <w:vAlign w:val="bottom"/>
          </w:tcPr>
          <w:p>
            <w:pPr>
              <w:jc w:val="right"/>
              <w:ind w:right="90"/>
              <w:spacing w:after="0" w:line="201"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line="201" w:lineRule="exact"/>
              <w:rPr>
                <w:sz w:val="20"/>
                <w:szCs w:val="20"/>
                <w:color w:val="auto"/>
              </w:rPr>
            </w:pPr>
            <w:r>
              <w:rPr>
                <w:rFonts w:ascii="Arial" w:cs="Arial" w:eastAsia="Arial" w:hAnsi="Arial"/>
                <w:sz w:val="18"/>
                <w:szCs w:val="18"/>
                <w:b w:val="1"/>
                <w:bCs w:val="1"/>
                <w:color w:val="auto"/>
              </w:rPr>
              <w:t>2,813</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After-tax discretionary pension contribution impact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91"/>
              <w:spacing w:after="0"/>
              <w:rPr>
                <w:sz w:val="20"/>
                <w:szCs w:val="20"/>
                <w:color w:val="auto"/>
              </w:rPr>
            </w:pPr>
            <w:r>
              <w:rPr>
                <w:rFonts w:ascii="Arial" w:cs="Arial" w:eastAsia="Arial" w:hAnsi="Arial"/>
                <w:sz w:val="18"/>
                <w:szCs w:val="18"/>
                <w:color w:val="auto"/>
              </w:rPr>
              <w:t>(325)</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90"/>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Net cash provided by operating activities</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2,613</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rPr>
              <w:t>2,813</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Less: capital expenditures</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91"/>
              <w:spacing w:after="0"/>
              <w:rPr>
                <w:sz w:val="20"/>
                <w:szCs w:val="20"/>
                <w:color w:val="auto"/>
              </w:rPr>
            </w:pPr>
            <w:r>
              <w:rPr>
                <w:rFonts w:ascii="Arial" w:cs="Arial" w:eastAsia="Arial" w:hAnsi="Arial"/>
                <w:sz w:val="18"/>
                <w:szCs w:val="18"/>
                <w:color w:val="auto"/>
              </w:rPr>
              <w:t>(928)</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91"/>
              <w:spacing w:after="0"/>
              <w:rPr>
                <w:sz w:val="20"/>
                <w:szCs w:val="20"/>
                <w:color w:val="auto"/>
              </w:rPr>
            </w:pPr>
            <w:r>
              <w:rPr>
                <w:rFonts w:ascii="Arial" w:cs="Arial" w:eastAsia="Arial" w:hAnsi="Arial"/>
                <w:sz w:val="18"/>
                <w:szCs w:val="18"/>
                <w:color w:val="auto"/>
              </w:rPr>
              <w:t>(920)</w:t>
            </w:r>
          </w:p>
        </w:tc>
      </w:tr>
      <w:tr>
        <w:trPr>
          <w:trHeight w:val="195"/>
        </w:trPr>
        <w:tc>
          <w:tcPr>
            <w:tcW w:w="81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Free cash flow</w:t>
            </w:r>
          </w:p>
        </w:tc>
        <w:tc>
          <w:tcPr>
            <w:tcW w:w="440" w:type="dxa"/>
            <w:vAlign w:val="bottom"/>
          </w:tcPr>
          <w:p>
            <w:pPr>
              <w:jc w:val="right"/>
              <w:ind w:right="30"/>
              <w:spacing w:after="0" w:line="195"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rPr>
              <w:t>1,685</w:t>
            </w:r>
          </w:p>
        </w:tc>
        <w:tc>
          <w:tcPr>
            <w:tcW w:w="360" w:type="dxa"/>
            <w:vAlign w:val="bottom"/>
          </w:tcPr>
          <w:p>
            <w:pPr>
              <w:jc w:val="right"/>
              <w:ind w:right="90"/>
              <w:spacing w:after="0" w:line="195"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rPr>
              <w:t>1,893</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After-tax discretionary pension contribution impact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325</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10"/>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b w:val="1"/>
                <w:bCs w:val="1"/>
                <w:color w:val="auto"/>
              </w:rPr>
              <w:t>Free cash flow before after-tax discretionary pension contribution</w:t>
            </w:r>
          </w:p>
        </w:tc>
        <w:tc>
          <w:tcPr>
            <w:tcW w:w="440" w:type="dxa"/>
            <w:vAlign w:val="bottom"/>
            <w:tcBorders>
              <w:bottom w:val="single" w:sz="8" w:color="276092"/>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276092"/>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1,893</w:t>
            </w:r>
          </w:p>
        </w:tc>
      </w:tr>
      <w:tr>
        <w:trPr>
          <w:trHeight w:val="434"/>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3,299</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rPr>
              <w:t>3,193</w:t>
            </w:r>
          </w:p>
        </w:tc>
      </w:tr>
      <w:tr>
        <w:trPr>
          <w:trHeight w:val="199"/>
        </w:trPr>
        <w:tc>
          <w:tcPr>
            <w:tcW w:w="8120" w:type="dxa"/>
            <w:vAlign w:val="bottom"/>
          </w:tcPr>
          <w:p>
            <w:pPr>
              <w:ind w:left="60"/>
              <w:spacing w:after="0" w:line="199" w:lineRule="exact"/>
              <w:rPr>
                <w:sz w:val="20"/>
                <w:szCs w:val="20"/>
                <w:color w:val="auto"/>
              </w:rPr>
            </w:pPr>
            <w:r>
              <w:rPr>
                <w:rFonts w:ascii="Arial" w:cs="Arial" w:eastAsia="Arial" w:hAnsi="Arial"/>
                <w:sz w:val="18"/>
                <w:szCs w:val="18"/>
                <w:i w:val="1"/>
                <w:iCs w:val="1"/>
                <w:color w:val="auto"/>
              </w:rPr>
              <w:t>Operating margin rate</w:t>
            </w:r>
          </w:p>
        </w:tc>
        <w:tc>
          <w:tcPr>
            <w:tcW w:w="440" w:type="dxa"/>
            <w:vAlign w:val="bottom"/>
          </w:tcPr>
          <w:p>
            <w:pPr>
              <w:spacing w:after="0"/>
              <w:rPr>
                <w:sz w:val="17"/>
                <w:szCs w:val="17"/>
                <w:color w:val="auto"/>
              </w:rPr>
            </w:pPr>
          </w:p>
        </w:tc>
        <w:tc>
          <w:tcPr>
            <w:tcW w:w="1080" w:type="dxa"/>
            <w:vAlign w:val="bottom"/>
          </w:tcPr>
          <w:p>
            <w:pPr>
              <w:jc w:val="right"/>
              <w:spacing w:after="0" w:line="199" w:lineRule="exact"/>
              <w:rPr>
                <w:sz w:val="20"/>
                <w:szCs w:val="20"/>
                <w:color w:val="auto"/>
              </w:rPr>
            </w:pPr>
            <w:r>
              <w:rPr>
                <w:rFonts w:ascii="Arial" w:cs="Arial" w:eastAsia="Arial" w:hAnsi="Arial"/>
                <w:sz w:val="18"/>
                <w:szCs w:val="18"/>
                <w:i w:val="1"/>
                <w:iCs w:val="1"/>
                <w:color w:val="auto"/>
              </w:rPr>
              <w:t>12.8%</w:t>
            </w:r>
          </w:p>
        </w:tc>
        <w:tc>
          <w:tcPr>
            <w:tcW w:w="36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i w:val="1"/>
                <w:iCs w:val="1"/>
                <w:color w:val="auto"/>
              </w:rPr>
              <w:t>13.0%</w:t>
            </w:r>
          </w:p>
        </w:tc>
      </w:tr>
      <w:tr>
        <w:trPr>
          <w:trHeight w:val="225"/>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Reconciliation to segment operating income</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Net FAS/CAS pension adjustment</w:t>
            </w:r>
          </w:p>
        </w:tc>
        <w:tc>
          <w:tcPr>
            <w:tcW w:w="440" w:type="dxa"/>
            <w:vAlign w:val="bottom"/>
          </w:tcPr>
          <w:p>
            <w:pPr>
              <w:spacing w:after="0"/>
              <w:rPr>
                <w:sz w:val="17"/>
                <w:szCs w:val="17"/>
                <w:color w:val="auto"/>
              </w:rPr>
            </w:pPr>
          </w:p>
        </w:tc>
        <w:tc>
          <w:tcPr>
            <w:tcW w:w="10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(594)</w:t>
            </w:r>
          </w:p>
        </w:tc>
        <w:tc>
          <w:tcPr>
            <w:tcW w:w="360" w:type="dxa"/>
            <w:vAlign w:val="bottom"/>
          </w:tcPr>
          <w:p>
            <w:pPr>
              <w:spacing w:after="0"/>
              <w:rPr>
                <w:sz w:val="17"/>
                <w:szCs w:val="17"/>
                <w:color w:val="auto"/>
              </w:rPr>
            </w:pPr>
          </w:p>
        </w:tc>
        <w:tc>
          <w:tcPr>
            <w:tcW w:w="10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(316)</w:t>
            </w: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Unallocated corporate expenses</w:t>
            </w:r>
          </w:p>
        </w:tc>
        <w:tc>
          <w:tcPr>
            <w:tcW w:w="440" w:type="dxa"/>
            <w:vAlign w:val="bottom"/>
          </w:tcPr>
          <w:p>
            <w:pPr>
              <w:spacing w:after="0"/>
              <w:rPr>
                <w:sz w:val="17"/>
                <w:szCs w:val="17"/>
                <w:color w:val="auto"/>
              </w:rPr>
            </w:pPr>
          </w:p>
        </w:tc>
        <w:tc>
          <w:tcPr>
            <w:tcW w:w="108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250</w:t>
            </w:r>
          </w:p>
        </w:tc>
        <w:tc>
          <w:tcPr>
            <w:tcW w:w="36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53</w:t>
            </w:r>
          </w:p>
        </w:tc>
      </w:tr>
      <w:tr>
        <w:trPr>
          <w:trHeight w:val="217"/>
        </w:trPr>
        <w:tc>
          <w:tcPr>
            <w:tcW w:w="8120" w:type="dxa"/>
            <w:vAlign w:val="bottom"/>
            <w:tcBorders>
              <w:bottom w:val="single" w:sz="8" w:color="276092"/>
            </w:tcBorders>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5</w:t>
            </w:r>
          </w:p>
        </w:tc>
      </w:tr>
      <w:tr>
        <w:trPr>
          <w:trHeight w:val="177"/>
        </w:trPr>
        <w:tc>
          <w:tcPr>
            <w:tcW w:w="8120" w:type="dxa"/>
            <w:vAlign w:val="bottom"/>
          </w:tcPr>
          <w:p>
            <w:pPr>
              <w:ind w:left="60"/>
              <w:spacing w:after="0" w:line="177" w:lineRule="exact"/>
              <w:rPr>
                <w:sz w:val="20"/>
                <w:szCs w:val="20"/>
                <w:color w:val="auto"/>
              </w:rPr>
            </w:pPr>
            <w:r>
              <w:rPr>
                <w:rFonts w:ascii="Arial" w:cs="Arial" w:eastAsia="Arial" w:hAnsi="Arial"/>
                <w:sz w:val="18"/>
                <w:szCs w:val="18"/>
                <w:b w:val="1"/>
                <w:bCs w:val="1"/>
                <w:color w:val="auto"/>
              </w:rPr>
              <w:t>Segment operating income</w:t>
            </w:r>
          </w:p>
        </w:tc>
        <w:tc>
          <w:tcPr>
            <w:tcW w:w="44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line="177" w:lineRule="exact"/>
              <w:rPr>
                <w:sz w:val="20"/>
                <w:szCs w:val="20"/>
                <w:color w:val="auto"/>
              </w:rPr>
            </w:pPr>
            <w:r>
              <w:rPr>
                <w:rFonts w:ascii="Arial" w:cs="Arial" w:eastAsia="Arial" w:hAnsi="Arial"/>
                <w:sz w:val="18"/>
                <w:szCs w:val="18"/>
                <w:b w:val="1"/>
                <w:bCs w:val="1"/>
                <w:color w:val="auto"/>
              </w:rPr>
              <w:t>2,959</w:t>
            </w:r>
          </w:p>
        </w:tc>
        <w:tc>
          <w:tcPr>
            <w:tcW w:w="36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line="177" w:lineRule="exact"/>
              <w:rPr>
                <w:sz w:val="20"/>
                <w:szCs w:val="20"/>
                <w:color w:val="auto"/>
              </w:rPr>
            </w:pPr>
            <w:r>
              <w:rPr>
                <w:rFonts w:ascii="Arial" w:cs="Arial" w:eastAsia="Arial" w:hAnsi="Arial"/>
                <w:sz w:val="18"/>
                <w:szCs w:val="18"/>
                <w:b w:val="1"/>
                <w:bCs w:val="1"/>
                <w:color w:val="auto"/>
              </w:rPr>
              <w:t>2,935</w:t>
            </w:r>
          </w:p>
        </w:tc>
      </w:tr>
      <w:tr>
        <w:trPr>
          <w:trHeight w:val="235"/>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i w:val="1"/>
                <w:iCs w:val="1"/>
                <w:color w:val="auto"/>
              </w:rPr>
              <w:t>Segment operating margin rate</w:t>
            </w:r>
          </w:p>
        </w:tc>
        <w:tc>
          <w:tcPr>
            <w:tcW w:w="440" w:type="dxa"/>
            <w:vAlign w:val="bottom"/>
            <w:tcBorders>
              <w:bottom w:val="single" w:sz="8" w:color="276092"/>
            </w:tcBorders>
          </w:tcPr>
          <w:p>
            <w:pPr>
              <w:spacing w:after="0"/>
              <w:rPr>
                <w:sz w:val="20"/>
                <w:szCs w:val="20"/>
                <w:color w:val="auto"/>
              </w:rPr>
            </w:pPr>
          </w:p>
        </w:tc>
        <w:tc>
          <w:tcPr>
            <w:tcW w:w="1080" w:type="dxa"/>
            <w:vAlign w:val="bottom"/>
            <w:tcBorders>
              <w:bottom w:val="single" w:sz="8" w:color="276092"/>
            </w:tcBorders>
          </w:tcPr>
          <w:p>
            <w:pPr>
              <w:jc w:val="right"/>
              <w:spacing w:after="0"/>
              <w:rPr>
                <w:sz w:val="20"/>
                <w:szCs w:val="20"/>
                <w:color w:val="auto"/>
              </w:rPr>
            </w:pPr>
            <w:r>
              <w:rPr>
                <w:rFonts w:ascii="Arial" w:cs="Arial" w:eastAsia="Arial" w:hAnsi="Arial"/>
                <w:sz w:val="18"/>
                <w:szCs w:val="18"/>
                <w:i w:val="1"/>
                <w:iCs w:val="1"/>
                <w:color w:val="auto"/>
              </w:rPr>
              <w:t>11.5%</w:t>
            </w:r>
          </w:p>
        </w:tc>
        <w:tc>
          <w:tcPr>
            <w:tcW w:w="360" w:type="dxa"/>
            <w:vAlign w:val="bottom"/>
            <w:tcBorders>
              <w:bottom w:val="single" w:sz="8" w:color="276092"/>
            </w:tcBorders>
          </w:tcPr>
          <w:p>
            <w:pPr>
              <w:spacing w:after="0"/>
              <w:rPr>
                <w:sz w:val="20"/>
                <w:szCs w:val="20"/>
                <w:color w:val="auto"/>
              </w:rPr>
            </w:pPr>
          </w:p>
        </w:tc>
        <w:tc>
          <w:tcPr>
            <w:tcW w:w="1020" w:type="dxa"/>
            <w:vAlign w:val="bottom"/>
            <w:tcBorders>
              <w:bottom w:val="single" w:sz="8" w:color="276092"/>
            </w:tcBorders>
          </w:tcPr>
          <w:p>
            <w:pPr>
              <w:jc w:val="right"/>
              <w:spacing w:after="0"/>
              <w:rPr>
                <w:sz w:val="20"/>
                <w:szCs w:val="20"/>
                <w:color w:val="auto"/>
              </w:rPr>
            </w:pPr>
            <w:r>
              <w:rPr>
                <w:rFonts w:ascii="Arial" w:cs="Arial" w:eastAsia="Arial" w:hAnsi="Arial"/>
                <w:sz w:val="18"/>
                <w:szCs w:val="18"/>
                <w:i w:val="1"/>
                <w:iCs w:val="1"/>
                <w:color w:val="auto"/>
              </w:rPr>
              <w:t>12.0%</w:t>
            </w:r>
          </w:p>
        </w:tc>
      </w:tr>
      <w:tr>
        <w:trPr>
          <w:trHeight w:val="452"/>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Pension-adjusted operating highlights</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8120" w:type="dxa"/>
            <w:vAlign w:val="bottom"/>
          </w:tcPr>
          <w:p>
            <w:pPr>
              <w:ind w:left="60"/>
              <w:spacing w:after="0" w:line="202" w:lineRule="exact"/>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3,299</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3,193</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Net FAS/CAS pension adjustment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91"/>
              <w:spacing w:after="0"/>
              <w:rPr>
                <w:sz w:val="20"/>
                <w:szCs w:val="20"/>
                <w:color w:val="auto"/>
              </w:rPr>
            </w:pPr>
            <w:r>
              <w:rPr>
                <w:rFonts w:ascii="Arial" w:cs="Arial" w:eastAsia="Arial" w:hAnsi="Arial"/>
                <w:sz w:val="18"/>
                <w:szCs w:val="18"/>
                <w:color w:val="auto"/>
              </w:rPr>
              <w:t>(594)</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91"/>
              <w:spacing w:after="0"/>
              <w:rPr>
                <w:sz w:val="20"/>
                <w:szCs w:val="20"/>
                <w:color w:val="auto"/>
              </w:rPr>
            </w:pPr>
            <w:r>
              <w:rPr>
                <w:rFonts w:ascii="Arial" w:cs="Arial" w:eastAsia="Arial" w:hAnsi="Arial"/>
                <w:sz w:val="18"/>
                <w:szCs w:val="18"/>
                <w:color w:val="auto"/>
              </w:rPr>
              <w:t>(316)</w:t>
            </w:r>
          </w:p>
        </w:tc>
      </w:tr>
      <w:tr>
        <w:trPr>
          <w:trHeight w:val="177"/>
        </w:trPr>
        <w:tc>
          <w:tcPr>
            <w:tcW w:w="8120" w:type="dxa"/>
            <w:vAlign w:val="bottom"/>
          </w:tcPr>
          <w:p>
            <w:pPr>
              <w:ind w:left="60"/>
              <w:spacing w:after="0" w:line="177" w:lineRule="exact"/>
              <w:rPr>
                <w:sz w:val="20"/>
                <w:szCs w:val="20"/>
                <w:color w:val="auto"/>
              </w:rPr>
            </w:pPr>
            <w:r>
              <w:rPr>
                <w:rFonts w:ascii="Arial" w:cs="Arial" w:eastAsia="Arial" w:hAnsi="Arial"/>
                <w:sz w:val="18"/>
                <w:szCs w:val="18"/>
                <w:b w:val="1"/>
                <w:bCs w:val="1"/>
                <w:color w:val="auto"/>
              </w:rPr>
              <w:t>Pension-adjusted operating income</w:t>
            </w:r>
          </w:p>
        </w:tc>
        <w:tc>
          <w:tcPr>
            <w:tcW w:w="440" w:type="dxa"/>
            <w:vAlign w:val="bottom"/>
          </w:tcPr>
          <w:p>
            <w:pPr>
              <w:jc w:val="right"/>
              <w:ind w:right="30"/>
              <w:spacing w:after="0" w:line="177"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line="177" w:lineRule="exact"/>
              <w:rPr>
                <w:sz w:val="20"/>
                <w:szCs w:val="20"/>
                <w:color w:val="auto"/>
              </w:rPr>
            </w:pPr>
            <w:r>
              <w:rPr>
                <w:rFonts w:ascii="Arial" w:cs="Arial" w:eastAsia="Arial" w:hAnsi="Arial"/>
                <w:sz w:val="18"/>
                <w:szCs w:val="18"/>
                <w:b w:val="1"/>
                <w:bCs w:val="1"/>
                <w:color w:val="auto"/>
              </w:rPr>
              <w:t>2,705</w:t>
            </w:r>
          </w:p>
        </w:tc>
        <w:tc>
          <w:tcPr>
            <w:tcW w:w="360" w:type="dxa"/>
            <w:vAlign w:val="bottom"/>
          </w:tcPr>
          <w:p>
            <w:pPr>
              <w:jc w:val="right"/>
              <w:ind w:right="90"/>
              <w:spacing w:after="0" w:line="177"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line="177" w:lineRule="exact"/>
              <w:rPr>
                <w:sz w:val="20"/>
                <w:szCs w:val="20"/>
                <w:color w:val="auto"/>
              </w:rPr>
            </w:pPr>
            <w:r>
              <w:rPr>
                <w:rFonts w:ascii="Arial" w:cs="Arial" w:eastAsia="Arial" w:hAnsi="Arial"/>
                <w:sz w:val="18"/>
                <w:szCs w:val="18"/>
                <w:b w:val="1"/>
                <w:bCs w:val="1"/>
                <w:color w:val="auto"/>
              </w:rPr>
              <w:t>2,877</w:t>
            </w:r>
          </w:p>
        </w:tc>
      </w:tr>
      <w:tr>
        <w:trPr>
          <w:trHeight w:val="235"/>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i w:val="1"/>
                <w:iCs w:val="1"/>
                <w:color w:val="auto"/>
              </w:rPr>
              <w:t>Pension-adjusted operating margin rate</w:t>
            </w:r>
          </w:p>
        </w:tc>
        <w:tc>
          <w:tcPr>
            <w:tcW w:w="440" w:type="dxa"/>
            <w:vAlign w:val="bottom"/>
            <w:tcBorders>
              <w:bottom w:val="single" w:sz="8" w:color="276092"/>
            </w:tcBorders>
          </w:tcPr>
          <w:p>
            <w:pPr>
              <w:spacing w:after="0"/>
              <w:rPr>
                <w:sz w:val="20"/>
                <w:szCs w:val="20"/>
                <w:color w:val="auto"/>
              </w:rPr>
            </w:pPr>
          </w:p>
        </w:tc>
        <w:tc>
          <w:tcPr>
            <w:tcW w:w="1080" w:type="dxa"/>
            <w:vAlign w:val="bottom"/>
            <w:tcBorders>
              <w:bottom w:val="single" w:sz="8" w:color="276092"/>
            </w:tcBorders>
          </w:tcPr>
          <w:p>
            <w:pPr>
              <w:jc w:val="right"/>
              <w:spacing w:after="0"/>
              <w:rPr>
                <w:sz w:val="20"/>
                <w:szCs w:val="20"/>
                <w:color w:val="auto"/>
              </w:rPr>
            </w:pPr>
            <w:r>
              <w:rPr>
                <w:rFonts w:ascii="Arial" w:cs="Arial" w:eastAsia="Arial" w:hAnsi="Arial"/>
                <w:sz w:val="18"/>
                <w:szCs w:val="18"/>
                <w:i w:val="1"/>
                <w:iCs w:val="1"/>
                <w:color w:val="auto"/>
              </w:rPr>
              <w:t>10.5%</w:t>
            </w:r>
          </w:p>
        </w:tc>
        <w:tc>
          <w:tcPr>
            <w:tcW w:w="360" w:type="dxa"/>
            <w:vAlign w:val="bottom"/>
            <w:tcBorders>
              <w:bottom w:val="single" w:sz="8" w:color="276092"/>
            </w:tcBorders>
          </w:tcPr>
          <w:p>
            <w:pPr>
              <w:spacing w:after="0"/>
              <w:rPr>
                <w:sz w:val="20"/>
                <w:szCs w:val="20"/>
                <w:color w:val="auto"/>
              </w:rPr>
            </w:pPr>
          </w:p>
        </w:tc>
        <w:tc>
          <w:tcPr>
            <w:tcW w:w="1020" w:type="dxa"/>
            <w:vAlign w:val="bottom"/>
            <w:tcBorders>
              <w:bottom w:val="single" w:sz="8" w:color="276092"/>
            </w:tcBorders>
          </w:tcPr>
          <w:p>
            <w:pPr>
              <w:jc w:val="right"/>
              <w:spacing w:after="0"/>
              <w:rPr>
                <w:sz w:val="20"/>
                <w:szCs w:val="20"/>
                <w:color w:val="auto"/>
              </w:rPr>
            </w:pPr>
            <w:r>
              <w:rPr>
                <w:rFonts w:ascii="Arial" w:cs="Arial" w:eastAsia="Arial" w:hAnsi="Arial"/>
                <w:sz w:val="18"/>
                <w:szCs w:val="18"/>
                <w:i w:val="1"/>
                <w:iCs w:val="1"/>
                <w:color w:val="auto"/>
              </w:rPr>
              <w:t>11.7%</w:t>
            </w:r>
          </w:p>
        </w:tc>
      </w:tr>
      <w:tr>
        <w:trPr>
          <w:trHeight w:val="452"/>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rPr>
              <w:t>2,200</w:t>
            </w:r>
          </w:p>
        </w:tc>
      </w:tr>
      <w:tr>
        <w:trPr>
          <w:trHeight w:val="203"/>
        </w:trPr>
        <w:tc>
          <w:tcPr>
            <w:tcW w:w="8120" w:type="dxa"/>
            <w:vAlign w:val="bottom"/>
          </w:tcPr>
          <w:p>
            <w:pPr>
              <w:ind w:left="440"/>
              <w:spacing w:after="0" w:line="202" w:lineRule="exact"/>
              <w:rPr>
                <w:sz w:val="20"/>
                <w:szCs w:val="20"/>
                <w:color w:val="auto"/>
              </w:rPr>
            </w:pPr>
            <w:r>
              <w:rPr>
                <w:rFonts w:ascii="Arial" w:cs="Arial" w:eastAsia="Arial" w:hAnsi="Arial"/>
                <w:sz w:val="18"/>
                <w:szCs w:val="18"/>
                <w:color w:val="auto"/>
              </w:rPr>
              <w:t>Net FAS/CAS pension adjustment</w:t>
            </w:r>
          </w:p>
        </w:tc>
        <w:tc>
          <w:tcPr>
            <w:tcW w:w="440" w:type="dxa"/>
            <w:vAlign w:val="bottom"/>
          </w:tcPr>
          <w:p>
            <w:pPr>
              <w:spacing w:after="0"/>
              <w:rPr>
                <w:sz w:val="17"/>
                <w:szCs w:val="17"/>
                <w:color w:val="auto"/>
              </w:rPr>
            </w:pPr>
          </w:p>
        </w:tc>
        <w:tc>
          <w:tcPr>
            <w:tcW w:w="1080" w:type="dxa"/>
            <w:vAlign w:val="bottom"/>
          </w:tcPr>
          <w:p>
            <w:pPr>
              <w:jc w:val="right"/>
              <w:ind w:right="91"/>
              <w:spacing w:after="0" w:line="202" w:lineRule="exact"/>
              <w:rPr>
                <w:sz w:val="20"/>
                <w:szCs w:val="20"/>
                <w:color w:val="auto"/>
              </w:rPr>
            </w:pPr>
            <w:r>
              <w:rPr>
                <w:rFonts w:ascii="Arial" w:cs="Arial" w:eastAsia="Arial" w:hAnsi="Arial"/>
                <w:sz w:val="18"/>
                <w:szCs w:val="18"/>
                <w:color w:val="auto"/>
              </w:rPr>
              <w:t>(594)</w:t>
            </w:r>
          </w:p>
        </w:tc>
        <w:tc>
          <w:tcPr>
            <w:tcW w:w="360" w:type="dxa"/>
            <w:vAlign w:val="bottom"/>
          </w:tcPr>
          <w:p>
            <w:pPr>
              <w:spacing w:after="0"/>
              <w:rPr>
                <w:sz w:val="17"/>
                <w:szCs w:val="17"/>
                <w:color w:val="auto"/>
              </w:rPr>
            </w:pPr>
          </w:p>
        </w:tc>
        <w:tc>
          <w:tcPr>
            <w:tcW w:w="10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(316)</w:t>
            </w:r>
          </w:p>
        </w:tc>
      </w:tr>
      <w:tr>
        <w:trPr>
          <w:trHeight w:val="217"/>
        </w:trPr>
        <w:tc>
          <w:tcPr>
            <w:tcW w:w="8120" w:type="dxa"/>
            <w:vAlign w:val="bottom"/>
            <w:tcBorders>
              <w:bottom w:val="single" w:sz="8" w:color="276092"/>
            </w:tcBorders>
          </w:tcPr>
          <w:p>
            <w:pPr>
              <w:ind w:left="440"/>
              <w:spacing w:after="0"/>
              <w:rPr>
                <w:sz w:val="20"/>
                <w:szCs w:val="20"/>
                <w:color w:val="auto"/>
              </w:rPr>
            </w:pPr>
            <w:r>
              <w:rPr>
                <w:rFonts w:ascii="Arial" w:cs="Arial" w:eastAsia="Arial" w:hAnsi="Arial"/>
                <w:sz w:val="18"/>
                <w:szCs w:val="18"/>
                <w:color w:val="auto"/>
              </w:rPr>
              <w:t>Tax effect on net pension adjustment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111</w:t>
            </w:r>
          </w:p>
        </w:tc>
      </w:tr>
      <w:tr>
        <w:trPr>
          <w:trHeight w:val="195"/>
        </w:trPr>
        <w:tc>
          <w:tcPr>
            <w:tcW w:w="8120" w:type="dxa"/>
            <w:vAlign w:val="bottom"/>
          </w:tcPr>
          <w:p>
            <w:pPr>
              <w:ind w:left="60"/>
              <w:spacing w:after="0" w:line="195" w:lineRule="exact"/>
              <w:rPr>
                <w:sz w:val="20"/>
                <w:szCs w:val="20"/>
                <w:color w:val="auto"/>
              </w:rPr>
            </w:pPr>
            <w:r>
              <w:rPr>
                <w:rFonts w:ascii="Arial" w:cs="Arial" w:eastAsia="Arial" w:hAnsi="Arial"/>
                <w:sz w:val="18"/>
                <w:szCs w:val="18"/>
                <w:color w:val="auto"/>
              </w:rPr>
              <w:t>After-tax net pension adjustment</w:t>
            </w:r>
          </w:p>
        </w:tc>
        <w:tc>
          <w:tcPr>
            <w:tcW w:w="440" w:type="dxa"/>
            <w:vAlign w:val="bottom"/>
          </w:tcPr>
          <w:p>
            <w:pPr>
              <w:spacing w:after="0"/>
              <w:rPr>
                <w:sz w:val="16"/>
                <w:szCs w:val="16"/>
                <w:color w:val="auto"/>
              </w:rPr>
            </w:pPr>
          </w:p>
        </w:tc>
        <w:tc>
          <w:tcPr>
            <w:tcW w:w="1080" w:type="dxa"/>
            <w:vAlign w:val="bottom"/>
          </w:tcPr>
          <w:p>
            <w:pPr>
              <w:jc w:val="right"/>
              <w:ind w:right="91"/>
              <w:spacing w:after="0" w:line="195" w:lineRule="exact"/>
              <w:rPr>
                <w:sz w:val="20"/>
                <w:szCs w:val="20"/>
                <w:color w:val="auto"/>
              </w:rPr>
            </w:pPr>
            <w:r>
              <w:rPr>
                <w:rFonts w:ascii="Arial" w:cs="Arial" w:eastAsia="Arial" w:hAnsi="Arial"/>
                <w:sz w:val="18"/>
                <w:szCs w:val="18"/>
                <w:color w:val="auto"/>
              </w:rPr>
              <w:t>(386)</w:t>
            </w:r>
          </w:p>
        </w:tc>
        <w:tc>
          <w:tcPr>
            <w:tcW w:w="360" w:type="dxa"/>
            <w:vAlign w:val="bottom"/>
          </w:tcPr>
          <w:p>
            <w:pPr>
              <w:spacing w:after="0"/>
              <w:rPr>
                <w:sz w:val="16"/>
                <w:szCs w:val="16"/>
                <w:color w:val="auto"/>
              </w:rPr>
            </w:pPr>
          </w:p>
        </w:tc>
        <w:tc>
          <w:tcPr>
            <w:tcW w:w="1020" w:type="dxa"/>
            <w:vAlign w:val="bottom"/>
          </w:tcPr>
          <w:p>
            <w:pPr>
              <w:jc w:val="right"/>
              <w:ind w:right="91"/>
              <w:spacing w:after="0" w:line="195" w:lineRule="exact"/>
              <w:rPr>
                <w:sz w:val="20"/>
                <w:szCs w:val="20"/>
                <w:color w:val="auto"/>
              </w:rPr>
            </w:pPr>
            <w:r>
              <w:rPr>
                <w:rFonts w:ascii="Arial" w:cs="Arial" w:eastAsia="Arial" w:hAnsi="Arial"/>
                <w:sz w:val="18"/>
                <w:szCs w:val="18"/>
                <w:color w:val="auto"/>
              </w:rPr>
              <w:t>(205)</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Tax expense related to the 2017 Tax Act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300</w:t>
            </w:r>
          </w:p>
        </w:tc>
        <w:tc>
          <w:tcPr>
            <w:tcW w:w="360" w:type="dxa"/>
            <w:vAlign w:val="bottom"/>
            <w:tcBorders>
              <w:bottom w:val="single" w:sz="8" w:color="276092"/>
            </w:tcBorders>
          </w:tcPr>
          <w:p>
            <w:pPr>
              <w:spacing w:after="0"/>
              <w:rPr>
                <w:sz w:val="18"/>
                <w:szCs w:val="18"/>
                <w:color w:val="auto"/>
              </w:rPr>
            </w:pP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10"/>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b w:val="1"/>
                <w:bCs w:val="1"/>
                <w:color w:val="auto"/>
              </w:rPr>
              <w:t>Pension-adjusted net income</w:t>
            </w:r>
          </w:p>
        </w:tc>
        <w:tc>
          <w:tcPr>
            <w:tcW w:w="440" w:type="dxa"/>
            <w:vAlign w:val="bottom"/>
            <w:tcBorders>
              <w:bottom w:val="single" w:sz="8" w:color="276092"/>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1,929</w:t>
            </w:r>
          </w:p>
        </w:tc>
        <w:tc>
          <w:tcPr>
            <w:tcW w:w="360" w:type="dxa"/>
            <w:vAlign w:val="bottom"/>
            <w:tcBorders>
              <w:bottom w:val="single" w:sz="8" w:color="276092"/>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1,995</w:t>
            </w:r>
          </w:p>
        </w:tc>
      </w:tr>
      <w:tr>
        <w:trPr>
          <w:trHeight w:val="452"/>
        </w:trPr>
        <w:tc>
          <w:tcPr>
            <w:tcW w:w="8120" w:type="dxa"/>
            <w:vAlign w:val="bottom"/>
          </w:tcPr>
          <w:p>
            <w:pPr>
              <w:ind w:left="6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rPr>
              <w:t>2,200</w:t>
            </w:r>
          </w:p>
        </w:tc>
      </w:tr>
      <w:tr>
        <w:trPr>
          <w:trHeight w:val="217"/>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color w:val="auto"/>
              </w:rPr>
              <w:t>Tax expense related to the 2017 Tax Act</w:t>
            </w:r>
          </w:p>
        </w:tc>
        <w:tc>
          <w:tcPr>
            <w:tcW w:w="440" w:type="dxa"/>
            <w:vAlign w:val="bottom"/>
            <w:tcBorders>
              <w:bottom w:val="single" w:sz="8" w:color="276092"/>
            </w:tcBorders>
          </w:tcPr>
          <w:p>
            <w:pPr>
              <w:spacing w:after="0"/>
              <w:rPr>
                <w:sz w:val="18"/>
                <w:szCs w:val="18"/>
                <w:color w:val="auto"/>
              </w:rPr>
            </w:pP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300</w:t>
            </w:r>
          </w:p>
        </w:tc>
        <w:tc>
          <w:tcPr>
            <w:tcW w:w="360" w:type="dxa"/>
            <w:vAlign w:val="bottom"/>
            <w:tcBorders>
              <w:bottom w:val="single" w:sz="8" w:color="276092"/>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10"/>
        </w:trPr>
        <w:tc>
          <w:tcPr>
            <w:tcW w:w="8120" w:type="dxa"/>
            <w:vAlign w:val="bottom"/>
            <w:tcBorders>
              <w:bottom w:val="single" w:sz="8" w:color="276092"/>
            </w:tcBorders>
          </w:tcPr>
          <w:p>
            <w:pPr>
              <w:ind w:left="60"/>
              <w:spacing w:after="0"/>
              <w:rPr>
                <w:sz w:val="20"/>
                <w:szCs w:val="20"/>
                <w:color w:val="auto"/>
              </w:rPr>
            </w:pPr>
            <w:r>
              <w:rPr>
                <w:rFonts w:ascii="Arial" w:cs="Arial" w:eastAsia="Arial" w:hAnsi="Arial"/>
                <w:sz w:val="18"/>
                <w:szCs w:val="18"/>
                <w:b w:val="1"/>
                <w:bCs w:val="1"/>
                <w:color w:val="auto"/>
              </w:rPr>
              <w:t>Net income excluding 2017 tax reform impact</w:t>
            </w:r>
          </w:p>
        </w:tc>
        <w:tc>
          <w:tcPr>
            <w:tcW w:w="440" w:type="dxa"/>
            <w:vAlign w:val="bottom"/>
            <w:tcBorders>
              <w:bottom w:val="single" w:sz="8" w:color="276092"/>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2,315</w:t>
            </w:r>
          </w:p>
        </w:tc>
        <w:tc>
          <w:tcPr>
            <w:tcW w:w="360" w:type="dxa"/>
            <w:vAlign w:val="bottom"/>
            <w:tcBorders>
              <w:bottom w:val="single" w:sz="8" w:color="276092"/>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276092"/>
            </w:tcBorders>
          </w:tcPr>
          <w:p>
            <w:pPr>
              <w:jc w:val="right"/>
              <w:ind w:right="151"/>
              <w:spacing w:after="0"/>
              <w:rPr>
                <w:sz w:val="20"/>
                <w:szCs w:val="20"/>
                <w:color w:val="auto"/>
              </w:rPr>
            </w:pPr>
            <w:r>
              <w:rPr>
                <w:rFonts w:ascii="Arial" w:cs="Arial" w:eastAsia="Arial" w:hAnsi="Arial"/>
                <w:sz w:val="18"/>
                <w:szCs w:val="18"/>
                <w:b w:val="1"/>
                <w:bCs w:val="1"/>
                <w:color w:val="auto"/>
              </w:rPr>
              <w:t>2,200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-4775835</wp:posOffset>
            </wp:positionV>
            <wp:extent cx="18351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Arial" w:cs="Arial" w:eastAsia="Arial" w:hAnsi="Arial"/>
          <w:sz w:val="14"/>
          <w:szCs w:val="14"/>
          <w:color w:val="276092"/>
        </w:rPr>
        <w:t>NOTICE OF 2018 ANNUAL MEETING OF SHAREHOLDERS AND PROXY STATEMENT</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429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7700" cy="342900"/>
                    </a:xfrm>
                    <a:prstGeom prst="rect">
                      <a:avLst/>
                    </a:prstGeom>
                    <a:noFill/>
                  </pic:spPr>
                </pic:pic>
              </a:graphicData>
            </a:graphic>
          </wp:anchor>
        </w:drawing>
      </w:r>
    </w:p>
    <w:p>
      <w:pPr>
        <w:spacing w:after="0" w:line="312"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FFFFFF"/>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7140" w:type="dxa"/>
            <w:vAlign w:val="bottom"/>
            <w:shd w:val="clear" w:color="auto" w:fill="276092"/>
          </w:tcPr>
          <w:p>
            <w:pPr>
              <w:spacing w:after="0"/>
              <w:rPr>
                <w:sz w:val="17"/>
                <w:szCs w:val="17"/>
                <w:color w:val="auto"/>
              </w:rPr>
            </w:pPr>
          </w:p>
        </w:tc>
        <w:tc>
          <w:tcPr>
            <w:tcW w:w="320" w:type="dxa"/>
            <w:vAlign w:val="bottom"/>
            <w:shd w:val="clear" w:color="auto" w:fill="276092"/>
          </w:tcPr>
          <w:p>
            <w:pPr>
              <w:spacing w:after="0"/>
              <w:rPr>
                <w:sz w:val="17"/>
                <w:szCs w:val="17"/>
                <w:color w:val="auto"/>
              </w:rPr>
            </w:pPr>
          </w:p>
        </w:tc>
        <w:tc>
          <w:tcPr>
            <w:tcW w:w="900" w:type="dxa"/>
            <w:vAlign w:val="bottom"/>
            <w:shd w:val="clear" w:color="auto" w:fill="276092"/>
          </w:tcPr>
          <w:p>
            <w:pPr>
              <w:spacing w:after="0"/>
              <w:rPr>
                <w:sz w:val="17"/>
                <w:szCs w:val="17"/>
                <w:color w:val="auto"/>
              </w:rPr>
            </w:pPr>
          </w:p>
        </w:tc>
        <w:tc>
          <w:tcPr>
            <w:tcW w:w="280" w:type="dxa"/>
            <w:vAlign w:val="bottom"/>
            <w:shd w:val="clear" w:color="auto" w:fill="276092"/>
          </w:tcPr>
          <w:p>
            <w:pPr>
              <w:spacing w:after="0"/>
              <w:rPr>
                <w:sz w:val="17"/>
                <w:szCs w:val="17"/>
                <w:color w:val="auto"/>
              </w:rPr>
            </w:pPr>
          </w:p>
        </w:tc>
        <w:tc>
          <w:tcPr>
            <w:tcW w:w="1060" w:type="dxa"/>
            <w:vAlign w:val="bottom"/>
            <w:shd w:val="clear" w:color="auto" w:fill="276092"/>
          </w:tcPr>
          <w:p>
            <w:pPr>
              <w:ind w:left="120"/>
              <w:spacing w:after="0"/>
              <w:rPr>
                <w:sz w:val="20"/>
                <w:szCs w:val="20"/>
                <w:color w:val="auto"/>
              </w:rPr>
            </w:pPr>
            <w:r>
              <w:rPr>
                <w:rFonts w:ascii="Arial" w:cs="Arial" w:eastAsia="Arial" w:hAnsi="Arial"/>
                <w:sz w:val="14"/>
                <w:szCs w:val="14"/>
                <w:b w:val="1"/>
                <w:bCs w:val="1"/>
                <w:color w:val="FFFFFF"/>
              </w:rPr>
              <w:t>Total Year</w:t>
            </w:r>
          </w:p>
        </w:tc>
        <w:tc>
          <w:tcPr>
            <w:tcW w:w="380" w:type="dxa"/>
            <w:vAlign w:val="bottom"/>
            <w:shd w:val="clear" w:color="auto" w:fill="276092"/>
          </w:tcPr>
          <w:p>
            <w:pPr>
              <w:spacing w:after="0"/>
              <w:rPr>
                <w:sz w:val="17"/>
                <w:szCs w:val="17"/>
                <w:color w:val="auto"/>
              </w:rPr>
            </w:pPr>
          </w:p>
        </w:tc>
        <w:tc>
          <w:tcPr>
            <w:tcW w:w="940" w:type="dxa"/>
            <w:vAlign w:val="bottom"/>
            <w:shd w:val="clear" w:color="auto" w:fill="276092"/>
          </w:tcPr>
          <w:p>
            <w:pPr>
              <w:spacing w:after="0"/>
              <w:rPr>
                <w:sz w:val="17"/>
                <w:szCs w:val="17"/>
                <w:color w:val="auto"/>
              </w:rPr>
            </w:pPr>
          </w:p>
        </w:tc>
      </w:tr>
      <w:tr>
        <w:trPr>
          <w:trHeight w:val="216"/>
        </w:trPr>
        <w:tc>
          <w:tcPr>
            <w:tcW w:w="7140" w:type="dxa"/>
            <w:vAlign w:val="bottom"/>
            <w:shd w:val="clear" w:color="auto" w:fill="276092"/>
          </w:tcPr>
          <w:p>
            <w:pPr>
              <w:spacing w:after="0"/>
              <w:rPr>
                <w:sz w:val="18"/>
                <w:szCs w:val="18"/>
                <w:color w:val="auto"/>
              </w:rPr>
            </w:pPr>
          </w:p>
        </w:tc>
        <w:tc>
          <w:tcPr>
            <w:tcW w:w="320" w:type="dxa"/>
            <w:vAlign w:val="bottom"/>
            <w:shd w:val="clear" w:color="auto" w:fill="276092"/>
          </w:tcPr>
          <w:p>
            <w:pPr>
              <w:spacing w:after="0"/>
              <w:rPr>
                <w:sz w:val="18"/>
                <w:szCs w:val="18"/>
                <w:color w:val="auto"/>
              </w:rPr>
            </w:pPr>
          </w:p>
        </w:tc>
        <w:tc>
          <w:tcPr>
            <w:tcW w:w="900" w:type="dxa"/>
            <w:vAlign w:val="bottom"/>
            <w:shd w:val="clear" w:color="auto" w:fill="276092"/>
          </w:tcPr>
          <w:p>
            <w:pPr>
              <w:jc w:val="right"/>
              <w:ind w:right="393"/>
              <w:spacing w:after="0"/>
              <w:rPr>
                <w:sz w:val="20"/>
                <w:szCs w:val="20"/>
                <w:color w:val="auto"/>
              </w:rPr>
            </w:pPr>
            <w:r>
              <w:rPr>
                <w:rFonts w:ascii="Arial" w:cs="Arial" w:eastAsia="Arial" w:hAnsi="Arial"/>
                <w:sz w:val="14"/>
                <w:szCs w:val="14"/>
                <w:b w:val="1"/>
                <w:bCs w:val="1"/>
                <w:color w:val="FFFFFF"/>
              </w:rPr>
              <w:t>2017</w:t>
            </w:r>
          </w:p>
        </w:tc>
        <w:tc>
          <w:tcPr>
            <w:tcW w:w="280" w:type="dxa"/>
            <w:vAlign w:val="bottom"/>
            <w:shd w:val="clear" w:color="auto" w:fill="276092"/>
          </w:tcPr>
          <w:p>
            <w:pPr>
              <w:spacing w:after="0"/>
              <w:rPr>
                <w:sz w:val="18"/>
                <w:szCs w:val="18"/>
                <w:color w:val="auto"/>
              </w:rPr>
            </w:pPr>
          </w:p>
        </w:tc>
        <w:tc>
          <w:tcPr>
            <w:tcW w:w="1060" w:type="dxa"/>
            <w:vAlign w:val="bottom"/>
            <w:shd w:val="clear" w:color="auto" w:fill="276092"/>
          </w:tcPr>
          <w:p>
            <w:pPr>
              <w:ind w:left="120"/>
              <w:spacing w:after="0"/>
              <w:rPr>
                <w:sz w:val="20"/>
                <w:szCs w:val="20"/>
                <w:color w:val="auto"/>
              </w:rPr>
            </w:pPr>
            <w:r>
              <w:rPr>
                <w:rFonts w:ascii="Arial" w:cs="Arial" w:eastAsia="Arial" w:hAnsi="Arial"/>
                <w:sz w:val="14"/>
                <w:szCs w:val="14"/>
                <w:b w:val="1"/>
                <w:bCs w:val="1"/>
                <w:color w:val="FFFFFF"/>
              </w:rPr>
              <w:t>2016</w:t>
            </w:r>
          </w:p>
        </w:tc>
        <w:tc>
          <w:tcPr>
            <w:tcW w:w="380" w:type="dxa"/>
            <w:vAlign w:val="bottom"/>
            <w:shd w:val="clear" w:color="auto" w:fill="276092"/>
          </w:tcPr>
          <w:p>
            <w:pPr>
              <w:spacing w:after="0"/>
              <w:rPr>
                <w:sz w:val="18"/>
                <w:szCs w:val="18"/>
                <w:color w:val="auto"/>
              </w:rPr>
            </w:pPr>
          </w:p>
        </w:tc>
        <w:tc>
          <w:tcPr>
            <w:tcW w:w="940" w:type="dxa"/>
            <w:vAlign w:val="bottom"/>
            <w:shd w:val="clear" w:color="auto" w:fill="276092"/>
          </w:tcPr>
          <w:p>
            <w:pPr>
              <w:jc w:val="right"/>
              <w:ind w:right="334"/>
              <w:spacing w:after="0"/>
              <w:rPr>
                <w:sz w:val="20"/>
                <w:szCs w:val="20"/>
                <w:color w:val="auto"/>
              </w:rPr>
            </w:pPr>
            <w:r>
              <w:rPr>
                <w:rFonts w:ascii="Arial" w:cs="Arial" w:eastAsia="Arial" w:hAnsi="Arial"/>
                <w:sz w:val="14"/>
                <w:szCs w:val="14"/>
                <w:b w:val="1"/>
                <w:bCs w:val="1"/>
                <w:color w:val="FFFFFF"/>
              </w:rPr>
              <w:t>2015</w:t>
            </w:r>
          </w:p>
        </w:tc>
      </w:tr>
      <w:tr>
        <w:trPr>
          <w:trHeight w:val="234"/>
        </w:trPr>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Pension-adjusted per share data</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9"/>
        </w:trPr>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73"/>
              <w:spacing w:after="0"/>
              <w:rPr>
                <w:sz w:val="20"/>
                <w:szCs w:val="20"/>
                <w:color w:val="auto"/>
              </w:rPr>
            </w:pPr>
            <w:r>
              <w:rPr>
                <w:rFonts w:ascii="Arial" w:cs="Arial" w:eastAsia="Arial" w:hAnsi="Arial"/>
                <w:sz w:val="18"/>
                <w:szCs w:val="18"/>
                <w:b w:val="1"/>
                <w:bCs w:val="1"/>
                <w:color w:val="auto"/>
              </w:rPr>
              <w:t>11.47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15"/>
              <w:spacing w:after="0"/>
              <w:rPr>
                <w:sz w:val="20"/>
                <w:szCs w:val="20"/>
                <w:color w:val="auto"/>
              </w:rPr>
            </w:pPr>
            <w:r>
              <w:rPr>
                <w:rFonts w:ascii="Arial" w:cs="Arial" w:eastAsia="Arial" w:hAnsi="Arial"/>
                <w:sz w:val="18"/>
                <w:szCs w:val="18"/>
                <w:b w:val="1"/>
                <w:bCs w:val="1"/>
                <w:color w:val="auto"/>
              </w:rPr>
              <w:t>12.19</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10.39</w:t>
            </w:r>
          </w:p>
        </w:tc>
      </w:tr>
      <w:tr>
        <w:trPr>
          <w:trHeight w:val="243"/>
        </w:trPr>
        <w:tc>
          <w:tcPr>
            <w:tcW w:w="7140" w:type="dxa"/>
            <w:vAlign w:val="bottom"/>
          </w:tcPr>
          <w:p>
            <w:pPr>
              <w:ind w:left="600"/>
              <w:spacing w:after="0"/>
              <w:rPr>
                <w:sz w:val="20"/>
                <w:szCs w:val="20"/>
                <w:color w:val="auto"/>
              </w:rPr>
            </w:pPr>
            <w:r>
              <w:rPr>
                <w:rFonts w:ascii="Arial" w:cs="Arial" w:eastAsia="Arial" w:hAnsi="Arial"/>
                <w:sz w:val="18"/>
                <w:szCs w:val="18"/>
                <w:color w:val="auto"/>
              </w:rPr>
              <w:t>Pre-tax net pension adjustment per share</w:t>
            </w:r>
          </w:p>
        </w:tc>
        <w:tc>
          <w:tcPr>
            <w:tcW w:w="3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280" w:type="dxa"/>
            <w:vAlign w:val="bottom"/>
          </w:tcPr>
          <w:p>
            <w:pPr>
              <w:spacing w:after="0"/>
              <w:rPr>
                <w:sz w:val="21"/>
                <w:szCs w:val="21"/>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7140" w:type="dxa"/>
            <w:vAlign w:val="bottom"/>
          </w:tcPr>
          <w:p>
            <w:pPr>
              <w:ind w:left="600"/>
              <w:spacing w:after="0"/>
              <w:rPr>
                <w:sz w:val="20"/>
                <w:szCs w:val="20"/>
                <w:color w:val="auto"/>
              </w:rPr>
            </w:pPr>
            <w:r>
              <w:rPr>
                <w:rFonts w:ascii="Arial" w:cs="Arial" w:eastAsia="Arial" w:hAnsi="Arial"/>
                <w:sz w:val="18"/>
                <w:szCs w:val="18"/>
                <w:color w:val="auto"/>
              </w:rPr>
              <w:t>Tax effect on net pension adjustment per share</w:t>
            </w:r>
          </w:p>
        </w:tc>
        <w:tc>
          <w:tcPr>
            <w:tcW w:w="32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1"/>
                <w:szCs w:val="21"/>
                <w:color w:val="auto"/>
              </w:rPr>
            </w:pPr>
          </w:p>
        </w:tc>
        <w:tc>
          <w:tcPr>
            <w:tcW w:w="1060" w:type="dxa"/>
            <w:vAlign w:val="bottom"/>
          </w:tcPr>
          <w:p>
            <w:pPr>
              <w:jc w:val="right"/>
              <w:ind w:right="215"/>
              <w:spacing w:after="0"/>
              <w:rPr>
                <w:sz w:val="20"/>
                <w:szCs w:val="20"/>
                <w:color w:val="auto"/>
              </w:rPr>
            </w:pPr>
            <w:r>
              <w:rPr>
                <w:rFonts w:ascii="Arial" w:cs="Arial" w:eastAsia="Arial" w:hAnsi="Arial"/>
                <w:sz w:val="18"/>
                <w:szCs w:val="18"/>
                <w:color w:val="auto"/>
              </w:rPr>
              <w:t>0.61</w:t>
            </w:r>
          </w:p>
        </w:tc>
        <w:tc>
          <w:tcPr>
            <w:tcW w:w="3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0.64</w:t>
            </w:r>
          </w:p>
        </w:tc>
      </w:tr>
      <w:tr>
        <w:trPr>
          <w:trHeight w:val="27"/>
        </w:trPr>
        <w:tc>
          <w:tcPr>
            <w:tcW w:w="7140" w:type="dxa"/>
            <w:vAlign w:val="bottom"/>
            <w:tcBorders>
              <w:bottom w:val="single" w:sz="8" w:color="276092"/>
            </w:tcBorders>
          </w:tcPr>
          <w:p>
            <w:pPr>
              <w:spacing w:after="0"/>
              <w:rPr>
                <w:sz w:val="2"/>
                <w:szCs w:val="2"/>
                <w:color w:val="auto"/>
              </w:rPr>
            </w:pPr>
          </w:p>
        </w:tc>
        <w:tc>
          <w:tcPr>
            <w:tcW w:w="320" w:type="dxa"/>
            <w:vAlign w:val="bottom"/>
            <w:tcBorders>
              <w:bottom w:val="single" w:sz="8" w:color="276092"/>
            </w:tcBorders>
          </w:tcPr>
          <w:p>
            <w:pPr>
              <w:spacing w:after="0"/>
              <w:rPr>
                <w:sz w:val="2"/>
                <w:szCs w:val="2"/>
                <w:color w:val="auto"/>
              </w:rPr>
            </w:pPr>
          </w:p>
        </w:tc>
        <w:tc>
          <w:tcPr>
            <w:tcW w:w="900" w:type="dxa"/>
            <w:vAlign w:val="bottom"/>
            <w:tcBorders>
              <w:bottom w:val="single" w:sz="8" w:color="276092"/>
            </w:tcBorders>
          </w:tcPr>
          <w:p>
            <w:pPr>
              <w:spacing w:after="0"/>
              <w:rPr>
                <w:sz w:val="2"/>
                <w:szCs w:val="2"/>
                <w:color w:val="auto"/>
              </w:rPr>
            </w:pPr>
          </w:p>
        </w:tc>
        <w:tc>
          <w:tcPr>
            <w:tcW w:w="280" w:type="dxa"/>
            <w:vAlign w:val="bottom"/>
            <w:tcBorders>
              <w:bottom w:val="single" w:sz="8" w:color="276092"/>
            </w:tcBorders>
          </w:tcPr>
          <w:p>
            <w:pPr>
              <w:spacing w:after="0"/>
              <w:rPr>
                <w:sz w:val="2"/>
                <w:szCs w:val="2"/>
                <w:color w:val="auto"/>
              </w:rPr>
            </w:pPr>
          </w:p>
        </w:tc>
        <w:tc>
          <w:tcPr>
            <w:tcW w:w="1060" w:type="dxa"/>
            <w:vAlign w:val="bottom"/>
            <w:tcBorders>
              <w:bottom w:val="single" w:sz="8" w:color="276092"/>
            </w:tcBorders>
          </w:tcPr>
          <w:p>
            <w:pPr>
              <w:spacing w:after="0"/>
              <w:rPr>
                <w:sz w:val="2"/>
                <w:szCs w:val="2"/>
                <w:color w:val="auto"/>
              </w:rPr>
            </w:pPr>
          </w:p>
        </w:tc>
        <w:tc>
          <w:tcPr>
            <w:tcW w:w="380" w:type="dxa"/>
            <w:vAlign w:val="bottom"/>
            <w:tcBorders>
              <w:bottom w:val="single" w:sz="8" w:color="276092"/>
            </w:tcBorders>
          </w:tcPr>
          <w:p>
            <w:pPr>
              <w:spacing w:after="0"/>
              <w:rPr>
                <w:sz w:val="2"/>
                <w:szCs w:val="2"/>
                <w:color w:val="auto"/>
              </w:rPr>
            </w:pPr>
          </w:p>
        </w:tc>
        <w:tc>
          <w:tcPr>
            <w:tcW w:w="940" w:type="dxa"/>
            <w:vAlign w:val="bottom"/>
            <w:tcBorders>
              <w:bottom w:val="single" w:sz="8" w:color="276092"/>
            </w:tcBorders>
          </w:tcPr>
          <w:p>
            <w:pPr>
              <w:spacing w:after="0"/>
              <w:rPr>
                <w:sz w:val="2"/>
                <w:szCs w:val="2"/>
                <w:color w:val="auto"/>
              </w:rPr>
            </w:pPr>
          </w:p>
        </w:tc>
      </w:tr>
      <w:tr>
        <w:trPr>
          <w:trHeight w:val="223"/>
        </w:trPr>
        <w:tc>
          <w:tcPr>
            <w:tcW w:w="7140" w:type="dxa"/>
            <w:vAlign w:val="bottom"/>
          </w:tcPr>
          <w:p>
            <w:pPr>
              <w:ind w:left="60"/>
              <w:spacing w:after="0"/>
              <w:rPr>
                <w:sz w:val="20"/>
                <w:szCs w:val="20"/>
                <w:color w:val="auto"/>
              </w:rPr>
            </w:pPr>
            <w:r>
              <w:rPr>
                <w:rFonts w:ascii="Arial" w:cs="Arial" w:eastAsia="Arial" w:hAnsi="Arial"/>
                <w:sz w:val="18"/>
                <w:szCs w:val="18"/>
                <w:color w:val="auto"/>
              </w:rPr>
              <w:t>After-tax net pension adjustment per share</w:t>
            </w:r>
          </w:p>
        </w:tc>
        <w:tc>
          <w:tcPr>
            <w:tcW w:w="320" w:type="dxa"/>
            <w:vAlign w:val="bottom"/>
          </w:tcPr>
          <w:p>
            <w:pPr>
              <w:spacing w:after="0"/>
              <w:rPr>
                <w:sz w:val="19"/>
                <w:szCs w:val="19"/>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140" w:type="dxa"/>
            <w:vAlign w:val="bottom"/>
            <w:tcBorders>
              <w:bottom w:val="single" w:sz="8" w:color="276092"/>
            </w:tcBorders>
          </w:tcPr>
          <w:p>
            <w:pPr>
              <w:spacing w:after="0"/>
              <w:rPr>
                <w:sz w:val="2"/>
                <w:szCs w:val="2"/>
                <w:color w:val="auto"/>
              </w:rPr>
            </w:pPr>
          </w:p>
        </w:tc>
        <w:tc>
          <w:tcPr>
            <w:tcW w:w="320" w:type="dxa"/>
            <w:vAlign w:val="bottom"/>
            <w:tcBorders>
              <w:bottom w:val="single" w:sz="8" w:color="276092"/>
            </w:tcBorders>
          </w:tcPr>
          <w:p>
            <w:pPr>
              <w:spacing w:after="0"/>
              <w:rPr>
                <w:sz w:val="2"/>
                <w:szCs w:val="2"/>
                <w:color w:val="auto"/>
              </w:rPr>
            </w:pPr>
          </w:p>
        </w:tc>
        <w:tc>
          <w:tcPr>
            <w:tcW w:w="900" w:type="dxa"/>
            <w:vAlign w:val="bottom"/>
            <w:tcBorders>
              <w:bottom w:val="single" w:sz="8" w:color="276092"/>
            </w:tcBorders>
          </w:tcPr>
          <w:p>
            <w:pPr>
              <w:spacing w:after="0"/>
              <w:rPr>
                <w:sz w:val="2"/>
                <w:szCs w:val="2"/>
                <w:color w:val="auto"/>
              </w:rPr>
            </w:pPr>
          </w:p>
        </w:tc>
        <w:tc>
          <w:tcPr>
            <w:tcW w:w="280" w:type="dxa"/>
            <w:vAlign w:val="bottom"/>
            <w:tcBorders>
              <w:bottom w:val="single" w:sz="8" w:color="276092"/>
            </w:tcBorders>
          </w:tcPr>
          <w:p>
            <w:pPr>
              <w:spacing w:after="0"/>
              <w:rPr>
                <w:sz w:val="2"/>
                <w:szCs w:val="2"/>
                <w:color w:val="auto"/>
              </w:rPr>
            </w:pPr>
          </w:p>
        </w:tc>
        <w:tc>
          <w:tcPr>
            <w:tcW w:w="1060" w:type="dxa"/>
            <w:vAlign w:val="bottom"/>
            <w:tcBorders>
              <w:bottom w:val="single" w:sz="8" w:color="276092"/>
            </w:tcBorders>
          </w:tcPr>
          <w:p>
            <w:pPr>
              <w:spacing w:after="0"/>
              <w:rPr>
                <w:sz w:val="2"/>
                <w:szCs w:val="2"/>
                <w:color w:val="auto"/>
              </w:rPr>
            </w:pPr>
          </w:p>
        </w:tc>
        <w:tc>
          <w:tcPr>
            <w:tcW w:w="380" w:type="dxa"/>
            <w:vAlign w:val="bottom"/>
            <w:tcBorders>
              <w:bottom w:val="single" w:sz="8" w:color="276092"/>
            </w:tcBorders>
          </w:tcPr>
          <w:p>
            <w:pPr>
              <w:spacing w:after="0"/>
              <w:rPr>
                <w:sz w:val="2"/>
                <w:szCs w:val="2"/>
                <w:color w:val="auto"/>
              </w:rPr>
            </w:pPr>
          </w:p>
        </w:tc>
        <w:tc>
          <w:tcPr>
            <w:tcW w:w="940" w:type="dxa"/>
            <w:vAlign w:val="bottom"/>
            <w:tcBorders>
              <w:bottom w:val="single" w:sz="8" w:color="276092"/>
            </w:tcBorders>
          </w:tcPr>
          <w:p>
            <w:pPr>
              <w:spacing w:after="0"/>
              <w:rPr>
                <w:sz w:val="2"/>
                <w:szCs w:val="2"/>
                <w:color w:val="auto"/>
              </w:rPr>
            </w:pPr>
          </w:p>
        </w:tc>
      </w:tr>
      <w:tr>
        <w:trPr>
          <w:trHeight w:val="244"/>
        </w:trPr>
        <w:tc>
          <w:tcPr>
            <w:tcW w:w="7140" w:type="dxa"/>
            <w:vAlign w:val="bottom"/>
            <w:tcBorders>
              <w:bottom w:val="single" w:sz="8" w:color="276092"/>
            </w:tcBorders>
          </w:tcPr>
          <w:p>
            <w:pPr>
              <w:ind w:left="60"/>
              <w:spacing w:after="0"/>
              <w:rPr>
                <w:sz w:val="20"/>
                <w:szCs w:val="20"/>
                <w:color w:val="auto"/>
              </w:rPr>
            </w:pPr>
            <w:r>
              <w:rPr>
                <w:rFonts w:ascii="Arial" w:cs="Arial" w:eastAsia="Arial" w:hAnsi="Arial"/>
                <w:sz w:val="18"/>
                <w:szCs w:val="18"/>
                <w:b w:val="1"/>
                <w:bCs w:val="1"/>
                <w:color w:val="auto"/>
              </w:rPr>
              <w:t>Pension-adjusted diluted EPS</w:t>
            </w:r>
          </w:p>
        </w:tc>
        <w:tc>
          <w:tcPr>
            <w:tcW w:w="320" w:type="dxa"/>
            <w:vAlign w:val="bottom"/>
            <w:tcBorders>
              <w:bottom w:val="single" w:sz="8" w:color="276092"/>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276092"/>
            </w:tcBorders>
          </w:tcPr>
          <w:p>
            <w:pPr>
              <w:jc w:val="right"/>
              <w:ind w:right="73"/>
              <w:spacing w:after="0"/>
              <w:rPr>
                <w:sz w:val="20"/>
                <w:szCs w:val="20"/>
                <w:color w:val="auto"/>
              </w:rPr>
            </w:pPr>
            <w:r>
              <w:rPr>
                <w:rFonts w:ascii="Arial" w:cs="Arial" w:eastAsia="Arial" w:hAnsi="Arial"/>
                <w:sz w:val="18"/>
                <w:szCs w:val="18"/>
                <w:b w:val="1"/>
                <w:bCs w:val="1"/>
                <w:color w:val="auto"/>
              </w:rPr>
              <w:t>9.27</w:t>
            </w:r>
          </w:p>
        </w:tc>
        <w:tc>
          <w:tcPr>
            <w:tcW w:w="280" w:type="dxa"/>
            <w:vAlign w:val="bottom"/>
            <w:tcBorders>
              <w:bottom w:val="single" w:sz="8" w:color="276092"/>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276092"/>
            </w:tcBorders>
          </w:tcPr>
          <w:p>
            <w:pPr>
              <w:jc w:val="right"/>
              <w:ind w:right="215"/>
              <w:spacing w:after="0"/>
              <w:rPr>
                <w:sz w:val="20"/>
                <w:szCs w:val="20"/>
                <w:color w:val="auto"/>
              </w:rPr>
            </w:pPr>
            <w:r>
              <w:rPr>
                <w:rFonts w:ascii="Arial" w:cs="Arial" w:eastAsia="Arial" w:hAnsi="Arial"/>
                <w:sz w:val="18"/>
                <w:szCs w:val="18"/>
                <w:b w:val="1"/>
                <w:bCs w:val="1"/>
                <w:color w:val="auto"/>
              </w:rPr>
              <w:t>11.05</w:t>
            </w:r>
          </w:p>
        </w:tc>
        <w:tc>
          <w:tcPr>
            <w:tcW w:w="380" w:type="dxa"/>
            <w:vAlign w:val="bottom"/>
            <w:tcBorders>
              <w:bottom w:val="single" w:sz="8" w:color="276092"/>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276092"/>
            </w:tcBorders>
          </w:tcPr>
          <w:p>
            <w:pPr>
              <w:jc w:val="right"/>
              <w:ind w:right="34"/>
              <w:spacing w:after="0"/>
              <w:rPr>
                <w:sz w:val="20"/>
                <w:szCs w:val="20"/>
                <w:color w:val="auto"/>
              </w:rPr>
            </w:pPr>
            <w:r>
              <w:rPr>
                <w:rFonts w:ascii="Arial" w:cs="Arial" w:eastAsia="Arial" w:hAnsi="Arial"/>
                <w:sz w:val="18"/>
                <w:szCs w:val="18"/>
                <w:b w:val="1"/>
                <w:bCs w:val="1"/>
                <w:color w:val="auto"/>
              </w:rPr>
              <w:t>9.21</w:t>
            </w:r>
          </w:p>
        </w:tc>
      </w:tr>
      <w:tr>
        <w:trPr>
          <w:trHeight w:val="243"/>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1"/>
        </w:trPr>
        <w:tc>
          <w:tcPr>
            <w:tcW w:w="7140" w:type="dxa"/>
            <w:vAlign w:val="bottom"/>
            <w:shd w:val="clear" w:color="auto" w:fill="276092"/>
          </w:tcPr>
          <w:p>
            <w:pPr>
              <w:spacing w:after="0"/>
              <w:rPr>
                <w:sz w:val="16"/>
                <w:szCs w:val="16"/>
                <w:color w:val="auto"/>
              </w:rPr>
            </w:pPr>
          </w:p>
        </w:tc>
        <w:tc>
          <w:tcPr>
            <w:tcW w:w="320" w:type="dxa"/>
            <w:vAlign w:val="bottom"/>
            <w:shd w:val="clear" w:color="auto" w:fill="276092"/>
          </w:tcPr>
          <w:p>
            <w:pPr>
              <w:spacing w:after="0"/>
              <w:rPr>
                <w:sz w:val="16"/>
                <w:szCs w:val="16"/>
                <w:color w:val="auto"/>
              </w:rPr>
            </w:pPr>
          </w:p>
        </w:tc>
        <w:tc>
          <w:tcPr>
            <w:tcW w:w="900" w:type="dxa"/>
            <w:vAlign w:val="bottom"/>
            <w:shd w:val="clear" w:color="auto" w:fill="276092"/>
          </w:tcPr>
          <w:p>
            <w:pPr>
              <w:spacing w:after="0"/>
              <w:rPr>
                <w:sz w:val="16"/>
                <w:szCs w:val="16"/>
                <w:color w:val="auto"/>
              </w:rPr>
            </w:pPr>
          </w:p>
        </w:tc>
        <w:tc>
          <w:tcPr>
            <w:tcW w:w="280" w:type="dxa"/>
            <w:vAlign w:val="bottom"/>
            <w:shd w:val="clear" w:color="auto" w:fill="276092"/>
          </w:tcPr>
          <w:p>
            <w:pPr>
              <w:spacing w:after="0"/>
              <w:rPr>
                <w:sz w:val="16"/>
                <w:szCs w:val="16"/>
                <w:color w:val="auto"/>
              </w:rPr>
            </w:pPr>
          </w:p>
        </w:tc>
        <w:tc>
          <w:tcPr>
            <w:tcW w:w="1060" w:type="dxa"/>
            <w:vAlign w:val="bottom"/>
            <w:shd w:val="clear" w:color="auto" w:fill="276092"/>
          </w:tcPr>
          <w:p>
            <w:pPr>
              <w:spacing w:after="0"/>
              <w:rPr>
                <w:sz w:val="16"/>
                <w:szCs w:val="16"/>
                <w:color w:val="auto"/>
              </w:rPr>
            </w:pPr>
          </w:p>
        </w:tc>
        <w:tc>
          <w:tcPr>
            <w:tcW w:w="380" w:type="dxa"/>
            <w:vAlign w:val="bottom"/>
            <w:shd w:val="clear" w:color="auto" w:fill="276092"/>
          </w:tcPr>
          <w:p>
            <w:pPr>
              <w:spacing w:after="0"/>
              <w:rPr>
                <w:sz w:val="16"/>
                <w:szCs w:val="16"/>
                <w:color w:val="auto"/>
              </w:rPr>
            </w:pPr>
          </w:p>
        </w:tc>
        <w:tc>
          <w:tcPr>
            <w:tcW w:w="940" w:type="dxa"/>
            <w:vAlign w:val="bottom"/>
            <w:shd w:val="clear" w:color="auto" w:fill="276092"/>
          </w:tcPr>
          <w:p>
            <w:pPr>
              <w:jc w:val="right"/>
              <w:ind w:right="154"/>
              <w:spacing w:after="0"/>
              <w:rPr>
                <w:sz w:val="20"/>
                <w:szCs w:val="20"/>
                <w:color w:val="auto"/>
              </w:rPr>
            </w:pPr>
            <w:r>
              <w:rPr>
                <w:rFonts w:ascii="Arial" w:cs="Arial" w:eastAsia="Arial" w:hAnsi="Arial"/>
                <w:sz w:val="14"/>
                <w:szCs w:val="14"/>
                <w:b w:val="1"/>
                <w:bCs w:val="1"/>
                <w:color w:val="FFFFFF"/>
              </w:rPr>
              <w:t>Total Year</w:t>
            </w:r>
          </w:p>
        </w:tc>
      </w:tr>
      <w:tr>
        <w:trPr>
          <w:trHeight w:val="228"/>
        </w:trPr>
        <w:tc>
          <w:tcPr>
            <w:tcW w:w="7140" w:type="dxa"/>
            <w:vAlign w:val="bottom"/>
            <w:shd w:val="clear" w:color="auto" w:fill="276092"/>
          </w:tcPr>
          <w:p>
            <w:pPr>
              <w:spacing w:after="0"/>
              <w:rPr>
                <w:sz w:val="19"/>
                <w:szCs w:val="19"/>
                <w:color w:val="auto"/>
              </w:rPr>
            </w:pPr>
          </w:p>
        </w:tc>
        <w:tc>
          <w:tcPr>
            <w:tcW w:w="320" w:type="dxa"/>
            <w:vAlign w:val="bottom"/>
            <w:shd w:val="clear" w:color="auto" w:fill="276092"/>
          </w:tcPr>
          <w:p>
            <w:pPr>
              <w:spacing w:after="0"/>
              <w:rPr>
                <w:sz w:val="19"/>
                <w:szCs w:val="19"/>
                <w:color w:val="auto"/>
              </w:rPr>
            </w:pPr>
          </w:p>
        </w:tc>
        <w:tc>
          <w:tcPr>
            <w:tcW w:w="900" w:type="dxa"/>
            <w:vAlign w:val="bottom"/>
            <w:shd w:val="clear" w:color="auto" w:fill="276092"/>
          </w:tcPr>
          <w:p>
            <w:pPr>
              <w:spacing w:after="0"/>
              <w:rPr>
                <w:sz w:val="19"/>
                <w:szCs w:val="19"/>
                <w:color w:val="auto"/>
              </w:rPr>
            </w:pPr>
          </w:p>
        </w:tc>
        <w:tc>
          <w:tcPr>
            <w:tcW w:w="280" w:type="dxa"/>
            <w:vAlign w:val="bottom"/>
            <w:shd w:val="clear" w:color="auto" w:fill="276092"/>
          </w:tcPr>
          <w:p>
            <w:pPr>
              <w:spacing w:after="0"/>
              <w:rPr>
                <w:sz w:val="19"/>
                <w:szCs w:val="19"/>
                <w:color w:val="auto"/>
              </w:rPr>
            </w:pPr>
          </w:p>
        </w:tc>
        <w:tc>
          <w:tcPr>
            <w:tcW w:w="1060" w:type="dxa"/>
            <w:vAlign w:val="bottom"/>
            <w:shd w:val="clear" w:color="auto" w:fill="276092"/>
          </w:tcPr>
          <w:p>
            <w:pPr>
              <w:spacing w:after="0"/>
              <w:rPr>
                <w:sz w:val="19"/>
                <w:szCs w:val="19"/>
                <w:color w:val="auto"/>
              </w:rPr>
            </w:pPr>
          </w:p>
        </w:tc>
        <w:tc>
          <w:tcPr>
            <w:tcW w:w="380" w:type="dxa"/>
            <w:vAlign w:val="bottom"/>
            <w:shd w:val="clear" w:color="auto" w:fill="276092"/>
          </w:tcPr>
          <w:p>
            <w:pPr>
              <w:spacing w:after="0"/>
              <w:rPr>
                <w:sz w:val="19"/>
                <w:szCs w:val="19"/>
                <w:color w:val="auto"/>
              </w:rPr>
            </w:pPr>
          </w:p>
        </w:tc>
        <w:tc>
          <w:tcPr>
            <w:tcW w:w="940" w:type="dxa"/>
            <w:vAlign w:val="bottom"/>
            <w:shd w:val="clear" w:color="auto" w:fill="276092"/>
          </w:tcPr>
          <w:p>
            <w:pPr>
              <w:jc w:val="right"/>
              <w:ind w:right="334"/>
              <w:spacing w:after="0"/>
              <w:rPr>
                <w:sz w:val="20"/>
                <w:szCs w:val="20"/>
                <w:color w:val="auto"/>
              </w:rPr>
            </w:pPr>
            <w:r>
              <w:rPr>
                <w:rFonts w:ascii="Arial" w:cs="Arial" w:eastAsia="Arial" w:hAnsi="Arial"/>
                <w:sz w:val="14"/>
                <w:szCs w:val="14"/>
                <w:b w:val="1"/>
                <w:bCs w:val="1"/>
                <w:color w:val="FFFFFF"/>
              </w:rPr>
              <w:t>2017</w:t>
            </w:r>
          </w:p>
        </w:tc>
      </w:tr>
      <w:tr>
        <w:trPr>
          <w:trHeight w:val="239"/>
        </w:trPr>
        <w:tc>
          <w:tcPr>
            <w:tcW w:w="7140" w:type="dxa"/>
            <w:vAlign w:val="bottom"/>
          </w:tcPr>
          <w:p>
            <w:pPr>
              <w:ind w:left="60"/>
              <w:spacing w:after="0"/>
              <w:rPr>
                <w:sz w:val="20"/>
                <w:szCs w:val="20"/>
                <w:color w:val="auto"/>
              </w:rPr>
            </w:pPr>
            <w:r>
              <w:rPr>
                <w:rFonts w:ascii="Arial" w:cs="Arial" w:eastAsia="Arial" w:hAnsi="Arial"/>
                <w:sz w:val="18"/>
                <w:szCs w:val="18"/>
                <w:b w:val="1"/>
                <w:bCs w:val="1"/>
                <w:color w:val="auto"/>
              </w:rPr>
              <w:t>Diluted EPS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11.47</w:t>
            </w:r>
          </w:p>
        </w:tc>
      </w:tr>
      <w:tr>
        <w:trPr>
          <w:trHeight w:val="234"/>
        </w:trPr>
        <w:tc>
          <w:tcPr>
            <w:tcW w:w="7140" w:type="dxa"/>
            <w:vAlign w:val="bottom"/>
          </w:tcPr>
          <w:p>
            <w:pPr>
              <w:ind w:left="60"/>
              <w:spacing w:after="0"/>
              <w:rPr>
                <w:sz w:val="20"/>
                <w:szCs w:val="20"/>
                <w:color w:val="auto"/>
              </w:rPr>
            </w:pPr>
            <w:r>
              <w:rPr>
                <w:rFonts w:ascii="Arial" w:cs="Arial" w:eastAsia="Arial" w:hAnsi="Arial"/>
                <w:sz w:val="18"/>
                <w:szCs w:val="18"/>
                <w:color w:val="auto"/>
              </w:rPr>
              <w:t>Tax expense related to the 2017 Tax Act</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1.71</w:t>
            </w:r>
          </w:p>
        </w:tc>
      </w:tr>
      <w:tr>
        <w:trPr>
          <w:trHeight w:val="243"/>
        </w:trPr>
        <w:tc>
          <w:tcPr>
            <w:tcW w:w="7140" w:type="dxa"/>
            <w:vAlign w:val="bottom"/>
          </w:tcPr>
          <w:p>
            <w:pPr>
              <w:ind w:left="60"/>
              <w:spacing w:after="0"/>
              <w:rPr>
                <w:sz w:val="20"/>
                <w:szCs w:val="20"/>
                <w:color w:val="auto"/>
              </w:rPr>
            </w:pPr>
            <w:r>
              <w:rPr>
                <w:rFonts w:ascii="Arial" w:cs="Arial" w:eastAsia="Arial" w:hAnsi="Arial"/>
                <w:sz w:val="18"/>
                <w:szCs w:val="18"/>
                <w:color w:val="auto"/>
              </w:rPr>
              <w:t>Tax expense related to discretionary pension contribution</w:t>
            </w:r>
            <w:r>
              <w:rPr>
                <w:rFonts w:ascii="Arial" w:cs="Arial" w:eastAsia="Arial" w:hAnsi="Arial"/>
                <w:sz w:val="15"/>
                <w:szCs w:val="15"/>
                <w:color w:val="auto"/>
              </w:rPr>
              <w:t>1</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0.05</w:t>
            </w:r>
          </w:p>
        </w:tc>
      </w:tr>
      <w:tr>
        <w:trPr>
          <w:trHeight w:val="243"/>
        </w:trPr>
        <w:tc>
          <w:tcPr>
            <w:tcW w:w="7140" w:type="dxa"/>
            <w:vAlign w:val="bottom"/>
          </w:tcPr>
          <w:p>
            <w:pPr>
              <w:ind w:left="60"/>
              <w:spacing w:after="0"/>
              <w:rPr>
                <w:sz w:val="20"/>
                <w:szCs w:val="20"/>
                <w:color w:val="auto"/>
              </w:rPr>
            </w:pPr>
            <w:r>
              <w:rPr>
                <w:rFonts w:ascii="Arial" w:cs="Arial" w:eastAsia="Arial" w:hAnsi="Arial"/>
                <w:sz w:val="18"/>
                <w:szCs w:val="18"/>
                <w:color w:val="auto"/>
              </w:rPr>
              <w:t>Operating income reduction related to discretionary pension contribution, net of tax</w:t>
            </w:r>
            <w:r>
              <w:rPr>
                <w:rFonts w:ascii="Arial" w:cs="Arial" w:eastAsia="Arial" w:hAnsi="Arial"/>
                <w:sz w:val="15"/>
                <w:szCs w:val="15"/>
                <w:color w:val="auto"/>
              </w:rPr>
              <w:t>2</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0.05</w:t>
            </w:r>
          </w:p>
        </w:tc>
      </w:tr>
      <w:tr>
        <w:trPr>
          <w:trHeight w:val="27"/>
        </w:trPr>
        <w:tc>
          <w:tcPr>
            <w:tcW w:w="7140" w:type="dxa"/>
            <w:vAlign w:val="bottom"/>
            <w:tcBorders>
              <w:bottom w:val="single" w:sz="8" w:color="276092"/>
            </w:tcBorders>
          </w:tcPr>
          <w:p>
            <w:pPr>
              <w:spacing w:after="0"/>
              <w:rPr>
                <w:sz w:val="2"/>
                <w:szCs w:val="2"/>
                <w:color w:val="auto"/>
              </w:rPr>
            </w:pPr>
          </w:p>
        </w:tc>
        <w:tc>
          <w:tcPr>
            <w:tcW w:w="320" w:type="dxa"/>
            <w:vAlign w:val="bottom"/>
            <w:tcBorders>
              <w:bottom w:val="single" w:sz="8" w:color="276092"/>
            </w:tcBorders>
          </w:tcPr>
          <w:p>
            <w:pPr>
              <w:spacing w:after="0"/>
              <w:rPr>
                <w:sz w:val="2"/>
                <w:szCs w:val="2"/>
                <w:color w:val="auto"/>
              </w:rPr>
            </w:pPr>
          </w:p>
        </w:tc>
        <w:tc>
          <w:tcPr>
            <w:tcW w:w="900" w:type="dxa"/>
            <w:vAlign w:val="bottom"/>
            <w:tcBorders>
              <w:bottom w:val="single" w:sz="8" w:color="276092"/>
            </w:tcBorders>
          </w:tcPr>
          <w:p>
            <w:pPr>
              <w:spacing w:after="0"/>
              <w:rPr>
                <w:sz w:val="2"/>
                <w:szCs w:val="2"/>
                <w:color w:val="auto"/>
              </w:rPr>
            </w:pPr>
          </w:p>
        </w:tc>
        <w:tc>
          <w:tcPr>
            <w:tcW w:w="280" w:type="dxa"/>
            <w:vAlign w:val="bottom"/>
            <w:tcBorders>
              <w:bottom w:val="single" w:sz="8" w:color="276092"/>
            </w:tcBorders>
          </w:tcPr>
          <w:p>
            <w:pPr>
              <w:spacing w:after="0"/>
              <w:rPr>
                <w:sz w:val="2"/>
                <w:szCs w:val="2"/>
                <w:color w:val="auto"/>
              </w:rPr>
            </w:pPr>
          </w:p>
        </w:tc>
        <w:tc>
          <w:tcPr>
            <w:tcW w:w="1060" w:type="dxa"/>
            <w:vAlign w:val="bottom"/>
            <w:tcBorders>
              <w:bottom w:val="single" w:sz="8" w:color="276092"/>
            </w:tcBorders>
          </w:tcPr>
          <w:p>
            <w:pPr>
              <w:spacing w:after="0"/>
              <w:rPr>
                <w:sz w:val="2"/>
                <w:szCs w:val="2"/>
                <w:color w:val="auto"/>
              </w:rPr>
            </w:pPr>
          </w:p>
        </w:tc>
        <w:tc>
          <w:tcPr>
            <w:tcW w:w="380" w:type="dxa"/>
            <w:vAlign w:val="bottom"/>
            <w:tcBorders>
              <w:bottom w:val="single" w:sz="8" w:color="276092"/>
            </w:tcBorders>
          </w:tcPr>
          <w:p>
            <w:pPr>
              <w:spacing w:after="0"/>
              <w:rPr>
                <w:sz w:val="2"/>
                <w:szCs w:val="2"/>
                <w:color w:val="auto"/>
              </w:rPr>
            </w:pPr>
          </w:p>
        </w:tc>
        <w:tc>
          <w:tcPr>
            <w:tcW w:w="940" w:type="dxa"/>
            <w:vAlign w:val="bottom"/>
            <w:tcBorders>
              <w:bottom w:val="single" w:sz="8" w:color="276092"/>
            </w:tcBorders>
          </w:tcPr>
          <w:p>
            <w:pPr>
              <w:spacing w:after="0"/>
              <w:rPr>
                <w:sz w:val="2"/>
                <w:szCs w:val="2"/>
                <w:color w:val="auto"/>
              </w:rPr>
            </w:pPr>
          </w:p>
        </w:tc>
      </w:tr>
      <w:tr>
        <w:trPr>
          <w:trHeight w:val="223"/>
        </w:trPr>
        <w:tc>
          <w:tcPr>
            <w:tcW w:w="7140" w:type="dxa"/>
            <w:vAlign w:val="bottom"/>
          </w:tcPr>
          <w:p>
            <w:pPr>
              <w:ind w:left="60"/>
              <w:spacing w:after="0"/>
              <w:rPr>
                <w:sz w:val="20"/>
                <w:szCs w:val="20"/>
                <w:color w:val="auto"/>
              </w:rPr>
            </w:pPr>
            <w:r>
              <w:rPr>
                <w:rFonts w:ascii="Arial" w:cs="Arial" w:eastAsia="Arial" w:hAnsi="Arial"/>
                <w:sz w:val="18"/>
                <w:szCs w:val="18"/>
                <w:color w:val="auto"/>
              </w:rPr>
              <w:t>Impact on diluted EPS of 2017 tax reform and related discretionary pension contribution</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1.81</w:t>
            </w:r>
          </w:p>
        </w:tc>
      </w:tr>
      <w:tr>
        <w:trPr>
          <w:trHeight w:val="27"/>
        </w:trPr>
        <w:tc>
          <w:tcPr>
            <w:tcW w:w="8360" w:type="dxa"/>
            <w:vAlign w:val="bottom"/>
            <w:tcBorders>
              <w:bottom w:val="single" w:sz="8" w:color="276092"/>
            </w:tcBorders>
            <w:gridSpan w:val="3"/>
          </w:tcPr>
          <w:p>
            <w:pPr>
              <w:spacing w:after="0"/>
              <w:rPr>
                <w:sz w:val="2"/>
                <w:szCs w:val="2"/>
                <w:color w:val="auto"/>
              </w:rPr>
            </w:pPr>
          </w:p>
        </w:tc>
        <w:tc>
          <w:tcPr>
            <w:tcW w:w="280" w:type="dxa"/>
            <w:vAlign w:val="bottom"/>
            <w:tcBorders>
              <w:bottom w:val="single" w:sz="8" w:color="276092"/>
            </w:tcBorders>
          </w:tcPr>
          <w:p>
            <w:pPr>
              <w:spacing w:after="0"/>
              <w:rPr>
                <w:sz w:val="2"/>
                <w:szCs w:val="2"/>
                <w:color w:val="auto"/>
              </w:rPr>
            </w:pPr>
          </w:p>
        </w:tc>
        <w:tc>
          <w:tcPr>
            <w:tcW w:w="1060" w:type="dxa"/>
            <w:vAlign w:val="bottom"/>
            <w:tcBorders>
              <w:bottom w:val="single" w:sz="8" w:color="276092"/>
            </w:tcBorders>
          </w:tcPr>
          <w:p>
            <w:pPr>
              <w:spacing w:after="0"/>
              <w:rPr>
                <w:sz w:val="2"/>
                <w:szCs w:val="2"/>
                <w:color w:val="auto"/>
              </w:rPr>
            </w:pPr>
          </w:p>
        </w:tc>
        <w:tc>
          <w:tcPr>
            <w:tcW w:w="380" w:type="dxa"/>
            <w:vAlign w:val="bottom"/>
            <w:tcBorders>
              <w:bottom w:val="single" w:sz="8" w:color="276092"/>
            </w:tcBorders>
          </w:tcPr>
          <w:p>
            <w:pPr>
              <w:spacing w:after="0"/>
              <w:rPr>
                <w:sz w:val="2"/>
                <w:szCs w:val="2"/>
                <w:color w:val="auto"/>
              </w:rPr>
            </w:pPr>
          </w:p>
        </w:tc>
        <w:tc>
          <w:tcPr>
            <w:tcW w:w="940" w:type="dxa"/>
            <w:vAlign w:val="bottom"/>
            <w:tcBorders>
              <w:bottom w:val="single" w:sz="8" w:color="276092"/>
            </w:tcBorders>
          </w:tcPr>
          <w:p>
            <w:pPr>
              <w:spacing w:after="0"/>
              <w:rPr>
                <w:sz w:val="2"/>
                <w:szCs w:val="2"/>
                <w:color w:val="auto"/>
              </w:rPr>
            </w:pPr>
          </w:p>
        </w:tc>
      </w:tr>
      <w:tr>
        <w:trPr>
          <w:trHeight w:val="232"/>
        </w:trPr>
        <w:tc>
          <w:tcPr>
            <w:tcW w:w="8360" w:type="dxa"/>
            <w:vAlign w:val="bottom"/>
            <w:gridSpan w:val="3"/>
          </w:tcPr>
          <w:p>
            <w:pPr>
              <w:ind w:left="60"/>
              <w:spacing w:after="0"/>
              <w:rPr>
                <w:sz w:val="20"/>
                <w:szCs w:val="20"/>
                <w:color w:val="auto"/>
              </w:rPr>
            </w:pPr>
            <w:r>
              <w:rPr>
                <w:rFonts w:ascii="Arial" w:cs="Arial" w:eastAsia="Arial" w:hAnsi="Arial"/>
                <w:sz w:val="18"/>
                <w:szCs w:val="18"/>
                <w:b w:val="1"/>
                <w:bCs w:val="1"/>
                <w:color w:val="auto"/>
              </w:rPr>
              <w:t>Diluted EPS excluding 2017 tax reform and related discretionary pension contribution impacts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b w:val="1"/>
                <w:bCs w:val="1"/>
                <w:color w:val="auto"/>
              </w:rPr>
              <w:t>13.28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-2492375</wp:posOffset>
            </wp:positionV>
            <wp:extent cx="24523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5237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11430</wp:posOffset>
            </wp:positionV>
            <wp:extent cx="6997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-1094105</wp:posOffset>
            </wp:positionV>
            <wp:extent cx="102044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3" w:lineRule="exact"/>
        <w:rPr>
          <w:sz w:val="20"/>
          <w:szCs w:val="20"/>
          <w:color w:val="auto"/>
        </w:rPr>
      </w:pPr>
    </w:p>
    <w:p>
      <w:pPr>
        <w:ind w:left="200" w:right="260" w:firstLine="4"/>
        <w:spacing w:after="0" w:line="182" w:lineRule="auto"/>
        <w:tabs>
          <w:tab w:leader="none" w:pos="315" w:val="left"/>
        </w:tabs>
        <w:numPr>
          <w:ilvl w:val="0"/>
          <w:numId w:val="125"/>
        </w:numPr>
        <w:rPr>
          <w:rFonts w:ascii="Arial" w:cs="Arial" w:eastAsia="Arial" w:hAnsi="Arial"/>
          <w:sz w:val="28"/>
          <w:szCs w:val="28"/>
          <w:color w:val="auto"/>
          <w:vertAlign w:val="superscript"/>
        </w:rPr>
      </w:pPr>
      <w:r>
        <w:rPr>
          <w:rFonts w:ascii="Arial" w:cs="Arial" w:eastAsia="Arial" w:hAnsi="Arial"/>
          <w:sz w:val="16"/>
          <w:szCs w:val="16"/>
          <w:color w:val="auto"/>
        </w:rPr>
        <w:t>Reflects $8 million of additional income tax recorded due to lower manufacturing deductions available as a result of the $500 million voluntary pre-tax pension contribution.</w:t>
      </w:r>
    </w:p>
    <w:p>
      <w:pPr>
        <w:spacing w:after="0" w:line="102" w:lineRule="exact"/>
        <w:rPr>
          <w:sz w:val="20"/>
          <w:szCs w:val="20"/>
          <w:color w:val="auto"/>
        </w:rPr>
      </w:pPr>
    </w:p>
    <w:p>
      <w:pPr>
        <w:jc w:val="both"/>
        <w:ind w:left="200" w:right="120" w:firstLine="4"/>
        <w:spacing w:after="0" w:line="182" w:lineRule="auto"/>
        <w:tabs>
          <w:tab w:leader="none" w:pos="322" w:val="left"/>
        </w:tabs>
        <w:numPr>
          <w:ilvl w:val="0"/>
          <w:numId w:val="126"/>
        </w:numPr>
        <w:rPr>
          <w:rFonts w:ascii="Arial" w:cs="Arial" w:eastAsia="Arial" w:hAnsi="Arial"/>
          <w:sz w:val="28"/>
          <w:szCs w:val="28"/>
          <w:color w:val="auto"/>
          <w:vertAlign w:val="superscript"/>
        </w:rPr>
      </w:pPr>
      <w:r>
        <w:rPr>
          <w:rFonts w:ascii="Arial" w:cs="Arial" w:eastAsia="Arial" w:hAnsi="Arial"/>
          <w:sz w:val="16"/>
          <w:szCs w:val="16"/>
          <w:color w:val="auto"/>
        </w:rPr>
        <w:t>Reflects $9 million of lower operating income (net of tax) as follows; $18 million reduction in corporate operating income due to lower state deferred tax assets, partially offset by approximately $4.5 million of higher sector operating income as a result of lower state tax cost, each tax effected at 35 percent.</w:t>
      </w:r>
    </w:p>
    <w:p>
      <w:pPr>
        <w:spacing w:after="0" w:line="138" w:lineRule="exact"/>
        <w:rPr>
          <w:sz w:val="20"/>
          <w:szCs w:val="20"/>
          <w:color w:val="auto"/>
        </w:rPr>
      </w:pPr>
    </w:p>
    <w:p>
      <w:pPr>
        <w:ind w:left="5100"/>
        <w:spacing w:after="0"/>
        <w:rPr>
          <w:sz w:val="20"/>
          <w:szCs w:val="20"/>
          <w:color w:val="auto"/>
        </w:rPr>
      </w:pPr>
      <w:r>
        <w:rPr>
          <w:rFonts w:ascii="Arial" w:cs="Arial" w:eastAsia="Arial" w:hAnsi="Arial"/>
          <w:sz w:val="14"/>
          <w:szCs w:val="14"/>
          <w:color w:val="276092"/>
        </w:rPr>
        <w:t xml:space="preserve">NOTICE OF 2018 ANNUAL MEETING OF SHAREHOLDERS AND PROXY STATEMENT </w:t>
      </w:r>
      <w:r>
        <w:rPr>
          <w:rFonts w:ascii="Arial" w:cs="Arial" w:eastAsia="Arial" w:hAnsi="Arial"/>
          <w:sz w:val="19"/>
          <w:szCs w:val="19"/>
          <w:color w:val="000000"/>
        </w:rPr>
        <w:t>|</w:t>
      </w:r>
      <w:r>
        <w:rPr>
          <w:rFonts w:ascii="Arial" w:cs="Arial" w:eastAsia="Arial" w:hAnsi="Arial"/>
          <w:sz w:val="14"/>
          <w:szCs w:val="14"/>
          <w:color w:val="276092"/>
        </w:rPr>
        <w:t xml:space="preserve"> </w:t>
      </w:r>
      <w:r>
        <w:rPr>
          <w:rFonts w:ascii="Arial" w:cs="Arial" w:eastAsia="Arial" w:hAnsi="Arial"/>
          <w:sz w:val="18"/>
          <w:szCs w:val="18"/>
          <w:color w:val="000000"/>
        </w:rPr>
        <w:t>A-3</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40474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88585" cy="40474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4722495</wp:posOffset>
            </wp:positionV>
            <wp:extent cx="1766570" cy="7372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66570" cy="73723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7655560</wp:posOffset>
            </wp:positionV>
            <wp:extent cx="1809750" cy="4972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09750" cy="49720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763270</wp:posOffset>
            </wp:positionV>
            <wp:extent cx="2838450"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38450"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205740</wp:posOffset>
            </wp:positionV>
            <wp:extent cx="2504440" cy="4718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044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IMPORTANT ANNUAL MEETING INFORMATION</w:t>
      </w:r>
    </w:p>
    <w:p>
      <w:pPr>
        <w:spacing w:after="0" w:line="208"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Electronic Voting Instructions</w:t>
      </w:r>
    </w:p>
    <w:p>
      <w:pPr>
        <w:spacing w:after="0" w:line="42"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Instead of mailing your proxy, you may choose one of the voting methods outlined below to vote</w:t>
      </w:r>
    </w:p>
    <w:p>
      <w:pPr>
        <w:spacing w:after="0" w:line="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your proxy.</w:t>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VALIDATION DETAILS ARE LOCATED BELOW IN THE TITLE BAR.</w:t>
      </w:r>
    </w:p>
    <w:p>
      <w:pPr>
        <w:spacing w:after="0" w:line="38" w:lineRule="exact"/>
        <w:rPr>
          <w:sz w:val="20"/>
          <w:szCs w:val="20"/>
          <w:color w:val="auto"/>
        </w:rPr>
      </w:pPr>
    </w:p>
    <w:p>
      <w:pPr>
        <w:ind w:left="5820"/>
        <w:spacing w:after="0"/>
        <w:rPr>
          <w:sz w:val="20"/>
          <w:szCs w:val="20"/>
          <w:color w:val="auto"/>
        </w:rPr>
      </w:pPr>
      <w:r>
        <w:rPr>
          <w:rFonts w:ascii="Arial" w:cs="Arial" w:eastAsia="Arial" w:hAnsi="Arial"/>
          <w:sz w:val="13"/>
          <w:szCs w:val="13"/>
          <w:b w:val="1"/>
          <w:bCs w:val="1"/>
          <w:color w:val="auto"/>
        </w:rPr>
        <w:t>Proxies submitted by the Internet or telephone must be received by 1:00 AM, Eastern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Time, on May 16, 2018.</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4"/>
          <w:szCs w:val="14"/>
          <w:b w:val="1"/>
          <w:bCs w:val="1"/>
          <w:color w:val="auto"/>
        </w:rPr>
        <w:t>Vote by Internet</w:t>
      </w:r>
    </w:p>
    <w:p>
      <w:pPr>
        <w:ind w:left="6700"/>
        <w:spacing w:after="0"/>
        <w:tabs>
          <w:tab w:leader="none" w:pos="68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 xml:space="preserve">Go to </w:t>
      </w:r>
      <w:r>
        <w:rPr>
          <w:rFonts w:ascii="Arial" w:cs="Arial" w:eastAsia="Arial" w:hAnsi="Arial"/>
          <w:sz w:val="12"/>
          <w:szCs w:val="12"/>
          <w:b w:val="1"/>
          <w:bCs w:val="1"/>
          <w:color w:val="auto"/>
        </w:rPr>
        <w:t>www.envisionreports.com/noc</w:t>
      </w:r>
    </w:p>
    <w:p>
      <w:pPr>
        <w:ind w:left="6700"/>
        <w:spacing w:after="0"/>
        <w:tabs>
          <w:tab w:leader="none" w:pos="68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Or scan the QR code with your smartphone</w:t>
      </w:r>
    </w:p>
    <w:p>
      <w:pPr>
        <w:ind w:left="6700"/>
        <w:spacing w:after="0"/>
        <w:tabs>
          <w:tab w:leader="none" w:pos="68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Follow the steps outlined on the secure website</w:t>
      </w:r>
    </w:p>
    <w:p>
      <w:pPr>
        <w:spacing w:after="0" w:line="80"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Vote by telephone</w:t>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  Call toll free 1-800-652-VOTE (8683) within the USA, US territories &amp; Canada on a touch</w:t>
      </w:r>
    </w:p>
    <w:p>
      <w:pPr>
        <w:ind w:left="6000"/>
        <w:spacing w:after="0" w:line="221" w:lineRule="auto"/>
        <w:rPr>
          <w:sz w:val="20"/>
          <w:szCs w:val="20"/>
          <w:color w:val="auto"/>
        </w:rPr>
      </w:pPr>
      <w:r>
        <w:rPr>
          <w:rFonts w:ascii="Arial" w:cs="Arial" w:eastAsia="Arial" w:hAnsi="Arial"/>
          <w:sz w:val="14"/>
          <w:szCs w:val="14"/>
          <w:color w:val="auto"/>
        </w:rPr>
        <w:t>tone telephone</w:t>
      </w:r>
    </w:p>
    <w:p>
      <w:pPr>
        <w:ind w:left="5820"/>
        <w:spacing w:after="0"/>
        <w:rPr>
          <w:sz w:val="20"/>
          <w:szCs w:val="20"/>
          <w:color w:val="auto"/>
        </w:rPr>
      </w:pPr>
      <w:r>
        <w:rPr>
          <w:rFonts w:ascii="Arial" w:cs="Arial" w:eastAsia="Arial" w:hAnsi="Arial"/>
          <w:sz w:val="14"/>
          <w:szCs w:val="14"/>
          <w:color w:val="auto"/>
        </w:rPr>
        <w:t>•  Follow the instructions provided by the recorded message</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320"/>
        </w:trPr>
        <w:tc>
          <w:tcPr>
            <w:tcW w:w="5060" w:type="dxa"/>
            <w:vAlign w:val="bottom"/>
            <w:gridSpan w:val="3"/>
          </w:tcPr>
          <w:p>
            <w:pPr>
              <w:spacing w:after="0"/>
              <w:rPr>
                <w:sz w:val="20"/>
                <w:szCs w:val="20"/>
                <w:color w:val="auto"/>
              </w:rPr>
            </w:pPr>
            <w:r>
              <w:rPr>
                <w:rFonts w:ascii="Arial" w:cs="Arial" w:eastAsia="Arial" w:hAnsi="Arial"/>
                <w:sz w:val="14"/>
                <w:szCs w:val="14"/>
                <w:color w:val="auto"/>
                <w:w w:val="93"/>
              </w:rPr>
              <w:t xml:space="preserve">Using a </w:t>
            </w:r>
            <w:r>
              <w:rPr>
                <w:rFonts w:ascii="Arial" w:cs="Arial" w:eastAsia="Arial" w:hAnsi="Arial"/>
                <w:sz w:val="14"/>
                <w:szCs w:val="14"/>
                <w:b w:val="1"/>
                <w:bCs w:val="1"/>
                <w:color w:val="auto"/>
                <w:w w:val="93"/>
              </w:rPr>
              <w:t>black ink</w:t>
            </w:r>
            <w:r>
              <w:rPr>
                <w:rFonts w:ascii="Arial" w:cs="Arial" w:eastAsia="Arial" w:hAnsi="Arial"/>
                <w:sz w:val="14"/>
                <w:szCs w:val="14"/>
                <w:color w:val="auto"/>
                <w:w w:val="93"/>
              </w:rPr>
              <w:t xml:space="preserve"> pen, mark your votes with an </w:t>
            </w:r>
            <w:r>
              <w:rPr>
                <w:rFonts w:ascii="Arial" w:cs="Arial" w:eastAsia="Arial" w:hAnsi="Arial"/>
                <w:sz w:val="14"/>
                <w:szCs w:val="14"/>
                <w:b w:val="1"/>
                <w:bCs w:val="1"/>
                <w:color w:val="auto"/>
                <w:w w:val="93"/>
              </w:rPr>
              <w:t>X</w:t>
            </w:r>
            <w:r>
              <w:rPr>
                <w:rFonts w:ascii="Arial" w:cs="Arial" w:eastAsia="Arial" w:hAnsi="Arial"/>
                <w:sz w:val="14"/>
                <w:szCs w:val="14"/>
                <w:color w:val="auto"/>
                <w:w w:val="93"/>
              </w:rPr>
              <w:t xml:space="preserve"> as shown in this example. Please do</w:t>
            </w:r>
          </w:p>
        </w:tc>
        <w:tc>
          <w:tcPr>
            <w:tcW w:w="360" w:type="dxa"/>
            <w:vAlign w:val="bottom"/>
          </w:tcPr>
          <w:p>
            <w:pPr>
              <w:ind w:left="8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4"/>
                <w:szCs w:val="14"/>
                <w:color w:val="auto"/>
                <w:w w:val="86"/>
              </w:rPr>
              <w:t>not write</w:t>
            </w:r>
          </w:p>
        </w:tc>
        <w:tc>
          <w:tcPr>
            <w:tcW w:w="5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vMerge w:val="continue"/>
          </w:tcPr>
          <w:p>
            <w:pPr>
              <w:spacing w:after="0"/>
              <w:rPr>
                <w:sz w:val="15"/>
                <w:szCs w:val="15"/>
                <w:color w:val="auto"/>
              </w:rPr>
            </w:pPr>
          </w:p>
        </w:tc>
        <w:tc>
          <w:tcPr>
            <w:tcW w:w="4580" w:type="dxa"/>
            <w:vAlign w:val="bottom"/>
            <w:gridSpan w:val="2"/>
          </w:tcPr>
          <w:p>
            <w:pPr>
              <w:ind w:left="60"/>
              <w:spacing w:after="0"/>
              <w:rPr>
                <w:sz w:val="20"/>
                <w:szCs w:val="20"/>
                <w:color w:val="auto"/>
              </w:rPr>
            </w:pPr>
            <w:r>
              <w:rPr>
                <w:rFonts w:ascii="Arial" w:cs="Arial" w:eastAsia="Arial" w:hAnsi="Arial"/>
                <w:sz w:val="14"/>
                <w:szCs w:val="14"/>
                <w:color w:val="auto"/>
              </w:rPr>
              <w:t>outside the designated areas.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089015" cy="3429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0890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line="259" w:lineRule="auto"/>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OR</w:t>
      </w:r>
      <w:r>
        <w:rPr>
          <w:rFonts w:ascii="Arial" w:cs="Arial" w:eastAsia="Arial" w:hAnsi="Arial"/>
          <w:sz w:val="14"/>
          <w:szCs w:val="14"/>
          <w:color w:val="auto"/>
        </w:rPr>
        <w:t xml:space="preserve"> </w:t>
      </w:r>
      <w:r>
        <w:rPr>
          <w:rFonts w:ascii="Arial" w:cs="Arial" w:eastAsia="Arial" w:hAnsi="Arial"/>
          <w:sz w:val="14"/>
          <w:szCs w:val="14"/>
          <w:b w:val="1"/>
          <w:bCs w:val="1"/>
          <w:color w:val="auto"/>
        </w:rPr>
        <w:t>TELEPHONE, FOLD ALONG THE PERFORATION, DETACH AND RETURN THE BOTTOM PORTION IN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ENCLOSED ENVELOPE. </w:t>
      </w:r>
      <w:r>
        <w:rPr>
          <w:rFonts w:ascii="Arial" w:cs="Arial" w:eastAsia="Arial" w:hAnsi="Arial"/>
          <w:sz w:val="14"/>
          <w:szCs w:val="14"/>
          <w:color w:val="auto"/>
        </w:rPr>
        <w:t>q</w:t>
      </w:r>
    </w:p>
    <w:p>
      <w:pPr>
        <w:spacing w:after="0" w:line="98" w:lineRule="exact"/>
        <w:rPr>
          <w:sz w:val="20"/>
          <w:szCs w:val="20"/>
          <w:color w:val="auto"/>
        </w:rPr>
      </w:pPr>
    </w:p>
    <w:p>
      <w:pPr>
        <w:ind w:left="1100" w:right="3860" w:hanging="1064"/>
        <w:spacing w:after="0" w:line="195" w:lineRule="auto"/>
        <w:tabs>
          <w:tab w:leader="none" w:pos="273" w:val="left"/>
        </w:tabs>
        <w:numPr>
          <w:ilvl w:val="0"/>
          <w:numId w:val="127"/>
        </w:numPr>
        <w:rPr>
          <w:rFonts w:ascii="Arial" w:cs="Arial" w:eastAsia="Arial" w:hAnsi="Arial"/>
          <w:sz w:val="29"/>
          <w:szCs w:val="29"/>
          <w:b w:val="1"/>
          <w:bCs w:val="1"/>
          <w:color w:val="FFFFFF"/>
          <w:vertAlign w:val="superscript"/>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2,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3 and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0287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1"/>
        </w:trPr>
        <w:tc>
          <w:tcPr>
            <w:tcW w:w="2000" w:type="dxa"/>
            <w:vAlign w:val="bottom"/>
            <w:gridSpan w:val="2"/>
            <w:vMerge w:val="restart"/>
          </w:tcPr>
          <w:p>
            <w:pPr>
              <w:spacing w:after="0"/>
              <w:rPr>
                <w:sz w:val="20"/>
                <w:szCs w:val="20"/>
                <w:color w:val="auto"/>
              </w:rPr>
            </w:pPr>
            <w:r>
              <w:rPr>
                <w:rFonts w:ascii="Arial" w:cs="Arial" w:eastAsia="Arial" w:hAnsi="Arial"/>
                <w:sz w:val="14"/>
                <w:szCs w:val="14"/>
                <w:color w:val="auto"/>
              </w:rPr>
              <w:t>1.  Election of Directors:</w:t>
            </w:r>
          </w:p>
        </w:tc>
        <w:tc>
          <w:tcPr>
            <w:tcW w:w="1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For  Against  Abstain</w:t>
            </w:r>
          </w:p>
        </w:tc>
        <w:tc>
          <w:tcPr>
            <w:tcW w:w="400" w:type="dxa"/>
            <w:vAlign w:val="bottom"/>
          </w:tcPr>
          <w:p>
            <w:pPr>
              <w:jc w:val="right"/>
              <w:spacing w:after="0" w:line="431" w:lineRule="exact"/>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2"/>
        </w:trPr>
        <w:tc>
          <w:tcPr>
            <w:tcW w:w="2000" w:type="dxa"/>
            <w:vAlign w:val="bottom"/>
            <w:gridSpan w:val="2"/>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620" w:type="dxa"/>
            <w:vAlign w:val="bottom"/>
          </w:tcPr>
          <w:p>
            <w:pPr>
              <w:ind w:left="20"/>
              <w:spacing w:after="0"/>
              <w:rPr>
                <w:sz w:val="20"/>
                <w:szCs w:val="20"/>
                <w:color w:val="auto"/>
              </w:rPr>
            </w:pPr>
            <w:r>
              <w:rPr>
                <w:rFonts w:ascii="Arial" w:cs="Arial" w:eastAsia="Arial" w:hAnsi="Arial"/>
                <w:sz w:val="14"/>
                <w:szCs w:val="14"/>
                <w:color w:val="auto"/>
              </w:rPr>
              <w:t>- Wesley G. Bush</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06</w:t>
            </w:r>
          </w:p>
        </w:tc>
        <w:tc>
          <w:tcPr>
            <w:tcW w:w="1620" w:type="dxa"/>
            <w:vAlign w:val="bottom"/>
          </w:tcPr>
          <w:p>
            <w:pPr>
              <w:ind w:left="20"/>
              <w:spacing w:after="0"/>
              <w:rPr>
                <w:sz w:val="20"/>
                <w:szCs w:val="20"/>
                <w:color w:val="auto"/>
              </w:rPr>
            </w:pPr>
            <w:r>
              <w:rPr>
                <w:rFonts w:ascii="Arial" w:cs="Arial" w:eastAsia="Arial" w:hAnsi="Arial"/>
                <w:sz w:val="14"/>
                <w:szCs w:val="14"/>
                <w:color w:val="auto"/>
              </w:rPr>
              <w:t>- William H. Hernandez</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10</w:t>
            </w:r>
          </w:p>
        </w:tc>
        <w:tc>
          <w:tcPr>
            <w:tcW w:w="1580" w:type="dxa"/>
            <w:vAlign w:val="bottom"/>
          </w:tcPr>
          <w:p>
            <w:pPr>
              <w:spacing w:after="0"/>
              <w:rPr>
                <w:sz w:val="20"/>
                <w:szCs w:val="20"/>
                <w:color w:val="auto"/>
              </w:rPr>
            </w:pPr>
            <w:r>
              <w:rPr>
                <w:rFonts w:ascii="Arial" w:cs="Arial" w:eastAsia="Arial" w:hAnsi="Arial"/>
                <w:sz w:val="14"/>
                <w:szCs w:val="14"/>
                <w:color w:val="auto"/>
              </w:rPr>
              <w:t>- Thomas M. Schoewe</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1620" w:type="dxa"/>
            <w:vAlign w:val="bottom"/>
          </w:tcPr>
          <w:p>
            <w:pPr>
              <w:ind w:left="20"/>
              <w:spacing w:after="0"/>
              <w:rPr>
                <w:sz w:val="20"/>
                <w:szCs w:val="20"/>
                <w:color w:val="auto"/>
              </w:rPr>
            </w:pPr>
            <w:r>
              <w:rPr>
                <w:rFonts w:ascii="Arial" w:cs="Arial" w:eastAsia="Arial" w:hAnsi="Arial"/>
                <w:sz w:val="14"/>
                <w:szCs w:val="14"/>
                <w:color w:val="auto"/>
              </w:rPr>
              <w:t>- Marianne C. Brown</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07</w:t>
            </w:r>
          </w:p>
        </w:tc>
        <w:tc>
          <w:tcPr>
            <w:tcW w:w="16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11 - James S. Turley</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1620" w:type="dxa"/>
            <w:vAlign w:val="bottom"/>
          </w:tcPr>
          <w:p>
            <w:pPr>
              <w:ind w:left="20"/>
              <w:spacing w:after="0"/>
              <w:rPr>
                <w:sz w:val="20"/>
                <w:szCs w:val="20"/>
                <w:color w:val="auto"/>
              </w:rPr>
            </w:pPr>
            <w:r>
              <w:rPr>
                <w:rFonts w:ascii="Arial" w:cs="Arial" w:eastAsia="Arial" w:hAnsi="Arial"/>
                <w:sz w:val="14"/>
                <w:szCs w:val="14"/>
                <w:color w:val="auto"/>
              </w:rPr>
              <w:t>- Donald E. Felsinger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08</w:t>
            </w:r>
          </w:p>
        </w:tc>
        <w:tc>
          <w:tcPr>
            <w:tcW w:w="162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12</w:t>
            </w:r>
          </w:p>
        </w:tc>
        <w:tc>
          <w:tcPr>
            <w:tcW w:w="1580" w:type="dxa"/>
            <w:vAlign w:val="bottom"/>
          </w:tcPr>
          <w:p>
            <w:pPr>
              <w:spacing w:after="0"/>
              <w:rPr>
                <w:sz w:val="20"/>
                <w:szCs w:val="20"/>
                <w:color w:val="auto"/>
              </w:rPr>
            </w:pPr>
            <w:r>
              <w:rPr>
                <w:rFonts w:ascii="Arial" w:cs="Arial" w:eastAsia="Arial" w:hAnsi="Arial"/>
                <w:sz w:val="14"/>
                <w:szCs w:val="14"/>
                <w:color w:val="auto"/>
              </w:rPr>
              <w:t>- Mark A. Welsh III</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04</w:t>
            </w:r>
          </w:p>
        </w:tc>
        <w:tc>
          <w:tcPr>
            <w:tcW w:w="162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09</w:t>
            </w:r>
          </w:p>
        </w:tc>
        <w:tc>
          <w:tcPr>
            <w:tcW w:w="162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162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approve, on an advisory basis, the compensation of the Company’s Named Executive Officers.</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5"/>
        </w:trPr>
        <w:tc>
          <w:tcPr>
            <w:tcW w:w="18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ratify the appointment of Deloitte &amp; Touche LLP as the Company’s Independent Auditor for fiscal year ending December 31, 2018.</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8"/>
        </w:trPr>
        <w:tc>
          <w:tcPr>
            <w:tcW w:w="1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16"/>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modify the ownership threshold for shareholders to call a special meeting.</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 w:lineRule="exact"/>
        <w:rPr>
          <w:sz w:val="20"/>
          <w:szCs w:val="20"/>
          <w:color w:val="auto"/>
        </w:rPr>
      </w:pPr>
    </w:p>
    <w:p>
      <w:pPr>
        <w:ind w:left="280" w:hanging="236"/>
        <w:spacing w:after="0"/>
        <w:tabs>
          <w:tab w:leader="none" w:pos="280" w:val="left"/>
        </w:tabs>
        <w:numPr>
          <w:ilvl w:val="0"/>
          <w:numId w:val="128"/>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1760" cy="1117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6"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92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86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 box.</w:t>
            </w:r>
          </w:p>
        </w:tc>
        <w:tc>
          <w:tcPr>
            <w:tcW w:w="3660" w:type="dxa"/>
            <w:vAlign w:val="bottom"/>
          </w:tcPr>
          <w:p>
            <w:pPr>
              <w:spacing w:after="0"/>
              <w:rPr>
                <w:sz w:val="20"/>
                <w:szCs w:val="20"/>
                <w:color w:val="auto"/>
              </w:rPr>
            </w:pPr>
            <w:r>
              <w:rPr>
                <w:rFonts w:ascii="Arial" w:cs="Arial" w:eastAsia="Arial" w:hAnsi="Arial"/>
                <w:sz w:val="14"/>
                <w:szCs w:val="14"/>
                <w:color w:val="auto"/>
              </w:rPr>
              <w:t>Signature 2 — Please keep signature within the box.</w:t>
            </w:r>
          </w:p>
        </w:tc>
      </w:tr>
      <w:tr>
        <w:trPr>
          <w:trHeight w:val="588"/>
        </w:trPr>
        <w:tc>
          <w:tcPr>
            <w:tcW w:w="1260" w:type="dxa"/>
            <w:vAlign w:val="bottom"/>
            <w:tcBorders>
              <w:top w:val="single" w:sz="8" w:color="auto"/>
              <w:left w:val="single" w:sz="8" w:color="auto"/>
              <w:bottom w:val="single" w:sz="8" w:color="auto"/>
            </w:tcBorders>
          </w:tcPr>
          <w:p>
            <w:pPr>
              <w:jc w:val="right"/>
              <w:ind w:right="158"/>
              <w:spacing w:after="0"/>
              <w:rPr>
                <w:sz w:val="20"/>
                <w:szCs w:val="20"/>
                <w:color w:val="auto"/>
              </w:rPr>
            </w:pPr>
            <w:r>
              <w:rPr>
                <w:rFonts w:ascii="Arial" w:cs="Arial" w:eastAsia="Arial" w:hAnsi="Arial"/>
                <w:sz w:val="50"/>
                <w:szCs w:val="50"/>
                <w:color w:val="auto"/>
              </w:rPr>
              <w:t>/</w:t>
            </w:r>
          </w:p>
        </w:tc>
        <w:tc>
          <w:tcPr>
            <w:tcW w:w="2420" w:type="dxa"/>
            <w:vAlign w:val="bottom"/>
            <w:tcBorders>
              <w:top w:val="single" w:sz="8" w:color="auto"/>
              <w:bottom w:val="single" w:sz="8" w:color="auto"/>
              <w:right w:val="single" w:sz="8" w:color="auto"/>
            </w:tcBorders>
          </w:tcPr>
          <w:p>
            <w:pPr>
              <w:jc w:val="right"/>
              <w:ind w:right="1728"/>
              <w:spacing w:after="0"/>
              <w:rPr>
                <w:sz w:val="20"/>
                <w:szCs w:val="20"/>
                <w:color w:val="auto"/>
              </w:rPr>
            </w:pPr>
            <w:r>
              <w:rPr>
                <w:rFonts w:ascii="Arial" w:cs="Arial" w:eastAsia="Arial" w:hAnsi="Arial"/>
                <w:sz w:val="50"/>
                <w:szCs w:val="50"/>
                <w:color w:val="auto"/>
              </w:rPr>
              <w:t>/</w:t>
            </w:r>
          </w:p>
        </w:tc>
        <w:tc>
          <w:tcPr>
            <w:tcW w:w="24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63" w:lineRule="exact"/>
        <w:rPr>
          <w:sz w:val="20"/>
          <w:szCs w:val="20"/>
          <w:color w:val="auto"/>
        </w:rPr>
      </w:pPr>
    </w:p>
    <w:tbl>
      <w:tblPr>
        <w:tblLayout w:type="fixed"/>
        <w:tblInd w:w="1180" w:type="dxa"/>
        <w:tblCellMar>
          <w:top w:w="0" w:type="dxa"/>
          <w:left w:w="0" w:type="dxa"/>
          <w:bottom w:w="0" w:type="dxa"/>
          <w:right w:w="0" w:type="dxa"/>
        </w:tblCellMar>
      </w:tblPr>
      <w:tr>
        <w:trPr>
          <w:trHeight w:val="264"/>
        </w:trPr>
        <w:tc>
          <w:tcPr>
            <w:tcW w:w="7140" w:type="dxa"/>
            <w:vAlign w:val="bottom"/>
          </w:tcPr>
          <w:p>
            <w:pPr>
              <w:ind w:left="3760"/>
              <w:spacing w:after="0"/>
              <w:rPr>
                <w:sz w:val="20"/>
                <w:szCs w:val="20"/>
                <w:color w:val="auto"/>
              </w:rPr>
            </w:pPr>
            <w:r>
              <w:rPr>
                <w:rFonts w:ascii="Arial" w:cs="Arial" w:eastAsia="Arial" w:hAnsi="Arial"/>
                <w:sz w:val="18"/>
                <w:szCs w:val="18"/>
                <w:color w:val="auto"/>
              </w:rPr>
              <w:t>1 P C F</w:t>
            </w:r>
          </w:p>
        </w:tc>
        <w:tc>
          <w:tcPr>
            <w:tcW w:w="310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323"/>
        </w:trPr>
        <w:tc>
          <w:tcPr>
            <w:tcW w:w="7140" w:type="dxa"/>
            <w:vAlign w:val="bottom"/>
            <w:vMerge w:val="restart"/>
          </w:tcPr>
          <w:p>
            <w:pPr>
              <w:spacing w:after="0"/>
              <w:rPr>
                <w:sz w:val="20"/>
                <w:szCs w:val="20"/>
                <w:color w:val="auto"/>
              </w:rPr>
            </w:pPr>
            <w:r>
              <w:rPr>
                <w:rFonts w:ascii="Arial" w:cs="Arial" w:eastAsia="Arial" w:hAnsi="Arial"/>
                <w:sz w:val="14"/>
                <w:szCs w:val="14"/>
                <w:color w:val="auto"/>
              </w:rPr>
              <w:t>02SCNA</w:t>
            </w: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14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18034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IF YOU HAVE NOT VOTED VIA THE INTERNET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TELEPHONE, FOLD ALONG THE PERFORATION, DETACH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BOTTOM PORTION IN THE ENCLOSED ENVELOPE. </w:t>
      </w:r>
      <w:r>
        <w:rPr>
          <w:rFonts w:ascii="Arial" w:cs="Arial" w:eastAsia="Arial" w:hAnsi="Arial"/>
          <w:sz w:val="18"/>
          <w:szCs w:val="18"/>
          <w:color w:val="auto"/>
        </w:rPr>
        <w:t>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940" w:type="dxa"/>
            <w:vAlign w:val="bottom"/>
            <w:tcBorders>
              <w:bottom w:val="single" w:sz="8" w:color="auto"/>
            </w:tcBorders>
          </w:tcPr>
          <w:p>
            <w:pPr>
              <w:spacing w:after="0"/>
              <w:rPr>
                <w:sz w:val="23"/>
                <w:szCs w:val="23"/>
                <w:color w:val="auto"/>
              </w:rPr>
            </w:pPr>
          </w:p>
        </w:tc>
        <w:tc>
          <w:tcPr>
            <w:tcW w:w="48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230"/>
        </w:trPr>
        <w:tc>
          <w:tcPr>
            <w:tcW w:w="10940" w:type="dxa"/>
            <w:vAlign w:val="bottom"/>
            <w:vMerge w:val="restart"/>
          </w:tcPr>
          <w:p>
            <w:pPr>
              <w:spacing w:after="0"/>
              <w:rPr>
                <w:sz w:val="20"/>
                <w:szCs w:val="20"/>
                <w:color w:val="auto"/>
              </w:rPr>
            </w:pPr>
            <w:r>
              <w:rPr>
                <w:rFonts w:ascii="Arial" w:cs="Arial" w:eastAsia="Arial" w:hAnsi="Arial"/>
                <w:sz w:val="18"/>
                <w:szCs w:val="18"/>
                <w:b w:val="1"/>
                <w:bCs w:val="1"/>
                <w:color w:val="auto"/>
              </w:rPr>
              <w:t>Proxy — NORTHROP GRUMMAN CORPORATION</w:t>
            </w: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09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9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10940" w:type="dxa"/>
            <w:vAlign w:val="bottom"/>
          </w:tcPr>
          <w:p>
            <w:pPr>
              <w:jc w:val="center"/>
              <w:ind w:left="410"/>
              <w:spacing w:after="0"/>
              <w:rPr>
                <w:sz w:val="20"/>
                <w:szCs w:val="20"/>
                <w:color w:val="auto"/>
              </w:rPr>
            </w:pPr>
            <w:r>
              <w:rPr>
                <w:rFonts w:ascii="Arial" w:cs="Arial" w:eastAsia="Arial" w:hAnsi="Arial"/>
                <w:sz w:val="18"/>
                <w:szCs w:val="18"/>
                <w:b w:val="1"/>
                <w:bCs w:val="1"/>
                <w:color w:val="auto"/>
              </w:rPr>
              <w:t>ANNUAL MEETING OF SHAREHOLDERS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940" w:type="dxa"/>
            <w:vAlign w:val="bottom"/>
          </w:tcPr>
          <w:p>
            <w:pPr>
              <w:jc w:val="center"/>
              <w:ind w:left="390"/>
              <w:spacing w:after="0"/>
              <w:rPr>
                <w:sz w:val="20"/>
                <w:szCs w:val="20"/>
                <w:color w:val="auto"/>
              </w:rPr>
            </w:pPr>
            <w:r>
              <w:rPr>
                <w:rFonts w:ascii="Arial" w:cs="Arial" w:eastAsia="Arial" w:hAnsi="Arial"/>
                <w:sz w:val="18"/>
                <w:szCs w:val="18"/>
                <w:b w:val="1"/>
                <w:bCs w:val="1"/>
                <w:color w:val="auto"/>
                <w:w w:val="95"/>
              </w:rPr>
              <w:t>MAY 16, 2018, 8:00 A.M.</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94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Northrop Grumman Corporation Headquarters</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94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2980 Fairview Park Drive, Falls Church, Virginia 22042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940" w:type="dxa"/>
            <w:vAlign w:val="bottom"/>
          </w:tcPr>
          <w:p>
            <w:pPr>
              <w:spacing w:after="0"/>
              <w:rPr>
                <w:sz w:val="20"/>
                <w:szCs w:val="20"/>
                <w:color w:val="auto"/>
              </w:rPr>
            </w:pPr>
            <w:r>
              <w:rPr>
                <w:rFonts w:ascii="Arial" w:cs="Arial" w:eastAsia="Arial" w:hAnsi="Arial"/>
                <w:sz w:val="18"/>
                <w:szCs w:val="18"/>
                <w:b w:val="1"/>
                <w:bCs w:val="1"/>
                <w:color w:val="auto"/>
                <w:w w:val="99"/>
              </w:rPr>
              <w:t>This Proxy/Voting Instruction Card is Solicited on Behalf of The Board of Directors for the 2018 Annual Meeting of Shareholders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2018 Annual Meeting of Shareholders of the Company to be held on Wednesday, May 16, 2018, at 8:00 a.m. (Eastern Daylight Time) at the Northrop Grumman Corporation Headquarters, 2980 Fairview Park Drive, Falls Church, Virginia 22042,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PROXY WILL BE VOTED AS DIRECTED. IF NOT OTHERWISE DIRECTED, THIS PROXY WILL BE VOTED “FOR” THE NOMINEES LISTED UNDER PROPOSAL 1, “FOR” PROPOSAL 2, “FOR” PROPOSAL 3 AND “AGAINST” PROPOSAL 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PLEASE MARK, DATE AND SIGN THIS PROXY AND RETURN IT PROMPTLY, EVEN IF YOU PLAN TO ATTEND THE ANNUAL MEETING.</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shares are held on your behalf under any of the Company Savings Plans, the proxy serves to provide confidential instructions to the plan Trustee or Voting Manager who then votes the shares. Instructions must be received by 11:59 p.m. Eastern Time on May 13, 2018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on the other side)</w:t>
      </w:r>
    </w:p>
    <w:p>
      <w:pPr>
        <w:spacing w:after="0" w:line="127" w:lineRule="exact"/>
        <w:rPr>
          <w:sz w:val="20"/>
          <w:szCs w:val="20"/>
          <w:color w:val="auto"/>
        </w:rPr>
      </w:pPr>
    </w:p>
    <w:p>
      <w:pPr>
        <w:ind w:left="360" w:hanging="307"/>
        <w:spacing w:after="0"/>
        <w:tabs>
          <w:tab w:leader="none" w:pos="360" w:val="left"/>
        </w:tabs>
        <w:numPr>
          <w:ilvl w:val="0"/>
          <w:numId w:val="129"/>
        </w:numPr>
        <w:rPr>
          <w:rFonts w:ascii="Arial" w:cs="Arial" w:eastAsia="Arial" w:hAnsi="Arial"/>
          <w:sz w:val="18"/>
          <w:szCs w:val="18"/>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46050" cy="1371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605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Change of Address </w:t>
      </w:r>
      <w:r>
        <w:rPr>
          <w:rFonts w:ascii="Arial" w:cs="Arial" w:eastAsia="Arial" w:hAnsi="Arial"/>
          <w:sz w:val="18"/>
          <w:szCs w:val="18"/>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7263765" cy="3600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3765" cy="3600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160"/>
        <w:spacing w:after="0"/>
        <w:rPr>
          <w:sz w:val="20"/>
          <w:szCs w:val="20"/>
          <w:color w:val="auto"/>
        </w:rPr>
      </w:pPr>
      <w:r>
        <w:rPr>
          <w:rFonts w:ascii="Arial" w:cs="Arial" w:eastAsia="Arial" w:hAnsi="Arial"/>
          <w:sz w:val="44"/>
          <w:szCs w:val="4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180340" cy="1371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763270</wp:posOffset>
            </wp:positionV>
            <wp:extent cx="2838450"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38450" cy="15430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205740</wp:posOffset>
            </wp:positionV>
            <wp:extent cx="2504440" cy="4718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044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320"/>
        </w:trPr>
        <w:tc>
          <w:tcPr>
            <w:tcW w:w="5060" w:type="dxa"/>
            <w:vAlign w:val="bottom"/>
            <w:gridSpan w:val="3"/>
          </w:tcPr>
          <w:p>
            <w:pPr>
              <w:spacing w:after="0"/>
              <w:rPr>
                <w:sz w:val="20"/>
                <w:szCs w:val="20"/>
                <w:color w:val="auto"/>
              </w:rPr>
            </w:pPr>
            <w:r>
              <w:rPr>
                <w:rFonts w:ascii="Arial" w:cs="Arial" w:eastAsia="Arial" w:hAnsi="Arial"/>
                <w:sz w:val="14"/>
                <w:szCs w:val="14"/>
                <w:color w:val="auto"/>
                <w:w w:val="93"/>
              </w:rPr>
              <w:t xml:space="preserve">Using a </w:t>
            </w:r>
            <w:r>
              <w:rPr>
                <w:rFonts w:ascii="Arial" w:cs="Arial" w:eastAsia="Arial" w:hAnsi="Arial"/>
                <w:sz w:val="14"/>
                <w:szCs w:val="14"/>
                <w:b w:val="1"/>
                <w:bCs w:val="1"/>
                <w:color w:val="auto"/>
                <w:w w:val="93"/>
              </w:rPr>
              <w:t>black ink</w:t>
            </w:r>
            <w:r>
              <w:rPr>
                <w:rFonts w:ascii="Arial" w:cs="Arial" w:eastAsia="Arial" w:hAnsi="Arial"/>
                <w:sz w:val="14"/>
                <w:szCs w:val="14"/>
                <w:color w:val="auto"/>
                <w:w w:val="93"/>
              </w:rPr>
              <w:t xml:space="preserve"> pen, mark your votes with an </w:t>
            </w:r>
            <w:r>
              <w:rPr>
                <w:rFonts w:ascii="Arial" w:cs="Arial" w:eastAsia="Arial" w:hAnsi="Arial"/>
                <w:sz w:val="14"/>
                <w:szCs w:val="14"/>
                <w:b w:val="1"/>
                <w:bCs w:val="1"/>
                <w:color w:val="auto"/>
                <w:w w:val="93"/>
              </w:rPr>
              <w:t>X</w:t>
            </w:r>
            <w:r>
              <w:rPr>
                <w:rFonts w:ascii="Arial" w:cs="Arial" w:eastAsia="Arial" w:hAnsi="Arial"/>
                <w:sz w:val="14"/>
                <w:szCs w:val="14"/>
                <w:color w:val="auto"/>
                <w:w w:val="93"/>
              </w:rPr>
              <w:t xml:space="preserve"> as shown in this example. Please do</w:t>
            </w:r>
          </w:p>
        </w:tc>
        <w:tc>
          <w:tcPr>
            <w:tcW w:w="360" w:type="dxa"/>
            <w:vAlign w:val="bottom"/>
          </w:tcPr>
          <w:p>
            <w:pPr>
              <w:ind w:left="8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4"/>
                <w:szCs w:val="14"/>
                <w:color w:val="auto"/>
                <w:w w:val="86"/>
              </w:rPr>
              <w:t>not write</w:t>
            </w:r>
          </w:p>
        </w:tc>
        <w:tc>
          <w:tcPr>
            <w:tcW w:w="5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 w:type="dxa"/>
            <w:vAlign w:val="bottom"/>
            <w:vMerge w:val="continue"/>
          </w:tcPr>
          <w:p>
            <w:pPr>
              <w:spacing w:after="0"/>
              <w:rPr>
                <w:sz w:val="15"/>
                <w:szCs w:val="15"/>
                <w:color w:val="auto"/>
              </w:rPr>
            </w:pPr>
          </w:p>
        </w:tc>
        <w:tc>
          <w:tcPr>
            <w:tcW w:w="4580" w:type="dxa"/>
            <w:vAlign w:val="bottom"/>
            <w:gridSpan w:val="2"/>
          </w:tcPr>
          <w:p>
            <w:pPr>
              <w:ind w:left="60"/>
              <w:spacing w:after="0"/>
              <w:rPr>
                <w:sz w:val="20"/>
                <w:szCs w:val="20"/>
                <w:color w:val="auto"/>
              </w:rPr>
            </w:pPr>
            <w:r>
              <w:rPr>
                <w:rFonts w:ascii="Arial" w:cs="Arial" w:eastAsia="Arial" w:hAnsi="Arial"/>
                <w:sz w:val="14"/>
                <w:szCs w:val="14"/>
                <w:color w:val="auto"/>
              </w:rPr>
              <w:t>outside the designated areas.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6089015" cy="291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q</w:t>
      </w:r>
    </w:p>
    <w:p>
      <w:pPr>
        <w:spacing w:after="0" w:line="136" w:lineRule="exact"/>
        <w:rPr>
          <w:sz w:val="20"/>
          <w:szCs w:val="20"/>
          <w:color w:val="auto"/>
        </w:rPr>
      </w:pPr>
    </w:p>
    <w:p>
      <w:pPr>
        <w:ind w:left="1100" w:right="3860" w:hanging="1064"/>
        <w:spacing w:after="0" w:line="195" w:lineRule="auto"/>
        <w:tabs>
          <w:tab w:leader="none" w:pos="273" w:val="left"/>
        </w:tabs>
        <w:numPr>
          <w:ilvl w:val="0"/>
          <w:numId w:val="130"/>
        </w:numPr>
        <w:rPr>
          <w:rFonts w:ascii="Arial" w:cs="Arial" w:eastAsia="Arial" w:hAnsi="Arial"/>
          <w:sz w:val="29"/>
          <w:szCs w:val="29"/>
          <w:b w:val="1"/>
          <w:bCs w:val="1"/>
          <w:color w:val="FFFFFF"/>
          <w:vertAlign w:val="superscript"/>
        </w:rPr>
      </w:pPr>
      <w:r>
        <w:rPr>
          <w:rFonts w:ascii="Arial" w:cs="Arial" w:eastAsia="Arial" w:hAnsi="Arial"/>
          <w:sz w:val="14"/>
          <w:szCs w:val="14"/>
          <w:b w:val="1"/>
          <w:bCs w:val="1"/>
          <w:color w:val="auto"/>
        </w:rPr>
        <w:t xml:space="preserve">Proposals — 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the nominees listed,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2,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 3 and </w:t>
      </w:r>
      <w:r>
        <w:rPr>
          <w:rFonts w:ascii="Arial" w:cs="Arial" w:eastAsia="Arial" w:hAnsi="Arial"/>
          <w:sz w:val="14"/>
          <w:szCs w:val="14"/>
          <w:b w:val="1"/>
          <w:bCs w:val="1"/>
          <w:u w:val="single" w:color="auto"/>
          <w:color w:val="auto"/>
        </w:rPr>
        <w:t>AGAINST</w:t>
      </w:r>
      <w:r>
        <w:rPr>
          <w:rFonts w:ascii="Arial" w:cs="Arial" w:eastAsia="Arial" w:hAnsi="Arial"/>
          <w:sz w:val="14"/>
          <w:szCs w:val="14"/>
          <w:b w:val="1"/>
          <w:bCs w:val="1"/>
          <w:color w:val="auto"/>
        </w:rPr>
        <w:t xml:space="preserve">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02870" cy="1371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1"/>
        </w:trPr>
        <w:tc>
          <w:tcPr>
            <w:tcW w:w="2000" w:type="dxa"/>
            <w:vAlign w:val="bottom"/>
            <w:gridSpan w:val="2"/>
            <w:vMerge w:val="restart"/>
          </w:tcPr>
          <w:p>
            <w:pPr>
              <w:spacing w:after="0"/>
              <w:rPr>
                <w:sz w:val="20"/>
                <w:szCs w:val="20"/>
                <w:color w:val="auto"/>
              </w:rPr>
            </w:pPr>
            <w:r>
              <w:rPr>
                <w:rFonts w:ascii="Arial" w:cs="Arial" w:eastAsia="Arial" w:hAnsi="Arial"/>
                <w:sz w:val="14"/>
                <w:szCs w:val="14"/>
                <w:color w:val="auto"/>
              </w:rPr>
              <w:t>1.  Election of Directors:</w:t>
            </w:r>
          </w:p>
        </w:tc>
        <w:tc>
          <w:tcPr>
            <w:tcW w:w="18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For  Against  Abstain</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For  Against  Abstain</w:t>
            </w:r>
          </w:p>
        </w:tc>
        <w:tc>
          <w:tcPr>
            <w:tcW w:w="400" w:type="dxa"/>
            <w:vAlign w:val="bottom"/>
          </w:tcPr>
          <w:p>
            <w:pPr>
              <w:jc w:val="right"/>
              <w:spacing w:after="0" w:line="431" w:lineRule="exact"/>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2"/>
        </w:trPr>
        <w:tc>
          <w:tcPr>
            <w:tcW w:w="2000" w:type="dxa"/>
            <w:vAlign w:val="bottom"/>
            <w:gridSpan w:val="2"/>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620" w:type="dxa"/>
            <w:vAlign w:val="bottom"/>
          </w:tcPr>
          <w:p>
            <w:pPr>
              <w:ind w:left="20"/>
              <w:spacing w:after="0"/>
              <w:rPr>
                <w:sz w:val="20"/>
                <w:szCs w:val="20"/>
                <w:color w:val="auto"/>
              </w:rPr>
            </w:pPr>
            <w:r>
              <w:rPr>
                <w:rFonts w:ascii="Arial" w:cs="Arial" w:eastAsia="Arial" w:hAnsi="Arial"/>
                <w:sz w:val="14"/>
                <w:szCs w:val="14"/>
                <w:color w:val="auto"/>
              </w:rPr>
              <w:t>- Wesley G. Bush</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06</w:t>
            </w:r>
          </w:p>
        </w:tc>
        <w:tc>
          <w:tcPr>
            <w:tcW w:w="1620" w:type="dxa"/>
            <w:vAlign w:val="bottom"/>
          </w:tcPr>
          <w:p>
            <w:pPr>
              <w:ind w:left="20"/>
              <w:spacing w:after="0"/>
              <w:rPr>
                <w:sz w:val="20"/>
                <w:szCs w:val="20"/>
                <w:color w:val="auto"/>
              </w:rPr>
            </w:pPr>
            <w:r>
              <w:rPr>
                <w:rFonts w:ascii="Arial" w:cs="Arial" w:eastAsia="Arial" w:hAnsi="Arial"/>
                <w:sz w:val="14"/>
                <w:szCs w:val="14"/>
                <w:color w:val="auto"/>
              </w:rPr>
              <w:t>- William H. Hernandez</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10</w:t>
            </w:r>
          </w:p>
        </w:tc>
        <w:tc>
          <w:tcPr>
            <w:tcW w:w="1580" w:type="dxa"/>
            <w:vAlign w:val="bottom"/>
          </w:tcPr>
          <w:p>
            <w:pPr>
              <w:spacing w:after="0"/>
              <w:rPr>
                <w:sz w:val="20"/>
                <w:szCs w:val="20"/>
                <w:color w:val="auto"/>
              </w:rPr>
            </w:pPr>
            <w:r>
              <w:rPr>
                <w:rFonts w:ascii="Arial" w:cs="Arial" w:eastAsia="Arial" w:hAnsi="Arial"/>
                <w:sz w:val="14"/>
                <w:szCs w:val="14"/>
                <w:color w:val="auto"/>
              </w:rPr>
              <w:t>- Thomas M. Schoewe</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02</w:t>
            </w:r>
          </w:p>
        </w:tc>
        <w:tc>
          <w:tcPr>
            <w:tcW w:w="1620" w:type="dxa"/>
            <w:vAlign w:val="bottom"/>
          </w:tcPr>
          <w:p>
            <w:pPr>
              <w:ind w:left="20"/>
              <w:spacing w:after="0"/>
              <w:rPr>
                <w:sz w:val="20"/>
                <w:szCs w:val="20"/>
                <w:color w:val="auto"/>
              </w:rPr>
            </w:pPr>
            <w:r>
              <w:rPr>
                <w:rFonts w:ascii="Arial" w:cs="Arial" w:eastAsia="Arial" w:hAnsi="Arial"/>
                <w:sz w:val="14"/>
                <w:szCs w:val="14"/>
                <w:color w:val="auto"/>
              </w:rPr>
              <w:t>- Marianne C. Brown</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07</w:t>
            </w:r>
          </w:p>
        </w:tc>
        <w:tc>
          <w:tcPr>
            <w:tcW w:w="1620" w:type="dxa"/>
            <w:vAlign w:val="bottom"/>
          </w:tcPr>
          <w:p>
            <w:pPr>
              <w:ind w:left="20"/>
              <w:spacing w:after="0"/>
              <w:rPr>
                <w:sz w:val="20"/>
                <w:szCs w:val="20"/>
                <w:color w:val="auto"/>
              </w:rPr>
            </w:pPr>
            <w:r>
              <w:rPr>
                <w:rFonts w:ascii="Arial" w:cs="Arial" w:eastAsia="Arial" w:hAnsi="Arial"/>
                <w:sz w:val="14"/>
                <w:szCs w:val="14"/>
                <w:color w:val="auto"/>
              </w:rPr>
              <w:t>- Madeleine A. Kleiner</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11 - James S. Turley</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1620" w:type="dxa"/>
            <w:vAlign w:val="bottom"/>
          </w:tcPr>
          <w:p>
            <w:pPr>
              <w:ind w:left="20"/>
              <w:spacing w:after="0"/>
              <w:rPr>
                <w:sz w:val="20"/>
                <w:szCs w:val="20"/>
                <w:color w:val="auto"/>
              </w:rPr>
            </w:pPr>
            <w:r>
              <w:rPr>
                <w:rFonts w:ascii="Arial" w:cs="Arial" w:eastAsia="Arial" w:hAnsi="Arial"/>
                <w:sz w:val="14"/>
                <w:szCs w:val="14"/>
                <w:color w:val="auto"/>
              </w:rPr>
              <w:t>- Donald E. Felsinger</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08</w:t>
            </w:r>
          </w:p>
        </w:tc>
        <w:tc>
          <w:tcPr>
            <w:tcW w:w="1620" w:type="dxa"/>
            <w:vAlign w:val="bottom"/>
          </w:tcPr>
          <w:p>
            <w:pPr>
              <w:ind w:left="20"/>
              <w:spacing w:after="0"/>
              <w:rPr>
                <w:sz w:val="20"/>
                <w:szCs w:val="20"/>
                <w:color w:val="auto"/>
              </w:rPr>
            </w:pPr>
            <w:r>
              <w:rPr>
                <w:rFonts w:ascii="Arial" w:cs="Arial" w:eastAsia="Arial" w:hAnsi="Arial"/>
                <w:sz w:val="14"/>
                <w:szCs w:val="14"/>
                <w:color w:val="auto"/>
              </w:rPr>
              <w:t>- Karl J. Krapek</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12</w:t>
            </w:r>
          </w:p>
        </w:tc>
        <w:tc>
          <w:tcPr>
            <w:tcW w:w="1580" w:type="dxa"/>
            <w:vAlign w:val="bottom"/>
          </w:tcPr>
          <w:p>
            <w:pPr>
              <w:spacing w:after="0"/>
              <w:rPr>
                <w:sz w:val="20"/>
                <w:szCs w:val="20"/>
                <w:color w:val="auto"/>
              </w:rPr>
            </w:pPr>
            <w:r>
              <w:rPr>
                <w:rFonts w:ascii="Arial" w:cs="Arial" w:eastAsia="Arial" w:hAnsi="Arial"/>
                <w:sz w:val="14"/>
                <w:szCs w:val="14"/>
                <w:color w:val="auto"/>
              </w:rPr>
              <w:t>- Mark A. Welsh III</w:t>
            </w:r>
          </w:p>
        </w:tc>
        <w:tc>
          <w:tcPr>
            <w:tcW w:w="6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04</w:t>
            </w:r>
          </w:p>
        </w:tc>
        <w:tc>
          <w:tcPr>
            <w:tcW w:w="1620" w:type="dxa"/>
            <w:vAlign w:val="bottom"/>
          </w:tcPr>
          <w:p>
            <w:pPr>
              <w:ind w:left="20"/>
              <w:spacing w:after="0"/>
              <w:rPr>
                <w:sz w:val="20"/>
                <w:szCs w:val="20"/>
                <w:color w:val="auto"/>
              </w:rPr>
            </w:pPr>
            <w:r>
              <w:rPr>
                <w:rFonts w:ascii="Arial" w:cs="Arial" w:eastAsia="Arial" w:hAnsi="Arial"/>
                <w:sz w:val="14"/>
                <w:szCs w:val="14"/>
                <w:color w:val="auto"/>
              </w:rPr>
              <w:t>- Ann M. Fudge</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09</w:t>
            </w:r>
          </w:p>
        </w:tc>
        <w:tc>
          <w:tcPr>
            <w:tcW w:w="1620" w:type="dxa"/>
            <w:vAlign w:val="bottom"/>
          </w:tcPr>
          <w:p>
            <w:pPr>
              <w:ind w:left="20"/>
              <w:spacing w:after="0"/>
              <w:rPr>
                <w:sz w:val="20"/>
                <w:szCs w:val="20"/>
                <w:color w:val="auto"/>
              </w:rPr>
            </w:pPr>
            <w:r>
              <w:rPr>
                <w:rFonts w:ascii="Arial" w:cs="Arial" w:eastAsia="Arial" w:hAnsi="Arial"/>
                <w:sz w:val="14"/>
                <w:szCs w:val="14"/>
                <w:color w:val="auto"/>
              </w:rPr>
              <w:t>- Gary Roughead</w:t>
            </w:r>
          </w:p>
        </w:tc>
        <w:tc>
          <w:tcPr>
            <w:tcW w:w="5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1620" w:type="dxa"/>
            <w:vAlign w:val="bottom"/>
          </w:tcPr>
          <w:p>
            <w:pPr>
              <w:ind w:left="20"/>
              <w:spacing w:after="0"/>
              <w:rPr>
                <w:sz w:val="20"/>
                <w:szCs w:val="20"/>
                <w:color w:val="auto"/>
              </w:rPr>
            </w:pPr>
            <w:r>
              <w:rPr>
                <w:rFonts w:ascii="Arial" w:cs="Arial" w:eastAsia="Arial" w:hAnsi="Arial"/>
                <w:sz w:val="14"/>
                <w:szCs w:val="14"/>
                <w:color w:val="auto"/>
              </w:rPr>
              <w:t>- Bruce S. Gordon</w:t>
            </w:r>
          </w:p>
        </w:tc>
        <w:tc>
          <w:tcPr>
            <w:tcW w:w="7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8920" w:type="dxa"/>
            <w:vAlign w:val="bottom"/>
          </w:tcPr>
          <w:p>
            <w:pPr>
              <w:spacing w:after="0"/>
              <w:rPr>
                <w:sz w:val="16"/>
                <w:szCs w:val="16"/>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approve, on an advisory basis, the compensation of the Company’s Named Executive Officers.</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5"/>
        </w:trPr>
        <w:tc>
          <w:tcPr>
            <w:tcW w:w="180" w:type="dxa"/>
            <w:vAlign w:val="bottom"/>
          </w:tcPr>
          <w:p>
            <w:pPr>
              <w:spacing w:after="0"/>
              <w:rPr>
                <w:sz w:val="23"/>
                <w:szCs w:val="23"/>
                <w:color w:val="auto"/>
              </w:rPr>
            </w:pPr>
          </w:p>
        </w:tc>
        <w:tc>
          <w:tcPr>
            <w:tcW w:w="8920" w:type="dxa"/>
            <w:vAlign w:val="bottom"/>
          </w:tcPr>
          <w:p>
            <w:pPr>
              <w:spacing w:after="0"/>
              <w:rPr>
                <w:sz w:val="23"/>
                <w:szCs w:val="23"/>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02"/>
        </w:trPr>
        <w:tc>
          <w:tcPr>
            <w:tcW w:w="180" w:type="dxa"/>
            <w:vAlign w:val="bottom"/>
          </w:tcPr>
          <w:p>
            <w:pPr>
              <w:jc w:val="right"/>
              <w:spacing w:after="0"/>
              <w:rPr>
                <w:sz w:val="20"/>
                <w:szCs w:val="20"/>
                <w:color w:val="auto"/>
              </w:rPr>
            </w:pPr>
            <w:r>
              <w:rPr>
                <w:rFonts w:ascii="Arial" w:cs="Arial" w:eastAsia="Arial" w:hAnsi="Arial"/>
                <w:sz w:val="14"/>
                <w:szCs w:val="14"/>
                <w:color w:val="auto"/>
                <w:w w:val="85"/>
              </w:rPr>
              <w:t>3.</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ratify the appointment of Deloitte &amp; Touche LLP as the Company’s Independent Auditor for fiscal year ending December 31, 2018.</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8"/>
        </w:trPr>
        <w:tc>
          <w:tcPr>
            <w:tcW w:w="18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16"/>
        </w:trPr>
        <w:tc>
          <w:tcPr>
            <w:tcW w:w="180" w:type="dxa"/>
            <w:vAlign w:val="bottom"/>
          </w:tcPr>
          <w:p>
            <w:pPr>
              <w:jc w:val="right"/>
              <w:spacing w:after="0"/>
              <w:rPr>
                <w:sz w:val="20"/>
                <w:szCs w:val="20"/>
                <w:color w:val="auto"/>
              </w:rPr>
            </w:pPr>
            <w:r>
              <w:rPr>
                <w:rFonts w:ascii="Arial" w:cs="Arial" w:eastAsia="Arial" w:hAnsi="Arial"/>
                <w:sz w:val="14"/>
                <w:szCs w:val="14"/>
                <w:color w:val="auto"/>
                <w:w w:val="85"/>
              </w:rPr>
              <w:t>4.</w:t>
            </w:r>
          </w:p>
        </w:tc>
        <w:tc>
          <w:tcPr>
            <w:tcW w:w="8920" w:type="dxa"/>
            <w:vAlign w:val="bottom"/>
          </w:tcPr>
          <w:p>
            <w:pPr>
              <w:ind w:left="40"/>
              <w:spacing w:after="0"/>
              <w:rPr>
                <w:sz w:val="20"/>
                <w:szCs w:val="20"/>
                <w:color w:val="auto"/>
              </w:rPr>
            </w:pPr>
            <w:r>
              <w:rPr>
                <w:rFonts w:ascii="Arial" w:cs="Arial" w:eastAsia="Arial" w:hAnsi="Arial"/>
                <w:sz w:val="14"/>
                <w:szCs w:val="14"/>
                <w:color w:val="auto"/>
              </w:rPr>
              <w:t>Proposal to modify the ownership threshold for shareholders to call a special meeting.</w:t>
            </w:r>
          </w:p>
        </w:tc>
        <w:tc>
          <w:tcPr>
            <w:tcW w:w="880" w:type="dxa"/>
            <w:vAlign w:val="bottom"/>
          </w:tcPr>
          <w:p>
            <w:pPr>
              <w:jc w:val="center"/>
              <w:ind w:left="4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5" w:lineRule="exact"/>
        <w:rPr>
          <w:sz w:val="20"/>
          <w:szCs w:val="20"/>
          <w:color w:val="auto"/>
        </w:rPr>
      </w:pPr>
    </w:p>
    <w:p>
      <w:pPr>
        <w:ind w:left="280" w:hanging="236"/>
        <w:spacing w:after="0"/>
        <w:tabs>
          <w:tab w:leader="none" w:pos="280" w:val="left"/>
        </w:tabs>
        <w:numPr>
          <w:ilvl w:val="0"/>
          <w:numId w:val="131"/>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1760" cy="1117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26" w:lineRule="exact"/>
        <w:rPr>
          <w:sz w:val="20"/>
          <w:szCs w:val="20"/>
          <w:color w:val="auto"/>
        </w:rPr>
      </w:pPr>
    </w:p>
    <w:p>
      <w:pPr>
        <w:ind w:right="260"/>
        <w:spacing w:after="0" w:line="25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920" w:type="dxa"/>
            <w:vAlign w:val="bottom"/>
            <w:gridSpan w:val="3"/>
          </w:tcPr>
          <w:p>
            <w:pPr>
              <w:spacing w:after="0"/>
              <w:rPr>
                <w:sz w:val="20"/>
                <w:szCs w:val="20"/>
                <w:color w:val="auto"/>
              </w:rPr>
            </w:pPr>
            <w:r>
              <w:rPr>
                <w:rFonts w:ascii="Arial" w:cs="Arial" w:eastAsia="Arial" w:hAnsi="Arial"/>
                <w:sz w:val="14"/>
                <w:szCs w:val="14"/>
                <w:color w:val="auto"/>
              </w:rPr>
              <w:t>Date (mm/dd/yyyy) — Please print date below.</w:t>
            </w:r>
          </w:p>
        </w:tc>
        <w:tc>
          <w:tcPr>
            <w:tcW w:w="3860" w:type="dxa"/>
            <w:vAlign w:val="bottom"/>
            <w:gridSpan w:val="2"/>
          </w:tcPr>
          <w:p>
            <w:pPr>
              <w:spacing w:after="0"/>
              <w:rPr>
                <w:sz w:val="20"/>
                <w:szCs w:val="20"/>
                <w:color w:val="auto"/>
              </w:rPr>
            </w:pPr>
            <w:r>
              <w:rPr>
                <w:rFonts w:ascii="Arial" w:cs="Arial" w:eastAsia="Arial" w:hAnsi="Arial"/>
                <w:sz w:val="14"/>
                <w:szCs w:val="14"/>
                <w:color w:val="auto"/>
              </w:rPr>
              <w:t>Signature 1 — Please keep signature within the box.</w:t>
            </w:r>
          </w:p>
        </w:tc>
        <w:tc>
          <w:tcPr>
            <w:tcW w:w="3660" w:type="dxa"/>
            <w:vAlign w:val="bottom"/>
          </w:tcPr>
          <w:p>
            <w:pPr>
              <w:spacing w:after="0"/>
              <w:rPr>
                <w:sz w:val="20"/>
                <w:szCs w:val="20"/>
                <w:color w:val="auto"/>
              </w:rPr>
            </w:pPr>
            <w:r>
              <w:rPr>
                <w:rFonts w:ascii="Arial" w:cs="Arial" w:eastAsia="Arial" w:hAnsi="Arial"/>
                <w:sz w:val="14"/>
                <w:szCs w:val="14"/>
                <w:color w:val="auto"/>
              </w:rPr>
              <w:t>Signature 2 — Please keep signature within the box.</w:t>
            </w:r>
          </w:p>
        </w:tc>
      </w:tr>
      <w:tr>
        <w:trPr>
          <w:trHeight w:val="588"/>
        </w:trPr>
        <w:tc>
          <w:tcPr>
            <w:tcW w:w="1260" w:type="dxa"/>
            <w:vAlign w:val="bottom"/>
            <w:tcBorders>
              <w:top w:val="single" w:sz="8" w:color="auto"/>
              <w:left w:val="single" w:sz="8" w:color="auto"/>
              <w:bottom w:val="single" w:sz="8" w:color="auto"/>
            </w:tcBorders>
          </w:tcPr>
          <w:p>
            <w:pPr>
              <w:jc w:val="right"/>
              <w:ind w:right="158"/>
              <w:spacing w:after="0"/>
              <w:rPr>
                <w:sz w:val="20"/>
                <w:szCs w:val="20"/>
                <w:color w:val="auto"/>
              </w:rPr>
            </w:pPr>
            <w:r>
              <w:rPr>
                <w:rFonts w:ascii="Arial" w:cs="Arial" w:eastAsia="Arial" w:hAnsi="Arial"/>
                <w:sz w:val="50"/>
                <w:szCs w:val="50"/>
                <w:color w:val="auto"/>
              </w:rPr>
              <w:t>/</w:t>
            </w:r>
          </w:p>
        </w:tc>
        <w:tc>
          <w:tcPr>
            <w:tcW w:w="2420" w:type="dxa"/>
            <w:vAlign w:val="bottom"/>
            <w:tcBorders>
              <w:top w:val="single" w:sz="8" w:color="auto"/>
              <w:bottom w:val="single" w:sz="8" w:color="auto"/>
              <w:right w:val="single" w:sz="8" w:color="auto"/>
            </w:tcBorders>
          </w:tcPr>
          <w:p>
            <w:pPr>
              <w:jc w:val="right"/>
              <w:ind w:right="1728"/>
              <w:spacing w:after="0"/>
              <w:rPr>
                <w:sz w:val="20"/>
                <w:szCs w:val="20"/>
                <w:color w:val="auto"/>
              </w:rPr>
            </w:pPr>
            <w:r>
              <w:rPr>
                <w:rFonts w:ascii="Arial" w:cs="Arial" w:eastAsia="Arial" w:hAnsi="Arial"/>
                <w:sz w:val="50"/>
                <w:szCs w:val="50"/>
                <w:color w:val="auto"/>
              </w:rPr>
              <w:t>/</w:t>
            </w:r>
          </w:p>
        </w:tc>
        <w:tc>
          <w:tcPr>
            <w:tcW w:w="240" w:type="dxa"/>
            <w:vAlign w:val="bottom"/>
            <w:tcBorders>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60" w:type="dxa"/>
            <w:vAlign w:val="bottom"/>
            <w:tcBorders>
              <w:top w:val="single" w:sz="8" w:color="auto"/>
              <w:bottom w:val="single" w:sz="8" w:color="auto"/>
              <w:right w:val="single" w:sz="8" w:color="auto"/>
            </w:tcBorders>
          </w:tcPr>
          <w:p>
            <w:pPr>
              <w:spacing w:after="0"/>
              <w:rPr>
                <w:sz w:val="24"/>
                <w:szCs w:val="24"/>
                <w:color w:val="auto"/>
              </w:rPr>
            </w:pPr>
          </w:p>
        </w:tc>
      </w:tr>
    </w:tbl>
    <w:p>
      <w:pPr>
        <w:spacing w:after="0" w:line="263" w:lineRule="exact"/>
        <w:rPr>
          <w:sz w:val="20"/>
          <w:szCs w:val="20"/>
          <w:color w:val="auto"/>
        </w:rPr>
      </w:pPr>
    </w:p>
    <w:tbl>
      <w:tblPr>
        <w:tblLayout w:type="fixed"/>
        <w:tblInd w:w="1180" w:type="dxa"/>
        <w:tblCellMar>
          <w:top w:w="0" w:type="dxa"/>
          <w:left w:w="0" w:type="dxa"/>
          <w:bottom w:w="0" w:type="dxa"/>
          <w:right w:w="0" w:type="dxa"/>
        </w:tblCellMar>
      </w:tblPr>
      <w:tr>
        <w:trPr>
          <w:trHeight w:val="264"/>
        </w:trPr>
        <w:tc>
          <w:tcPr>
            <w:tcW w:w="7140" w:type="dxa"/>
            <w:vAlign w:val="bottom"/>
          </w:tcPr>
          <w:p>
            <w:pPr>
              <w:ind w:left="3800"/>
              <w:spacing w:after="0"/>
              <w:rPr>
                <w:sz w:val="20"/>
                <w:szCs w:val="20"/>
                <w:color w:val="auto"/>
              </w:rPr>
            </w:pPr>
            <w:r>
              <w:rPr>
                <w:rFonts w:ascii="Arial" w:cs="Arial" w:eastAsia="Arial" w:hAnsi="Arial"/>
                <w:sz w:val="18"/>
                <w:szCs w:val="18"/>
                <w:color w:val="auto"/>
              </w:rPr>
              <w:t>1 UPX</w:t>
            </w:r>
          </w:p>
        </w:tc>
        <w:tc>
          <w:tcPr>
            <w:tcW w:w="3100" w:type="dxa"/>
            <w:vAlign w:val="bottom"/>
            <w:vMerge w:val="restart"/>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323"/>
        </w:trPr>
        <w:tc>
          <w:tcPr>
            <w:tcW w:w="7140" w:type="dxa"/>
            <w:vAlign w:val="bottom"/>
            <w:vMerge w:val="restart"/>
          </w:tcPr>
          <w:p>
            <w:pPr>
              <w:spacing w:after="0"/>
              <w:rPr>
                <w:sz w:val="20"/>
                <w:szCs w:val="20"/>
                <w:color w:val="auto"/>
              </w:rPr>
            </w:pPr>
            <w:r>
              <w:rPr>
                <w:rFonts w:ascii="Arial" w:cs="Arial" w:eastAsia="Arial" w:hAnsi="Arial"/>
                <w:sz w:val="14"/>
                <w:szCs w:val="14"/>
                <w:color w:val="auto"/>
              </w:rPr>
              <w:t>02SCOA</w:t>
            </w: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714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180340"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color w:val="auto"/>
        </w:rPr>
        <w:t>PLEASE FOLD ALONG THE PERFORATION, DETACH AND RETURN THE BOTTOM PORTION IN THE ENCLOSED ENVELOPE.</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0057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NORTHROP GRUMMAN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0057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00570" cy="17145"/>
                    </a:xfrm>
                    <a:prstGeom prst="rect">
                      <a:avLst/>
                    </a:prstGeom>
                    <a:noFill/>
                  </pic:spPr>
                </pic:pic>
              </a:graphicData>
            </a:graphic>
          </wp:anchor>
        </w:drawing>
      </w:r>
    </w:p>
    <w:p>
      <w:pPr>
        <w:spacing w:after="0" w:line="21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ANNUAL MEETING OF SHAREHOLDERS</w:t>
      </w:r>
    </w:p>
    <w:p>
      <w:pPr>
        <w:spacing w:after="0" w:line="7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MAY 16, 2018, 8:00 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Northrop Grumman Corporation Headquarters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2980 Fairview Park Drive, Falls Church, Virginia 22042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Proxy/Voting Instruction Card is Solicited on Behalf of The Board of Directors for the 2018 Annual Meeting of Shareholders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undersigned hereby constitutes and appoints Sheila C. Cheston and Jennifer C. McGarey, and each of them, attorneys and proxies with full power of substitution, to represent the undersigned and to vote all shares of Common Stock, $1.00 par value, of Northrop Grumman Corporation (the “Company”), that the undersigned would be entitled to vote if personally present at the 2018 Annual Meeting of Shareholders of the Company to be held on Wednesday, May 16, 2018, at 8:00 a.m. (Eastern Daylight Time) at the Northrop Grumman Corporation Headquarters, 2980 Fairview Park Drive, Falls Church, Virginia 22042, and at any and all adjournments or postponements thereof (the “Meeting”), as herein specified and in such proxyholder’s discretion upon any other matter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w:t>
      </w:r>
    </w:p>
    <w:p>
      <w:pPr>
        <w:spacing w:after="0" w:line="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PROXY WILL BE VOTED AS DIRECTED. IF NOT OTHERWISE DIRECTED, THIS PROXY WILL BE VOTED “FOR” THE NOMINEES LISTED UNDER PROPOSAL 1, “FOR” PROPOSAL 2, “FOR” PROPOSAL 3 AND “AGAINST” PROPOSAL 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PLEASE MARK, DATE AND SIGN THIS PROXY AND RETURN IT PROMPTLY, EVEN IF YOU PLAN TO ATTEND THE ANNUAL MEETING.</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shares are held on your behalf under any of the Company Savings Plans, the proxy serves to provide confidential instructions to the plan Trustee or Voting Manager who then votes the shares. Instructions must be received by 11:59 p.m. Eastern Time on May 13, 2018 to be included in the tabulation to the plan Trustee or Voting Manager. For shares represented by proxies not received by this date, the applicable plan Trustee or Voting Manager will treat the received proxies as instructions to vote the respective plan shares in the same proportion as shares held under the plan for which voting instructions have been received, unless contrary to the Employment Retirement Income Security Act.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(Continued and to be signed on the other side)</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jc w:val="right"/>
        <w:spacing w:after="0"/>
        <w:rPr>
          <w:sz w:val="20"/>
          <w:szCs w:val="20"/>
          <w:color w:val="auto"/>
        </w:rPr>
      </w:pPr>
      <w:r>
        <w:rPr>
          <w:rFonts w:ascii="Arial" w:cs="Arial" w:eastAsia="Arial" w:hAnsi="Arial"/>
          <w:sz w:val="45"/>
          <w:szCs w:val="4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-297180</wp:posOffset>
            </wp:positionV>
            <wp:extent cx="2504440" cy="4457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04440" cy="445770"/>
                    </a:xfrm>
                    <a:prstGeom prst="rect">
                      <a:avLst/>
                    </a:prstGeom>
                    <a:noFill/>
                  </pic:spPr>
                </pic:pic>
              </a:graphicData>
            </a:graphic>
          </wp:anchor>
        </w:drawing>
      </w:r>
    </w:p>
    <w:p>
      <w:pPr>
        <w:spacing w:after="0" w:line="302" w:lineRule="exact"/>
        <w:rPr>
          <w:sz w:val="20"/>
          <w:szCs w:val="20"/>
          <w:color w:val="auto"/>
        </w:rPr>
      </w:pPr>
    </w:p>
    <w:p>
      <w:pPr>
        <w:ind w:left="740"/>
        <w:spacing w:after="0"/>
        <w:rPr>
          <w:sz w:val="20"/>
          <w:szCs w:val="20"/>
          <w:color w:val="auto"/>
        </w:rPr>
      </w:pPr>
      <w:r>
        <w:rPr>
          <w:rFonts w:ascii="Arial" w:cs="Arial" w:eastAsia="Arial" w:hAnsi="Arial"/>
          <w:sz w:val="14"/>
          <w:szCs w:val="14"/>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-98425</wp:posOffset>
            </wp:positionV>
            <wp:extent cx="6577965" cy="146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57796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Vote by Internet</w:t>
      </w:r>
    </w:p>
    <w:p>
      <w:pPr>
        <w:ind w:left="8240"/>
        <w:spacing w:after="0" w:line="221" w:lineRule="auto"/>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www.envisionreports.com/NOC</w:t>
      </w:r>
    </w:p>
    <w:p>
      <w:pPr>
        <w:ind w:left="8240"/>
        <w:spacing w:after="0" w:line="221" w:lineRule="auto"/>
        <w:rPr>
          <w:sz w:val="20"/>
          <w:szCs w:val="20"/>
          <w:color w:val="auto"/>
        </w:rPr>
      </w:pPr>
      <w:r>
        <w:rPr>
          <w:rFonts w:ascii="Arial" w:cs="Arial" w:eastAsia="Arial" w:hAnsi="Arial"/>
          <w:sz w:val="14"/>
          <w:szCs w:val="14"/>
          <w:color w:val="auto"/>
        </w:rPr>
        <w:t>• Or scan the QR code with your smartphone</w:t>
      </w:r>
    </w:p>
    <w:p>
      <w:pPr>
        <w:spacing w:after="0" w:line="1" w:lineRule="exact"/>
        <w:rPr>
          <w:sz w:val="20"/>
          <w:szCs w:val="20"/>
          <w:color w:val="auto"/>
        </w:rPr>
      </w:pPr>
    </w:p>
    <w:p>
      <w:pPr>
        <w:ind w:left="8240"/>
        <w:spacing w:after="0"/>
        <w:rPr>
          <w:sz w:val="20"/>
          <w:szCs w:val="20"/>
          <w:color w:val="auto"/>
        </w:rPr>
      </w:pPr>
      <w:r>
        <w:rPr>
          <w:rFonts w:ascii="Arial" w:cs="Arial" w:eastAsia="Arial" w:hAnsi="Arial"/>
          <w:sz w:val="14"/>
          <w:szCs w:val="14"/>
          <w:color w:val="auto"/>
        </w:rPr>
        <w:t>• Follow the steps outlined on the secure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150495</wp:posOffset>
            </wp:positionV>
            <wp:extent cx="6089015" cy="291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 Annual Meeting of Shareholders to be Held on May 16, 2018</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Securities and Exchange Commission rules, you are receiving this notice that the proxy materials for the annual meeting of shareholders are available on the Internet. Follow the instructions below to view the materials and vote online or request a copy. The items to be voted on and location of the annual meeting are on the reverse side. Your vote is important!</w:t>
      </w:r>
    </w:p>
    <w:p>
      <w:pPr>
        <w:spacing w:after="0" w:line="177"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This communication is not a form for voting and presents only an overview of the more complete proxy materials that are available to you on the Internet or by mail. We encourage you to access and review all of the important information contained in the proxy materials before voting. The proxy statement and annual report to shareholders are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140970</wp:posOffset>
            </wp:positionV>
            <wp:extent cx="4716780" cy="3860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167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160" w:right="4420"/>
        <w:spacing w:after="0" w:line="413" w:lineRule="auto"/>
        <w:rPr>
          <w:sz w:val="20"/>
          <w:szCs w:val="20"/>
          <w:color w:val="auto"/>
        </w:rPr>
      </w:pPr>
      <w:r>
        <w:rPr>
          <w:rFonts w:ascii="Arial" w:cs="Arial" w:eastAsia="Arial" w:hAnsi="Arial"/>
          <w:sz w:val="16"/>
          <w:szCs w:val="16"/>
          <w:b w:val="1"/>
          <w:bCs w:val="1"/>
          <w:color w:val="auto"/>
        </w:rPr>
        <w:t>Easy Online Access — A Convenient Way to View Proxy Materials and Vote When you go online to view materials, you can also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514350" cy="4800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 cy="4800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b w:val="1"/>
          <w:bCs w:val="1"/>
          <w:color w:val="auto"/>
        </w:rPr>
        <w:t xml:space="preserve">Step 1: </w:t>
      </w:r>
      <w:r>
        <w:rPr>
          <w:rFonts w:ascii="Arial" w:cs="Arial" w:eastAsia="Arial" w:hAnsi="Arial"/>
          <w:sz w:val="18"/>
          <w:szCs w:val="18"/>
          <w:color w:val="auto"/>
        </w:rPr>
        <w:t>Go to</w:t>
      </w:r>
      <w:r>
        <w:rPr>
          <w:rFonts w:ascii="Arial" w:cs="Arial" w:eastAsia="Arial" w:hAnsi="Arial"/>
          <w:sz w:val="18"/>
          <w:szCs w:val="18"/>
          <w:b w:val="1"/>
          <w:bCs w:val="1"/>
          <w:color w:val="auto"/>
        </w:rPr>
        <w:t xml:space="preserve"> www.envisionreports.com/NOC </w:t>
      </w:r>
      <w:r>
        <w:rPr>
          <w:rFonts w:ascii="Arial" w:cs="Arial" w:eastAsia="Arial" w:hAnsi="Arial"/>
          <w:sz w:val="18"/>
          <w:szCs w:val="18"/>
          <w:color w:val="auto"/>
        </w:rPr>
        <w:t>to view the materials</w:t>
      </w:r>
      <w:r>
        <w:rPr>
          <w:rFonts w:ascii="Arial" w:cs="Arial" w:eastAsia="Arial" w:hAnsi="Arial"/>
          <w:sz w:val="18"/>
          <w:szCs w:val="18"/>
          <w:b w:val="1"/>
          <w:bCs w:val="1"/>
          <w:color w:val="auto"/>
        </w:rPr>
        <w:t>.</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Step 2: </w:t>
      </w:r>
      <w:r>
        <w:rPr>
          <w:rFonts w:ascii="Arial" w:cs="Arial" w:eastAsia="Arial" w:hAnsi="Arial"/>
          <w:sz w:val="18"/>
          <w:szCs w:val="18"/>
          <w:color w:val="auto"/>
        </w:rPr>
        <w:t>Click on</w:t>
      </w:r>
      <w:r>
        <w:rPr>
          <w:rFonts w:ascii="Arial" w:cs="Arial" w:eastAsia="Arial" w:hAnsi="Arial"/>
          <w:sz w:val="18"/>
          <w:szCs w:val="18"/>
          <w:b w:val="1"/>
          <w:bCs w:val="1"/>
          <w:color w:val="auto"/>
        </w:rPr>
        <w:t xml:space="preserve"> Cast Your Vote or Request Materials</w:t>
      </w:r>
      <w:r>
        <w:rPr>
          <w:rFonts w:ascii="Arial" w:cs="Arial" w:eastAsia="Arial" w:hAnsi="Arial"/>
          <w:sz w:val="18"/>
          <w:szCs w:val="18"/>
          <w:color w:val="auto"/>
        </w:rPr>
        <w:t>.</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Step 3: </w:t>
      </w:r>
      <w:r>
        <w:rPr>
          <w:rFonts w:ascii="Arial" w:cs="Arial" w:eastAsia="Arial" w:hAnsi="Arial"/>
          <w:sz w:val="18"/>
          <w:szCs w:val="18"/>
          <w:color w:val="auto"/>
        </w:rPr>
        <w:t>Follow the instructions on the screen to log in.</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 xml:space="preserve">Step 4: </w:t>
      </w:r>
      <w:r>
        <w:rPr>
          <w:rFonts w:ascii="Arial" w:cs="Arial" w:eastAsia="Arial" w:hAnsi="Arial"/>
          <w:sz w:val="18"/>
          <w:szCs w:val="18"/>
          <w:color w:val="auto"/>
        </w:rPr>
        <w:t>Make your selection as instructed on each screen to select delivery preferences and vote.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you go online, you can also help the environment by consenting to receive electronic delivery of future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160" w:right="240"/>
        <w:spacing w:after="0" w:line="266" w:lineRule="auto"/>
        <w:rPr>
          <w:sz w:val="20"/>
          <w:szCs w:val="20"/>
          <w:color w:val="auto"/>
        </w:rPr>
      </w:pPr>
      <w:r>
        <w:rPr>
          <w:rFonts w:ascii="Arial" w:cs="Arial" w:eastAsia="Arial" w:hAnsi="Arial"/>
          <w:sz w:val="18"/>
          <w:szCs w:val="18"/>
          <w:b w:val="1"/>
          <w:bCs w:val="1"/>
          <w:color w:val="auto"/>
        </w:rPr>
        <w:t>Obtaining a Copy of the Proxy Materials – If you want to receive a paper or e-mail copy of these documents, you must request one. There is no charge to you for requesting a copy. Please make your request for a copy as instructed on the reverse side on or before May 6, 2018 to facilitate timely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480060" cy="6000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80060" cy="600075"/>
                    </a:xfrm>
                    <a:prstGeom prst="rect">
                      <a:avLst/>
                    </a:prstGeom>
                    <a:noFill/>
                  </pic:spPr>
                </pic:pic>
              </a:graphicData>
            </a:graphic>
          </wp:anchor>
        </w:drawing>
      </w:r>
    </w:p>
    <w:p>
      <w:pPr>
        <w:spacing w:after="0" w:line="319" w:lineRule="exact"/>
        <w:rPr>
          <w:sz w:val="20"/>
          <w:szCs w:val="20"/>
          <w:color w:val="auto"/>
        </w:rPr>
      </w:pPr>
    </w:p>
    <w:tbl>
      <w:tblPr>
        <w:tblLayout w:type="fixed"/>
        <w:tblInd w:w="4880" w:type="dxa"/>
        <w:tblCellMar>
          <w:top w:w="0" w:type="dxa"/>
          <w:left w:w="0" w:type="dxa"/>
          <w:bottom w:w="0" w:type="dxa"/>
          <w:right w:w="0" w:type="dxa"/>
        </w:tblCellMar>
      </w:tblPr>
      <w:tr>
        <w:trPr>
          <w:trHeight w:val="517"/>
        </w:trPr>
        <w:tc>
          <w:tcPr>
            <w:tcW w:w="3440" w:type="dxa"/>
            <w:vAlign w:val="bottom"/>
            <w:vMerge w:val="restart"/>
          </w:tcPr>
          <w:p>
            <w:pPr>
              <w:spacing w:after="0"/>
              <w:rPr>
                <w:sz w:val="20"/>
                <w:szCs w:val="20"/>
                <w:color w:val="auto"/>
              </w:rPr>
            </w:pPr>
            <w:r>
              <w:rPr>
                <w:rFonts w:ascii="Arial" w:cs="Arial" w:eastAsia="Arial" w:hAnsi="Arial"/>
                <w:sz w:val="18"/>
                <w:szCs w:val="18"/>
                <w:color w:val="auto"/>
              </w:rPr>
              <w:t>2 N O T</w:t>
            </w:r>
          </w:p>
        </w:tc>
        <w:tc>
          <w:tcPr>
            <w:tcW w:w="3100" w:type="dxa"/>
            <w:vAlign w:val="bottom"/>
          </w:tcPr>
          <w:p>
            <w:pPr>
              <w:jc w:val="right"/>
              <w:spacing w:after="0"/>
              <w:rPr>
                <w:sz w:val="20"/>
                <w:szCs w:val="20"/>
                <w:color w:val="auto"/>
              </w:rPr>
            </w:pPr>
            <w:r>
              <w:rPr>
                <w:rFonts w:ascii="Arial" w:cs="Arial" w:eastAsia="Arial" w:hAnsi="Arial"/>
                <w:sz w:val="45"/>
                <w:szCs w:val="45"/>
                <w:b w:val="1"/>
                <w:bCs w:val="1"/>
                <w:color w:val="auto"/>
              </w:rPr>
              <w:t>+</w:t>
            </w:r>
          </w:p>
        </w:tc>
        <w:tc>
          <w:tcPr>
            <w:tcW w:w="0" w:type="dxa"/>
            <w:vAlign w:val="bottom"/>
          </w:tcPr>
          <w:p>
            <w:pPr>
              <w:spacing w:after="0"/>
              <w:rPr>
                <w:sz w:val="1"/>
                <w:szCs w:val="1"/>
                <w:color w:val="auto"/>
              </w:rPr>
            </w:pPr>
          </w:p>
        </w:tc>
      </w:tr>
      <w:tr>
        <w:trPr>
          <w:trHeight w:val="54"/>
        </w:trPr>
        <w:tc>
          <w:tcPr>
            <w:tcW w:w="3440" w:type="dxa"/>
            <w:vAlign w:val="bottom"/>
            <w:vMerge w:val="continue"/>
          </w:tcPr>
          <w:p>
            <w:pPr>
              <w:spacing w:after="0"/>
              <w:rPr>
                <w:sz w:val="4"/>
                <w:szCs w:val="4"/>
                <w:color w:val="auto"/>
              </w:rPr>
            </w:pPr>
          </w:p>
        </w:tc>
        <w:tc>
          <w:tcPr>
            <w:tcW w:w="3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340" cy="1371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80340"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ind w:left="880"/>
        <w:spacing w:after="0"/>
        <w:rPr>
          <w:sz w:val="20"/>
          <w:szCs w:val="20"/>
          <w:color w:val="auto"/>
        </w:rPr>
      </w:pPr>
      <w:r>
        <w:rPr>
          <w:rFonts w:ascii="Arial" w:cs="Arial" w:eastAsia="Arial" w:hAnsi="Arial"/>
          <w:sz w:val="12"/>
          <w:szCs w:val="12"/>
          <w:color w:val="auto"/>
        </w:rPr>
        <w:t>02SCPA</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291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Northrop Grumman Corporation’s Annual Meeting of Shareholders will be held on May 16, 2018 at Northrop Grumman Corporation Headquarters, 2980 Fairview Park Drive, Falls Church, Virginia 22042, at 8:00 a.m. Eastern Daylight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meeting are listed below along with the Board of Directors’ recommendations.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1–3 and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Proposal 4.</w:t>
      </w:r>
    </w:p>
    <w:p>
      <w:pPr>
        <w:spacing w:after="0" w:line="135"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Election of the following 12 nominees as Directors:</w:t>
      </w:r>
    </w:p>
    <w:p>
      <w:pPr>
        <w:spacing w:after="0" w:line="9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Wesley G. Bush, Marianne C. Brown, Donald E. Felsinger, Ann M. Fudge, Bruce S. Gordon, William H. Hernandez, Madeleine A. Kleiner, Karl J. Krapek, Gary Roughead, Thomas M. Schoewe, James S. Turley and Mark A. Welsh III.</w:t>
      </w:r>
    </w:p>
    <w:p>
      <w:pPr>
        <w:spacing w:after="0" w:line="35"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Proposal to approve, on an advisory basis, the compensation of the Company’s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Proposal to ratify the appointment of Deloitte &amp; Touche LLP as the Company’s Independent Auditor for fiscal year ending December 31, 2018.</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Proposal to modify the ownership threshold for shareholders to call a special meeting.</w:t>
      </w:r>
    </w:p>
    <w:p>
      <w:pPr>
        <w:spacing w:after="0" w:line="22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PLEASE NOTE – YOU CANNOT VOTE BY RETURNING THIS NOTICE. To vote your shares you must vote online or by telephone or request a paper copy of the proxy materials to receive a proxy card. If you wish to attend and vote at the meeting, please bring this notice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Directions to the 2018 annual meeting are available in the 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which can be viewed at www.envisionreports.com/NOC.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Here’s how to order a copy of the proxy materials and select a future delivery preference: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480060" cy="6089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80060" cy="608965"/>
                    </a:xfrm>
                    <a:prstGeom prst="rect">
                      <a:avLst/>
                    </a:prstGeom>
                    <a:noFill/>
                  </pic:spPr>
                </pic:pic>
              </a:graphicData>
            </a:graphic>
          </wp:anchor>
        </w:drawing>
      </w:r>
    </w:p>
    <w:p>
      <w:pPr>
        <w:spacing w:after="0" w:line="7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Paper copies: </w:t>
      </w:r>
      <w:r>
        <w:rPr>
          <w:rFonts w:ascii="Arial" w:cs="Arial" w:eastAsia="Arial" w:hAnsi="Arial"/>
          <w:sz w:val="18"/>
          <w:szCs w:val="18"/>
          <w:color w:val="auto"/>
        </w:rPr>
        <w:t>Current and future paper delivery requests can be submitted via the telephone, Internet or email options below.</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Email copies: </w:t>
      </w:r>
      <w:r>
        <w:rPr>
          <w:rFonts w:ascii="Arial" w:cs="Arial" w:eastAsia="Arial" w:hAnsi="Arial"/>
          <w:sz w:val="18"/>
          <w:szCs w:val="18"/>
          <w:color w:val="auto"/>
        </w:rPr>
        <w:t>Current and future email delivery requests must be submitted via the Internet following the instructions below.</w:t>
      </w:r>
    </w:p>
    <w:p>
      <w:pPr>
        <w:spacing w:after="0" w:line="9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you request an email copy of current materials you will receive an email with a link to the materials.</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 xml:space="preserve">PLEASE NOTE: </w:t>
      </w:r>
      <w:r>
        <w:rPr>
          <w:rFonts w:ascii="Arial" w:cs="Arial" w:eastAsia="Arial" w:hAnsi="Arial"/>
          <w:sz w:val="18"/>
          <w:szCs w:val="18"/>
          <w:color w:val="auto"/>
        </w:rPr>
        <w:t>You must use the number in the shaded bar on the reverse side when requesting a set of proxy materials.</w:t>
      </w:r>
    </w:p>
    <w:p>
      <w:pPr>
        <w:spacing w:after="0" w:line="279" w:lineRule="exact"/>
        <w:rPr>
          <w:sz w:val="20"/>
          <w:szCs w:val="20"/>
          <w:color w:val="auto"/>
        </w:rPr>
      </w:pPr>
    </w:p>
    <w:p>
      <w:pPr>
        <w:ind w:left="1600" w:right="140" w:hanging="471"/>
        <w:spacing w:after="0" w:line="266" w:lineRule="auto"/>
        <w:tabs>
          <w:tab w:leader="none" w:pos="160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 xml:space="preserve">Internet </w:t>
      </w:r>
      <w:r>
        <w:rPr>
          <w:rFonts w:ascii="Arial" w:cs="Arial" w:eastAsia="Arial" w:hAnsi="Arial"/>
          <w:sz w:val="18"/>
          <w:szCs w:val="18"/>
          <w:color w:val="auto"/>
        </w:rPr>
        <w:t>– Go to</w:t>
      </w:r>
      <w:r>
        <w:rPr>
          <w:rFonts w:ascii="Arial" w:cs="Arial" w:eastAsia="Arial" w:hAnsi="Arial"/>
          <w:sz w:val="18"/>
          <w:szCs w:val="18"/>
          <w:b w:val="1"/>
          <w:bCs w:val="1"/>
          <w:color w:val="auto"/>
        </w:rPr>
        <w:t xml:space="preserve"> www.envisionreports.com/NOC</w:t>
      </w:r>
      <w:r>
        <w:rPr>
          <w:rFonts w:ascii="Arial" w:cs="Arial" w:eastAsia="Arial" w:hAnsi="Arial"/>
          <w:sz w:val="18"/>
          <w:szCs w:val="18"/>
          <w:color w:val="auto"/>
        </w:rPr>
        <w:t>. Click Cast Your Vote or Request Materials. Follow the instructions to log in and</w:t>
      </w:r>
      <w:r>
        <w:rPr>
          <w:rFonts w:ascii="Arial" w:cs="Arial" w:eastAsia="Arial" w:hAnsi="Arial"/>
          <w:sz w:val="18"/>
          <w:szCs w:val="18"/>
          <w:b w:val="1"/>
          <w:bCs w:val="1"/>
          <w:color w:val="auto"/>
        </w:rPr>
        <w:t xml:space="preserve"> </w:t>
      </w:r>
      <w:r>
        <w:rPr>
          <w:rFonts w:ascii="Arial" w:cs="Arial" w:eastAsia="Arial" w:hAnsi="Arial"/>
          <w:sz w:val="18"/>
          <w:szCs w:val="18"/>
          <w:color w:val="auto"/>
        </w:rPr>
        <w:t>order a paper or email copy of the current meeting materials and submit your preference for email or paper delivery of future meeting materials.</w:t>
      </w:r>
    </w:p>
    <w:p>
      <w:pPr>
        <w:spacing w:after="0" w:line="54" w:lineRule="exact"/>
        <w:rPr>
          <w:rFonts w:ascii="Arial" w:cs="Arial" w:eastAsia="Arial" w:hAnsi="Arial"/>
          <w:sz w:val="18"/>
          <w:szCs w:val="18"/>
          <w:color w:val="auto"/>
        </w:rPr>
      </w:pPr>
    </w:p>
    <w:p>
      <w:pPr>
        <w:ind w:left="1600" w:right="80" w:hanging="471"/>
        <w:spacing w:after="0" w:line="343" w:lineRule="auto"/>
        <w:tabs>
          <w:tab w:leader="none" w:pos="160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 Call us free of charge at 1-866-641-4276 using a touch-tone phone and follow the instructions to log in and order a paper</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materials by mail for the current meeting. You can also submit a preference to receive a paper copy for future meetings.</w:t>
      </w:r>
    </w:p>
    <w:p>
      <w:pPr>
        <w:ind w:left="1600" w:right="40" w:hanging="471"/>
        <w:spacing w:after="0" w:line="314" w:lineRule="auto"/>
        <w:tabs>
          <w:tab w:leader="none" w:pos="1600"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Email </w:t>
      </w:r>
      <w:r>
        <w:rPr>
          <w:rFonts w:ascii="Arial" w:cs="Arial" w:eastAsia="Arial" w:hAnsi="Arial"/>
          <w:sz w:val="16"/>
          <w:szCs w:val="16"/>
          <w:color w:val="auto"/>
        </w:rPr>
        <w:t>– Send email to investorvote@computershare.com with “Proxy Materials Northrop Grumman Corporation” in the subject line.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in the message your full name and address, plus the number located in the shaded bar on the reverse, and state in the email that you want a paper copy of current meeting materials. You can also state your preference to receive a paper copy for future meetings.</w:t>
      </w:r>
    </w:p>
    <w:p>
      <w:pPr>
        <w:spacing w:after="0" w:line="11"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8"/>
          <w:szCs w:val="18"/>
          <w:color w:val="auto"/>
        </w:rPr>
        <w:t>To facilitate timely delivery, all requests for a paper copy of the proxy materials must be received by May 6, 2018.</w:t>
      </w:r>
    </w:p>
    <w:p>
      <w:pPr>
        <w:spacing w:after="0" w:line="234"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02SCPA</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13804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8901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30, 2018</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 18-XX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Information Regarding Your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Shares—Your Vote Is Important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Northrop Grumman Employees: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Northrop Grumman filed its proxy statement today for the 2018 Annual Meeting of Shareholders. The 2018 proxy statement and 2017 annual report are now available online.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Many of you hold Northrop Grumman shares through one of the company’s savings plans. As shareholders, you have the right to vote on matters that impact the company. Your vote on these matters is important, and Northrop Grumman encourages you to vote your shares.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Northrop Grumman employees who hold Northrop Grumman shares as participants in the Northrop Grumman Savings Plan or the Northrop Grumman Financial Security and Savings Program will receive an email </w:t>
      </w:r>
      <w:r>
        <w:rPr>
          <w:rFonts w:ascii="Arial" w:cs="Arial" w:eastAsia="Arial" w:hAnsi="Arial"/>
          <w:sz w:val="18"/>
          <w:szCs w:val="18"/>
          <w:u w:val="single" w:color="auto"/>
          <w:color w:val="auto"/>
        </w:rPr>
        <w:t>tonight</w:t>
      </w:r>
      <w:r>
        <w:rPr>
          <w:rFonts w:ascii="Arial" w:cs="Arial" w:eastAsia="Arial" w:hAnsi="Arial"/>
          <w:sz w:val="18"/>
          <w:szCs w:val="18"/>
          <w:color w:val="auto"/>
        </w:rPr>
        <w:t xml:space="preserve"> from the company’s transfer agent, Computershare. This email will contain important instructions for viewing the proxy statement and annual report, and for voting your shares.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email is an important communication approved by Northrop Grumman. The subject line of the email will read, “</w:t>
      </w:r>
      <w:r>
        <w:rPr>
          <w:rFonts w:ascii="Arial" w:cs="Arial" w:eastAsia="Arial" w:hAnsi="Arial"/>
          <w:sz w:val="18"/>
          <w:szCs w:val="18"/>
          <w:i w:val="1"/>
          <w:iCs w:val="1"/>
          <w:color w:val="auto"/>
        </w:rPr>
        <w:t>Northrop Grumman Corporation Proxy</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Materials</w:t>
      </w:r>
      <w:r>
        <w:rPr>
          <w:rFonts w:ascii="Arial" w:cs="Arial" w:eastAsia="Arial" w:hAnsi="Arial"/>
          <w:sz w:val="18"/>
          <w:szCs w:val="18"/>
          <w:color w:val="auto"/>
        </w:rPr>
        <w:t>.” Note that the “EXT” warning tag, which appears in the subject line of emails originating outside of Northrop Grumman, will be removed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this message coming directly from Computershare. If you do not receive this email, or if you have any questions, please contact Computershare at 877-498-8861 or the company’s shareholder services at 703-280-3507.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values your input as shareholders. Please ensure that your shares are represented at the 2018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attention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2057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46"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CORPORATE COMMUNICATIONS</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22980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890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00" w:right="359"/>
        <w:spacing w:after="0" w:line="277" w:lineRule="auto"/>
        <w:rPr>
          <w:sz w:val="20"/>
          <w:szCs w:val="20"/>
          <w:color w:val="auto"/>
        </w:rPr>
      </w:pPr>
      <w:r>
        <w:rPr>
          <w:rFonts w:ascii="Arial" w:cs="Arial" w:eastAsia="Arial" w:hAnsi="Arial"/>
          <w:sz w:val="18"/>
          <w:szCs w:val="18"/>
          <w:color w:val="auto"/>
        </w:rPr>
        <w:t>Your Northrop Grumman Corporation proxy statement and annual report are now available online and you may also vote your shares for the 2018 Annual Meeting of Shareholders.</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To view the proxy statement and annual report, please visit: </w:t>
      </w:r>
      <w:r>
        <w:rPr>
          <w:rFonts w:ascii="Arial" w:cs="Arial" w:eastAsia="Arial" w:hAnsi="Arial"/>
          <w:sz w:val="18"/>
          <w:szCs w:val="18"/>
          <w:u w:val="single" w:color="auto"/>
          <w:color w:val="auto"/>
        </w:rPr>
        <w:t>www.envisionreports.com/NOC</w:t>
      </w:r>
    </w:p>
    <w:p>
      <w:pPr>
        <w:spacing w:after="0" w:line="117" w:lineRule="exact"/>
        <w:rPr>
          <w:sz w:val="20"/>
          <w:szCs w:val="20"/>
          <w:color w:val="auto"/>
        </w:rPr>
      </w:pPr>
    </w:p>
    <w:p>
      <w:pPr>
        <w:ind w:left="1500" w:right="599"/>
        <w:spacing w:after="0" w:line="277" w:lineRule="auto"/>
        <w:rPr>
          <w:sz w:val="20"/>
          <w:szCs w:val="20"/>
          <w:color w:val="auto"/>
        </w:rPr>
      </w:pPr>
      <w:r>
        <w:rPr>
          <w:rFonts w:ascii="Arial" w:cs="Arial" w:eastAsia="Arial" w:hAnsi="Arial"/>
          <w:sz w:val="18"/>
          <w:szCs w:val="18"/>
          <w:color w:val="auto"/>
        </w:rPr>
        <w:t xml:space="preserve">To cast your vote, please visit </w:t>
      </w:r>
      <w:r>
        <w:rPr>
          <w:rFonts w:ascii="Arial" w:cs="Arial" w:eastAsia="Arial" w:hAnsi="Arial"/>
          <w:sz w:val="18"/>
          <w:szCs w:val="18"/>
          <w:u w:val="single" w:color="auto"/>
          <w:color w:val="auto"/>
        </w:rPr>
        <w:t>www.envisionreports.com/NOC</w:t>
      </w:r>
      <w:r>
        <w:rPr>
          <w:rFonts w:ascii="Arial" w:cs="Arial" w:eastAsia="Arial" w:hAnsi="Arial"/>
          <w:sz w:val="18"/>
          <w:szCs w:val="18"/>
          <w:color w:val="auto"/>
        </w:rPr>
        <w:t xml:space="preserve"> and follow the on-screen instructions. You will be prompted to enter your Control Number (provided above) to access this voting site.</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Please note that votes submitted through this site must be received by 1:00 a.m., Eastern Time, May 16, 2018.</w:t>
      </w:r>
    </w:p>
    <w:p>
      <w:pPr>
        <w:spacing w:after="0" w:line="129" w:lineRule="exact"/>
        <w:rPr>
          <w:sz w:val="20"/>
          <w:szCs w:val="20"/>
          <w:color w:val="auto"/>
        </w:rPr>
      </w:pPr>
    </w:p>
    <w:p>
      <w:pPr>
        <w:ind w:left="1500" w:right="579"/>
        <w:spacing w:after="0" w:line="277" w:lineRule="auto"/>
        <w:rPr>
          <w:sz w:val="20"/>
          <w:szCs w:val="20"/>
          <w:color w:val="auto"/>
        </w:rPr>
      </w:pPr>
      <w:r>
        <w:rPr>
          <w:rFonts w:ascii="Arial" w:cs="Arial" w:eastAsia="Arial" w:hAnsi="Arial"/>
          <w:sz w:val="18"/>
          <w:szCs w:val="18"/>
          <w:color w:val="auto"/>
        </w:rPr>
        <w:t>If shares are held on your behalf under any of the Company Savings Plans, voting instructions submitted through this site must be received by 11:59 p.m., Eastern Time, Sunday, May 13, 2018.</w:t>
      </w:r>
    </w:p>
    <w:p>
      <w:pPr>
        <w:spacing w:after="0" w:line="62" w:lineRule="exact"/>
        <w:rPr>
          <w:sz w:val="20"/>
          <w:szCs w:val="20"/>
          <w:color w:val="auto"/>
        </w:rPr>
      </w:pPr>
    </w:p>
    <w:p>
      <w:pPr>
        <w:ind w:left="1500" w:right="319"/>
        <w:spacing w:after="0" w:line="277" w:lineRule="auto"/>
        <w:rPr>
          <w:sz w:val="20"/>
          <w:szCs w:val="20"/>
          <w:color w:val="auto"/>
        </w:rPr>
      </w:pPr>
      <w:r>
        <w:rPr>
          <w:rFonts w:ascii="Arial" w:cs="Arial" w:eastAsia="Arial" w:hAnsi="Arial"/>
          <w:sz w:val="18"/>
          <w:szCs w:val="18"/>
          <w:color w:val="auto"/>
        </w:rPr>
        <w:t>Thank you for viewing the 2018 Northrop Grumman Corporation Annual Meeting Materials and for submitting your very important vote.</w:t>
      </w:r>
    </w:p>
    <w:p>
      <w:pPr>
        <w:spacing w:after="0" w:line="27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REMEMBER, YOUR VOTE IS VERY IMPORTANT, PLEASE VOTE.</w:t>
      </w:r>
    </w:p>
    <w:p>
      <w:pPr>
        <w:spacing w:after="0" w:line="121" w:lineRule="exact"/>
        <w:rPr>
          <w:sz w:val="20"/>
          <w:szCs w:val="20"/>
          <w:color w:val="auto"/>
        </w:rPr>
      </w:pPr>
    </w:p>
    <w:p>
      <w:pPr>
        <w:ind w:left="1500" w:right="419"/>
        <w:spacing w:after="0" w:line="277" w:lineRule="auto"/>
        <w:rPr>
          <w:sz w:val="20"/>
          <w:szCs w:val="20"/>
          <w:color w:val="auto"/>
        </w:rPr>
      </w:pPr>
      <w:r>
        <w:rPr>
          <w:rFonts w:ascii="Arial" w:cs="Arial" w:eastAsia="Arial" w:hAnsi="Arial"/>
          <w:sz w:val="18"/>
          <w:szCs w:val="18"/>
          <w:color w:val="auto"/>
        </w:rPr>
        <w:t>Please note: Registered shareholders may unsubscribe to email notifications at any time by changing their elections at Investor Center.</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right="1580"/>
        <w:spacing w:after="0" w:line="342" w:lineRule="auto"/>
        <w:rPr>
          <w:sz w:val="20"/>
          <w:szCs w:val="20"/>
          <w:color w:val="auto"/>
        </w:rPr>
      </w:pPr>
      <w:r>
        <w:rPr>
          <w:rFonts w:ascii="Arial" w:cs="Arial" w:eastAsia="Arial" w:hAnsi="Arial"/>
          <w:sz w:val="16"/>
          <w:szCs w:val="16"/>
          <w:color w:val="auto"/>
        </w:rPr>
        <w:t xml:space="preserve">Questions? For additional assistance regarding your account please visit </w:t>
      </w:r>
      <w:r>
        <w:rPr>
          <w:rFonts w:ascii="Arial" w:cs="Arial" w:eastAsia="Arial" w:hAnsi="Arial"/>
          <w:sz w:val="16"/>
          <w:szCs w:val="16"/>
          <w:u w:val="single" w:color="auto"/>
          <w:color w:val="auto"/>
        </w:rPr>
        <w:t>www.computershare.com/ContactUs</w:t>
      </w:r>
      <w:r>
        <w:rPr>
          <w:rFonts w:ascii="Arial" w:cs="Arial" w:eastAsia="Arial" w:hAnsi="Arial"/>
          <w:sz w:val="16"/>
          <w:szCs w:val="16"/>
          <w:color w:val="auto"/>
        </w:rPr>
        <w:t>. Our virtual agent, Penny, provides answer to many frequently asked questions.</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Please do not reply to this email. This mailbox is not monitored and you will not receive a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1150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11150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169545</wp:posOffset>
            </wp:positionV>
            <wp:extent cx="1732280" cy="2660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73228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720"/>
        <w:spacing w:after="0" w:line="264" w:lineRule="auto"/>
        <w:rPr>
          <w:sz w:val="20"/>
          <w:szCs w:val="20"/>
          <w:color w:val="auto"/>
        </w:rPr>
      </w:pPr>
      <w:r>
        <w:rPr>
          <w:rFonts w:ascii="Arial" w:cs="Arial" w:eastAsia="Arial" w:hAnsi="Arial"/>
          <w:sz w:val="18"/>
          <w:szCs w:val="18"/>
          <w:color w:val="FFFFFF"/>
        </w:rPr>
        <w:t>This email and any files transmitted with it are solely intended for the use of the addressee(s) and may contain information that is confidential and privileged. If you receive this email in error, please advise us immediately. Please also disregard the contents of the email, delete it and destroy any copies immediately.</w:t>
      </w:r>
    </w:p>
    <w:p>
      <w:pPr>
        <w:spacing w:after="0" w:line="208" w:lineRule="exact"/>
        <w:rPr>
          <w:sz w:val="20"/>
          <w:szCs w:val="20"/>
          <w:color w:val="auto"/>
        </w:rPr>
      </w:pPr>
    </w:p>
    <w:p>
      <w:pPr>
        <w:ind w:left="720" w:right="120"/>
        <w:spacing w:after="0" w:line="264" w:lineRule="auto"/>
        <w:rPr>
          <w:sz w:val="20"/>
          <w:szCs w:val="20"/>
          <w:color w:val="auto"/>
        </w:rPr>
      </w:pPr>
      <w:r>
        <w:rPr>
          <w:rFonts w:ascii="Arial" w:cs="Arial" w:eastAsia="Arial" w:hAnsi="Arial"/>
          <w:sz w:val="18"/>
          <w:szCs w:val="18"/>
          <w:color w:val="FFFFFF"/>
        </w:rPr>
        <w:t>Computershare Limited and its subsidiaries do not accept liability for the views expressed in the email or for the consequences of any computer viruses that may be transmitted with this email. This email is also subject to copyright. No part of it should be reproduced, adapted or transmitted without the written consent of the copyright owner.</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lvl w:ilvl="1">
      <w:lvlJc w:val="left"/>
      <w:lvlText w:val="(%2)"/>
      <w:numFmt w:val="decimal"/>
      <w:start w:val="1"/>
    </w:lvl>
  </w:abstractNum>
  <w:abstractNum w:abstractNumId="3">
    <w:nsid w:val="6590700B"/>
    <w:multiLevelType w:val="hybridMultilevel"/>
    <w:lvl w:ilvl="0">
      <w:lvlJc w:val="left"/>
      <w:lvlText w:val="%1."/>
      <w:numFmt w:val="decimal"/>
      <w:start w:val="1"/>
    </w:lvl>
  </w:abstractNum>
  <w:abstractNum w:abstractNumId="4">
    <w:nsid w:val="15014ACB"/>
    <w:multiLevelType w:val="hybridMultilevel"/>
    <w:lvl w:ilvl="0">
      <w:lvlJc w:val="left"/>
      <w:lvlText w:val="2"/>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4"/>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6"/>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8"/>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1"/>
      <w:numFmt w:val="decimal"/>
      <w:start w:val="10"/>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1"/>
      <w:numFmt w:val="decimal"/>
      <w:start w:val="12"/>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1"/>
      <w:numFmt w:val="decimal"/>
      <w:start w:val="14"/>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1"/>
      <w:numFmt w:val="decimal"/>
      <w:start w:val="16"/>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1"/>
      <w:numFmt w:val="decimal"/>
      <w:start w:val="18"/>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1"/>
      <w:numFmt w:val="decimal"/>
      <w:start w:val="20"/>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22"/>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24"/>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decimal"/>
      <w:start w:val="26"/>
    </w:lvl>
  </w:abstractNum>
  <w:abstractNum w:abstractNumId="47">
    <w:nsid w:val="46B7D447"/>
    <w:multiLevelType w:val="hybridMultilevel"/>
    <w:lvl w:ilvl="0">
      <w:lvlJc w:val="left"/>
      <w:lvlText w:val="(%1)"/>
      <w:numFmt w:val="decimal"/>
      <w:start w:val="1"/>
    </w:lvl>
  </w:abstractNum>
  <w:abstractNum w:abstractNumId="48">
    <w:nsid w:val="4A2AC315"/>
    <w:multiLevelType w:val="hybridMultilevel"/>
    <w:lvl w:ilvl="0">
      <w:lvlJc w:val="left"/>
      <w:lvlText w:val="%1"/>
      <w:numFmt w:val="decimal"/>
      <w:start w:val="28"/>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decimal"/>
      <w:start w:val="30"/>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decimal"/>
      <w:start w:val="1"/>
    </w:lvl>
  </w:abstractNum>
  <w:abstractNum w:abstractNumId="54">
    <w:nsid w:val="26F324BA"/>
    <w:multiLevelType w:val="hybridMultilevel"/>
    <w:lvl w:ilvl="0">
      <w:lvlJc w:val="left"/>
      <w:lvlText w:val="%1"/>
      <w:numFmt w:val="decimal"/>
      <w:start w:val="32"/>
    </w:lvl>
  </w:abstractNum>
  <w:abstractNum w:abstractNumId="55">
    <w:nsid w:val="7F01579B"/>
    <w:multiLevelType w:val="hybridMultilevel"/>
    <w:lvl w:ilvl="0">
      <w:lvlJc w:val="left"/>
      <w:lvlText w:val="·"/>
      <w:numFmt w:val="bullet"/>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
      <w:numFmt w:val="bullet"/>
      <w:start w:val="1"/>
    </w:lvl>
  </w:abstractNum>
  <w:abstractNum w:abstractNumId="58">
    <w:nsid w:val="5FB8370B"/>
    <w:multiLevelType w:val="hybridMultilevel"/>
    <w:lvl w:ilvl="0">
      <w:lvlJc w:val="left"/>
      <w:lvlText w:val="%1"/>
      <w:numFmt w:val="decimal"/>
      <w:start w:val="34"/>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
      <w:numFmt w:val="bullet"/>
      <w:start w:val="1"/>
    </w:lvl>
  </w:abstractNum>
  <w:abstractNum w:abstractNumId="63">
    <w:nsid w:val="7672BD23"/>
    <w:multiLevelType w:val="hybridMultilevel"/>
    <w:lvl w:ilvl="0">
      <w:lvlJc w:val="left"/>
      <w:lvlText w:val="·"/>
      <w:numFmt w:val="bullet"/>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1"/>
      <w:numFmt w:val="decimal"/>
      <w:start w:val="36"/>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1"/>
      <w:numFmt w:val="decimal"/>
      <w:start w:val="38"/>
    </w:lvl>
  </w:abstractNum>
  <w:abstractNum w:abstractNumId="72">
    <w:nsid w:val="14FCE74E"/>
    <w:multiLevelType w:val="hybridMultilevel"/>
    <w:lvl w:ilvl="0">
      <w:lvlJc w:val="left"/>
      <w:lvlText w:val="(%1)"/>
      <w:numFmt w:val="decimal"/>
      <w:start w:val="1"/>
    </w:lvl>
  </w:abstractNum>
  <w:abstractNum w:abstractNumId="73">
    <w:nsid w:val="6A3DD3E8"/>
    <w:multiLevelType w:val="hybridMultilevel"/>
    <w:lvl w:ilvl="0">
      <w:lvlJc w:val="left"/>
      <w:lvlText w:val="%1"/>
      <w:numFmt w:val="decimal"/>
      <w:start w:val="40"/>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1"/>
      <w:numFmt w:val="decimal"/>
      <w:start w:val="42"/>
    </w:lvl>
  </w:abstractNum>
  <w:abstractNum w:abstractNumId="79">
    <w:nsid w:val="1D545C4D"/>
    <w:multiLevelType w:val="hybridMultilevel"/>
    <w:lvl w:ilvl="0">
      <w:lvlJc w:val="left"/>
      <w:lvlText w:val="%1"/>
      <w:numFmt w:val="decimal"/>
      <w:start w:val="44"/>
    </w:lvl>
  </w:abstractNum>
  <w:abstractNum w:abstractNumId="80">
    <w:nsid w:val="59ADEA3D"/>
    <w:multiLevelType w:val="hybridMultilevel"/>
    <w:lvl w:ilvl="0">
      <w:lvlJc w:val="left"/>
      <w:lvlText w:val="(%1)"/>
      <w:numFmt w:val="lowerRoman"/>
      <w:start w:val="5"/>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1"/>
      <w:numFmt w:val="decimal"/>
      <w:start w:val="46"/>
    </w:lvl>
  </w:abstractNum>
  <w:abstractNum w:abstractNumId="86">
    <w:nsid w:val="1CA0C5FA"/>
    <w:multiLevelType w:val="hybridMultilevel"/>
    <w:lvl w:ilvl="0">
      <w:lvlJc w:val="left"/>
      <w:lvlText w:val="%1"/>
      <w:numFmt w:val="decimal"/>
      <w:start w:val="48"/>
    </w:lvl>
  </w:abstractNum>
  <w:abstractNum w:abstractNumId="87">
    <w:nsid w:val="53584BCB"/>
    <w:multiLevelType w:val="hybridMultilevel"/>
    <w:lvl w:ilvl="0">
      <w:lvlJc w:val="left"/>
      <w:lvlText w:val="(%1)"/>
      <w:numFmt w:val="decimal"/>
      <w:start w:val="1"/>
    </w:lvl>
  </w:abstractNum>
  <w:abstractNum w:abstractNumId="88">
    <w:nsid w:val="415E286C"/>
    <w:multiLevelType w:val="hybridMultilevel"/>
    <w:lvl w:ilvl="0">
      <w:lvlJc w:val="left"/>
      <w:lvlText w:val="%1"/>
      <w:numFmt w:val="decimal"/>
      <w:start w:val="1"/>
    </w:lvl>
    <w:lvl w:ilvl="1">
      <w:lvlJc w:val="left"/>
      <w:lvlText w:val="(%2)"/>
      <w:numFmt w:val="lowerLetter"/>
      <w:start w:val="1"/>
    </w:lvl>
  </w:abstractNum>
  <w:abstractNum w:abstractNumId="89">
    <w:nsid w:val="7C58FD05"/>
    <w:multiLevelType w:val="hybridMultilevel"/>
    <w:lvl w:ilvl="0">
      <w:lvlJc w:val="left"/>
      <w:lvlText w:val="(%1)"/>
      <w:numFmt w:val="decimal"/>
      <w:start w:val="4"/>
    </w:lvl>
    <w:lvl w:ilvl="1">
      <w:lvlJc w:val="left"/>
      <w:lvlText w:val="%2"/>
      <w:numFmt w:val="lowerLetter"/>
      <w:start w:val="1"/>
    </w:lvl>
  </w:abstractNum>
  <w:abstractNum w:abstractNumId="90">
    <w:nsid w:val="23D86AAC"/>
    <w:multiLevelType w:val="hybridMultilevel"/>
    <w:lvl w:ilvl="0">
      <w:lvlJc w:val="left"/>
      <w:lvlText w:val="(%1)"/>
      <w:numFmt w:val="decimal"/>
      <w:start w:val="6"/>
    </w:lvl>
    <w:lvl w:ilvl="1">
      <w:lvlJc w:val="left"/>
      <w:lvlText w:val="%2."/>
      <w:numFmt w:val="lowerRoman"/>
      <w:start w:val="1"/>
    </w:lvl>
  </w:abstractNum>
  <w:abstractNum w:abstractNumId="91">
    <w:nsid w:val="45E6D486"/>
    <w:multiLevelType w:val="hybridMultilevel"/>
    <w:lvl w:ilvl="0">
      <w:lvlJc w:val="left"/>
      <w:lvlText w:val="%1"/>
      <w:numFmt w:val="decimal"/>
      <w:start w:val="50"/>
    </w:lvl>
  </w:abstractNum>
  <w:abstractNum w:abstractNumId="92">
    <w:nsid w:val="5C10FE21"/>
    <w:multiLevelType w:val="hybridMultilevel"/>
    <w:lvl w:ilvl="0">
      <w:lvlJc w:val="left"/>
      <w:lvlText w:val="(%1)"/>
      <w:numFmt w:val="decimal"/>
      <w:start w:val="7"/>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1"/>
      <w:numFmt w:val="decimal"/>
      <w:start w:val="52"/>
    </w:lvl>
  </w:abstractNum>
  <w:abstractNum w:abstractNumId="95">
    <w:nsid w:val="4BD8591A"/>
    <w:multiLevelType w:val="hybridMultilevel"/>
    <w:lvl w:ilvl="0">
      <w:lvlJc w:val="left"/>
      <w:lvlText w:val="(%1)"/>
      <w:numFmt w:val="decimal"/>
      <w:start w:val="4"/>
    </w:lvl>
  </w:abstractNum>
  <w:abstractNum w:abstractNumId="96">
    <w:nsid w:val="78DF6A55"/>
    <w:multiLevelType w:val="hybridMultilevel"/>
    <w:lvl w:ilvl="0">
      <w:lvlJc w:val="left"/>
      <w:lvlText w:val="(%1)"/>
      <w:numFmt w:val="decimal"/>
      <w:start w:val="1"/>
    </w:lvl>
  </w:abstractNum>
  <w:abstractNum w:abstractNumId="97">
    <w:nsid w:val="39B7AAA2"/>
    <w:multiLevelType w:val="hybridMultilevel"/>
    <w:lvl w:ilvl="0">
      <w:lvlJc w:val="left"/>
      <w:lvlText w:val="(%1)"/>
      <w:numFmt w:val="decimal"/>
      <w:start w:val="4"/>
    </w:lvl>
  </w:abstractNum>
  <w:abstractNum w:abstractNumId="98">
    <w:nsid w:val="2B0D8DBE"/>
    <w:multiLevelType w:val="hybridMultilevel"/>
    <w:lvl w:ilvl="0">
      <w:lvlJc w:val="left"/>
      <w:lvlText w:val="%1"/>
      <w:numFmt w:val="decimal"/>
      <w:start w:val="54"/>
    </w:lvl>
  </w:abstractNum>
  <w:abstractNum w:abstractNumId="99">
    <w:nsid w:val="6C80EC70"/>
    <w:multiLevelType w:val="hybridMultilevel"/>
    <w:lvl w:ilvl="0">
      <w:lvlJc w:val="left"/>
      <w:lvlText w:val="(%1)"/>
      <w:numFmt w:val="decimal"/>
      <w:start w:val="1"/>
    </w:lvl>
  </w:abstractNum>
  <w:abstractNum w:abstractNumId="100">
    <w:nsid w:val="379E21B5"/>
    <w:multiLevelType w:val="hybridMultilevel"/>
    <w:lvl w:ilvl="0">
      <w:lvlJc w:val="left"/>
      <w:lvlText w:val="(%1)"/>
      <w:numFmt w:val="decimal"/>
      <w:start w:val="1"/>
    </w:lvl>
    <w:lvl w:ilvl="1">
      <w:lvlJc w:val="left"/>
      <w:lvlText w:val="·"/>
      <w:numFmt w:val="bullet"/>
      <w:start w:val="1"/>
    </w:lvl>
  </w:abstractNum>
  <w:abstractNum w:abstractNumId="101">
    <w:nsid w:val="69E373"/>
    <w:multiLevelType w:val="hybridMultilevel"/>
    <w:lvl w:ilvl="0">
      <w:lvlJc w:val="left"/>
      <w:lvlText w:val="%1"/>
      <w:numFmt w:val="decimal"/>
      <w:start w:val="56"/>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
      <w:numFmt w:val="bullet"/>
      <w:start w:val="1"/>
    </w:lvl>
  </w:abstractNum>
  <w:abstractNum w:abstractNumId="105">
    <w:nsid w:val="1DF029D3"/>
    <w:multiLevelType w:val="hybridMultilevel"/>
    <w:lvl w:ilvl="0">
      <w:lvlJc w:val="left"/>
      <w:lvlText w:val="%1"/>
      <w:numFmt w:val="decimal"/>
      <w:start w:val="58"/>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1"/>
      <w:numFmt w:val="decimal"/>
      <w:start w:val="60"/>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1"/>
      <w:numFmt w:val="decimal"/>
      <w:start w:val="62"/>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1)"/>
      <w:numFmt w:val="lowerLetter"/>
      <w:start w:val="1"/>
    </w:lvl>
  </w:abstractNum>
  <w:abstractNum w:abstractNumId="116">
    <w:nsid w:val="56438D15"/>
    <w:multiLevelType w:val="hybridMultilevel"/>
    <w:lvl w:ilvl="0">
      <w:lvlJc w:val="left"/>
      <w:lvlText w:val="%1"/>
      <w:numFmt w:val="decimal"/>
      <w:start w:val="64"/>
    </w:lvl>
  </w:abstractNum>
  <w:abstractNum w:abstractNumId="117">
    <w:nsid w:val="519E3149"/>
    <w:multiLevelType w:val="hybridMultilevel"/>
    <w:lvl w:ilvl="0">
      <w:lvlJc w:val="left"/>
      <w:lvlText w:val="%1"/>
      <w:numFmt w:val="decimal"/>
      <w:start w:val="66"/>
    </w:lvl>
  </w:abstractNum>
  <w:abstractNum w:abstractNumId="118">
    <w:nsid w:val="2C6E4AFD"/>
    <w:multiLevelType w:val="hybridMultilevel"/>
    <w:lvl w:ilvl="0">
      <w:lvlJc w:val="left"/>
      <w:lvlText w:val="%1"/>
      <w:numFmt w:val="decimal"/>
      <w:start w:val="68"/>
    </w:lvl>
  </w:abstractNum>
  <w:abstractNum w:abstractNumId="119">
    <w:nsid w:val="17A1B582"/>
    <w:multiLevelType w:val="hybridMultilevel"/>
    <w:lvl w:ilvl="0">
      <w:lvlJc w:val="left"/>
      <w:lvlText w:val="%1"/>
      <w:numFmt w:val="decimal"/>
      <w:start w:val="70"/>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1"/>
      <w:numFmt w:val="decimal"/>
      <w:start w:val="72"/>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1"/>
      <w:numFmt w:val="bullet"/>
      <w:start w:val="1"/>
    </w:lvl>
  </w:abstractNum>
  <w:abstractNum w:abstractNumId="125">
    <w:nsid w:val="19E21BB2"/>
    <w:multiLevelType w:val="hybridMultilevel"/>
    <w:lvl w:ilvl="0">
      <w:lvlJc w:val="left"/>
      <w:lvlText w:val="2"/>
      <w:numFmt w:val="bullet"/>
      <w:start w:val="1"/>
    </w:lvl>
  </w:abstractNum>
  <w:abstractNum w:abstractNumId="126">
    <w:nsid w:val="75E0858A"/>
    <w:multiLevelType w:val="hybridMultilevel"/>
    <w:lvl w:ilvl="0">
      <w:lvlJc w:val="left"/>
      <w:lvlText w:val="A"/>
      <w:numFmt w:val="bullet"/>
      <w:start w:val="1"/>
    </w:lvl>
  </w:abstractNum>
  <w:abstractNum w:abstractNumId="127">
    <w:nsid w:val="57A61A29"/>
    <w:multiLevelType w:val="hybridMultilevel"/>
    <w:lvl w:ilvl="0">
      <w:lvlJc w:val="left"/>
      <w:lvlText w:val="B"/>
      <w:numFmt w:val="bullet"/>
      <w:start w:val="1"/>
    </w:lvl>
  </w:abstractNum>
  <w:abstractNum w:abstractNumId="128">
    <w:nsid w:val="5399C654"/>
    <w:multiLevelType w:val="hybridMultilevel"/>
    <w:lvl w:ilvl="0">
      <w:lvlJc w:val="left"/>
      <w:lvlText w:val="C"/>
      <w:numFmt w:val="bullet"/>
      <w:start w:val="1"/>
    </w:lvl>
  </w:abstractNum>
  <w:abstractNum w:abstractNumId="129">
    <w:nsid w:val="20EE1348"/>
    <w:multiLevelType w:val="hybridMultilevel"/>
    <w:lvl w:ilvl="0">
      <w:lvlJc w:val="left"/>
      <w:lvlText w:val="A"/>
      <w:numFmt w:val="bullet"/>
      <w:start w:val="1"/>
    </w:lvl>
  </w:abstractNum>
  <w:abstractNum w:abstractNumId="130">
    <w:nsid w:val="4427069A"/>
    <w:multiLevelType w:val="hybridMultilevel"/>
    <w:lvl w:ilvl="0">
      <w:lvlJc w:val="left"/>
      <w:lvlText w:val="B"/>
      <w:numFmt w:val="bullet"/>
      <w:start w:val="1"/>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1."/>
      <w:numFmt w:val="decimal"/>
      <w:start w:val="2"/>
    </w:lvl>
  </w:abstractNum>
  <w:abstractNum w:abstractNumId="133">
    <w:nsid w:val="704E1DD5"/>
    <w:multiLevelType w:val="hybridMultilevel"/>
    <w:lvl w:ilvl="0">
      <w:lvlJc w:val="left"/>
      <w:lvlText w:val="g"/>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2019-12-06T18:05:09Z</dcterms:created>
  <dcterms:modified xsi:type="dcterms:W3CDTF">2019-12-06T18:05:09Z</dcterms:modified>
</cp:coreProperties>
</file>