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5322" w:type="dxa"/>
        <w:jc w:val="center"/>
        <w:tblInd w:w="0" w:type="dxa"/>
        <w:tblLayout w:type="fixed"/>
        <w:tblCellMar>
          <w:top w:w="28" w:type="dxa"/>
          <w:left w:w="28" w:type="dxa"/>
          <w:bottom w:w="28" w:type="dxa"/>
          <w:right w:w="28" w:type="dxa"/>
        </w:tblCellMar>
      </w:tblPr>
      <w:tblGrid>
        <w:gridCol w:w="921"/>
        <w:gridCol w:w="809"/>
        <w:gridCol w:w="809"/>
        <w:gridCol w:w="809"/>
        <w:gridCol w:w="809"/>
        <w:gridCol w:w="1165"/>
      </w:tblGrid>
      <w:tr>
        <w:trPr/>
        <w:tc>
          <w:tcPr>
            <w:tcW w:w="92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r>
      <w:tr>
        <w:trPr/>
        <w:tc>
          <w:tcPr>
            <w:tcW w:w="532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FORM 8-K</w:t>
            </w:r>
          </w:p>
        </w:tc>
      </w:tr>
      <w:tr>
        <w:trPr/>
        <w:tc>
          <w:tcPr>
            <w:tcW w:w="532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60"/>
              <w:jc w:val="center"/>
              <w:rPr>
                <w:rFonts w:ascii="Times New Roman;serif" w:hAnsi="Times New Roman;serif"/>
                <w:b/>
                <w:color w:val="000000"/>
                <w:sz w:val="24"/>
              </w:rPr>
            </w:pPr>
            <w:r>
              <w:rPr>
                <w:rFonts w:ascii="Times New Roman;serif" w:hAnsi="Times New Roman;serif"/>
                <w:b/>
                <w:color w:val="000000"/>
                <w:sz w:val="24"/>
              </w:rPr>
              <w:t>CURRENT REPORT</w:t>
              <w:br/>
              <w:t>Pursuant to Section 13 or 15(d) of the</w:t>
              <w:br/>
              <w:t>Securities Exchange Act of 1934</w:t>
            </w:r>
          </w:p>
          <w:p>
            <w:pPr>
              <w:pStyle w:val="TableContents"/>
              <w:bidi w:val="0"/>
              <w:spacing w:lineRule="auto" w:line="240" w:before="0" w:after="60"/>
              <w:jc w:val="center"/>
              <w:rPr/>
            </w:pPr>
            <w:r>
              <w:rPr>
                <w:rFonts w:ascii="Times New Roman;serif" w:hAnsi="Times New Roman;serif"/>
                <w:b/>
                <w:color w:val="000000"/>
                <w:sz w:val="8"/>
              </w:rPr>
              <w:br/>
            </w: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July 21, 2026</w:t>
            </w:r>
          </w:p>
        </w:tc>
      </w:tr>
    </w:tbl>
    <w:p>
      <w:pPr>
        <w:pStyle w:val="TextBody"/>
        <w:bidi w:val="0"/>
        <w:spacing w:before="100" w:after="283"/>
        <w:jc w:val="center"/>
        <w:rPr/>
      </w:pPr>
      <w:r>
        <w:rPr/>
      </w:r>
    </w:p>
    <w:p>
      <w:pPr>
        <w:pStyle w:val="TextBody"/>
        <w:bidi w:val="0"/>
        <w:spacing w:lineRule="auto" w:line="417" w:before="0" w:after="60"/>
        <w:jc w:val="center"/>
        <w:rPr>
          <w:rFonts w:ascii="Times New Roman;serif" w:hAnsi="Times New Roman;serif"/>
          <w:b/>
          <w:color w:val="000000"/>
          <w:sz w:val="48"/>
        </w:rPr>
      </w:pPr>
      <w:r>
        <w:rPr>
          <w:rFonts w:ascii="Times New Roman;serif" w:hAnsi="Times New Roman;serif"/>
          <w:b/>
          <w:color w:val="000000"/>
          <w:sz w:val="48"/>
        </w:rPr>
        <w:t xml:space="preserve">NORTHROP GRUMMAN CORPORATION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802" w:type="dxa"/>
        <w:jc w:val="left"/>
        <w:tblInd w:w="0" w:type="dxa"/>
        <w:tblLayout w:type="fixed"/>
        <w:tblCellMar>
          <w:top w:w="28" w:type="dxa"/>
          <w:left w:w="28" w:type="dxa"/>
          <w:bottom w:w="28" w:type="dxa"/>
          <w:right w:w="28" w:type="dxa"/>
        </w:tblCellMar>
      </w:tblPr>
      <w:tblGrid>
        <w:gridCol w:w="950"/>
        <w:gridCol w:w="833"/>
        <w:gridCol w:w="842"/>
        <w:gridCol w:w="109"/>
        <w:gridCol w:w="109"/>
        <w:gridCol w:w="109"/>
        <w:gridCol w:w="677"/>
        <w:gridCol w:w="677"/>
        <w:gridCol w:w="685"/>
        <w:gridCol w:w="109"/>
        <w:gridCol w:w="109"/>
        <w:gridCol w:w="109"/>
        <w:gridCol w:w="433"/>
        <w:gridCol w:w="433"/>
        <w:gridCol w:w="618"/>
      </w:tblGrid>
      <w:tr>
        <w:trPr/>
        <w:tc>
          <w:tcPr>
            <w:tcW w:w="95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680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1-16411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80-0640649</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60"/>
              <w:jc w:val="center"/>
              <w:rPr>
                <w:rFonts w:ascii="Times New Roman;serif" w:hAnsi="Times New Roman;serif"/>
                <w:b/>
                <w:color w:val="000000"/>
                <w:sz w:val="16"/>
              </w:rPr>
            </w:pPr>
            <w:r>
              <w:rPr>
                <w:rFonts w:ascii="Times New Roman;serif" w:hAnsi="Times New Roman;serif"/>
                <w:b/>
                <w:color w:val="000000"/>
                <w:sz w:val="16"/>
              </w:rPr>
              <w:t>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60"/>
              <w:jc w:val="left"/>
              <w:rPr>
                <w:color w:val="000000"/>
              </w:rPr>
            </w:pPr>
            <w:r>
              <w:rPr>
                <w:color w:val="000000"/>
              </w:rPr>
              <w:t> </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60"/>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6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2980 Fairview Park Drive, Falls Church, VA 22042 </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(Address of principal executive offices)(Zip Code)</w:t>
      </w:r>
    </w:p>
    <w:p>
      <w:pPr>
        <w:pStyle w:val="TextBody"/>
        <w:bidi w:val="0"/>
        <w:spacing w:before="0" w:after="6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(703) 280-2900 </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NOC</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July 21, 2026, Northrop Grumman Corporation issued an earnings release announcing its financial results for the quarter ended June 30, 2026, under the heading “Northrop Grumman Reports Second Quarter 2026 Financial Results.” The earnings release is furnished as Exhibit 99.</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8740" w:type="dxa"/>
        <w:jc w:val="left"/>
        <w:tblInd w:w="0" w:type="dxa"/>
        <w:tblLayout w:type="fixed"/>
        <w:tblCellMar>
          <w:top w:w="28" w:type="dxa"/>
          <w:left w:w="28" w:type="dxa"/>
          <w:bottom w:w="28" w:type="dxa"/>
          <w:right w:w="28" w:type="dxa"/>
        </w:tblCellMar>
      </w:tblPr>
      <w:tblGrid>
        <w:gridCol w:w="125"/>
        <w:gridCol w:w="110"/>
        <w:gridCol w:w="110"/>
        <w:gridCol w:w="489"/>
        <w:gridCol w:w="489"/>
        <w:gridCol w:w="491"/>
        <w:gridCol w:w="109"/>
        <w:gridCol w:w="109"/>
        <w:gridCol w:w="109"/>
        <w:gridCol w:w="1928"/>
        <w:gridCol w:w="1928"/>
        <w:gridCol w:w="2743"/>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c-06302026xearningsrelea.htm">
              <w:r>
                <w:rPr>
                  <w:rStyle w:val="InternetLink"/>
                  <w:rFonts w:ascii="Times New Roman;serif" w:hAnsi="Times New Roman;serif"/>
                  <w:b w:val="false"/>
                  <w:color w:val="0000FF"/>
                  <w:sz w:val="20"/>
                  <w:u w:val="single"/>
                </w:rPr>
                <w:t>Earnings Release dated July 21, 2026 (furnished)</w:t>
              </w:r>
            </w:hyperlink>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pPr>
      <w:r>
        <w:rPr/>
      </w:r>
    </w:p>
    <w:tbl>
      <w:tblPr>
        <w:tblW w:w="70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395"/>
        <w:gridCol w:w="395"/>
        <w:gridCol w:w="395"/>
        <w:gridCol w:w="395"/>
        <w:gridCol w:w="395"/>
        <w:gridCol w:w="395"/>
        <w:gridCol w:w="971"/>
        <w:gridCol w:w="971"/>
        <w:gridCol w:w="13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700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12"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NORTHROP GRUMMAN CORPORATION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Jennifer C. McGarey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w:t>
              <w:br/>
              <w:t>Jennifer C. McGarey</w:t>
              <w:br/>
              <w:t>Corporate Vice President and Secretary</w:t>
            </w:r>
          </w:p>
        </w:tc>
      </w:tr>
    </w:tbl>
    <w:p>
      <w:pPr>
        <w:pStyle w:val="TextBody"/>
        <w:bidi w:val="0"/>
        <w:spacing w:before="0" w:after="0"/>
        <w:ind w:left="0" w:right="0" w:firstLine="36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July 21,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94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373"/>
        <w:gridCol w:w="373"/>
        <w:gridCol w:w="5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Exhibit 99</w:t>
            </w:r>
          </w:p>
        </w:tc>
      </w:tr>
    </w:tbl>
    <w:p>
      <w:pPr>
        <w:pStyle w:val="TextBody"/>
        <w:bidi w:val="0"/>
        <w:spacing w:before="0" w:after="0"/>
        <w:jc w:val="right"/>
        <w:rPr/>
      </w:pPr>
      <w:r>
        <w:rPr/>
        <w:drawing>
          <wp:inline distT="0" distB="0" distL="0" distR="0">
            <wp:extent cx="1943100" cy="419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43100" cy="419100"/>
                    </a:xfrm>
                    <a:prstGeom prst="rect">
                      <a:avLst/>
                    </a:prstGeom>
                  </pic:spPr>
                </pic:pic>
              </a:graphicData>
            </a:graphic>
          </wp:inline>
        </w:drawing>
      </w:r>
    </w:p>
    <w:tbl>
      <w:tblPr>
        <w:tblW w:w="6804" w:type="dxa"/>
        <w:jc w:val="left"/>
        <w:tblInd w:w="0" w:type="dxa"/>
        <w:tblLayout w:type="fixed"/>
        <w:tblCellMar>
          <w:top w:w="28" w:type="dxa"/>
          <w:left w:w="28" w:type="dxa"/>
          <w:bottom w:w="28" w:type="dxa"/>
          <w:right w:w="28" w:type="dxa"/>
        </w:tblCellMar>
      </w:tblPr>
      <w:tblGrid>
        <w:gridCol w:w="886"/>
        <w:gridCol w:w="779"/>
        <w:gridCol w:w="780"/>
        <w:gridCol w:w="109"/>
        <w:gridCol w:w="109"/>
        <w:gridCol w:w="109"/>
        <w:gridCol w:w="309"/>
        <w:gridCol w:w="309"/>
        <w:gridCol w:w="311"/>
        <w:gridCol w:w="109"/>
        <w:gridCol w:w="109"/>
        <w:gridCol w:w="109"/>
        <w:gridCol w:w="811"/>
        <w:gridCol w:w="811"/>
        <w:gridCol w:w="1154"/>
      </w:tblGrid>
      <w:tr>
        <w:trPr/>
        <w:tc>
          <w:tcPr>
            <w:tcW w:w="88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4"/>
              </w:rPr>
            </w:pPr>
            <w:r>
              <w:rPr>
                <w:rFonts w:ascii="Arial;sans-serif" w:hAnsi="Arial;sans-serif"/>
                <w:b/>
                <w:color w:val="000000"/>
                <w:sz w:val="34"/>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Katie Young (Media)</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908-520-9948</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u w:val="single"/>
              </w:rPr>
            </w:pPr>
            <w:r>
              <w:rPr>
                <w:rFonts w:ascii="Arial;sans-serif" w:hAnsi="Arial;sans-serif"/>
                <w:b w:val="false"/>
                <w:color w:val="000000"/>
                <w:sz w:val="22"/>
                <w:u w:val="single"/>
              </w:rPr>
              <w:t>katherine.young@ngc.com</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Adam Barr (Investors)</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703-280-4544</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u w:val="single"/>
              </w:rPr>
            </w:pPr>
            <w:r>
              <w:rPr>
                <w:rFonts w:ascii="Arial;sans-serif" w:hAnsi="Arial;sans-serif"/>
                <w:b w:val="false"/>
                <w:color w:val="000000"/>
                <w:sz w:val="22"/>
                <w:u w:val="single"/>
              </w:rPr>
              <w:t>adam.barr@ngc.com</w:t>
            </w:r>
          </w:p>
        </w:tc>
      </w:tr>
    </w:tbl>
    <w:p>
      <w:pPr>
        <w:pStyle w:val="TextBody"/>
        <w:bidi w:val="0"/>
        <w:spacing w:lineRule="auto" w:line="288" w:before="180" w:after="100"/>
        <w:jc w:val="left"/>
        <w:rPr>
          <w:rFonts w:ascii="Arial;sans-serif" w:hAnsi="Arial;sans-serif"/>
          <w:b/>
          <w:color w:val="000000"/>
          <w:sz w:val="28"/>
        </w:rPr>
      </w:pPr>
      <w:r>
        <w:rPr>
          <w:rFonts w:ascii="Arial;sans-serif" w:hAnsi="Arial;sans-serif"/>
          <w:b/>
          <w:color w:val="000000"/>
          <w:sz w:val="28"/>
        </w:rPr>
        <w:t>Northrop Grumman Reports Second Quarter 2026 Financial Results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Net awards of $20 billion increase backlog to new company record of $105 billion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Sales increase 10 percent sequentially and 5 percent year-over-year to $10.9 billion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Operating income and margin rate of $1.1 billion and 10.1 percent, respectively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Diluted earnings per share (EPS) of $7.68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Company increases 2026 financial guidance for sales and MTM-adjusted EPS</w:t>
      </w:r>
      <w:r>
        <w:rPr>
          <w:rFonts w:ascii="Arial;sans-serif" w:hAnsi="Arial;sans-serif"/>
          <w:b w:val="false"/>
          <w:color w:val="000000"/>
          <w:sz w:val="16"/>
        </w:rPr>
        <w:t>1</w:t>
      </w:r>
      <w:r>
        <w:rPr>
          <w:rFonts w:ascii="Arial;sans-serif" w:hAnsi="Arial;sans-serif"/>
          <w:b w:val="false"/>
          <w:color w:val="000000"/>
          <w:sz w:val="24"/>
        </w:rPr>
        <w: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Sales now expected between $43.75B and $44.25B, an increase of $250M</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MTM-adjusted EPS</w:t>
      </w:r>
      <w:r>
        <w:rPr>
          <w:rFonts w:ascii="Arial;sans-serif" w:hAnsi="Arial;sans-serif"/>
          <w:b w:val="false"/>
          <w:color w:val="000000"/>
          <w:sz w:val="16"/>
        </w:rPr>
        <w:t>1</w:t>
      </w:r>
      <w:r>
        <w:rPr>
          <w:color w:val="000000"/>
        </w:rPr>
        <w:t xml:space="preserve"> </w:t>
      </w:r>
      <w:r>
        <w:rPr>
          <w:rFonts w:ascii="Arial;sans-serif" w:hAnsi="Arial;sans-serif"/>
          <w:b w:val="false"/>
          <w:color w:val="000000"/>
          <w:sz w:val="24"/>
        </w:rPr>
        <w:t xml:space="preserve">now expected between $28.60 and $29.10, an increase of $1.20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Company reaffirms guidance for operating income and adjusted free cash flow</w:t>
      </w:r>
      <w:r>
        <w:rPr>
          <w:rFonts w:ascii="Arial;sans-serif" w:hAnsi="Arial;sans-serif"/>
          <w:b w:val="false"/>
          <w:color w:val="000000"/>
          <w:sz w:val="16"/>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00"/>
        <w:jc w:val="left"/>
        <w:rPr>
          <w:rFonts w:ascii="Arial;sans-serif" w:hAnsi="Arial;sans-serif"/>
          <w:b w:val="false"/>
          <w:color w:val="000000"/>
          <w:sz w:val="24"/>
        </w:rPr>
      </w:pPr>
      <w:r>
        <w:rPr>
          <w:rFonts w:ascii="Arial;sans-serif" w:hAnsi="Arial;sans-serif"/>
          <w:b w:val="false"/>
          <w:color w:val="000000"/>
          <w:sz w:val="24"/>
        </w:rPr>
        <w:t>FALLS CHURCH, Va. – July 21, 2026 – Northrop Grumman Corporation (NYSE: NOC) reported second quarter 2026 sales increased 5 percent to $10.9 billion, as compared with $10.4 billion in the second quarter of 2025. Second quarter sales reflect continued strong demand for our global capabilities. Second quarter 2026 net earnings totaled $1.1 billion, or $7.68 per diluted share, as compared with $1.2 billion, or $8.15 per diluted share, in the second quarter of 2025. Second quarter 2025 net earnings reflect a benefit of $150 million, or $1.04 per diluted share, associated with the divestiture of our training services business.</w:t>
      </w:r>
    </w:p>
    <w:p>
      <w:pPr>
        <w:pStyle w:val="TextBody"/>
        <w:bidi w:val="0"/>
        <w:spacing w:lineRule="auto" w:line="288" w:before="0" w:after="0"/>
        <w:ind w:left="0" w:right="0" w:firstLine="360"/>
        <w:jc w:val="left"/>
        <w:rPr>
          <w:color w:val="000000"/>
        </w:rPr>
      </w:pPr>
      <w:r>
        <w:rPr>
          <w:color w:val="000000"/>
        </w:rPr>
        <w:t>“</w:t>
      </w:r>
      <w:r>
        <w:rPr>
          <w:rFonts w:ascii="Arial;sans-serif" w:hAnsi="Arial;sans-serif"/>
          <w:b w:val="false"/>
          <w:color w:val="000000"/>
          <w:sz w:val="24"/>
        </w:rPr>
        <w:t>Northrop Grumman achieved a new record backlog, driven by robust global demand for our products,” said Kathy Warden, chair, chief executive officer and president. “We are raising our sales and EPS guidance for the year based on our confidence in our team and the demand for our technologies. As momentum accelerates across our portfolio and the budgets continue to support demand, we remain focused on delivering for our customers with speed and precision, and we are proud of our role in preserving the freedoms we celebrate during our nation’s 250th birthday.”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996315"/>
                <wp:effectExtent l="0" t="0" r="0" b="0"/>
                <wp:wrapNone/>
                <wp:docPr id="5" name="Frame4"/>
                <a:graphic xmlns:a="http://schemas.openxmlformats.org/drawingml/2006/main">
                  <a:graphicData uri="http://schemas.microsoft.com/office/word/2010/wordprocessingShape">
                    <wps:wsp>
                      <wps:cNvSpPr txBox="1"/>
                      <wps:spPr>
                        <a:xfrm>
                          <a:off x="0" y="0"/>
                          <a:ext cx="6480175" cy="996315"/>
                        </a:xfrm>
                        <a:prstGeom prst="rect"/>
                        <a:solidFill>
                          <a:srgbClr val="FFFFFF"/>
                        </a:solidFill>
                      </wps:spPr>
                      <wps:txbx>
                        <w:txbxContent>
                          <w:tbl>
                            <w:tblPr>
                              <w:tblW w:w="5519" w:type="dxa"/>
                              <w:jc w:val="left"/>
                              <w:tblInd w:w="0" w:type="dxa"/>
                              <w:tblLayout w:type="fixed"/>
                              <w:tblCellMar>
                                <w:top w:w="28" w:type="dxa"/>
                                <w:left w:w="28" w:type="dxa"/>
                                <w:bottom w:w="28" w:type="dxa"/>
                                <w:right w:w="28" w:type="dxa"/>
                              </w:tblCellMar>
                            </w:tblPr>
                            <w:tblGrid>
                              <w:gridCol w:w="657"/>
                              <w:gridCol w:w="578"/>
                              <w:gridCol w:w="578"/>
                              <w:gridCol w:w="578"/>
                              <w:gridCol w:w="578"/>
                              <w:gridCol w:w="578"/>
                              <w:gridCol w:w="578"/>
                              <w:gridCol w:w="578"/>
                              <w:gridCol w:w="816"/>
                            </w:tblGrid>
                            <w:tr>
                              <w:trPr/>
                              <w:tc>
                                <w:tcPr>
                                  <w:tcW w:w="657" w:type="dxa"/>
                                  <w:tcBorders/>
                                  <w:vAlign w:val="center"/>
                                </w:tcPr>
                                <w:p>
                                  <w:pPr>
                                    <w:pStyle w:val="TableContents"/>
                                    <w:bidi w:val="0"/>
                                    <w:spacing w:before="0" w:after="283"/>
                                    <w:jc w:val="left"/>
                                    <w:rPr>
                                      <w:sz w:val="4"/>
                                      <w:szCs w:val="4"/>
                                    </w:rPr>
                                  </w:pPr>
                                  <w:r>
                                    <w:rPr>
                                      <w:sz w:val="4"/>
                                      <w:szCs w:val="4"/>
                                    </w:rPr>
                                  </w:r>
                                  <w:r>
                                    <w:br w:type="page"/>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55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Non-GAAP measure - see definitions at the end of this earnings release.</w:t>
                                  </w:r>
                                </w:p>
                              </w:tc>
                            </w:tr>
                            <w:tr>
                              <w:trPr/>
                              <w:tc>
                                <w:tcPr>
                                  <w:tcW w:w="5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45pt;mso-wrap-distance-left:0pt;mso-wrap-distance-right:0pt;mso-wrap-distance-top:0pt;mso-wrap-distance-bottom:0pt;margin-top:0pt;mso-position-vertical:top;mso-position-vertical-relative:text;margin-left:0pt;mso-position-horizontal:left;mso-position-horizontal-relative:text">
                <v:textbox>
                  <w:txbxContent>
                    <w:tbl>
                      <w:tblPr>
                        <w:tblW w:w="5519" w:type="dxa"/>
                        <w:jc w:val="left"/>
                        <w:tblInd w:w="0" w:type="dxa"/>
                        <w:tblLayout w:type="fixed"/>
                        <w:tblCellMar>
                          <w:top w:w="28" w:type="dxa"/>
                          <w:left w:w="28" w:type="dxa"/>
                          <w:bottom w:w="28" w:type="dxa"/>
                          <w:right w:w="28" w:type="dxa"/>
                        </w:tblCellMar>
                      </w:tblPr>
                      <w:tblGrid>
                        <w:gridCol w:w="657"/>
                        <w:gridCol w:w="578"/>
                        <w:gridCol w:w="578"/>
                        <w:gridCol w:w="578"/>
                        <w:gridCol w:w="578"/>
                        <w:gridCol w:w="578"/>
                        <w:gridCol w:w="578"/>
                        <w:gridCol w:w="578"/>
                        <w:gridCol w:w="816"/>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55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Non-GAAP measure - see definitions at the end of this earnings release.</w:t>
                            </w:r>
                          </w:p>
                        </w:tc>
                      </w:tr>
                      <w:tr>
                        <w:trPr/>
                        <w:tc>
                          <w:tcPr>
                            <w:tcW w:w="5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7120" w:type="dxa"/>
        <w:jc w:val="left"/>
        <w:tblInd w:w="0" w:type="dxa"/>
        <w:tblLayout w:type="fixed"/>
        <w:tblCellMar>
          <w:top w:w="28" w:type="dxa"/>
          <w:left w:w="28" w:type="dxa"/>
          <w:bottom w:w="28" w:type="dxa"/>
          <w:right w:w="28" w:type="dxa"/>
        </w:tblCellMar>
      </w:tblPr>
      <w:tblGrid>
        <w:gridCol w:w="1250"/>
        <w:gridCol w:w="1096"/>
        <w:gridCol w:w="1096"/>
        <w:gridCol w:w="1096"/>
        <w:gridCol w:w="1096"/>
        <w:gridCol w:w="1114"/>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8" w:type="dxa"/>
            <w:gridSpan w:val="6"/>
            <w:tcBorders/>
            <w:tcMar>
              <w:top w:w="0" w:type="dxa"/>
              <w:left w:w="0" w:type="dxa"/>
              <w:bottom w:w="0" w:type="dxa"/>
              <w:right w:w="0" w:type="dxa"/>
            </w:tcMar>
            <w:vAlign w:val="center"/>
          </w:tcPr>
          <w:p>
            <w:pPr>
              <w:pStyle w:val="TableContents"/>
              <w:bidi w:val="0"/>
              <w:spacing w:lineRule="auto" w:line="240" w:before="180" w:after="10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Second Quarter 2026 Financial Results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2</w:t>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Consolidated Operating Results and Cash Flows</w:t>
      </w:r>
    </w:p>
    <w:tbl>
      <w:tblPr>
        <w:tblW w:w="10205" w:type="dxa"/>
        <w:jc w:val="left"/>
        <w:tblInd w:w="0" w:type="dxa"/>
        <w:tblLayout w:type="fixed"/>
        <w:tblCellMar>
          <w:top w:w="28" w:type="dxa"/>
          <w:left w:w="28" w:type="dxa"/>
          <w:bottom w:w="28" w:type="dxa"/>
          <w:right w:w="28" w:type="dxa"/>
        </w:tblCellMar>
      </w:tblPr>
      <w:tblGrid>
        <w:gridCol w:w="1256"/>
        <w:gridCol w:w="463"/>
        <w:gridCol w:w="466"/>
        <w:gridCol w:w="211"/>
        <w:gridCol w:w="648"/>
        <w:gridCol w:w="271"/>
        <w:gridCol w:w="109"/>
        <w:gridCol w:w="109"/>
        <w:gridCol w:w="109"/>
        <w:gridCol w:w="211"/>
        <w:gridCol w:w="648"/>
        <w:gridCol w:w="271"/>
        <w:gridCol w:w="109"/>
        <w:gridCol w:w="109"/>
        <w:gridCol w:w="109"/>
        <w:gridCol w:w="194"/>
        <w:gridCol w:w="194"/>
        <w:gridCol w:w="468"/>
        <w:gridCol w:w="109"/>
        <w:gridCol w:w="109"/>
        <w:gridCol w:w="109"/>
        <w:gridCol w:w="211"/>
        <w:gridCol w:w="646"/>
        <w:gridCol w:w="271"/>
        <w:gridCol w:w="109"/>
        <w:gridCol w:w="109"/>
        <w:gridCol w:w="109"/>
        <w:gridCol w:w="211"/>
        <w:gridCol w:w="651"/>
        <w:gridCol w:w="271"/>
        <w:gridCol w:w="109"/>
        <w:gridCol w:w="109"/>
        <w:gridCol w:w="109"/>
        <w:gridCol w:w="240"/>
        <w:gridCol w:w="241"/>
        <w:gridCol w:w="527"/>
      </w:tblGrid>
      <w:tr>
        <w:trPr/>
        <w:tc>
          <w:tcPr>
            <w:tcW w:w="125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2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in millions, except per share amounts</w:t>
            </w:r>
          </w:p>
        </w:tc>
        <w:tc>
          <w:tcPr>
            <w:tcW w:w="1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 Systems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3,519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6,802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Defense Systems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2,093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3,992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Mission Systems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3,250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6,111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Space Systems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2,753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5,233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Intersegment eliminations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sales</w:t>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10,876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20,757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 Systems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383</w:t>
            </w: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Defense Systems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Mission Systems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934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Space Systems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Intersegment eliminations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Segment operating income</w:t>
            </w:r>
            <w:r>
              <w:rPr>
                <w:rFonts w:ascii="Arial;sans-serif" w:hAnsi="Arial;sans-serif"/>
                <w:b w:val="false"/>
                <w:color w:val="000000"/>
                <w:sz w:val="13"/>
              </w:rPr>
              <w:t>1</w:t>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2,230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Segment operating margin rate</w:t>
            </w:r>
            <w:r>
              <w:rPr>
                <w:rFonts w:ascii="Arial;sans-serif" w:hAnsi="Arial;sans-serif"/>
                <w:b w:val="false"/>
                <w:i/>
                <w:color w:val="000000"/>
                <w:sz w:val="12"/>
              </w:rPr>
              <w:t>1</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10.6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(120)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10.7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170 bps</w:t>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FAS/CAS operating adjustment</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(89)</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(89)</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Unallocated corporate expense:</w:t>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business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NM</w:t>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Training services divestiture – unallowable state taxes and transaction costs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NM</w:t>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and PP&amp;E step-up depreciation</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unallocated corporate expense</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w:t>
            </w: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Unallocated corporate (expense) income</w:t>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NM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NM</w:t>
            </w:r>
          </w:p>
        </w:tc>
      </w:tr>
      <w:tr>
        <w:trPr/>
        <w:tc>
          <w:tcPr>
            <w:tcW w:w="2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2,085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Operating margin rate</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10.1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13.8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(370)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10.0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(10) bps</w:t>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FAS pension benefit</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w:t>
            </w: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w:t>
            </w:r>
            <w:r>
              <w:rPr>
                <w:color w:val="000000"/>
              </w:rPr>
              <w:t>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w:t>
            </w: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2,198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 and foreign income tax expense</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(71)</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Effective income tax rate</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6.3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(1,140)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10.4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(710) bps</w:t>
            </w:r>
          </w:p>
        </w:tc>
      </w:tr>
      <w:tr>
        <w:trPr/>
        <w:tc>
          <w:tcPr>
            <w:tcW w:w="2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w:t>
            </w:r>
            <w:r>
              <w:rPr>
                <w:color w:val="000000"/>
              </w:rPr>
              <w:t>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Diluted earnings per share</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diluted shares outstanding, in millions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(used in) operating activities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w:t>
            </w:r>
            <w:r>
              <w:rPr>
                <w:color w:val="000000"/>
              </w:rPr>
              <w:t>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w:t>
            </w:r>
            <w:r>
              <w:rPr>
                <w:color w:val="000000"/>
              </w:rPr>
              <w:t> </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w:t>
            </w:r>
            <w:r>
              <w:rPr>
                <w:color w:val="000000"/>
              </w:rPr>
              <w:t>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1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20"/>
              </w:rPr>
              <w:t>Adjusted free cash flow</w:t>
            </w:r>
            <w:r>
              <w:rPr>
                <w:rFonts w:ascii="Arial;sans-serif" w:hAnsi="Arial;sans-serif"/>
                <w:b/>
                <w:color w:val="000000"/>
                <w:sz w:val="13"/>
              </w:rPr>
              <w:t>1</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978</w:t>
            </w:r>
            <w:r>
              <w:rPr>
                <w:color w:val="000000"/>
              </w:rPr>
              <w:t>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w:t>
            </w:r>
            <w:r>
              <w:rPr>
                <w:color w:val="000000"/>
              </w:rPr>
              <w:t> </w:t>
            </w:r>
          </w:p>
        </w:tc>
        <w:tc>
          <w:tcPr>
            <w:tcW w:w="4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(845)</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(1,184)</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w:t>
            </w:r>
            <w:r>
              <w:rPr>
                <w:color w:val="000000"/>
              </w:rPr>
              <w:t> </w:t>
            </w:r>
          </w:p>
        </w:tc>
        <w:tc>
          <w:tcPr>
            <w:tcW w:w="5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996315"/>
                <wp:effectExtent l="0" t="0" r="0" b="0"/>
                <wp:wrapNone/>
                <wp:docPr id="6" name="Frame5"/>
                <a:graphic xmlns:a="http://schemas.openxmlformats.org/drawingml/2006/main">
                  <a:graphicData uri="http://schemas.microsoft.com/office/word/2010/wordprocessingShape">
                    <wps:wsp>
                      <wps:cNvSpPr txBox="1"/>
                      <wps:spPr>
                        <a:xfrm>
                          <a:off x="0" y="0"/>
                          <a:ext cx="6480175" cy="996315"/>
                        </a:xfrm>
                        <a:prstGeom prst="rect"/>
                        <a:solidFill>
                          <a:srgbClr val="FFFFFF"/>
                        </a:solidFill>
                      </wps:spPr>
                      <wps:txbx>
                        <w:txbxContent>
                          <w:tbl>
                            <w:tblPr>
                              <w:tblW w:w="5519" w:type="dxa"/>
                              <w:jc w:val="left"/>
                              <w:tblInd w:w="0" w:type="dxa"/>
                              <w:tblLayout w:type="fixed"/>
                              <w:tblCellMar>
                                <w:top w:w="28" w:type="dxa"/>
                                <w:left w:w="28" w:type="dxa"/>
                                <w:bottom w:w="28" w:type="dxa"/>
                                <w:right w:w="28" w:type="dxa"/>
                              </w:tblCellMar>
                            </w:tblPr>
                            <w:tblGrid>
                              <w:gridCol w:w="657"/>
                              <w:gridCol w:w="578"/>
                              <w:gridCol w:w="578"/>
                              <w:gridCol w:w="578"/>
                              <w:gridCol w:w="578"/>
                              <w:gridCol w:w="578"/>
                              <w:gridCol w:w="578"/>
                              <w:gridCol w:w="578"/>
                              <w:gridCol w:w="816"/>
                            </w:tblGrid>
                            <w:tr>
                              <w:trPr/>
                              <w:tc>
                                <w:tcPr>
                                  <w:tcW w:w="657" w:type="dxa"/>
                                  <w:tcBorders/>
                                  <w:vAlign w:val="center"/>
                                </w:tcPr>
                                <w:p>
                                  <w:pPr>
                                    <w:pStyle w:val="TableContents"/>
                                    <w:bidi w:val="0"/>
                                    <w:spacing w:before="0" w:after="283"/>
                                    <w:jc w:val="left"/>
                                    <w:rPr>
                                      <w:sz w:val="4"/>
                                      <w:szCs w:val="4"/>
                                    </w:rPr>
                                  </w:pPr>
                                  <w:r>
                                    <w:rPr>
                                      <w:sz w:val="4"/>
                                      <w:szCs w:val="4"/>
                                    </w:rPr>
                                  </w:r>
                                  <w:r>
                                    <w:br w:type="page"/>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55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Non-GAAP measure - see definitions at the end of this earnings release.</w:t>
                                  </w:r>
                                </w:p>
                              </w:tc>
                            </w:tr>
                            <w:tr>
                              <w:trPr/>
                              <w:tc>
                                <w:tcPr>
                                  <w:tcW w:w="5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45pt;mso-wrap-distance-left:0pt;mso-wrap-distance-right:0pt;mso-wrap-distance-top:0pt;mso-wrap-distance-bottom:0pt;margin-top:0pt;mso-position-vertical:top;mso-position-vertical-relative:text;margin-left:0pt;mso-position-horizontal:left;mso-position-horizontal-relative:text">
                <v:textbox>
                  <w:txbxContent>
                    <w:tbl>
                      <w:tblPr>
                        <w:tblW w:w="5519" w:type="dxa"/>
                        <w:jc w:val="left"/>
                        <w:tblInd w:w="0" w:type="dxa"/>
                        <w:tblLayout w:type="fixed"/>
                        <w:tblCellMar>
                          <w:top w:w="28" w:type="dxa"/>
                          <w:left w:w="28" w:type="dxa"/>
                          <w:bottom w:w="28" w:type="dxa"/>
                          <w:right w:w="28" w:type="dxa"/>
                        </w:tblCellMar>
                      </w:tblPr>
                      <w:tblGrid>
                        <w:gridCol w:w="657"/>
                        <w:gridCol w:w="578"/>
                        <w:gridCol w:w="578"/>
                        <w:gridCol w:w="578"/>
                        <w:gridCol w:w="578"/>
                        <w:gridCol w:w="578"/>
                        <w:gridCol w:w="578"/>
                        <w:gridCol w:w="578"/>
                        <w:gridCol w:w="816"/>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55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Non-GAAP measure - see definitions at the end of this earnings release.</w:t>
                            </w:r>
                          </w:p>
                        </w:tc>
                      </w:tr>
                      <w:tr>
                        <w:trPr/>
                        <w:tc>
                          <w:tcPr>
                            <w:tcW w:w="5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7120" w:type="dxa"/>
        <w:jc w:val="left"/>
        <w:tblInd w:w="0" w:type="dxa"/>
        <w:tblLayout w:type="fixed"/>
        <w:tblCellMar>
          <w:top w:w="28" w:type="dxa"/>
          <w:left w:w="28" w:type="dxa"/>
          <w:bottom w:w="28" w:type="dxa"/>
          <w:right w:w="28" w:type="dxa"/>
        </w:tblCellMar>
      </w:tblPr>
      <w:tblGrid>
        <w:gridCol w:w="1250"/>
        <w:gridCol w:w="1096"/>
        <w:gridCol w:w="1096"/>
        <w:gridCol w:w="1096"/>
        <w:gridCol w:w="1096"/>
        <w:gridCol w:w="1114"/>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8" w:type="dxa"/>
            <w:gridSpan w:val="6"/>
            <w:tcBorders/>
            <w:tcMar>
              <w:top w:w="0" w:type="dxa"/>
              <w:left w:w="0" w:type="dxa"/>
              <w:bottom w:w="0" w:type="dxa"/>
              <w:right w:w="0" w:type="dxa"/>
            </w:tcMar>
            <w:vAlign w:val="center"/>
          </w:tcPr>
          <w:p>
            <w:pPr>
              <w:pStyle w:val="TableContents"/>
              <w:bidi w:val="0"/>
              <w:spacing w:lineRule="auto" w:line="240" w:before="180" w:after="10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Second Quarter 2026 Financial Results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3</w:t>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Sales</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Second quarter 2026 sales increased $525 million, or 5 percent, driven by higher sales at all four sectors, including a 13 percent increase at Aeronautics Systems.</w:t>
      </w:r>
    </w:p>
    <w:p>
      <w:pPr>
        <w:pStyle w:val="TextBody"/>
        <w:bidi w:val="0"/>
        <w:spacing w:lineRule="auto" w:line="288" w:before="100" w:after="283"/>
        <w:jc w:val="left"/>
        <w:rPr>
          <w:rFonts w:ascii="Arial;sans-serif" w:hAnsi="Arial;sans-serif"/>
          <w:b/>
          <w:color w:val="000000"/>
          <w:sz w:val="24"/>
        </w:rPr>
      </w:pPr>
      <w:r>
        <w:rPr>
          <w:rFonts w:ascii="Arial;sans-serif" w:hAnsi="Arial;sans-serif"/>
          <w:b/>
          <w:color w:val="000000"/>
          <w:sz w:val="24"/>
        </w:rPr>
        <w:t>Operating Income and Margin Rate</w:t>
      </w:r>
    </w:p>
    <w:p>
      <w:pPr>
        <w:pStyle w:val="TextBody"/>
        <w:bidi w:val="0"/>
        <w:spacing w:lineRule="auto" w:line="288" w:before="0" w:after="100"/>
        <w:ind w:left="0" w:right="0" w:firstLine="360"/>
        <w:jc w:val="left"/>
        <w:rPr/>
      </w:pPr>
      <w:r>
        <w:rPr>
          <w:rFonts w:ascii="Arial;sans-serif" w:hAnsi="Arial;sans-serif"/>
          <w:b w:val="false"/>
          <w:color w:val="000000"/>
          <w:sz w:val="24"/>
        </w:rPr>
        <w:t>Second quarter 2026 operating income decreased $329 million, or 23 percent, primarily driven by the prior year $231 million gain on the training services divestiture, as well as $61 million of lower segment operating income</w:t>
      </w:r>
      <w:r>
        <w:rPr>
          <w:rFonts w:ascii="Arial;sans-serif" w:hAnsi="Arial;sans-serif"/>
          <w:b w:val="false"/>
          <w:color w:val="000000"/>
          <w:sz w:val="16"/>
        </w:rPr>
        <w:t>1</w:t>
      </w:r>
      <w:r>
        <w:rPr>
          <w:color w:val="000000"/>
        </w:rPr>
        <w:t xml:space="preserve"> </w:t>
      </w:r>
      <w:r>
        <w:rPr>
          <w:rFonts w:ascii="Arial;sans-serif" w:hAnsi="Arial;sans-serif"/>
          <w:b w:val="false"/>
          <w:color w:val="000000"/>
          <w:sz w:val="24"/>
        </w:rPr>
        <w:t>and a $56 million decrease in the FAS/CAS operating adjustment. Operating margin rate declined to 10.1 percent from 13.8 percent reflecting the items above.</w:t>
      </w:r>
    </w:p>
    <w:p>
      <w:pPr>
        <w:pStyle w:val="TextBody"/>
        <w:bidi w:val="0"/>
        <w:spacing w:lineRule="auto" w:line="288" w:before="0" w:after="0"/>
        <w:jc w:val="left"/>
        <w:rPr/>
      </w:pPr>
      <w:r>
        <w:rPr>
          <w:rFonts w:ascii="Arial;sans-serif" w:hAnsi="Arial;sans-serif"/>
          <w:b/>
          <w:color w:val="000000"/>
          <w:sz w:val="24"/>
        </w:rPr>
        <w:t>Segment Operating Income and Margin Rate</w:t>
      </w:r>
      <w:r>
        <w:rPr>
          <w:rFonts w:ascii="Arial;sans-serif" w:hAnsi="Arial;sans-serif"/>
          <w:b/>
          <w:color w:val="000000"/>
          <w:sz w:val="16"/>
        </w:rPr>
        <w:t>1</w:t>
      </w:r>
    </w:p>
    <w:p>
      <w:pPr>
        <w:pStyle w:val="TextBody"/>
        <w:bidi w:val="0"/>
        <w:spacing w:lineRule="auto" w:line="288" w:before="0" w:after="100"/>
        <w:ind w:left="0" w:right="0" w:firstLine="360"/>
        <w:jc w:val="left"/>
        <w:rPr/>
      </w:pPr>
      <w:r>
        <w:rPr>
          <w:rFonts w:ascii="Arial;sans-serif" w:hAnsi="Arial;sans-serif"/>
          <w:b w:val="false"/>
          <w:color w:val="000000"/>
          <w:sz w:val="24"/>
        </w:rPr>
        <w:t>Second quarter 2026 segment operating income</w:t>
      </w:r>
      <w:r>
        <w:rPr>
          <w:rFonts w:ascii="Arial;sans-serif" w:hAnsi="Arial;sans-serif"/>
          <w:b w:val="false"/>
          <w:color w:val="000000"/>
          <w:sz w:val="16"/>
        </w:rPr>
        <w:t>1</w:t>
      </w:r>
      <w:r>
        <w:rPr>
          <w:color w:val="000000"/>
        </w:rPr>
        <w:t xml:space="preserve"> </w:t>
      </w:r>
      <w:r>
        <w:rPr>
          <w:rFonts w:ascii="Arial;sans-serif" w:hAnsi="Arial;sans-serif"/>
          <w:b w:val="false"/>
          <w:color w:val="000000"/>
          <w:sz w:val="24"/>
        </w:rPr>
        <w:t>decreased $61 million, or 5 percent, primarily due to $97 million of lower operating income at Defense Systems and $44 million of lower operating income at Space Systems, partially offset by $60 million of higher operating income at Mission Systems and $41 million of higher operating income at Aeronautics Systems. Segment operating margin rate</w:t>
      </w:r>
      <w:r>
        <w:rPr>
          <w:rFonts w:ascii="Arial;sans-serif" w:hAnsi="Arial;sans-serif"/>
          <w:b w:val="false"/>
          <w:color w:val="000000"/>
          <w:sz w:val="16"/>
        </w:rPr>
        <w:t>1</w:t>
      </w:r>
      <w:r>
        <w:rPr>
          <w:color w:val="000000"/>
        </w:rPr>
        <w:t xml:space="preserve"> </w:t>
      </w:r>
      <w:r>
        <w:rPr>
          <w:rFonts w:ascii="Arial;sans-serif" w:hAnsi="Arial;sans-serif"/>
          <w:b w:val="false"/>
          <w:color w:val="000000"/>
          <w:sz w:val="24"/>
        </w:rPr>
        <w:t>decreased to 10.6 percent from 11.8 percent primarily due to a lower operating margin rate at Defense Systems and Space Systems, partially offset by a higher operating margin rate at Mission Systems.</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Federal and Foreign Income Taxes</w:t>
      </w:r>
    </w:p>
    <w:p>
      <w:pPr>
        <w:pStyle w:val="TextBody"/>
        <w:bidi w:val="0"/>
        <w:spacing w:lineRule="auto" w:line="276"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Second quarter 2026 income tax expense decreased $179 million, or 71 percent, due to a lower effective tax rate (ETR) and $259 million of lower earnings before income taxes. The second quarter 2026 ETR decreased to 6.3 percent from 17.7 percent principally due to the remeasurement of uncertain tax positions given recent developments with the IRS towards resolving our previously filed federal income tax returns and refund claims.</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Net Earnings</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Second quarter 2026 net earnings decreased $80 million, or 7 percent, primarily due to the $329 million decrease in operating income described above, partially offset by a $179 million decrease in income tax expense, a $29 million increase in the non-operating FAS pension benefit and a $29 million increase in Other, net largely driven by favorable returns associated with an investment sold during the quarter.</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Cash Flows</w:t>
      </w:r>
    </w:p>
    <w:p>
      <w:pPr>
        <w:pStyle w:val="TextBody"/>
        <w:bidi w:val="0"/>
        <w:spacing w:lineRule="auto" w:line="288" w:before="0" w:after="100"/>
        <w:ind w:left="0" w:right="0" w:firstLine="360"/>
        <w:jc w:val="left"/>
        <w:rPr/>
      </w:pPr>
      <w:r>
        <w:rPr>
          <w:rFonts w:ascii="Arial;sans-serif" w:hAnsi="Arial;sans-serif"/>
          <w:b w:val="false"/>
          <w:color w:val="000000"/>
          <w:sz w:val="24"/>
        </w:rPr>
        <w:t>Second quarter 2026 net cash provided by operating activities increased $412 million, or 47 percent, primarily due to lower net cash tax payments. Second quarter 2026 adjusted free cash flow</w:t>
      </w:r>
      <w:r>
        <w:rPr>
          <w:rFonts w:ascii="Arial;sans-serif" w:hAnsi="Arial;sans-serif"/>
          <w:b w:val="false"/>
          <w:color w:val="000000"/>
          <w:sz w:val="16"/>
        </w:rPr>
        <w:t>1</w:t>
      </w:r>
      <w:r>
        <w:rPr>
          <w:color w:val="000000"/>
        </w:rPr>
        <w:t xml:space="preserve"> </w:t>
      </w:r>
      <w:r>
        <w:rPr>
          <w:rFonts w:ascii="Arial;sans-serif" w:hAnsi="Arial;sans-serif"/>
          <w:b w:val="false"/>
          <w:color w:val="000000"/>
          <w:sz w:val="24"/>
        </w:rPr>
        <w:t>increased $341 million, or 54 percent, due to an increase in net cash provided by operating activities, partially offset by an increase in capital expenditures.</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Awards and Backlog</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Second quarter 2026 net awards totaled $20.0 billion, and backlog totaled $104.7 billion. Significant second quarter new awards include $7.6 billion for Sentinel, $4.3 billion for restricted programs (primarily at Aeronautics Systems and Space Systems), $1.0 billion for F-35 (at Aeronautics Systems and Mission Systems), $0.8 billion for Glide Phase Interceptor (GPI), and $0.7 billion for Multi-role Electronically Scanned Array (MESA).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996315"/>
                <wp:effectExtent l="0" t="0" r="0" b="0"/>
                <wp:wrapNone/>
                <wp:docPr id="7" name="Frame6"/>
                <a:graphic xmlns:a="http://schemas.openxmlformats.org/drawingml/2006/main">
                  <a:graphicData uri="http://schemas.microsoft.com/office/word/2010/wordprocessingShape">
                    <wps:wsp>
                      <wps:cNvSpPr txBox="1"/>
                      <wps:spPr>
                        <a:xfrm>
                          <a:off x="0" y="0"/>
                          <a:ext cx="6480175" cy="996315"/>
                        </a:xfrm>
                        <a:prstGeom prst="rect"/>
                        <a:solidFill>
                          <a:srgbClr val="FFFFFF"/>
                        </a:solidFill>
                      </wps:spPr>
                      <wps:txbx>
                        <w:txbxContent>
                          <w:tbl>
                            <w:tblPr>
                              <w:tblW w:w="5519" w:type="dxa"/>
                              <w:jc w:val="left"/>
                              <w:tblInd w:w="0" w:type="dxa"/>
                              <w:tblLayout w:type="fixed"/>
                              <w:tblCellMar>
                                <w:top w:w="28" w:type="dxa"/>
                                <w:left w:w="28" w:type="dxa"/>
                                <w:bottom w:w="28" w:type="dxa"/>
                                <w:right w:w="28" w:type="dxa"/>
                              </w:tblCellMar>
                            </w:tblPr>
                            <w:tblGrid>
                              <w:gridCol w:w="657"/>
                              <w:gridCol w:w="578"/>
                              <w:gridCol w:w="578"/>
                              <w:gridCol w:w="578"/>
                              <w:gridCol w:w="578"/>
                              <w:gridCol w:w="578"/>
                              <w:gridCol w:w="578"/>
                              <w:gridCol w:w="578"/>
                              <w:gridCol w:w="816"/>
                            </w:tblGrid>
                            <w:tr>
                              <w:trPr/>
                              <w:tc>
                                <w:tcPr>
                                  <w:tcW w:w="657" w:type="dxa"/>
                                  <w:tcBorders/>
                                  <w:vAlign w:val="center"/>
                                </w:tcPr>
                                <w:p>
                                  <w:pPr>
                                    <w:pStyle w:val="TableContents"/>
                                    <w:bidi w:val="0"/>
                                    <w:spacing w:before="0" w:after="283"/>
                                    <w:jc w:val="left"/>
                                    <w:rPr>
                                      <w:sz w:val="4"/>
                                      <w:szCs w:val="4"/>
                                    </w:rPr>
                                  </w:pPr>
                                  <w:r>
                                    <w:rPr>
                                      <w:sz w:val="4"/>
                                      <w:szCs w:val="4"/>
                                    </w:rPr>
                                  </w:r>
                                  <w:r>
                                    <w:br w:type="page"/>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55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Non-GAAP measure - see definitions at the end of this earnings release.</w:t>
                                  </w:r>
                                </w:p>
                              </w:tc>
                            </w:tr>
                            <w:tr>
                              <w:trPr/>
                              <w:tc>
                                <w:tcPr>
                                  <w:tcW w:w="5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45pt;mso-wrap-distance-left:0pt;mso-wrap-distance-right:0pt;mso-wrap-distance-top:0pt;mso-wrap-distance-bottom:0pt;margin-top:0pt;mso-position-vertical:top;mso-position-vertical-relative:text;margin-left:0pt;mso-position-horizontal:left;mso-position-horizontal-relative:text">
                <v:textbox>
                  <w:txbxContent>
                    <w:tbl>
                      <w:tblPr>
                        <w:tblW w:w="5519" w:type="dxa"/>
                        <w:jc w:val="left"/>
                        <w:tblInd w:w="0" w:type="dxa"/>
                        <w:tblLayout w:type="fixed"/>
                        <w:tblCellMar>
                          <w:top w:w="28" w:type="dxa"/>
                          <w:left w:w="28" w:type="dxa"/>
                          <w:bottom w:w="28" w:type="dxa"/>
                          <w:right w:w="28" w:type="dxa"/>
                        </w:tblCellMar>
                      </w:tblPr>
                      <w:tblGrid>
                        <w:gridCol w:w="657"/>
                        <w:gridCol w:w="578"/>
                        <w:gridCol w:w="578"/>
                        <w:gridCol w:w="578"/>
                        <w:gridCol w:w="578"/>
                        <w:gridCol w:w="578"/>
                        <w:gridCol w:w="578"/>
                        <w:gridCol w:w="578"/>
                        <w:gridCol w:w="816"/>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55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Non-GAAP measure - see definitions at the end of this earnings release.</w:t>
                            </w:r>
                          </w:p>
                        </w:tc>
                      </w:tr>
                      <w:tr>
                        <w:trPr/>
                        <w:tc>
                          <w:tcPr>
                            <w:tcW w:w="5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7120" w:type="dxa"/>
        <w:jc w:val="left"/>
        <w:tblInd w:w="0" w:type="dxa"/>
        <w:tblLayout w:type="fixed"/>
        <w:tblCellMar>
          <w:top w:w="28" w:type="dxa"/>
          <w:left w:w="28" w:type="dxa"/>
          <w:bottom w:w="28" w:type="dxa"/>
          <w:right w:w="28" w:type="dxa"/>
        </w:tblCellMar>
      </w:tblPr>
      <w:tblGrid>
        <w:gridCol w:w="1250"/>
        <w:gridCol w:w="1096"/>
        <w:gridCol w:w="1096"/>
        <w:gridCol w:w="1096"/>
        <w:gridCol w:w="1096"/>
        <w:gridCol w:w="1114"/>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8" w:type="dxa"/>
            <w:gridSpan w:val="6"/>
            <w:tcBorders/>
            <w:tcMar>
              <w:top w:w="0" w:type="dxa"/>
              <w:left w:w="0" w:type="dxa"/>
              <w:bottom w:w="0" w:type="dxa"/>
              <w:right w:w="0" w:type="dxa"/>
            </w:tcMar>
            <w:vAlign w:val="center"/>
          </w:tcPr>
          <w:p>
            <w:pPr>
              <w:pStyle w:val="TableContents"/>
              <w:bidi w:val="0"/>
              <w:spacing w:lineRule="auto" w:line="240" w:before="180" w:after="10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Second Quarter 2026 Financial Results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4</w:t>
            </w:r>
          </w:p>
        </w:tc>
      </w:tr>
    </w:tbl>
    <w:p>
      <w:pPr>
        <w:pStyle w:val="TextBody"/>
        <w:bidi w:val="0"/>
        <w:spacing w:before="0" w:after="0"/>
        <w:jc w:val="center"/>
        <w:rPr/>
      </w:pPr>
      <w:r>
        <w:rPr/>
      </w:r>
    </w:p>
    <w:p>
      <w:pPr>
        <w:pStyle w:val="TextBody"/>
        <w:bidi w:val="0"/>
        <w:spacing w:lineRule="auto" w:line="288" w:before="0" w:after="100"/>
        <w:jc w:val="left"/>
        <w:rPr>
          <w:rFonts w:ascii="Arial;sans-serif" w:hAnsi="Arial;sans-serif"/>
          <w:b/>
          <w:color w:val="000000"/>
          <w:sz w:val="24"/>
          <w:u w:val="single"/>
          <w:shd w:fill="FFFFFF" w:val="clear"/>
        </w:rPr>
      </w:pPr>
      <w:r>
        <w:rPr>
          <w:rFonts w:ascii="Arial;sans-serif" w:hAnsi="Arial;sans-serif"/>
          <w:b/>
          <w:color w:val="000000"/>
          <w:sz w:val="24"/>
          <w:u w:val="single"/>
          <w:shd w:fill="FFFFFF" w:val="clear"/>
        </w:rPr>
        <w:t>Segment Operating Results</w:t>
      </w:r>
    </w:p>
    <w:tbl>
      <w:tblPr>
        <w:tblW w:w="10205" w:type="dxa"/>
        <w:jc w:val="left"/>
        <w:tblInd w:w="0" w:type="dxa"/>
        <w:tblLayout w:type="fixed"/>
        <w:tblCellMar>
          <w:top w:w="28" w:type="dxa"/>
          <w:left w:w="28" w:type="dxa"/>
          <w:bottom w:w="28" w:type="dxa"/>
          <w:right w:w="28" w:type="dxa"/>
        </w:tblCellMar>
      </w:tblPr>
      <w:tblGrid>
        <w:gridCol w:w="964"/>
        <w:gridCol w:w="848"/>
        <w:gridCol w:w="849"/>
        <w:gridCol w:w="357"/>
        <w:gridCol w:w="192"/>
        <w:gridCol w:w="445"/>
        <w:gridCol w:w="159"/>
        <w:gridCol w:w="159"/>
        <w:gridCol w:w="159"/>
        <w:gridCol w:w="351"/>
        <w:gridCol w:w="192"/>
        <w:gridCol w:w="445"/>
        <w:gridCol w:w="109"/>
        <w:gridCol w:w="109"/>
        <w:gridCol w:w="109"/>
        <w:gridCol w:w="188"/>
        <w:gridCol w:w="188"/>
        <w:gridCol w:w="461"/>
        <w:gridCol w:w="109"/>
        <w:gridCol w:w="109"/>
        <w:gridCol w:w="109"/>
        <w:gridCol w:w="304"/>
        <w:gridCol w:w="177"/>
        <w:gridCol w:w="428"/>
        <w:gridCol w:w="150"/>
        <w:gridCol w:w="150"/>
        <w:gridCol w:w="150"/>
        <w:gridCol w:w="298"/>
        <w:gridCol w:w="177"/>
        <w:gridCol w:w="428"/>
        <w:gridCol w:w="109"/>
        <w:gridCol w:w="109"/>
        <w:gridCol w:w="109"/>
        <w:gridCol w:w="240"/>
        <w:gridCol w:w="241"/>
        <w:gridCol w:w="524"/>
      </w:tblGrid>
      <w:tr>
        <w:trPr/>
        <w:tc>
          <w:tcPr>
            <w:tcW w:w="96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2661"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Arial;sans-serif" w:hAnsi="Arial;sans-serif"/>
                <w:b/>
                <w:color w:val="000000"/>
                <w:sz w:val="24"/>
              </w:rPr>
            </w:pPr>
            <w:r>
              <w:rPr>
                <w:rFonts w:ascii="Arial;sans-serif" w:hAnsi="Arial;sans-serif"/>
                <w:b/>
                <w:color w:val="000000"/>
                <w:sz w:val="24"/>
              </w:rPr>
              <w:t>AERONAUTICS SYSTEMS</w:t>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t>
            </w:r>
          </w:p>
        </w:tc>
      </w:tr>
      <w:tr>
        <w:trPr/>
        <w:tc>
          <w:tcPr>
            <w:tcW w:w="2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in millions</w:t>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3,519</w:t>
            </w:r>
          </w:p>
        </w:tc>
        <w:tc>
          <w:tcPr>
            <w:tcW w:w="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6,802</w:t>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362</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667</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383</w:t>
            </w:r>
            <w:r>
              <w:rPr>
                <w:color w:val="000000"/>
              </w:rPr>
              <w:t>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66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Operating margin rate</w:t>
            </w:r>
          </w:p>
        </w:tc>
        <w:tc>
          <w:tcPr>
            <w:tcW w:w="54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10.3</w:t>
            </w:r>
            <w:r>
              <w:rPr>
                <w:color w:val="000000"/>
              </w:rPr>
              <w:t> </w:t>
            </w:r>
          </w:p>
        </w:tc>
        <w:tc>
          <w:tcPr>
            <w:tcW w:w="4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47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10.3 </w:t>
            </w:r>
          </w:p>
        </w:tc>
        <w:tc>
          <w:tcPr>
            <w:tcW w:w="4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9.8</w:t>
            </w:r>
            <w:r>
              <w:rPr>
                <w:color w:val="000000"/>
              </w:rPr>
              <w:t> </w:t>
            </w:r>
          </w:p>
        </w:tc>
        <w:tc>
          <w:tcPr>
            <w:tcW w:w="42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45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2.3 </w:t>
            </w:r>
          </w:p>
        </w:tc>
        <w:tc>
          <w:tcPr>
            <w:tcW w:w="42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color w:val="000000"/>
          <w:sz w:val="24"/>
        </w:rPr>
      </w:pPr>
      <w:r>
        <w:rPr>
          <w:rFonts w:ascii="Arial;sans-serif" w:hAnsi="Arial;sans-serif"/>
          <w:b/>
          <w:color w:val="000000"/>
          <w:sz w:val="24"/>
        </w:rPr>
        <w:t>Sales</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Second quarter 2026 sales increased $405 million, or 13 percent, primarily due to higher volume on B-21 and other restricted programs, a $106 million increase on the E-130J TACAMO (“TACAMO”) program as it ramps up, and higher volume on the B-2, F-35 and E-2 programs. These increases were partially offset by a decrease on F/A-18 as final production deliveries have completed.</w:t>
      </w:r>
    </w:p>
    <w:p>
      <w:pPr>
        <w:pStyle w:val="TextBody"/>
        <w:bidi w:val="0"/>
        <w:spacing w:lineRule="auto" w:line="288" w:before="100" w:after="283"/>
        <w:jc w:val="left"/>
        <w:rPr>
          <w:rFonts w:ascii="Arial;sans-serif" w:hAnsi="Arial;sans-serif"/>
          <w:b/>
          <w:color w:val="000000"/>
          <w:sz w:val="24"/>
        </w:rPr>
      </w:pPr>
      <w:r>
        <w:rPr>
          <w:rFonts w:ascii="Arial;sans-serif" w:hAnsi="Arial;sans-serif"/>
          <w:b/>
          <w:color w:val="000000"/>
          <w:sz w:val="24"/>
        </w:rPr>
        <w:t>Operating Income</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Second quarter 2026 operating income increased $41 million, or 13 percent, due to higher sales. Operating margin rate of 10.3 percent was comparable with the prior year period.</w:t>
      </w:r>
    </w:p>
    <w:tbl>
      <w:tblPr>
        <w:tblW w:w="10205" w:type="dxa"/>
        <w:jc w:val="left"/>
        <w:tblInd w:w="0" w:type="dxa"/>
        <w:tblLayout w:type="fixed"/>
        <w:tblCellMar>
          <w:top w:w="28" w:type="dxa"/>
          <w:left w:w="28" w:type="dxa"/>
          <w:bottom w:w="28" w:type="dxa"/>
          <w:right w:w="28" w:type="dxa"/>
        </w:tblCellMar>
      </w:tblPr>
      <w:tblGrid>
        <w:gridCol w:w="867"/>
        <w:gridCol w:w="762"/>
        <w:gridCol w:w="763"/>
        <w:gridCol w:w="242"/>
        <w:gridCol w:w="552"/>
        <w:gridCol w:w="310"/>
        <w:gridCol w:w="124"/>
        <w:gridCol w:w="124"/>
        <w:gridCol w:w="124"/>
        <w:gridCol w:w="242"/>
        <w:gridCol w:w="552"/>
        <w:gridCol w:w="310"/>
        <w:gridCol w:w="109"/>
        <w:gridCol w:w="109"/>
        <w:gridCol w:w="109"/>
        <w:gridCol w:w="211"/>
        <w:gridCol w:w="211"/>
        <w:gridCol w:w="461"/>
        <w:gridCol w:w="109"/>
        <w:gridCol w:w="109"/>
        <w:gridCol w:w="109"/>
        <w:gridCol w:w="226"/>
        <w:gridCol w:w="516"/>
        <w:gridCol w:w="290"/>
        <w:gridCol w:w="116"/>
        <w:gridCol w:w="116"/>
        <w:gridCol w:w="116"/>
        <w:gridCol w:w="226"/>
        <w:gridCol w:w="516"/>
        <w:gridCol w:w="290"/>
        <w:gridCol w:w="109"/>
        <w:gridCol w:w="109"/>
        <w:gridCol w:w="109"/>
        <w:gridCol w:w="211"/>
        <w:gridCol w:w="211"/>
        <w:gridCol w:w="535"/>
      </w:tblGrid>
      <w:tr>
        <w:trPr/>
        <w:tc>
          <w:tcPr>
            <w:tcW w:w="86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2392"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Arial;sans-serif" w:hAnsi="Arial;sans-serif"/>
                <w:b/>
                <w:color w:val="000000"/>
                <w:sz w:val="24"/>
              </w:rPr>
            </w:pPr>
            <w:r>
              <w:rPr>
                <w:rFonts w:ascii="Arial;sans-serif" w:hAnsi="Arial;sans-serif"/>
                <w:b/>
                <w:color w:val="000000"/>
                <w:sz w:val="24"/>
              </w:rPr>
              <w:t>DEFENSE SYSTEMS</w:t>
            </w:r>
          </w:p>
        </w:tc>
        <w:tc>
          <w:tcPr>
            <w:tcW w:w="2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t>
            </w:r>
          </w:p>
        </w:tc>
      </w:tr>
      <w:tr>
        <w:trPr/>
        <w:tc>
          <w:tcPr>
            <w:tcW w:w="2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in millions</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2,093</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3,992</w:t>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Training services sales</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Organic sales</w:t>
            </w:r>
            <w:r>
              <w:rPr>
                <w:rFonts w:ascii="Arial;sans-serif" w:hAnsi="Arial;sans-serif"/>
                <w:b w:val="false"/>
                <w:color w:val="000000"/>
                <w:sz w:val="13"/>
              </w:rPr>
              <w:t>1</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2,093</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3,992</w:t>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3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Operating income</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156</w:t>
            </w:r>
            <w:r>
              <w:rPr>
                <w:color w:val="000000"/>
              </w:rPr>
              <w:t>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340</w:t>
            </w:r>
            <w:r>
              <w:rPr>
                <w:color w:val="000000"/>
              </w:rPr>
              <w:t>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3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Operating margin rate</w:t>
            </w:r>
          </w:p>
        </w:tc>
        <w:tc>
          <w:tcPr>
            <w:tcW w:w="79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7.5</w:t>
            </w:r>
            <w:r>
              <w:rPr>
                <w:color w:val="000000"/>
              </w:rPr>
              <w:t> </w:t>
            </w:r>
          </w:p>
        </w:tc>
        <w:tc>
          <w:tcPr>
            <w:tcW w:w="31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12.7 </w:t>
            </w:r>
          </w:p>
        </w:tc>
        <w:tc>
          <w:tcPr>
            <w:tcW w:w="31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8.5</w:t>
            </w:r>
            <w:r>
              <w:rPr>
                <w:color w:val="000000"/>
              </w:rPr>
              <w:t> </w:t>
            </w:r>
          </w:p>
        </w:tc>
        <w:tc>
          <w:tcPr>
            <w:tcW w:w="29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11.4 </w:t>
            </w:r>
          </w:p>
        </w:tc>
        <w:tc>
          <w:tcPr>
            <w:tcW w:w="29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color w:val="000000"/>
          <w:sz w:val="24"/>
        </w:rPr>
      </w:pPr>
      <w:r>
        <w:rPr>
          <w:rFonts w:ascii="Arial;sans-serif" w:hAnsi="Arial;sans-serif"/>
          <w:b/>
          <w:color w:val="000000"/>
          <w:sz w:val="24"/>
        </w:rPr>
        <w:t>Sales</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Second quarter 2026 sales increased $102 million, or 5 percent, primarily due to higher volume on Sentinel as the program continues to ramp and higher volume across the Integrated Battle Command System (IBCS) portfolio. These increases were partially offset by a $40 million reduction in sales related to the divested training services business.</w:t>
      </w:r>
    </w:p>
    <w:p>
      <w:pPr>
        <w:pStyle w:val="TextBody"/>
        <w:bidi w:val="0"/>
        <w:spacing w:lineRule="auto" w:line="288" w:before="100" w:after="283"/>
        <w:jc w:val="left"/>
        <w:rPr>
          <w:rFonts w:ascii="Arial;sans-serif" w:hAnsi="Arial;sans-serif"/>
          <w:b/>
          <w:color w:val="000000"/>
          <w:sz w:val="24"/>
        </w:rPr>
      </w:pPr>
      <w:r>
        <w:rPr>
          <w:rFonts w:ascii="Arial;sans-serif" w:hAnsi="Arial;sans-serif"/>
          <w:b/>
          <w:color w:val="000000"/>
          <w:sz w:val="24"/>
        </w:rPr>
        <w:t>Operating Income</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Second quarter 2026 operating income decreased $97 million, or 38 percent, primarily due to a lower operating margin rate, partially offset by higher sales. Operating margin rate decreased to 7.5 percent from 12.7 percent primarily due to lower net EAC adjustments, including the absence of a prior year $76 million favorable adjustment on Sentinel. In the current quarter, we continued to invest in our missile prime business. We are projecting higher costs to mature production on the Extended Range version of the Advanced Anti-Radiation Guided Missile (AARGM-ER) and to develop and qualify the Stand-in Attack Weapon (SiAW), which resulted in a $68 million unfavorable EAC adjustment on SiAW. These investments were partially offset by a favorable EAC adjustment on Sentinel related to our recent achievement of certain contract incentives.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996315"/>
                <wp:effectExtent l="0" t="0" r="0" b="0"/>
                <wp:wrapNone/>
                <wp:docPr id="8" name="Frame7"/>
                <a:graphic xmlns:a="http://schemas.openxmlformats.org/drawingml/2006/main">
                  <a:graphicData uri="http://schemas.microsoft.com/office/word/2010/wordprocessingShape">
                    <wps:wsp>
                      <wps:cNvSpPr txBox="1"/>
                      <wps:spPr>
                        <a:xfrm>
                          <a:off x="0" y="0"/>
                          <a:ext cx="6480175" cy="996315"/>
                        </a:xfrm>
                        <a:prstGeom prst="rect"/>
                        <a:solidFill>
                          <a:srgbClr val="FFFFFF"/>
                        </a:solidFill>
                      </wps:spPr>
                      <wps:txbx>
                        <w:txbxContent>
                          <w:tbl>
                            <w:tblPr>
                              <w:tblW w:w="5519" w:type="dxa"/>
                              <w:jc w:val="left"/>
                              <w:tblInd w:w="0" w:type="dxa"/>
                              <w:tblLayout w:type="fixed"/>
                              <w:tblCellMar>
                                <w:top w:w="28" w:type="dxa"/>
                                <w:left w:w="28" w:type="dxa"/>
                                <w:bottom w:w="28" w:type="dxa"/>
                                <w:right w:w="28" w:type="dxa"/>
                              </w:tblCellMar>
                            </w:tblPr>
                            <w:tblGrid>
                              <w:gridCol w:w="657"/>
                              <w:gridCol w:w="578"/>
                              <w:gridCol w:w="578"/>
                              <w:gridCol w:w="578"/>
                              <w:gridCol w:w="578"/>
                              <w:gridCol w:w="578"/>
                              <w:gridCol w:w="578"/>
                              <w:gridCol w:w="578"/>
                              <w:gridCol w:w="816"/>
                            </w:tblGrid>
                            <w:tr>
                              <w:trPr/>
                              <w:tc>
                                <w:tcPr>
                                  <w:tcW w:w="657" w:type="dxa"/>
                                  <w:tcBorders/>
                                  <w:vAlign w:val="center"/>
                                </w:tcPr>
                                <w:p>
                                  <w:pPr>
                                    <w:pStyle w:val="TableContents"/>
                                    <w:bidi w:val="0"/>
                                    <w:spacing w:before="0" w:after="283"/>
                                    <w:jc w:val="left"/>
                                    <w:rPr>
                                      <w:sz w:val="4"/>
                                      <w:szCs w:val="4"/>
                                    </w:rPr>
                                  </w:pPr>
                                  <w:r>
                                    <w:rPr>
                                      <w:sz w:val="4"/>
                                      <w:szCs w:val="4"/>
                                    </w:rPr>
                                  </w:r>
                                  <w:r>
                                    <w:br w:type="page"/>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55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Non-GAAP measure - see definitions at the end of this earnings release.</w:t>
                                  </w:r>
                                </w:p>
                              </w:tc>
                            </w:tr>
                            <w:tr>
                              <w:trPr/>
                              <w:tc>
                                <w:tcPr>
                                  <w:tcW w:w="5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45pt;mso-wrap-distance-left:0pt;mso-wrap-distance-right:0pt;mso-wrap-distance-top:0pt;mso-wrap-distance-bottom:0pt;margin-top:0pt;mso-position-vertical:top;mso-position-vertical-relative:text;margin-left:0pt;mso-position-horizontal:left;mso-position-horizontal-relative:text">
                <v:textbox>
                  <w:txbxContent>
                    <w:tbl>
                      <w:tblPr>
                        <w:tblW w:w="5519" w:type="dxa"/>
                        <w:jc w:val="left"/>
                        <w:tblInd w:w="0" w:type="dxa"/>
                        <w:tblLayout w:type="fixed"/>
                        <w:tblCellMar>
                          <w:top w:w="28" w:type="dxa"/>
                          <w:left w:w="28" w:type="dxa"/>
                          <w:bottom w:w="28" w:type="dxa"/>
                          <w:right w:w="28" w:type="dxa"/>
                        </w:tblCellMar>
                      </w:tblPr>
                      <w:tblGrid>
                        <w:gridCol w:w="657"/>
                        <w:gridCol w:w="578"/>
                        <w:gridCol w:w="578"/>
                        <w:gridCol w:w="578"/>
                        <w:gridCol w:w="578"/>
                        <w:gridCol w:w="578"/>
                        <w:gridCol w:w="578"/>
                        <w:gridCol w:w="578"/>
                        <w:gridCol w:w="816"/>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55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Non-GAAP measure - see definitions at the end of this earnings release.</w:t>
                            </w:r>
                          </w:p>
                        </w:tc>
                      </w:tr>
                      <w:tr>
                        <w:trPr/>
                        <w:tc>
                          <w:tcPr>
                            <w:tcW w:w="5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7120" w:type="dxa"/>
        <w:jc w:val="left"/>
        <w:tblInd w:w="0" w:type="dxa"/>
        <w:tblLayout w:type="fixed"/>
        <w:tblCellMar>
          <w:top w:w="28" w:type="dxa"/>
          <w:left w:w="28" w:type="dxa"/>
          <w:bottom w:w="28" w:type="dxa"/>
          <w:right w:w="28" w:type="dxa"/>
        </w:tblCellMar>
      </w:tblPr>
      <w:tblGrid>
        <w:gridCol w:w="1250"/>
        <w:gridCol w:w="1096"/>
        <w:gridCol w:w="1096"/>
        <w:gridCol w:w="1096"/>
        <w:gridCol w:w="1096"/>
        <w:gridCol w:w="1114"/>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8" w:type="dxa"/>
            <w:gridSpan w:val="6"/>
            <w:tcBorders/>
            <w:tcMar>
              <w:top w:w="0" w:type="dxa"/>
              <w:left w:w="0" w:type="dxa"/>
              <w:bottom w:w="0" w:type="dxa"/>
              <w:right w:w="0" w:type="dxa"/>
            </w:tcMar>
            <w:vAlign w:val="center"/>
          </w:tcPr>
          <w:p>
            <w:pPr>
              <w:pStyle w:val="TableContents"/>
              <w:bidi w:val="0"/>
              <w:spacing w:lineRule="auto" w:line="240" w:before="180" w:after="10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Second Quarter 2026 Financial Results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5</w:t>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45"/>
        <w:gridCol w:w="742"/>
        <w:gridCol w:w="743"/>
        <w:gridCol w:w="372"/>
        <w:gridCol w:w="192"/>
        <w:gridCol w:w="477"/>
        <w:gridCol w:w="190"/>
        <w:gridCol w:w="190"/>
        <w:gridCol w:w="190"/>
        <w:gridCol w:w="371"/>
        <w:gridCol w:w="192"/>
        <w:gridCol w:w="477"/>
        <w:gridCol w:w="109"/>
        <w:gridCol w:w="109"/>
        <w:gridCol w:w="109"/>
        <w:gridCol w:w="188"/>
        <w:gridCol w:w="188"/>
        <w:gridCol w:w="461"/>
        <w:gridCol w:w="109"/>
        <w:gridCol w:w="109"/>
        <w:gridCol w:w="109"/>
        <w:gridCol w:w="342"/>
        <w:gridCol w:w="240"/>
        <w:gridCol w:w="440"/>
        <w:gridCol w:w="175"/>
        <w:gridCol w:w="175"/>
        <w:gridCol w:w="175"/>
        <w:gridCol w:w="343"/>
        <w:gridCol w:w="177"/>
        <w:gridCol w:w="440"/>
        <w:gridCol w:w="109"/>
        <w:gridCol w:w="109"/>
        <w:gridCol w:w="109"/>
        <w:gridCol w:w="188"/>
        <w:gridCol w:w="188"/>
        <w:gridCol w:w="523"/>
      </w:tblGrid>
      <w:tr>
        <w:trPr/>
        <w:tc>
          <w:tcPr>
            <w:tcW w:w="84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330"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Arial;sans-serif" w:hAnsi="Arial;sans-serif"/>
                <w:b/>
                <w:color w:val="000000"/>
                <w:sz w:val="24"/>
              </w:rPr>
            </w:pPr>
            <w:r>
              <w:rPr>
                <w:rFonts w:ascii="Arial;sans-serif" w:hAnsi="Arial;sans-serif"/>
                <w:b/>
                <w:color w:val="000000"/>
                <w:sz w:val="24"/>
              </w:rPr>
              <w:t>MISSION SYSTEMS</w:t>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t>
            </w:r>
          </w:p>
        </w:tc>
      </w:tr>
      <w:tr>
        <w:trPr/>
        <w:tc>
          <w:tcPr>
            <w:tcW w:w="2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in millions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3,250</w:t>
            </w:r>
          </w:p>
        </w:tc>
        <w:tc>
          <w:tcPr>
            <w:tcW w:w="5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6,111</w:t>
            </w:r>
          </w:p>
        </w:tc>
        <w:tc>
          <w:tcPr>
            <w:tcW w:w="5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501</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934</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33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Operating margin rate</w:t>
            </w:r>
          </w:p>
        </w:tc>
        <w:tc>
          <w:tcPr>
            <w:tcW w:w="56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15.4</w:t>
            </w:r>
            <w:r>
              <w:rPr>
                <w:color w:val="000000"/>
              </w:rPr>
              <w:t> </w:t>
            </w:r>
          </w:p>
        </w:tc>
        <w:tc>
          <w:tcPr>
            <w:tcW w:w="47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57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14.0 </w:t>
            </w:r>
          </w:p>
        </w:tc>
        <w:tc>
          <w:tcPr>
            <w:tcW w:w="47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15.3</w:t>
            </w:r>
            <w:r>
              <w:rPr>
                <w:color w:val="000000"/>
              </w:rPr>
              <w:t> </w:t>
            </w:r>
          </w:p>
        </w:tc>
        <w:tc>
          <w:tcPr>
            <w:tcW w:w="44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52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13.4 </w:t>
            </w:r>
          </w:p>
        </w:tc>
        <w:tc>
          <w:tcPr>
            <w:tcW w:w="44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Sales</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Second quarter 2026 sales increased $93 million, or 3 percent, primarily due to a $130 million increase on marine systems programs, the timing of materials on F-35 and ramp-up on restricted airborne radar programs. These increases were partially offset by lower volume on restricted advanced microelectronics programs.</w:t>
      </w:r>
    </w:p>
    <w:p>
      <w:pPr>
        <w:pStyle w:val="TextBody"/>
        <w:bidi w:val="0"/>
        <w:spacing w:lineRule="auto" w:line="288" w:before="100" w:after="283"/>
        <w:jc w:val="left"/>
        <w:rPr>
          <w:rFonts w:ascii="Arial;sans-serif" w:hAnsi="Arial;sans-serif"/>
          <w:b/>
          <w:color w:val="000000"/>
          <w:sz w:val="24"/>
        </w:rPr>
      </w:pPr>
      <w:r>
        <w:rPr>
          <w:rFonts w:ascii="Arial;sans-serif" w:hAnsi="Arial;sans-serif"/>
          <w:b/>
          <w:color w:val="000000"/>
          <w:sz w:val="24"/>
        </w:rPr>
        <w:t>Operating Income</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Second quarter 2026 operating income increased $60 million, or 14 percent, due to a higher operating margin rate and higher sales. Operating margin rate increased to 15.4 percent from 14.0 percent, primarily due to higher net EAC adjustments driven by improved performance.</w:t>
      </w:r>
    </w:p>
    <w:tbl>
      <w:tblPr>
        <w:tblW w:w="10156" w:type="dxa"/>
        <w:jc w:val="left"/>
        <w:tblInd w:w="0" w:type="dxa"/>
        <w:tblLayout w:type="fixed"/>
        <w:tblCellMar>
          <w:top w:w="28" w:type="dxa"/>
          <w:left w:w="28" w:type="dxa"/>
          <w:bottom w:w="28" w:type="dxa"/>
          <w:right w:w="28" w:type="dxa"/>
        </w:tblCellMar>
      </w:tblPr>
      <w:tblGrid>
        <w:gridCol w:w="799"/>
        <w:gridCol w:w="702"/>
        <w:gridCol w:w="704"/>
        <w:gridCol w:w="373"/>
        <w:gridCol w:w="192"/>
        <w:gridCol w:w="479"/>
        <w:gridCol w:w="192"/>
        <w:gridCol w:w="192"/>
        <w:gridCol w:w="192"/>
        <w:gridCol w:w="373"/>
        <w:gridCol w:w="192"/>
        <w:gridCol w:w="479"/>
        <w:gridCol w:w="109"/>
        <w:gridCol w:w="109"/>
        <w:gridCol w:w="109"/>
        <w:gridCol w:w="218"/>
        <w:gridCol w:w="218"/>
        <w:gridCol w:w="461"/>
        <w:gridCol w:w="109"/>
        <w:gridCol w:w="109"/>
        <w:gridCol w:w="109"/>
        <w:gridCol w:w="344"/>
        <w:gridCol w:w="177"/>
        <w:gridCol w:w="441"/>
        <w:gridCol w:w="177"/>
        <w:gridCol w:w="177"/>
        <w:gridCol w:w="177"/>
        <w:gridCol w:w="344"/>
        <w:gridCol w:w="177"/>
        <w:gridCol w:w="441"/>
        <w:gridCol w:w="109"/>
        <w:gridCol w:w="109"/>
        <w:gridCol w:w="109"/>
        <w:gridCol w:w="218"/>
        <w:gridCol w:w="218"/>
        <w:gridCol w:w="518"/>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Arial;sans-serif" w:hAnsi="Arial;sans-serif"/>
                <w:b/>
                <w:color w:val="000000"/>
                <w:sz w:val="24"/>
              </w:rPr>
            </w:pPr>
            <w:r>
              <w:rPr>
                <w:rFonts w:ascii="Arial;sans-serif" w:hAnsi="Arial;sans-serif"/>
                <w:b/>
                <w:color w:val="000000"/>
                <w:sz w:val="24"/>
              </w:rPr>
              <w:t>SPACE SYSTEMS</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in millions</w:t>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2,753</w:t>
            </w:r>
          </w:p>
        </w:tc>
        <w:tc>
          <w:tcPr>
            <w:tcW w:w="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5,233</w:t>
            </w:r>
          </w:p>
        </w:tc>
        <w:tc>
          <w:tcPr>
            <w:tcW w:w="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236</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471</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20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Operating margin rate</w:t>
            </w:r>
          </w:p>
        </w:tc>
        <w:tc>
          <w:tcPr>
            <w:tcW w:w="56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8.6</w:t>
            </w:r>
            <w:r>
              <w:rPr>
                <w:color w:val="000000"/>
              </w:rPr>
              <w:t> </w:t>
            </w:r>
          </w:p>
        </w:tc>
        <w:tc>
          <w:tcPr>
            <w:tcW w:w="47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57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10.6 </w:t>
            </w:r>
          </w:p>
        </w:tc>
        <w:tc>
          <w:tcPr>
            <w:tcW w:w="47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9.0</w:t>
            </w:r>
            <w:r>
              <w:rPr>
                <w:color w:val="000000"/>
              </w:rPr>
              <w:t> </w:t>
            </w:r>
          </w:p>
        </w:tc>
        <w:tc>
          <w:tcPr>
            <w:tcW w:w="4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53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10.8 </w:t>
            </w:r>
          </w:p>
        </w:tc>
        <w:tc>
          <w:tcPr>
            <w:tcW w:w="4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color w:val="000000"/>
          <w:sz w:val="24"/>
        </w:rPr>
      </w:pPr>
      <w:r>
        <w:rPr>
          <w:rFonts w:ascii="Arial;sans-serif" w:hAnsi="Arial;sans-serif"/>
          <w:b/>
          <w:color w:val="000000"/>
          <w:sz w:val="24"/>
        </w:rPr>
        <w:t>Sales</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Second quarter 2026 sales increased $107 million, or 4 percent, primarily due to a $139 million increase for Commercial Resupply Service (CRS) missions as well as higher volume on the Glide Phase Interceptor (GPI) and Ground-based Midcourse Defense Weapon System (GMD WS) programs. These increases were partially offset by lower sales on the Graphite Epoxy Motor (GEM) 63XL program related to the unfavorable EAC adjustment described below and lower volume on the Habitation and Logistics Outpost (HALO) program.</w:t>
      </w:r>
    </w:p>
    <w:p>
      <w:pPr>
        <w:pStyle w:val="TextBody"/>
        <w:bidi w:val="0"/>
        <w:spacing w:lineRule="auto" w:line="288" w:before="100" w:after="283"/>
        <w:jc w:val="left"/>
        <w:rPr>
          <w:rFonts w:ascii="Arial;sans-serif" w:hAnsi="Arial;sans-serif"/>
          <w:b/>
          <w:color w:val="000000"/>
          <w:sz w:val="24"/>
        </w:rPr>
      </w:pPr>
      <w:r>
        <w:rPr>
          <w:rFonts w:ascii="Arial;sans-serif" w:hAnsi="Arial;sans-serif"/>
          <w:b/>
          <w:color w:val="000000"/>
          <w:sz w:val="24"/>
        </w:rPr>
        <w:t>Operating Income</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Second quarter 2026 operating income decreased $44 million, or 16 percent, primarily due to a lower operating margin rate, partially offset by higher sales. Operating margin rate decreased to 8.6 percent from 10.6 percent, primarily due to lower net EAC adjustments, including a $91 million unfavorable adjustment on GEM 63XL largely related to increases in the projected cost to complete the program, partially offset by favorable changes in contract mix.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996315"/>
                <wp:effectExtent l="0" t="0" r="0" b="0"/>
                <wp:wrapNone/>
                <wp:docPr id="9" name="Frame8"/>
                <a:graphic xmlns:a="http://schemas.openxmlformats.org/drawingml/2006/main">
                  <a:graphicData uri="http://schemas.microsoft.com/office/word/2010/wordprocessingShape">
                    <wps:wsp>
                      <wps:cNvSpPr txBox="1"/>
                      <wps:spPr>
                        <a:xfrm>
                          <a:off x="0" y="0"/>
                          <a:ext cx="6480175" cy="996315"/>
                        </a:xfrm>
                        <a:prstGeom prst="rect"/>
                        <a:solidFill>
                          <a:srgbClr val="FFFFFF"/>
                        </a:solidFill>
                      </wps:spPr>
                      <wps:txbx>
                        <w:txbxContent>
                          <w:tbl>
                            <w:tblPr>
                              <w:tblW w:w="5519" w:type="dxa"/>
                              <w:jc w:val="left"/>
                              <w:tblInd w:w="0" w:type="dxa"/>
                              <w:tblLayout w:type="fixed"/>
                              <w:tblCellMar>
                                <w:top w:w="28" w:type="dxa"/>
                                <w:left w:w="28" w:type="dxa"/>
                                <w:bottom w:w="28" w:type="dxa"/>
                                <w:right w:w="28" w:type="dxa"/>
                              </w:tblCellMar>
                            </w:tblPr>
                            <w:tblGrid>
                              <w:gridCol w:w="657"/>
                              <w:gridCol w:w="578"/>
                              <w:gridCol w:w="578"/>
                              <w:gridCol w:w="578"/>
                              <w:gridCol w:w="578"/>
                              <w:gridCol w:w="578"/>
                              <w:gridCol w:w="578"/>
                              <w:gridCol w:w="578"/>
                              <w:gridCol w:w="816"/>
                            </w:tblGrid>
                            <w:tr>
                              <w:trPr/>
                              <w:tc>
                                <w:tcPr>
                                  <w:tcW w:w="657" w:type="dxa"/>
                                  <w:tcBorders/>
                                  <w:vAlign w:val="center"/>
                                </w:tcPr>
                                <w:p>
                                  <w:pPr>
                                    <w:pStyle w:val="TableContents"/>
                                    <w:bidi w:val="0"/>
                                    <w:spacing w:before="0" w:after="283"/>
                                    <w:jc w:val="left"/>
                                    <w:rPr>
                                      <w:sz w:val="4"/>
                                      <w:szCs w:val="4"/>
                                    </w:rPr>
                                  </w:pPr>
                                  <w:r>
                                    <w:rPr>
                                      <w:sz w:val="4"/>
                                      <w:szCs w:val="4"/>
                                    </w:rPr>
                                  </w:r>
                                  <w:r>
                                    <w:br w:type="page"/>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55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Non-GAAP measure - see definitions at the end of this earnings release.</w:t>
                                  </w:r>
                                </w:p>
                              </w:tc>
                            </w:tr>
                            <w:tr>
                              <w:trPr/>
                              <w:tc>
                                <w:tcPr>
                                  <w:tcW w:w="5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45pt;mso-wrap-distance-left:0pt;mso-wrap-distance-right:0pt;mso-wrap-distance-top:0pt;mso-wrap-distance-bottom:0pt;margin-top:0pt;mso-position-vertical:top;mso-position-vertical-relative:text;margin-left:0pt;mso-position-horizontal:left;mso-position-horizontal-relative:text">
                <v:textbox>
                  <w:txbxContent>
                    <w:tbl>
                      <w:tblPr>
                        <w:tblW w:w="5519" w:type="dxa"/>
                        <w:jc w:val="left"/>
                        <w:tblInd w:w="0" w:type="dxa"/>
                        <w:tblLayout w:type="fixed"/>
                        <w:tblCellMar>
                          <w:top w:w="28" w:type="dxa"/>
                          <w:left w:w="28" w:type="dxa"/>
                          <w:bottom w:w="28" w:type="dxa"/>
                          <w:right w:w="28" w:type="dxa"/>
                        </w:tblCellMar>
                      </w:tblPr>
                      <w:tblGrid>
                        <w:gridCol w:w="657"/>
                        <w:gridCol w:w="578"/>
                        <w:gridCol w:w="578"/>
                        <w:gridCol w:w="578"/>
                        <w:gridCol w:w="578"/>
                        <w:gridCol w:w="578"/>
                        <w:gridCol w:w="578"/>
                        <w:gridCol w:w="578"/>
                        <w:gridCol w:w="816"/>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55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Non-GAAP measure - see definitions at the end of this earnings release.</w:t>
                            </w:r>
                          </w:p>
                        </w:tc>
                      </w:tr>
                      <w:tr>
                        <w:trPr/>
                        <w:tc>
                          <w:tcPr>
                            <w:tcW w:w="5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7120" w:type="dxa"/>
        <w:jc w:val="left"/>
        <w:tblInd w:w="0" w:type="dxa"/>
        <w:tblLayout w:type="fixed"/>
        <w:tblCellMar>
          <w:top w:w="28" w:type="dxa"/>
          <w:left w:w="28" w:type="dxa"/>
          <w:bottom w:w="28" w:type="dxa"/>
          <w:right w:w="28" w:type="dxa"/>
        </w:tblCellMar>
      </w:tblPr>
      <w:tblGrid>
        <w:gridCol w:w="1250"/>
        <w:gridCol w:w="1096"/>
        <w:gridCol w:w="1096"/>
        <w:gridCol w:w="1096"/>
        <w:gridCol w:w="1096"/>
        <w:gridCol w:w="1114"/>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8" w:type="dxa"/>
            <w:gridSpan w:val="6"/>
            <w:tcBorders/>
            <w:tcMar>
              <w:top w:w="0" w:type="dxa"/>
              <w:left w:w="0" w:type="dxa"/>
              <w:bottom w:w="0" w:type="dxa"/>
              <w:right w:w="0" w:type="dxa"/>
            </w:tcMar>
            <w:vAlign w:val="center"/>
          </w:tcPr>
          <w:p>
            <w:pPr>
              <w:pStyle w:val="TableContents"/>
              <w:bidi w:val="0"/>
              <w:spacing w:lineRule="auto" w:line="240" w:before="180" w:after="10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Second Quarter 2026 Financial Results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6</w:t>
            </w:r>
          </w:p>
        </w:tc>
      </w:tr>
    </w:tbl>
    <w:p>
      <w:pPr>
        <w:pStyle w:val="TextBody"/>
        <w:bidi w:val="0"/>
        <w:spacing w:before="0" w:after="0"/>
        <w:jc w:val="center"/>
        <w:rPr/>
      </w:pPr>
      <w:r>
        <w:rPr/>
      </w:r>
    </w:p>
    <w:p>
      <w:pPr>
        <w:pStyle w:val="TextBody"/>
        <w:bidi w:val="0"/>
        <w:spacing w:lineRule="auto" w:line="288" w:before="0" w:after="100"/>
        <w:jc w:val="left"/>
        <w:rPr>
          <w:rFonts w:ascii="Arial;sans-serif" w:hAnsi="Arial;sans-serif"/>
          <w:b/>
          <w:color w:val="000000"/>
          <w:sz w:val="24"/>
          <w:u w:val="single"/>
        </w:rPr>
      </w:pPr>
      <w:r>
        <w:rPr>
          <w:rFonts w:ascii="Arial;sans-serif" w:hAnsi="Arial;sans-serif"/>
          <w:b/>
          <w:color w:val="000000"/>
          <w:sz w:val="24"/>
          <w:u w:val="single"/>
        </w:rPr>
        <w:t>Guidance</w:t>
      </w:r>
    </w:p>
    <w:p>
      <w:pPr>
        <w:pStyle w:val="TextBody"/>
        <w:bidi w:val="0"/>
        <w:spacing w:lineRule="auto" w:line="288" w:before="0" w:after="100"/>
        <w:jc w:val="left"/>
        <w:rPr/>
      </w:pPr>
      <w:r>
        <w:rPr>
          <w:color w:val="000000"/>
        </w:rPr>
        <w:t>    </w:t>
      </w:r>
      <w:r>
        <w:rPr>
          <w:rFonts w:ascii="Arial;sans-serif" w:hAnsi="Arial;sans-serif"/>
          <w:b w:val="false"/>
          <w:color w:val="000000"/>
          <w:sz w:val="24"/>
        </w:rPr>
        <w:t>Financial guidance, as well as outlook, trends, expectations and other forward-looking statements provided by the company for 2026 and beyond, reflect the company's judgment based on the information available to the company at the time of this release. The company’s financial guidance and outlook for 2026 and beyond reflect what the company currently anticipates will be the impacts on the company from, among other factors, the global macroeconomic, security, and political/budget environments, including the impacts from inflationary pressures and labor and supply chain challenges; changes in the threat environment; changes in government budget, appropriations and procurement priorities and processes; changes in the regulatory environment, including trade policy; and changes in support for our programs. We are not assuming, and the company’s financial guidance and outlook for 2026 and beyond do not reflect impacts on the company from, a prolonged government shutdown, or application of spending limits or other spending cuts. However, the company cannot predict how these factors will evolve or what impacts they will have, and there can be no assurance that the company’s current expectations or underlying assumptions are correct. These factors can affect the company’s ability to achieve guidance or meet expectations.</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For additional factors that may impact the company’s ability to achieve guidance or meet expectations, please see the “Forward-Looking Statements” section in this release and our Form 10-Q.</w:t>
      </w:r>
    </w:p>
    <w:tbl>
      <w:tblPr>
        <w:tblW w:w="6093" w:type="dxa"/>
        <w:jc w:val="center"/>
        <w:tblInd w:w="0" w:type="dxa"/>
        <w:tblLayout w:type="fixed"/>
        <w:tblCellMar>
          <w:top w:w="28" w:type="dxa"/>
          <w:left w:w="28" w:type="dxa"/>
          <w:bottom w:w="28" w:type="dxa"/>
          <w:right w:w="28" w:type="dxa"/>
        </w:tblCellMar>
      </w:tblPr>
      <w:tblGrid>
        <w:gridCol w:w="1421"/>
        <w:gridCol w:w="1250"/>
        <w:gridCol w:w="1259"/>
        <w:gridCol w:w="668"/>
        <w:gridCol w:w="668"/>
        <w:gridCol w:w="673"/>
        <w:gridCol w:w="154"/>
      </w:tblGrid>
      <w:tr>
        <w:trPr/>
        <w:tc>
          <w:tcPr>
            <w:tcW w:w="142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939" w:type="dxa"/>
            <w:gridSpan w:val="6"/>
            <w:tcBorders>
              <w:top w:val="single" w:sz="12" w:space="0" w:color="000000"/>
              <w:left w:val="single" w:sz="12" w:space="0" w:color="000000"/>
              <w:right w:val="single" w:sz="12" w:space="0" w:color="000000"/>
            </w:tcBorders>
            <w:tcMar>
              <w:top w:w="30" w:type="dxa"/>
              <w:bottom w:w="0" w:type="dxa"/>
            </w:tcMar>
            <w:vAlign w:val="center"/>
          </w:tcPr>
          <w:p>
            <w:pPr>
              <w:pStyle w:val="TableContents"/>
              <w:bidi w:val="0"/>
              <w:spacing w:lineRule="auto" w:line="240" w:before="0" w:after="0"/>
              <w:jc w:val="center"/>
              <w:rPr>
                <w:rFonts w:ascii="Arial;sans-serif" w:hAnsi="Arial;sans-serif"/>
                <w:b/>
                <w:color w:val="000000"/>
                <w:sz w:val="24"/>
              </w:rPr>
            </w:pPr>
            <w:r>
              <w:rPr>
                <w:rFonts w:ascii="Arial;sans-serif" w:hAnsi="Arial;sans-serif"/>
                <w:b/>
                <w:color w:val="000000"/>
                <w:sz w:val="24"/>
              </w:rPr>
              <w:t>2026 Guidance</w:t>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 in millions, except per share amounts)</w:t>
            </w:r>
          </w:p>
        </w:tc>
        <w:tc>
          <w:tcPr>
            <w:tcW w:w="2009" w:type="dxa"/>
            <w:gridSpan w:val="3"/>
            <w:tcBorders>
              <w:top w:val="single" w:sz="12" w:space="0" w:color="000000"/>
              <w:left w:val="single" w:sz="8" w:space="0" w:color="000000"/>
              <w:right w:val="single" w:sz="12" w:space="0" w:color="000000"/>
            </w:tcBorders>
            <w:tcMar>
              <w:top w:w="30" w:type="dxa"/>
              <w:bottom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As of 7/21/2026</w:t>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vMerge w:val="restart"/>
            <w:tcBorders>
              <w:top w:val="single" w:sz="8"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Sales</w:t>
            </w:r>
          </w:p>
        </w:tc>
        <w:tc>
          <w:tcPr>
            <w:tcW w:w="2009" w:type="dxa"/>
            <w:gridSpan w:val="3"/>
            <w:tcBorders>
              <w:top w:val="single" w:sz="8" w:space="0" w:color="000000"/>
              <w:left w:val="single" w:sz="8" w:space="0" w:color="000000"/>
              <w:right w:val="single" w:sz="12"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$43,750 — $44,250</w:t>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vMerge w:val="continue"/>
            <w:tcBorders>
              <w:top w:val="single" w:sz="8" w:space="0" w:color="000000"/>
              <w:left w:val="single" w:sz="12" w:space="0" w:color="000000"/>
            </w:tcBorders>
            <w:tcMar>
              <w:top w:w="30" w:type="dxa"/>
              <w:bottom w:w="0" w:type="dxa"/>
              <w:right w:w="0" w:type="dxa"/>
            </w:tcMar>
            <w:vAlign w:val="center"/>
          </w:tcPr>
          <w:p>
            <w:pPr>
              <w:pStyle w:val="Normal"/>
              <w:bidi w:val="0"/>
              <w:jc w:val="left"/>
              <w:rPr/>
            </w:pPr>
            <w:r>
              <w:rPr/>
            </w:r>
          </w:p>
        </w:tc>
        <w:tc>
          <w:tcPr>
            <w:tcW w:w="2009" w:type="dxa"/>
            <w:gridSpan w:val="3"/>
            <w:tcBorders>
              <w:left w:val="single" w:sz="8" w:space="0" w:color="000000"/>
              <w:right w:val="single" w:sz="12"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Prior: $43,500 - $44,000</w:t>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vMerge w:val="restart"/>
            <w:tcBorders>
              <w:top w:val="single" w:sz="4" w:space="0" w:color="000000"/>
              <w:left w:val="single" w:sz="12" w:space="0" w:color="000000"/>
              <w:right w:val="single" w:sz="8" w:space="0" w:color="000000"/>
            </w:tcBorders>
            <w:tcMar>
              <w:top w:w="30" w:type="dxa"/>
              <w:bottom w:w="0" w:type="dxa"/>
            </w:tcMar>
            <w:vAlign w:val="center"/>
          </w:tcPr>
          <w:p>
            <w:pPr>
              <w:pStyle w:val="TableContents"/>
              <w:bidi w:val="0"/>
              <w:spacing w:lineRule="auto" w:line="240" w:before="0" w:after="0"/>
              <w:jc w:val="left"/>
              <w:rPr/>
            </w:pPr>
            <w:r>
              <w:rPr>
                <w:rFonts w:ascii="Arial;sans-serif" w:hAnsi="Arial;sans-serif"/>
                <w:b/>
                <w:color w:val="000000"/>
                <w:sz w:val="22"/>
              </w:rPr>
              <w:t>Segment operating income</w:t>
            </w:r>
            <w:r>
              <w:rPr>
                <w:rFonts w:ascii="Arial;sans-serif" w:hAnsi="Arial;sans-serif"/>
                <w:b/>
                <w:color w:val="000000"/>
                <w:sz w:val="14"/>
              </w:rPr>
              <w:t>1</w:t>
            </w:r>
          </w:p>
        </w:tc>
        <w:tc>
          <w:tcPr>
            <w:tcW w:w="2009" w:type="dxa"/>
            <w:gridSpan w:val="3"/>
            <w:vMerge w:val="restart"/>
            <w:tcBorders>
              <w:top w:val="single" w:sz="4" w:space="0" w:color="000000"/>
              <w:left w:val="single" w:sz="8" w:space="0" w:color="000000"/>
              <w:right w:val="single" w:sz="12"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$4,850 — $5,000</w:t>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vMerge w:val="continue"/>
            <w:tcBorders>
              <w:top w:val="single" w:sz="4" w:space="0" w:color="000000"/>
              <w:left w:val="single" w:sz="12" w:space="0" w:color="000000"/>
              <w:right w:val="single" w:sz="8" w:space="0" w:color="000000"/>
            </w:tcBorders>
            <w:tcMar>
              <w:top w:w="30" w:type="dxa"/>
              <w:bottom w:w="0" w:type="dxa"/>
            </w:tcMar>
            <w:vAlign w:val="center"/>
          </w:tcPr>
          <w:p>
            <w:pPr>
              <w:pStyle w:val="Normal"/>
              <w:bidi w:val="0"/>
              <w:jc w:val="left"/>
              <w:rPr/>
            </w:pPr>
            <w:r>
              <w:rPr/>
            </w:r>
          </w:p>
        </w:tc>
        <w:tc>
          <w:tcPr>
            <w:tcW w:w="2009" w:type="dxa"/>
            <w:gridSpan w:val="3"/>
            <w:vMerge w:val="continue"/>
            <w:tcBorders>
              <w:top w:val="single" w:sz="4" w:space="0" w:color="000000"/>
              <w:left w:val="single" w:sz="8" w:space="0" w:color="000000"/>
              <w:right w:val="single" w:sz="12" w:space="0" w:color="000000"/>
            </w:tcBorders>
            <w:tcMar>
              <w:top w:w="30" w:type="dxa"/>
              <w:bottom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vMerge w:val="restart"/>
            <w:tcBorders>
              <w:top w:val="single" w:sz="4" w:space="0" w:color="000000"/>
              <w:left w:val="single" w:sz="12"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2"/>
              </w:rPr>
              <w:t>MTM-adjusted EPS</w:t>
            </w:r>
            <w:r>
              <w:rPr>
                <w:rFonts w:ascii="Arial;sans-serif" w:hAnsi="Arial;sans-serif"/>
                <w:b/>
                <w:color w:val="000000"/>
                <w:sz w:val="14"/>
              </w:rPr>
              <w:t>1</w:t>
            </w:r>
          </w:p>
        </w:tc>
        <w:tc>
          <w:tcPr>
            <w:tcW w:w="2009" w:type="dxa"/>
            <w:gridSpan w:val="3"/>
            <w:tcBorders>
              <w:top w:val="single" w:sz="4" w:space="0" w:color="000000"/>
              <w:left w:val="single" w:sz="8" w:space="0" w:color="000000"/>
              <w:right w:val="single" w:sz="12"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$28.60 — $29.10</w:t>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vMerge w:val="continue"/>
            <w:tcBorders>
              <w:top w:val="single" w:sz="4" w:space="0" w:color="000000"/>
              <w:left w:val="single" w:sz="12" w:space="0" w:color="000000"/>
            </w:tcBorders>
            <w:tcMar>
              <w:top w:w="30" w:type="dxa"/>
              <w:bottom w:w="0" w:type="dxa"/>
              <w:right w:w="0" w:type="dxa"/>
            </w:tcMar>
            <w:vAlign w:val="center"/>
          </w:tcPr>
          <w:p>
            <w:pPr>
              <w:pStyle w:val="Normal"/>
              <w:bidi w:val="0"/>
              <w:jc w:val="left"/>
              <w:rPr/>
            </w:pPr>
            <w:r>
              <w:rPr/>
            </w:r>
          </w:p>
        </w:tc>
        <w:tc>
          <w:tcPr>
            <w:tcW w:w="2009" w:type="dxa"/>
            <w:gridSpan w:val="3"/>
            <w:tcBorders>
              <w:left w:val="single" w:sz="8" w:space="0" w:color="000000"/>
              <w:right w:val="single" w:sz="12"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Prior: $27.40 — $27.90</w:t>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vMerge w:val="restart"/>
            <w:tcBorders>
              <w:top w:val="single" w:sz="4" w:space="0" w:color="000000"/>
              <w:left w:val="single" w:sz="12" w:space="0" w:color="000000"/>
              <w:bottom w:val="single" w:sz="12" w:space="0" w:color="000000"/>
              <w:right w:val="single" w:sz="8" w:space="0" w:color="000000"/>
            </w:tcBorders>
            <w:tcMar>
              <w:top w:w="30" w:type="dxa"/>
              <w:bottom w:w="30" w:type="dxa"/>
            </w:tcMar>
            <w:vAlign w:val="center"/>
          </w:tcPr>
          <w:p>
            <w:pPr>
              <w:pStyle w:val="TableContents"/>
              <w:bidi w:val="0"/>
              <w:spacing w:lineRule="auto" w:line="240" w:before="0" w:after="0"/>
              <w:jc w:val="left"/>
              <w:rPr/>
            </w:pPr>
            <w:r>
              <w:rPr>
                <w:rFonts w:ascii="Arial;sans-serif" w:hAnsi="Arial;sans-serif"/>
                <w:b/>
                <w:color w:val="000000"/>
                <w:sz w:val="22"/>
              </w:rPr>
              <w:t>Adjusted free cash flow</w:t>
            </w:r>
            <w:r>
              <w:rPr>
                <w:rFonts w:ascii="Arial;sans-serif" w:hAnsi="Arial;sans-serif"/>
                <w:b/>
                <w:color w:val="000000"/>
                <w:sz w:val="14"/>
              </w:rPr>
              <w:t>1</w:t>
            </w:r>
          </w:p>
        </w:tc>
        <w:tc>
          <w:tcPr>
            <w:tcW w:w="2009" w:type="dxa"/>
            <w:gridSpan w:val="3"/>
            <w:vMerge w:val="restart"/>
            <w:tcBorders>
              <w:top w:val="single" w:sz="4" w:space="0" w:color="000000"/>
              <w:left w:val="single" w:sz="8" w:space="0" w:color="000000"/>
              <w:bottom w:val="single" w:sz="12" w:space="0" w:color="000000"/>
              <w:right w:val="single" w:sz="12"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$3,100 — $3,500</w:t>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vMerge w:val="continue"/>
            <w:tcBorders>
              <w:top w:val="single" w:sz="4" w:space="0" w:color="000000"/>
              <w:left w:val="single" w:sz="12" w:space="0" w:color="000000"/>
              <w:bottom w:val="single" w:sz="12" w:space="0" w:color="000000"/>
              <w:right w:val="single" w:sz="8" w:space="0" w:color="000000"/>
            </w:tcBorders>
            <w:tcMar>
              <w:top w:w="30" w:type="dxa"/>
              <w:bottom w:w="30" w:type="dxa"/>
            </w:tcMar>
            <w:vAlign w:val="center"/>
          </w:tcPr>
          <w:p>
            <w:pPr>
              <w:pStyle w:val="Normal"/>
              <w:bidi w:val="0"/>
              <w:jc w:val="left"/>
              <w:rPr/>
            </w:pPr>
            <w:r>
              <w:rPr/>
            </w:r>
          </w:p>
        </w:tc>
        <w:tc>
          <w:tcPr>
            <w:tcW w:w="2009" w:type="dxa"/>
            <w:gridSpan w:val="3"/>
            <w:vMerge w:val="continue"/>
            <w:tcBorders>
              <w:top w:val="single" w:sz="4" w:space="0" w:color="000000"/>
              <w:left w:val="single" w:sz="8" w:space="0" w:color="000000"/>
              <w:bottom w:val="single" w:sz="12" w:space="0" w:color="000000"/>
              <w:right w:val="single" w:sz="12" w:space="0" w:color="000000"/>
            </w:tcBorders>
            <w:tcMar>
              <w:top w:w="30" w:type="dxa"/>
              <w:bottom w:w="3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163" w:type="dxa"/>
            <w:gridSpan w:val="4"/>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tbl>
      <w:tblPr>
        <w:tblW w:w="6302" w:type="dxa"/>
        <w:jc w:val="center"/>
        <w:tblInd w:w="0" w:type="dxa"/>
        <w:tblLayout w:type="fixed"/>
        <w:tblCellMar>
          <w:top w:w="28" w:type="dxa"/>
          <w:left w:w="28" w:type="dxa"/>
          <w:bottom w:w="28" w:type="dxa"/>
          <w:right w:w="28" w:type="dxa"/>
        </w:tblCellMar>
      </w:tblPr>
      <w:tblGrid>
        <w:gridCol w:w="1036"/>
        <w:gridCol w:w="913"/>
        <w:gridCol w:w="915"/>
        <w:gridCol w:w="535"/>
        <w:gridCol w:w="535"/>
        <w:gridCol w:w="535"/>
        <w:gridCol w:w="558"/>
        <w:gridCol w:w="558"/>
        <w:gridCol w:w="563"/>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6148" w:type="dxa"/>
            <w:gridSpan w:val="9"/>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40" w:before="0" w:after="0"/>
              <w:jc w:val="center"/>
              <w:rPr>
                <w:rFonts w:ascii="Arial;sans-serif" w:hAnsi="Arial;sans-serif"/>
                <w:b/>
                <w:color w:val="000000"/>
                <w:sz w:val="24"/>
              </w:rPr>
            </w:pPr>
            <w:r>
              <w:rPr>
                <w:rFonts w:ascii="Arial;sans-serif" w:hAnsi="Arial;sans-serif"/>
                <w:b/>
                <w:color w:val="000000"/>
                <w:sz w:val="24"/>
              </w:rPr>
              <w:t>2026 Segment Guidance</w:t>
            </w:r>
          </w:p>
        </w:tc>
        <w:tc>
          <w:tcPr>
            <w:tcW w:w="154" w:type="dxa"/>
            <w:tcBorders/>
          </w:tcPr>
          <w:p>
            <w:pPr>
              <w:pStyle w:val="TableContents"/>
              <w:bidi w:val="0"/>
              <w:spacing w:before="0" w:after="283"/>
              <w:jc w:val="left"/>
              <w:rPr>
                <w:sz w:val="4"/>
                <w:szCs w:val="4"/>
              </w:rPr>
            </w:pPr>
            <w:r>
              <w:rPr>
                <w:sz w:val="4"/>
                <w:szCs w:val="4"/>
              </w:rPr>
            </w:r>
          </w:p>
        </w:tc>
      </w:tr>
      <w:tr>
        <w:trPr/>
        <w:tc>
          <w:tcPr>
            <w:tcW w:w="2864" w:type="dxa"/>
            <w:gridSpan w:val="3"/>
            <w:tcBorders>
              <w:top w:val="single" w:sz="12" w:space="0" w:color="000000"/>
              <w:left w:val="single" w:sz="12"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3284" w:type="dxa"/>
            <w:gridSpan w:val="6"/>
            <w:tcBorders>
              <w:top w:val="single" w:sz="12" w:space="0" w:color="000000"/>
              <w:right w:val="single" w:sz="12" w:space="0" w:color="000000"/>
            </w:tcBorders>
            <w:tcMar>
              <w:top w:w="30" w:type="dxa"/>
              <w:left w:w="0" w:type="dxa"/>
              <w:bottom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As of 7/21/2026</w:t>
            </w:r>
          </w:p>
        </w:tc>
        <w:tc>
          <w:tcPr>
            <w:tcW w:w="154" w:type="dxa"/>
            <w:tcBorders/>
          </w:tcPr>
          <w:p>
            <w:pPr>
              <w:pStyle w:val="TableContents"/>
              <w:bidi w:val="0"/>
              <w:spacing w:before="0" w:after="283"/>
              <w:jc w:val="left"/>
              <w:rPr>
                <w:sz w:val="4"/>
                <w:szCs w:val="4"/>
              </w:rPr>
            </w:pPr>
            <w:r>
              <w:rPr>
                <w:sz w:val="4"/>
                <w:szCs w:val="4"/>
              </w:rPr>
            </w:r>
          </w:p>
        </w:tc>
      </w:tr>
      <w:tr>
        <w:trPr/>
        <w:tc>
          <w:tcPr>
            <w:tcW w:w="2864" w:type="dxa"/>
            <w:gridSpan w:val="3"/>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Sales ($B)</w:t>
            </w:r>
          </w:p>
        </w:tc>
        <w:tc>
          <w:tcPr>
            <w:tcW w:w="1679" w:type="dxa"/>
            <w:gridSpan w:val="3"/>
            <w:tcBorders>
              <w:top w:val="single" w:sz="4" w:space="0" w:color="000000"/>
              <w:right w:val="single" w:sz="12"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OM Rate %</w:t>
            </w:r>
          </w:p>
        </w:tc>
        <w:tc>
          <w:tcPr>
            <w:tcW w:w="154" w:type="dxa"/>
            <w:tcBorders/>
          </w:tcPr>
          <w:p>
            <w:pPr>
              <w:pStyle w:val="TableContents"/>
              <w:bidi w:val="0"/>
              <w:spacing w:before="0" w:after="283"/>
              <w:jc w:val="left"/>
              <w:rPr>
                <w:sz w:val="4"/>
                <w:szCs w:val="4"/>
              </w:rPr>
            </w:pPr>
            <w:r>
              <w:rPr>
                <w:sz w:val="4"/>
                <w:szCs w:val="4"/>
              </w:rPr>
            </w:r>
          </w:p>
        </w:tc>
      </w:tr>
      <w:tr>
        <w:trPr/>
        <w:tc>
          <w:tcPr>
            <w:tcW w:w="2864" w:type="dxa"/>
            <w:gridSpan w:val="3"/>
            <w:vMerge w:val="restart"/>
            <w:tcBorders>
              <w:left w:val="single" w:sz="12"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Aeronautics Systems</w:t>
            </w:r>
          </w:p>
        </w:tc>
        <w:tc>
          <w:tcPr>
            <w:tcW w:w="16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~$14</w:t>
            </w:r>
          </w:p>
        </w:tc>
        <w:tc>
          <w:tcPr>
            <w:tcW w:w="1679" w:type="dxa"/>
            <w:gridSpan w:val="3"/>
            <w:tcBorders>
              <w:top w:val="single" w:sz="8" w:space="0" w:color="000000"/>
              <w:left w:val="single" w:sz="4" w:space="0" w:color="000000"/>
              <w:right w:val="single" w:sz="12"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Mid to High 9%</w:t>
            </w:r>
          </w:p>
        </w:tc>
        <w:tc>
          <w:tcPr>
            <w:tcW w:w="154" w:type="dxa"/>
            <w:tcBorders/>
          </w:tcPr>
          <w:p>
            <w:pPr>
              <w:pStyle w:val="TableContents"/>
              <w:bidi w:val="0"/>
              <w:spacing w:before="0" w:after="283"/>
              <w:jc w:val="left"/>
              <w:rPr>
                <w:sz w:val="4"/>
                <w:szCs w:val="4"/>
              </w:rPr>
            </w:pPr>
            <w:r>
              <w:rPr>
                <w:sz w:val="4"/>
                <w:szCs w:val="4"/>
              </w:rPr>
            </w:r>
          </w:p>
        </w:tc>
      </w:tr>
      <w:tr>
        <w:trPr/>
        <w:tc>
          <w:tcPr>
            <w:tcW w:w="2864" w:type="dxa"/>
            <w:gridSpan w:val="3"/>
            <w:vMerge w:val="continue"/>
            <w:tcBorders>
              <w:left w:val="single" w:sz="12" w:space="0" w:color="000000"/>
            </w:tcBorders>
            <w:tcMar>
              <w:top w:w="0" w:type="dxa"/>
              <w:bottom w:w="0" w:type="dxa"/>
              <w:right w:w="0" w:type="dxa"/>
            </w:tcMar>
            <w:vAlign w:val="center"/>
          </w:tcPr>
          <w:p>
            <w:pPr>
              <w:pStyle w:val="Normal"/>
              <w:bidi w:val="0"/>
              <w:jc w:val="left"/>
              <w:rPr/>
            </w:pPr>
            <w:r>
              <w:rPr/>
            </w:r>
          </w:p>
        </w:tc>
        <w:tc>
          <w:tcPr>
            <w:tcW w:w="160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Prior: Mid $13</w:t>
            </w:r>
          </w:p>
        </w:tc>
        <w:tc>
          <w:tcPr>
            <w:tcW w:w="1679" w:type="dxa"/>
            <w:gridSpan w:val="3"/>
            <w:tcBorders>
              <w:left w:val="single" w:sz="4" w:space="0" w:color="000000"/>
              <w:right w:val="single" w:sz="12"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Prior: Low to Mid 9%</w:t>
            </w:r>
          </w:p>
        </w:tc>
        <w:tc>
          <w:tcPr>
            <w:tcW w:w="154" w:type="dxa"/>
            <w:tcBorders/>
          </w:tcPr>
          <w:p>
            <w:pPr>
              <w:pStyle w:val="TableContents"/>
              <w:bidi w:val="0"/>
              <w:spacing w:before="0" w:after="283"/>
              <w:jc w:val="left"/>
              <w:rPr>
                <w:sz w:val="4"/>
                <w:szCs w:val="4"/>
              </w:rPr>
            </w:pPr>
            <w:r>
              <w:rPr>
                <w:sz w:val="4"/>
                <w:szCs w:val="4"/>
              </w:rPr>
            </w:r>
          </w:p>
        </w:tc>
      </w:tr>
      <w:tr>
        <w:trPr/>
        <w:tc>
          <w:tcPr>
            <w:tcW w:w="2864" w:type="dxa"/>
            <w:gridSpan w:val="3"/>
            <w:vMerge w:val="restart"/>
            <w:tcBorders>
              <w:top w:val="single" w:sz="4" w:space="0" w:color="000000"/>
              <w:left w:val="single" w:sz="12"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Defense Systems</w:t>
            </w:r>
          </w:p>
        </w:tc>
        <w:tc>
          <w:tcPr>
            <w:tcW w:w="1605" w:type="dxa"/>
            <w:gridSpan w:val="3"/>
            <w:vMerge w:val="restart"/>
            <w:tcBorders>
              <w:top w:val="single" w:sz="4" w:space="0" w:color="000000"/>
              <w:left w:val="single" w:sz="8"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Mid to High $8</w:t>
            </w:r>
          </w:p>
        </w:tc>
        <w:tc>
          <w:tcPr>
            <w:tcW w:w="1679" w:type="dxa"/>
            <w:gridSpan w:val="3"/>
            <w:vMerge w:val="restart"/>
            <w:tcBorders>
              <w:top w:val="single" w:sz="4" w:space="0" w:color="000000"/>
              <w:left w:val="single" w:sz="4" w:space="0" w:color="000000"/>
              <w:right w:val="single" w:sz="12"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~10%</w:t>
            </w:r>
          </w:p>
        </w:tc>
        <w:tc>
          <w:tcPr>
            <w:tcW w:w="154" w:type="dxa"/>
            <w:tcBorders/>
          </w:tcPr>
          <w:p>
            <w:pPr>
              <w:pStyle w:val="TableContents"/>
              <w:bidi w:val="0"/>
              <w:spacing w:before="0" w:after="283"/>
              <w:jc w:val="left"/>
              <w:rPr>
                <w:sz w:val="4"/>
                <w:szCs w:val="4"/>
              </w:rPr>
            </w:pPr>
            <w:r>
              <w:rPr>
                <w:sz w:val="4"/>
                <w:szCs w:val="4"/>
              </w:rPr>
            </w:r>
          </w:p>
        </w:tc>
      </w:tr>
      <w:tr>
        <w:trPr/>
        <w:tc>
          <w:tcPr>
            <w:tcW w:w="2864" w:type="dxa"/>
            <w:gridSpan w:val="3"/>
            <w:vMerge w:val="continue"/>
            <w:tcBorders>
              <w:top w:val="single" w:sz="4" w:space="0" w:color="000000"/>
              <w:left w:val="single" w:sz="12" w:space="0" w:color="000000"/>
              <w:right w:val="single" w:sz="8" w:space="0" w:color="000000"/>
            </w:tcBorders>
            <w:tcMar>
              <w:top w:w="30" w:type="dxa"/>
              <w:bottom w:w="0" w:type="dxa"/>
            </w:tcMar>
            <w:vAlign w:val="center"/>
          </w:tcPr>
          <w:p>
            <w:pPr>
              <w:pStyle w:val="Normal"/>
              <w:bidi w:val="0"/>
              <w:jc w:val="left"/>
              <w:rPr/>
            </w:pPr>
            <w:r>
              <w:rPr/>
            </w:r>
          </w:p>
        </w:tc>
        <w:tc>
          <w:tcPr>
            <w:tcW w:w="1605" w:type="dxa"/>
            <w:gridSpan w:val="3"/>
            <w:vMerge w:val="continue"/>
            <w:tcBorders>
              <w:top w:val="single" w:sz="4" w:space="0" w:color="000000"/>
              <w:left w:val="single" w:sz="8" w:space="0" w:color="000000"/>
              <w:right w:val="single" w:sz="4" w:space="0" w:color="000000"/>
            </w:tcBorders>
            <w:tcMar>
              <w:top w:w="30" w:type="dxa"/>
              <w:bottom w:w="0" w:type="dxa"/>
            </w:tcMar>
            <w:vAlign w:val="center"/>
          </w:tcPr>
          <w:p>
            <w:pPr>
              <w:pStyle w:val="Normal"/>
              <w:bidi w:val="0"/>
              <w:jc w:val="left"/>
              <w:rPr/>
            </w:pPr>
            <w:r>
              <w:rPr/>
            </w:r>
          </w:p>
        </w:tc>
        <w:tc>
          <w:tcPr>
            <w:tcW w:w="1679" w:type="dxa"/>
            <w:gridSpan w:val="3"/>
            <w:vMerge w:val="continue"/>
            <w:tcBorders>
              <w:top w:val="single" w:sz="4" w:space="0" w:color="000000"/>
              <w:left w:val="single" w:sz="4" w:space="0" w:color="000000"/>
              <w:right w:val="single" w:sz="12" w:space="0" w:color="000000"/>
            </w:tcBorders>
            <w:tcMar>
              <w:top w:w="30" w:type="dxa"/>
              <w:bottom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vMerge w:val="restart"/>
            <w:tcBorders>
              <w:top w:val="single" w:sz="4" w:space="0" w:color="000000"/>
              <w:left w:val="single" w:sz="12"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Mission Systems</w:t>
            </w:r>
          </w:p>
        </w:tc>
        <w:tc>
          <w:tcPr>
            <w:tcW w:w="1605" w:type="dxa"/>
            <w:gridSpan w:val="3"/>
            <w:vMerge w:val="restart"/>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High $12</w:t>
            </w:r>
          </w:p>
        </w:tc>
        <w:tc>
          <w:tcPr>
            <w:tcW w:w="1679" w:type="dxa"/>
            <w:gridSpan w:val="3"/>
            <w:tcBorders>
              <w:top w:val="single" w:sz="4" w:space="0" w:color="000000"/>
              <w:left w:val="single" w:sz="4" w:space="0" w:color="000000"/>
              <w:right w:val="single" w:sz="12"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~15%</w:t>
            </w:r>
          </w:p>
        </w:tc>
        <w:tc>
          <w:tcPr>
            <w:tcW w:w="154" w:type="dxa"/>
            <w:tcBorders/>
          </w:tcPr>
          <w:p>
            <w:pPr>
              <w:pStyle w:val="TableContents"/>
              <w:bidi w:val="0"/>
              <w:spacing w:before="0" w:after="283"/>
              <w:jc w:val="left"/>
              <w:rPr>
                <w:sz w:val="4"/>
                <w:szCs w:val="4"/>
              </w:rPr>
            </w:pPr>
            <w:r>
              <w:rPr>
                <w:sz w:val="4"/>
                <w:szCs w:val="4"/>
              </w:rPr>
            </w:r>
          </w:p>
        </w:tc>
      </w:tr>
      <w:tr>
        <w:trPr/>
        <w:tc>
          <w:tcPr>
            <w:tcW w:w="2864" w:type="dxa"/>
            <w:gridSpan w:val="3"/>
            <w:vMerge w:val="continue"/>
            <w:tcBorders>
              <w:top w:val="single" w:sz="4" w:space="0" w:color="000000"/>
              <w:left w:val="single" w:sz="12" w:space="0" w:color="000000"/>
              <w:right w:val="single" w:sz="8" w:space="0" w:color="000000"/>
            </w:tcBorders>
            <w:tcMar>
              <w:top w:w="30" w:type="dxa"/>
              <w:bottom w:w="0" w:type="dxa"/>
            </w:tcMar>
            <w:vAlign w:val="center"/>
          </w:tcPr>
          <w:p>
            <w:pPr>
              <w:pStyle w:val="Normal"/>
              <w:bidi w:val="0"/>
              <w:jc w:val="left"/>
              <w:rPr/>
            </w:pPr>
            <w:r>
              <w:rPr/>
            </w:r>
          </w:p>
        </w:tc>
        <w:tc>
          <w:tcPr>
            <w:tcW w:w="1605" w:type="dxa"/>
            <w:gridSpan w:val="3"/>
            <w:vMerge w:val="continue"/>
            <w:tcBorders>
              <w:top w:val="single" w:sz="4" w:space="0" w:color="000000"/>
              <w:left w:val="single" w:sz="8" w:space="0" w:color="000000"/>
            </w:tcBorders>
            <w:tcMar>
              <w:top w:w="30" w:type="dxa"/>
              <w:bottom w:w="0" w:type="dxa"/>
              <w:right w:w="0" w:type="dxa"/>
            </w:tcMar>
            <w:vAlign w:val="center"/>
          </w:tcPr>
          <w:p>
            <w:pPr>
              <w:pStyle w:val="Normal"/>
              <w:bidi w:val="0"/>
              <w:jc w:val="left"/>
              <w:rPr/>
            </w:pPr>
            <w:r>
              <w:rPr/>
            </w:r>
          </w:p>
        </w:tc>
        <w:tc>
          <w:tcPr>
            <w:tcW w:w="1679" w:type="dxa"/>
            <w:gridSpan w:val="3"/>
            <w:tcBorders>
              <w:left w:val="single" w:sz="4" w:space="0" w:color="000000"/>
              <w:right w:val="single" w:sz="12"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Prior: High 14%</w:t>
            </w:r>
          </w:p>
        </w:tc>
        <w:tc>
          <w:tcPr>
            <w:tcW w:w="154" w:type="dxa"/>
            <w:tcBorders/>
          </w:tcPr>
          <w:p>
            <w:pPr>
              <w:pStyle w:val="TableContents"/>
              <w:bidi w:val="0"/>
              <w:spacing w:before="0" w:after="283"/>
              <w:jc w:val="left"/>
              <w:rPr>
                <w:sz w:val="4"/>
                <w:szCs w:val="4"/>
              </w:rPr>
            </w:pPr>
            <w:r>
              <w:rPr>
                <w:sz w:val="4"/>
                <w:szCs w:val="4"/>
              </w:rPr>
            </w:r>
          </w:p>
        </w:tc>
      </w:tr>
      <w:tr>
        <w:trPr/>
        <w:tc>
          <w:tcPr>
            <w:tcW w:w="2864" w:type="dxa"/>
            <w:gridSpan w:val="3"/>
            <w:vMerge w:val="restart"/>
            <w:tcBorders>
              <w:top w:val="single" w:sz="4" w:space="0" w:color="000000"/>
              <w:left w:val="single" w:sz="12"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Space Systems</w:t>
            </w:r>
          </w:p>
        </w:tc>
        <w:tc>
          <w:tcPr>
            <w:tcW w:w="1605" w:type="dxa"/>
            <w:gridSpan w:val="3"/>
            <w:vMerge w:val="restart"/>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~$11</w:t>
            </w:r>
          </w:p>
        </w:tc>
        <w:tc>
          <w:tcPr>
            <w:tcW w:w="1679" w:type="dxa"/>
            <w:gridSpan w:val="3"/>
            <w:tcBorders>
              <w:top w:val="single" w:sz="4" w:space="0" w:color="000000"/>
              <w:left w:val="single" w:sz="4" w:space="0" w:color="000000"/>
              <w:right w:val="single" w:sz="12"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Low 10%</w:t>
            </w:r>
          </w:p>
        </w:tc>
        <w:tc>
          <w:tcPr>
            <w:tcW w:w="154" w:type="dxa"/>
            <w:tcBorders/>
          </w:tcPr>
          <w:p>
            <w:pPr>
              <w:pStyle w:val="TableContents"/>
              <w:bidi w:val="0"/>
              <w:spacing w:before="0" w:after="283"/>
              <w:jc w:val="left"/>
              <w:rPr>
                <w:sz w:val="4"/>
                <w:szCs w:val="4"/>
              </w:rPr>
            </w:pPr>
            <w:r>
              <w:rPr>
                <w:sz w:val="4"/>
                <w:szCs w:val="4"/>
              </w:rPr>
            </w:r>
          </w:p>
        </w:tc>
      </w:tr>
      <w:tr>
        <w:trPr/>
        <w:tc>
          <w:tcPr>
            <w:tcW w:w="2864" w:type="dxa"/>
            <w:gridSpan w:val="3"/>
            <w:vMerge w:val="continue"/>
            <w:tcBorders>
              <w:top w:val="single" w:sz="4" w:space="0" w:color="000000"/>
              <w:left w:val="single" w:sz="12" w:space="0" w:color="000000"/>
              <w:right w:val="single" w:sz="8" w:space="0" w:color="000000"/>
            </w:tcBorders>
            <w:tcMar>
              <w:top w:w="30" w:type="dxa"/>
              <w:bottom w:w="0" w:type="dxa"/>
            </w:tcMar>
            <w:vAlign w:val="center"/>
          </w:tcPr>
          <w:p>
            <w:pPr>
              <w:pStyle w:val="Normal"/>
              <w:bidi w:val="0"/>
              <w:jc w:val="left"/>
              <w:rPr/>
            </w:pPr>
            <w:r>
              <w:rPr/>
            </w:r>
          </w:p>
        </w:tc>
        <w:tc>
          <w:tcPr>
            <w:tcW w:w="1605" w:type="dxa"/>
            <w:gridSpan w:val="3"/>
            <w:vMerge w:val="continue"/>
            <w:tcBorders>
              <w:top w:val="single" w:sz="4" w:space="0" w:color="000000"/>
              <w:left w:val="single" w:sz="8" w:space="0" w:color="000000"/>
            </w:tcBorders>
            <w:tcMar>
              <w:top w:w="30" w:type="dxa"/>
              <w:bottom w:w="0" w:type="dxa"/>
              <w:right w:w="0" w:type="dxa"/>
            </w:tcMar>
            <w:vAlign w:val="center"/>
          </w:tcPr>
          <w:p>
            <w:pPr>
              <w:pStyle w:val="Normal"/>
              <w:bidi w:val="0"/>
              <w:jc w:val="left"/>
              <w:rPr/>
            </w:pPr>
            <w:r>
              <w:rPr/>
            </w:r>
          </w:p>
        </w:tc>
        <w:tc>
          <w:tcPr>
            <w:tcW w:w="1679" w:type="dxa"/>
            <w:gridSpan w:val="3"/>
            <w:tcBorders>
              <w:left w:val="single" w:sz="4" w:space="0" w:color="000000"/>
              <w:right w:val="single" w:sz="12"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Prior: ~11%</w:t>
            </w:r>
          </w:p>
        </w:tc>
        <w:tc>
          <w:tcPr>
            <w:tcW w:w="154" w:type="dxa"/>
            <w:tcBorders/>
          </w:tcPr>
          <w:p>
            <w:pPr>
              <w:pStyle w:val="TableContents"/>
              <w:bidi w:val="0"/>
              <w:spacing w:before="0" w:after="283"/>
              <w:jc w:val="left"/>
              <w:rPr>
                <w:sz w:val="4"/>
                <w:szCs w:val="4"/>
              </w:rPr>
            </w:pPr>
            <w:r>
              <w:rPr>
                <w:sz w:val="4"/>
                <w:szCs w:val="4"/>
              </w:rPr>
            </w:r>
          </w:p>
        </w:tc>
      </w:tr>
      <w:tr>
        <w:trPr/>
        <w:tc>
          <w:tcPr>
            <w:tcW w:w="2864" w:type="dxa"/>
            <w:gridSpan w:val="3"/>
            <w:vMerge w:val="restart"/>
            <w:tcBorders>
              <w:top w:val="single" w:sz="4"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Intersegment Eliminations</w:t>
            </w:r>
          </w:p>
        </w:tc>
        <w:tc>
          <w:tcPr>
            <w:tcW w:w="160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~($2.7)</w:t>
            </w:r>
          </w:p>
        </w:tc>
        <w:tc>
          <w:tcPr>
            <w:tcW w:w="1679" w:type="dxa"/>
            <w:gridSpan w:val="3"/>
            <w:tcBorders>
              <w:top w:val="single" w:sz="4" w:space="0" w:color="000000"/>
              <w:left w:val="single" w:sz="4" w:space="0" w:color="000000"/>
              <w:right w:val="single" w:sz="12"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Mid 13%</w:t>
            </w:r>
          </w:p>
        </w:tc>
        <w:tc>
          <w:tcPr>
            <w:tcW w:w="154" w:type="dxa"/>
            <w:tcBorders/>
          </w:tcPr>
          <w:p>
            <w:pPr>
              <w:pStyle w:val="TableContents"/>
              <w:bidi w:val="0"/>
              <w:spacing w:before="0" w:after="283"/>
              <w:jc w:val="left"/>
              <w:rPr>
                <w:sz w:val="4"/>
                <w:szCs w:val="4"/>
              </w:rPr>
            </w:pPr>
            <w:r>
              <w:rPr>
                <w:sz w:val="4"/>
                <w:szCs w:val="4"/>
              </w:rPr>
            </w:r>
          </w:p>
        </w:tc>
      </w:tr>
      <w:tr>
        <w:trPr/>
        <w:tc>
          <w:tcPr>
            <w:tcW w:w="2864" w:type="dxa"/>
            <w:gridSpan w:val="3"/>
            <w:vMerge w:val="continue"/>
            <w:tcBorders>
              <w:top w:val="single" w:sz="4" w:space="0" w:color="000000"/>
              <w:left w:val="single" w:sz="12" w:space="0" w:color="000000"/>
              <w:bottom w:val="single" w:sz="12" w:space="0" w:color="000000"/>
            </w:tcBorders>
            <w:tcMar>
              <w:top w:w="30" w:type="dxa"/>
              <w:bottom w:w="30" w:type="dxa"/>
              <w:right w:w="0" w:type="dxa"/>
            </w:tcMar>
            <w:vAlign w:val="center"/>
          </w:tcPr>
          <w:p>
            <w:pPr>
              <w:pStyle w:val="Normal"/>
              <w:bidi w:val="0"/>
              <w:jc w:val="left"/>
              <w:rPr/>
            </w:pPr>
            <w:r>
              <w:rPr/>
            </w:r>
          </w:p>
        </w:tc>
        <w:tc>
          <w:tcPr>
            <w:tcW w:w="1605" w:type="dxa"/>
            <w:gridSpan w:val="3"/>
            <w:tcBorders>
              <w:left w:val="single" w:sz="8" w:space="0" w:color="000000"/>
              <w:bottom w:val="single" w:sz="12"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Prior: ~($2.4)</w:t>
            </w:r>
          </w:p>
        </w:tc>
        <w:tc>
          <w:tcPr>
            <w:tcW w:w="1679" w:type="dxa"/>
            <w:gridSpan w:val="3"/>
            <w:tcBorders>
              <w:left w:val="single" w:sz="4" w:space="0" w:color="000000"/>
              <w:bottom w:val="single" w:sz="12" w:space="0" w:color="000000"/>
              <w:right w:val="single" w:sz="12" w:space="0" w:color="000000"/>
            </w:tcBorders>
            <w:tcMar>
              <w:top w:w="0" w:type="dxa"/>
              <w:bottom w:w="3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Prior: High 13%</w:t>
            </w:r>
          </w:p>
        </w:tc>
        <w:tc>
          <w:tcPr>
            <w:tcW w:w="154" w:type="dxa"/>
            <w:tcBorders/>
          </w:tcPr>
          <w:p>
            <w:pPr>
              <w:pStyle w:val="TableContents"/>
              <w:bidi w:val="0"/>
              <w:spacing w:before="0" w:after="283"/>
              <w:jc w:val="left"/>
              <w:rPr>
                <w:sz w:val="4"/>
                <w:szCs w:val="4"/>
              </w:rPr>
            </w:pPr>
            <w:r>
              <w:rPr>
                <w:sz w:val="4"/>
                <w:szCs w:val="4"/>
              </w:rPr>
            </w:r>
          </w:p>
        </w:tc>
      </w:tr>
    </w:tbl>
    <w:tbl>
      <w:tblPr>
        <w:tblW w:w="4976" w:type="dxa"/>
        <w:jc w:val="left"/>
        <w:tblInd w:w="0" w:type="dxa"/>
        <w:tblLayout w:type="fixed"/>
        <w:tblCellMar>
          <w:top w:w="28" w:type="dxa"/>
          <w:left w:w="28" w:type="dxa"/>
          <w:bottom w:w="28" w:type="dxa"/>
          <w:right w:w="28" w:type="dxa"/>
        </w:tblCellMar>
      </w:tblPr>
      <w:tblGrid>
        <w:gridCol w:w="124"/>
        <w:gridCol w:w="109"/>
        <w:gridCol w:w="109"/>
        <w:gridCol w:w="720"/>
        <w:gridCol w:w="720"/>
        <w:gridCol w:w="720"/>
        <w:gridCol w:w="720"/>
        <w:gridCol w:w="720"/>
        <w:gridCol w:w="10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9"/>
              </w:rPr>
            </w:pPr>
            <w:r>
              <w:rPr>
                <w:rFonts w:ascii="Arial;sans-serif" w:hAnsi="Arial;sans-serif"/>
                <w:b w:val="false"/>
                <w:color w:val="000000"/>
                <w:sz w:val="9"/>
              </w:rPr>
              <w:t>1</w:t>
            </w:r>
          </w:p>
        </w:tc>
        <w:tc>
          <w:tcPr>
            <w:tcW w:w="4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Non-GAAP measure - see definitions at the end of this earnings release.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028700"/>
                <wp:effectExtent l="0" t="0" r="0" b="0"/>
                <wp:wrapNone/>
                <wp:docPr id="10" name="Frame9"/>
                <a:graphic xmlns:a="http://schemas.openxmlformats.org/drawingml/2006/main">
                  <a:graphicData uri="http://schemas.microsoft.com/office/word/2010/wordprocessingShape">
                    <wps:wsp>
                      <wps:cNvSpPr txBox="1"/>
                      <wps:spPr>
                        <a:xfrm>
                          <a:off x="0" y="0"/>
                          <a:ext cx="6480175" cy="1028700"/>
                        </a:xfrm>
                        <a:prstGeom prst="rect"/>
                        <a:solidFill>
                          <a:srgbClr val="FFFFFF"/>
                        </a:solidFill>
                      </wps:spPr>
                      <wps:txb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pt;mso-wrap-distance-left:0pt;mso-wrap-distance-right:0pt;mso-wrap-distance-top:0pt;mso-wrap-distance-bottom:0pt;margin-top:0pt;mso-position-vertical:top;mso-position-vertical-relative:text;margin-left:0pt;mso-position-horizontal:left;mso-position-horizontal-relative:text">
                <v:textbo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7120" w:type="dxa"/>
        <w:jc w:val="left"/>
        <w:tblInd w:w="0" w:type="dxa"/>
        <w:tblLayout w:type="fixed"/>
        <w:tblCellMar>
          <w:top w:w="28" w:type="dxa"/>
          <w:left w:w="28" w:type="dxa"/>
          <w:bottom w:w="28" w:type="dxa"/>
          <w:right w:w="28" w:type="dxa"/>
        </w:tblCellMar>
      </w:tblPr>
      <w:tblGrid>
        <w:gridCol w:w="1250"/>
        <w:gridCol w:w="1096"/>
        <w:gridCol w:w="1096"/>
        <w:gridCol w:w="1096"/>
        <w:gridCol w:w="1096"/>
        <w:gridCol w:w="1114"/>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8" w:type="dxa"/>
            <w:gridSpan w:val="6"/>
            <w:tcBorders/>
            <w:tcMar>
              <w:top w:w="0" w:type="dxa"/>
              <w:left w:w="0" w:type="dxa"/>
              <w:bottom w:w="0" w:type="dxa"/>
              <w:right w:w="0" w:type="dxa"/>
            </w:tcMar>
            <w:vAlign w:val="center"/>
          </w:tcPr>
          <w:p>
            <w:pPr>
              <w:pStyle w:val="TableContents"/>
              <w:bidi w:val="0"/>
              <w:spacing w:lineRule="auto" w:line="240" w:before="180" w:after="10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Second Quarter 2026 Financial Results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7</w:t>
            </w:r>
          </w:p>
        </w:tc>
      </w:tr>
    </w:tbl>
    <w:p>
      <w:pPr>
        <w:pStyle w:val="TextBody"/>
        <w:bidi w:val="0"/>
        <w:spacing w:before="0" w:after="0"/>
        <w:jc w:val="center"/>
        <w:rPr/>
      </w:pPr>
      <w:r>
        <w:rPr/>
      </w:r>
    </w:p>
    <w:p>
      <w:pPr>
        <w:pStyle w:val="TextBody"/>
        <w:bidi w:val="0"/>
        <w:spacing w:lineRule="auto" w:line="288" w:before="100" w:after="100"/>
        <w:jc w:val="left"/>
        <w:rPr>
          <w:rFonts w:ascii="Arial;sans-serif" w:hAnsi="Arial;sans-serif"/>
          <w:b/>
          <w:color w:val="000000"/>
          <w:sz w:val="24"/>
          <w:u w:val="single"/>
        </w:rPr>
      </w:pPr>
      <w:r>
        <w:rPr>
          <w:rFonts w:ascii="Arial;sans-serif" w:hAnsi="Arial;sans-serif"/>
          <w:b/>
          <w:color w:val="000000"/>
          <w:sz w:val="24"/>
          <w:u w:val="single"/>
        </w:rPr>
        <w:t>About Northrop Grumman</w:t>
      </w:r>
    </w:p>
    <w:p>
      <w:pPr>
        <w:pStyle w:val="TextBody"/>
        <w:bidi w:val="0"/>
        <w:spacing w:lineRule="auto" w:line="288" w:before="0" w:after="100"/>
        <w:ind w:left="0" w:right="0" w:firstLine="360"/>
        <w:jc w:val="left"/>
        <w:rPr/>
      </w:pPr>
      <w:r>
        <w:rPr>
          <w:rFonts w:ascii="Arial;sans-serif" w:hAnsi="Arial;sans-serif"/>
          <w:b w:val="false"/>
          <w:color w:val="000000"/>
          <w:sz w:val="24"/>
        </w:rPr>
        <w:t xml:space="preserve">Northrop Grumman will webcast its earnings conference call at 9:30 a.m. Eastern Time on July 21, 2026. A live audio broadcast of the conference call will be available on the investor relations page of the company’s website at </w:t>
      </w:r>
      <w:r>
        <w:rPr>
          <w:rFonts w:ascii="Arial;sans-serif" w:hAnsi="Arial;sans-serif"/>
          <w:b w:val="false"/>
          <w:color w:val="000000"/>
          <w:sz w:val="24"/>
          <w:u w:val="single"/>
        </w:rPr>
        <w:t>www.northropgrumman.com</w:t>
      </w:r>
      <w:r>
        <w:rPr>
          <w:rFonts w:ascii="Arial;sans-serif" w:hAnsi="Arial;sans-serif"/>
          <w:b w:val="false"/>
          <w:color w:val="000000"/>
          <w:sz w:val="24"/>
        </w:rPr>
        <w:t>.</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Northrop Grumman is a leading global aerospace and defense technology company. Our pioneering solutions equip our customers with the capabilities they need to connect and protect the world, and push the boundaries of human exploration across the universe. Driven by a shared purpose to solve our customers’ toughest problems, our employees define possible every day.</w:t>
      </w:r>
    </w:p>
    <w:p>
      <w:pPr>
        <w:pStyle w:val="TextBody"/>
        <w:bidi w:val="0"/>
        <w:spacing w:before="0" w:after="0"/>
        <w:ind w:left="0" w:right="0" w:firstLine="720"/>
        <w:jc w:val="left"/>
        <w:rPr/>
      </w:pPr>
      <w:r>
        <w:rPr/>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w:t>
      </w:r>
    </w:p>
    <w:p>
      <w:pPr>
        <w:pStyle w:val="TextBody"/>
        <w:bidi w:val="0"/>
        <w:spacing w:before="0" w:after="0"/>
        <w:jc w:val="center"/>
        <w:rPr/>
      </w:pPr>
      <w:r>
        <w:rPr/>
      </w:r>
    </w:p>
    <w:p>
      <w:pPr>
        <w:pStyle w:val="TextBody"/>
        <w:bidi w:val="0"/>
        <w:spacing w:lineRule="auto" w:line="288" w:before="0" w:after="100"/>
        <w:jc w:val="left"/>
        <w:rPr>
          <w:rFonts w:ascii="Arial;sans-serif" w:hAnsi="Arial;sans-serif"/>
          <w:b/>
          <w:color w:val="000000"/>
          <w:sz w:val="24"/>
          <w:u w:val="single"/>
        </w:rPr>
      </w:pPr>
      <w:r>
        <w:rPr>
          <w:rFonts w:ascii="Arial;sans-serif" w:hAnsi="Arial;sans-serif"/>
          <w:b/>
          <w:color w:val="000000"/>
          <w:sz w:val="24"/>
          <w:u w:val="single"/>
        </w:rPr>
        <w:t>Forward-Looking Statements and Projections</w:t>
      </w:r>
    </w:p>
    <w:p>
      <w:pPr>
        <w:pStyle w:val="TextBody"/>
        <w:bidi w:val="0"/>
        <w:spacing w:lineRule="auto" w:line="288" w:before="0" w:after="100"/>
        <w:jc w:val="left"/>
        <w:rPr>
          <w:rFonts w:ascii="Arial;sans-serif" w:hAnsi="Arial;sans-serif"/>
          <w:b w:val="false"/>
          <w:color w:val="000000"/>
          <w:sz w:val="24"/>
        </w:rPr>
      </w:pPr>
      <w:r>
        <w:rPr>
          <w:rFonts w:ascii="Arial;sans-serif" w:hAnsi="Arial;sans-serif"/>
          <w:b w:val="false"/>
          <w:color w:val="000000"/>
          <w:sz w:val="24"/>
        </w:rPr>
        <w:t>This earnings release and the information we are incorporating by reference, and statements to be made on the earnings conference call, contain or may contain statements that constitute “forward-looking statements” within the meaning of the Private Securities Litigation Reform Act of 1995. Words such as “will,” “expect,” “anticipate,” “intend,” “may,” “could,” “should,” “plan,” “strategy,” “project,” “forecast,” “achieve,” “believe,” “estimate,” “guidance,” “outlook,” “trends,” “goals,” “confident,” “targeting,” “on track” and similar expressions generally identify these forward-looking statements.</w:t>
      </w:r>
    </w:p>
    <w:p>
      <w:pPr>
        <w:pStyle w:val="TextBody"/>
        <w:bidi w:val="0"/>
        <w:spacing w:lineRule="auto" w:line="288" w:before="0" w:after="100"/>
        <w:jc w:val="left"/>
        <w:rPr>
          <w:rFonts w:ascii="Arial;sans-serif" w:hAnsi="Arial;sans-serif"/>
          <w:b w:val="false"/>
          <w:color w:val="000000"/>
          <w:sz w:val="24"/>
        </w:rPr>
      </w:pPr>
      <w:r>
        <w:rPr>
          <w:rFonts w:ascii="Arial;sans-serif" w:hAnsi="Arial;sans-serif"/>
          <w:b w:val="false"/>
          <w:color w:val="000000"/>
          <w:sz w:val="24"/>
        </w:rPr>
        <w:t>Forward-looking statements include, among other things, statements relating to our future financial condition, results of operations and/or cash flows, including financial guidance, outlook, trends, expectations and other forward-looking statements for 2026 and beyond.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the Form 10-K for the year ended December 31, 2025, and from time to time in our other filings with the Securities and Exchange Commission (SEC). They include:</w:t>
      </w:r>
    </w:p>
    <w:p>
      <w:pPr>
        <w:pStyle w:val="TextBody"/>
        <w:bidi w:val="0"/>
        <w:spacing w:lineRule="auto" w:line="288" w:before="0" w:after="100"/>
        <w:jc w:val="left"/>
        <w:rPr>
          <w:rFonts w:ascii="Arial;sans-serif" w:hAnsi="Arial;sans-serif"/>
          <w:b w:val="false"/>
          <w:color w:val="000000"/>
          <w:sz w:val="24"/>
        </w:rPr>
      </w:pPr>
      <w:r>
        <w:rPr>
          <w:rFonts w:ascii="Arial;sans-serif" w:hAnsi="Arial;sans-serif"/>
          <w:b w:val="false"/>
          <w:color w:val="000000"/>
          <w:sz w:val="24"/>
        </w:rPr>
        <w:t>Industry and Economic Risks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our dependence on the U.S. government for a substantial portion of our business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significant delays or reductions in appropriations and/or for our programs, and U.S. government funding and program support more broadly, including as a result of a prolonged continuing resolution and/or government shutdown, and/or related to the global security environment or other global events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significant delays or reductions in payments as a result of or related to a breach of the debt ceiling or a prolonged government shutdown</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 xml:space="preserve">the use of estimates when accounting for our contracts and the effect of contract cost growth and our efforts to recover or offset such costs and/or changes in estimated contract costs and revenues, including as a result of inflationary pressures, labor shortages, supply chain challenges, changes in trade policies and/or other macroeconomic factors, and risks related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028700"/>
                <wp:effectExtent l="0" t="0" r="0" b="0"/>
                <wp:wrapNone/>
                <wp:docPr id="11" name="Frame10"/>
                <a:graphic xmlns:a="http://schemas.openxmlformats.org/drawingml/2006/main">
                  <a:graphicData uri="http://schemas.microsoft.com/office/word/2010/wordprocessingShape">
                    <wps:wsp>
                      <wps:cNvSpPr txBox="1"/>
                      <wps:spPr>
                        <a:xfrm>
                          <a:off x="0" y="0"/>
                          <a:ext cx="6480175" cy="1028700"/>
                        </a:xfrm>
                        <a:prstGeom prst="rect"/>
                        <a:solidFill>
                          <a:srgbClr val="FFFFFF"/>
                        </a:solidFill>
                      </wps:spPr>
                      <wps:txb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pt;mso-wrap-distance-left:0pt;mso-wrap-distance-right:0pt;mso-wrap-distance-top:0pt;mso-wrap-distance-bottom:0pt;margin-top:0pt;mso-position-vertical:top;mso-position-vertical-relative:text;margin-left:0pt;mso-position-horizontal:left;mso-position-horizontal-relative:text">
                <v:textbo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7120" w:type="dxa"/>
        <w:jc w:val="left"/>
        <w:tblInd w:w="0" w:type="dxa"/>
        <w:tblLayout w:type="fixed"/>
        <w:tblCellMar>
          <w:top w:w="28" w:type="dxa"/>
          <w:left w:w="28" w:type="dxa"/>
          <w:bottom w:w="28" w:type="dxa"/>
          <w:right w:w="28" w:type="dxa"/>
        </w:tblCellMar>
      </w:tblPr>
      <w:tblGrid>
        <w:gridCol w:w="1250"/>
        <w:gridCol w:w="1096"/>
        <w:gridCol w:w="1096"/>
        <w:gridCol w:w="1096"/>
        <w:gridCol w:w="1096"/>
        <w:gridCol w:w="1114"/>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8" w:type="dxa"/>
            <w:gridSpan w:val="6"/>
            <w:tcBorders/>
            <w:tcMar>
              <w:top w:w="0" w:type="dxa"/>
              <w:left w:w="0" w:type="dxa"/>
              <w:bottom w:w="0" w:type="dxa"/>
              <w:right w:w="0" w:type="dxa"/>
            </w:tcMar>
            <w:vAlign w:val="center"/>
          </w:tcPr>
          <w:p>
            <w:pPr>
              <w:pStyle w:val="TableContents"/>
              <w:bidi w:val="0"/>
              <w:spacing w:lineRule="auto" w:line="240" w:before="180" w:after="10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Second Quarter 2026 Financial Results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8</w:t>
            </w:r>
          </w:p>
        </w:tc>
      </w:tr>
    </w:tbl>
    <w:p>
      <w:pPr>
        <w:pStyle w:val="TextBody"/>
        <w:bidi w:val="0"/>
        <w:spacing w:before="0" w:after="0"/>
        <w:jc w:val="center"/>
        <w:rPr/>
      </w:pPr>
      <w:r>
        <w:rPr/>
      </w:r>
    </w:p>
    <w:p>
      <w:pPr>
        <w:pStyle w:val="TextBody"/>
        <w:bidi w:val="0"/>
        <w:spacing w:lineRule="auto" w:line="288" w:before="0" w:after="100"/>
        <w:jc w:val="left"/>
        <w:rPr>
          <w:rFonts w:ascii="Arial;sans-serif" w:hAnsi="Arial;sans-serif"/>
          <w:b w:val="false"/>
          <w:color w:val="000000"/>
          <w:sz w:val="24"/>
        </w:rPr>
      </w:pPr>
      <w:r>
        <w:rPr>
          <w:rFonts w:ascii="Arial;sans-serif" w:hAnsi="Arial;sans-serif"/>
          <w:b w:val="false"/>
          <w:color w:val="000000"/>
          <w:sz w:val="24"/>
        </w:rPr>
        <w:t>to management’s judgments and assumptions in estimating and/or projecting contract revenue and performance which may be inaccurate</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increased competition within our markets and bid protests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continued pressures from macroeconomic trends, including on costs, schedules, performance and ability to meet expectations</w:t>
      </w:r>
    </w:p>
    <w:p>
      <w:pPr>
        <w:pStyle w:val="TextBody"/>
        <w:bidi w:val="0"/>
        <w:spacing w:lineRule="auto" w:line="288" w:before="0" w:after="100"/>
        <w:jc w:val="left"/>
        <w:rPr>
          <w:rFonts w:ascii="Arial;sans-serif" w:hAnsi="Arial;sans-serif"/>
          <w:b w:val="false"/>
          <w:color w:val="000000"/>
          <w:sz w:val="24"/>
        </w:rPr>
      </w:pPr>
      <w:r>
        <w:rPr>
          <w:rFonts w:ascii="Arial;sans-serif" w:hAnsi="Arial;sans-serif"/>
          <w:b w:val="false"/>
          <w:color w:val="000000"/>
          <w:sz w:val="24"/>
        </w:rPr>
        <w:t>Legal and Regulatory Risks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investigations, claims, disputes, enforcement actions, litigation (including criminal, civil and administrative) and/or other legal proceedings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changes in procurement and other laws, SEC, U.S. Department of War (DoW) and other rules and regulations, including changes through executive orders, contract terms and practices applicable to our industry, findings by the U.S. government as to our compliance with such requirements, more aggressive enforcement of such requirements and changes in our customers’ business practices and preferences globally</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the improper conduct of employees, agents, subcontractors, suppliers, business partners or joint ventures in which we participate, including the impact on our reputation and our ability to do business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environmental matters, unforeseen environmental costs and government and third-party claims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unanticipated changes in our tax provisions or exposure to additional tax liabilities</w:t>
      </w:r>
    </w:p>
    <w:p>
      <w:pPr>
        <w:pStyle w:val="TextBody"/>
        <w:bidi w:val="0"/>
        <w:spacing w:lineRule="auto" w:line="288" w:before="0" w:after="100"/>
        <w:jc w:val="left"/>
        <w:rPr>
          <w:rFonts w:ascii="Arial;sans-serif" w:hAnsi="Arial;sans-serif"/>
          <w:b w:val="false"/>
          <w:color w:val="000000"/>
          <w:sz w:val="24"/>
        </w:rPr>
      </w:pPr>
      <w:r>
        <w:rPr>
          <w:rFonts w:ascii="Arial;sans-serif" w:hAnsi="Arial;sans-serif"/>
          <w:b w:val="false"/>
          <w:color w:val="000000"/>
          <w:sz w:val="24"/>
        </w:rPr>
        <w:t>Business and Operational Risks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cyber and other security threats or disruptions faced by us, our customers or our suppliers and other partners, and changes in related regulations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the performance and viability of our subcontractors and suppliers and the availability and pricing of raw materials, critical minerals and metals, chemicals, parts and components, particularly with inflationary pressures, increased costs, pricing changes, shortages in labor and financial resources, supply chain disruptions, and extended material lead times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our ability to attract and retain a qualified and talented workforce with the necessary security clearances to meet our performance obligations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our exposure to additional risks as a result of our international business, including risks related to global security and strategic alliances, geopolitical and economic factors, misconduct, suppliers, laws and regulations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our ability to innovate, develop new products and technologies, progress and benefit from digital transformation and maintain technologies to meet the needs of our customers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natural disasters, epidemics, pandemics and similar outbreaks and other significant disruptions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products and services we provide related to hazardous and high risk operations, including the production and use of such products, which subject us to various environmental, regulatory, financial, reputational and other risks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our ability appropriately to protect and exploit intellectual property rights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028700"/>
                <wp:effectExtent l="0" t="0" r="0" b="0"/>
                <wp:wrapNone/>
                <wp:docPr id="12" name="Frame11"/>
                <a:graphic xmlns:a="http://schemas.openxmlformats.org/drawingml/2006/main">
                  <a:graphicData uri="http://schemas.microsoft.com/office/word/2010/wordprocessingShape">
                    <wps:wsp>
                      <wps:cNvSpPr txBox="1"/>
                      <wps:spPr>
                        <a:xfrm>
                          <a:off x="0" y="0"/>
                          <a:ext cx="6480175" cy="1028700"/>
                        </a:xfrm>
                        <a:prstGeom prst="rect"/>
                        <a:solidFill>
                          <a:srgbClr val="FFFFFF"/>
                        </a:solidFill>
                      </wps:spPr>
                      <wps:txb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pt;mso-wrap-distance-left:0pt;mso-wrap-distance-right:0pt;mso-wrap-distance-top:0pt;mso-wrap-distance-bottom:0pt;margin-top:0pt;mso-position-vertical:top;mso-position-vertical-relative:text;margin-left:0pt;mso-position-horizontal:left;mso-position-horizontal-relative:text">
                <v:textbo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7120" w:type="dxa"/>
        <w:jc w:val="left"/>
        <w:tblInd w:w="0" w:type="dxa"/>
        <w:tblLayout w:type="fixed"/>
        <w:tblCellMar>
          <w:top w:w="28" w:type="dxa"/>
          <w:left w:w="28" w:type="dxa"/>
          <w:bottom w:w="28" w:type="dxa"/>
          <w:right w:w="28" w:type="dxa"/>
        </w:tblCellMar>
      </w:tblPr>
      <w:tblGrid>
        <w:gridCol w:w="1250"/>
        <w:gridCol w:w="1096"/>
        <w:gridCol w:w="1096"/>
        <w:gridCol w:w="1096"/>
        <w:gridCol w:w="1096"/>
        <w:gridCol w:w="1114"/>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8" w:type="dxa"/>
            <w:gridSpan w:val="6"/>
            <w:tcBorders/>
            <w:tcMar>
              <w:top w:w="0" w:type="dxa"/>
              <w:left w:w="0" w:type="dxa"/>
              <w:bottom w:w="0" w:type="dxa"/>
              <w:right w:w="0" w:type="dxa"/>
            </w:tcMar>
            <w:vAlign w:val="center"/>
          </w:tcPr>
          <w:p>
            <w:pPr>
              <w:pStyle w:val="TableContents"/>
              <w:bidi w:val="0"/>
              <w:spacing w:lineRule="auto" w:line="240" w:before="180" w:after="10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Second Quarter 2026 Financial Results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9</w:t>
            </w:r>
          </w:p>
        </w:tc>
      </w:tr>
    </w:tbl>
    <w:p>
      <w:pPr>
        <w:pStyle w:val="TextBody"/>
        <w:bidi w:val="0"/>
        <w:spacing w:before="0" w:after="0"/>
        <w:jc w:val="center"/>
        <w:rPr/>
      </w:pPr>
      <w:r>
        <w:rPr/>
      </w:r>
    </w:p>
    <w:p>
      <w:pPr>
        <w:pStyle w:val="TextBody"/>
        <w:bidi w:val="0"/>
        <w:spacing w:lineRule="auto" w:line="288" w:before="0" w:after="100"/>
        <w:jc w:val="left"/>
        <w:rPr>
          <w:rFonts w:ascii="Arial;sans-serif" w:hAnsi="Arial;sans-serif"/>
          <w:b w:val="false"/>
          <w:color w:val="000000"/>
          <w:sz w:val="24"/>
        </w:rPr>
      </w:pPr>
      <w:r>
        <w:rPr>
          <w:rFonts w:ascii="Arial;sans-serif" w:hAnsi="Arial;sans-serif"/>
          <w:b w:val="false"/>
          <w:color w:val="000000"/>
          <w:sz w:val="24"/>
        </w:rPr>
        <w:t>General and Other Risk Factors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the adequacy and availability of, and ability to obtain, insurance coverage, customer indemnifications or other liability protections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the future investment performance of plan assets, gains or losses associated with changes in valuation of marketable securities related to our non-qualified benefit plans, changes in actuarial assumptions associated with our pension and other postretirement benefit plans and legislative or other regulatory actions impacting our pension and postretirement benefit obligations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changes in business conditions that could impact business investments and/or recorded goodwill or the value of other long-lived assets, and other potential future liabilities</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You are urged to consider the limitations on, and risks associated with, forward-looking statements and not unduly rely on the accuracy of forward-looking statements. These forward-looking statements speak only as of the date this earnings release is first issued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This release and the attachments also contain non-GAAP financial measures. A reconciliation to the nearest GAAP measure and a discussion of the company’s use of these measures are included in this release or the attachments.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028700"/>
                <wp:effectExtent l="0" t="0" r="0" b="0"/>
                <wp:wrapNone/>
                <wp:docPr id="13" name="Frame12"/>
                <a:graphic xmlns:a="http://schemas.openxmlformats.org/drawingml/2006/main">
                  <a:graphicData uri="http://schemas.microsoft.com/office/word/2010/wordprocessingShape">
                    <wps:wsp>
                      <wps:cNvSpPr txBox="1"/>
                      <wps:spPr>
                        <a:xfrm>
                          <a:off x="0" y="0"/>
                          <a:ext cx="6480175" cy="1028700"/>
                        </a:xfrm>
                        <a:prstGeom prst="rect"/>
                        <a:solidFill>
                          <a:srgbClr val="FFFFFF"/>
                        </a:solidFill>
                      </wps:spPr>
                      <wps:txb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pt;mso-wrap-distance-left:0pt;mso-wrap-distance-right:0pt;mso-wrap-distance-top:0pt;mso-wrap-distance-bottom:0pt;margin-top:0pt;mso-position-vertical:top;mso-position-vertical-relative:text;margin-left:0pt;mso-position-horizontal:left;mso-position-horizontal-relative:text">
                <v:textbo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7169" w:type="dxa"/>
        <w:jc w:val="left"/>
        <w:tblInd w:w="0" w:type="dxa"/>
        <w:tblLayout w:type="fixed"/>
        <w:tblCellMar>
          <w:top w:w="28" w:type="dxa"/>
          <w:left w:w="28" w:type="dxa"/>
          <w:bottom w:w="28" w:type="dxa"/>
          <w:right w:w="28" w:type="dxa"/>
        </w:tblCellMar>
      </w:tblPr>
      <w:tblGrid>
        <w:gridCol w:w="1250"/>
        <w:gridCol w:w="1096"/>
        <w:gridCol w:w="1096"/>
        <w:gridCol w:w="1096"/>
        <w:gridCol w:w="1096"/>
        <w:gridCol w:w="1114"/>
        <w:gridCol w:w="123"/>
        <w:gridCol w:w="123"/>
        <w:gridCol w:w="175"/>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748" w:type="dxa"/>
            <w:gridSpan w:val="6"/>
            <w:tcBorders/>
            <w:tcMar>
              <w:top w:w="0" w:type="dxa"/>
              <w:left w:w="0" w:type="dxa"/>
              <w:bottom w:w="0" w:type="dxa"/>
              <w:right w:w="0" w:type="dxa"/>
            </w:tcMar>
            <w:vAlign w:val="center"/>
          </w:tcPr>
          <w:p>
            <w:pPr>
              <w:pStyle w:val="TableContents"/>
              <w:bidi w:val="0"/>
              <w:spacing w:lineRule="auto" w:line="240" w:before="180" w:after="10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Second Quarter 2026 Financial Results</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10</w:t>
            </w:r>
          </w:p>
        </w:tc>
      </w:tr>
    </w:tbl>
    <w:p>
      <w:pPr>
        <w:pStyle w:val="TextBody"/>
        <w:bidi w:val="0"/>
        <w:spacing w:before="0" w:after="0"/>
        <w:jc w:val="center"/>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SCHEDULE 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NORTHROP GRUMMAN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EARNINGS AND COMPREHENSIVE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99"/>
        <w:gridCol w:w="1325"/>
        <w:gridCol w:w="1334"/>
        <w:gridCol w:w="240"/>
        <w:gridCol w:w="735"/>
        <w:gridCol w:w="123"/>
        <w:gridCol w:w="123"/>
        <w:gridCol w:w="123"/>
        <w:gridCol w:w="123"/>
        <w:gridCol w:w="240"/>
        <w:gridCol w:w="735"/>
        <w:gridCol w:w="123"/>
        <w:gridCol w:w="109"/>
        <w:gridCol w:w="109"/>
        <w:gridCol w:w="109"/>
        <w:gridCol w:w="211"/>
        <w:gridCol w:w="751"/>
        <w:gridCol w:w="109"/>
        <w:gridCol w:w="109"/>
        <w:gridCol w:w="109"/>
        <w:gridCol w:w="109"/>
        <w:gridCol w:w="211"/>
        <w:gridCol w:w="751"/>
        <w:gridCol w:w="109"/>
        <w:gridCol w:w="109"/>
        <w:gridCol w:w="109"/>
        <w:gridCol w:w="109"/>
        <w:gridCol w:w="159"/>
      </w:tblGrid>
      <w:tr>
        <w:trPr/>
        <w:tc>
          <w:tcPr>
            <w:tcW w:w="1699"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in millions, except per share amounts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8,808</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16,766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2,068</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sales</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10,876</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10,351 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costs and expenses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7,155</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1,600</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1,025</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costs and expenses</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9,780</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18,672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business</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1,096</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FAS pension benefit</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166</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1,168</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 and foreign income tax expense</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earnings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1,094</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 earnings per share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7.70</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common shares outstanding, in millions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142.1</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earnings per share</w:t>
            </w:r>
          </w:p>
        </w:tc>
        <w:tc>
          <w:tcPr>
            <w:tcW w:w="24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7.68</w:t>
            </w:r>
            <w:r>
              <w:rPr>
                <w:color w:val="000000"/>
              </w:rPr>
              <w:t> </w:t>
            </w:r>
          </w:p>
        </w:tc>
        <w:tc>
          <w:tcPr>
            <w:tcW w:w="12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8.15 </w:t>
            </w:r>
          </w:p>
        </w:tc>
        <w:tc>
          <w:tcPr>
            <w:tcW w:w="12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13.83</w:t>
            </w: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11.45 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diluted shares outstanding, in millions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142.4</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(from above)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1,094</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income, net of tax</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cumulative translation adjustment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other, net</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income, net of tax</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income</w:t>
            </w:r>
          </w:p>
        </w:tc>
        <w:tc>
          <w:tcPr>
            <w:tcW w:w="24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1,091</w:t>
            </w:r>
            <w:r>
              <w:rPr>
                <w:color w:val="000000"/>
              </w:rPr>
              <w:t> </w:t>
            </w:r>
          </w:p>
        </w:tc>
        <w:tc>
          <w:tcPr>
            <w:tcW w:w="1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1,192 </w:t>
            </w:r>
          </w:p>
        </w:tc>
        <w:tc>
          <w:tcPr>
            <w:tcW w:w="1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028700"/>
                <wp:effectExtent l="0" t="0" r="0" b="0"/>
                <wp:wrapNone/>
                <wp:docPr id="14" name="Frame13"/>
                <a:graphic xmlns:a="http://schemas.openxmlformats.org/drawingml/2006/main">
                  <a:graphicData uri="http://schemas.microsoft.com/office/word/2010/wordprocessingShape">
                    <wps:wsp>
                      <wps:cNvSpPr txBox="1"/>
                      <wps:spPr>
                        <a:xfrm>
                          <a:off x="0" y="0"/>
                          <a:ext cx="6480175" cy="1028700"/>
                        </a:xfrm>
                        <a:prstGeom prst="rect"/>
                        <a:solidFill>
                          <a:srgbClr val="FFFFFF"/>
                        </a:solidFill>
                      </wps:spPr>
                      <wps:txb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pt;mso-wrap-distance-left:0pt;mso-wrap-distance-right:0pt;mso-wrap-distance-top:0pt;mso-wrap-distance-bottom:0pt;margin-top:0pt;mso-position-vertical:top;mso-position-vertical-relative:text;margin-left:0pt;mso-position-horizontal:left;mso-position-horizontal-relative:text">
                <v:textbo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7169" w:type="dxa"/>
        <w:jc w:val="left"/>
        <w:tblInd w:w="0" w:type="dxa"/>
        <w:tblLayout w:type="fixed"/>
        <w:tblCellMar>
          <w:top w:w="28" w:type="dxa"/>
          <w:left w:w="28" w:type="dxa"/>
          <w:bottom w:w="28" w:type="dxa"/>
          <w:right w:w="28" w:type="dxa"/>
        </w:tblCellMar>
      </w:tblPr>
      <w:tblGrid>
        <w:gridCol w:w="1250"/>
        <w:gridCol w:w="1096"/>
        <w:gridCol w:w="1096"/>
        <w:gridCol w:w="1096"/>
        <w:gridCol w:w="1096"/>
        <w:gridCol w:w="1114"/>
        <w:gridCol w:w="123"/>
        <w:gridCol w:w="123"/>
        <w:gridCol w:w="175"/>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748" w:type="dxa"/>
            <w:gridSpan w:val="6"/>
            <w:tcBorders/>
            <w:tcMar>
              <w:top w:w="0" w:type="dxa"/>
              <w:left w:w="0" w:type="dxa"/>
              <w:bottom w:w="0" w:type="dxa"/>
              <w:right w:w="0" w:type="dxa"/>
            </w:tcMar>
            <w:vAlign w:val="center"/>
          </w:tcPr>
          <w:p>
            <w:pPr>
              <w:pStyle w:val="TableContents"/>
              <w:bidi w:val="0"/>
              <w:spacing w:lineRule="auto" w:line="240" w:before="180" w:after="10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Second Quarter 2026 Financial Results</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11</w:t>
            </w:r>
          </w:p>
        </w:tc>
      </w:tr>
    </w:tbl>
    <w:p>
      <w:pPr>
        <w:pStyle w:val="TextBody"/>
        <w:bidi w:val="0"/>
        <w:spacing w:before="0" w:after="0"/>
        <w:jc w:val="center"/>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SCHEDULE 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NORTHROP GRUMMAN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FINANCIAL POSITION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(Unaudited)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36"/>
        <w:gridCol w:w="2183"/>
        <w:gridCol w:w="2191"/>
        <w:gridCol w:w="243"/>
        <w:gridCol w:w="867"/>
        <w:gridCol w:w="125"/>
        <w:gridCol w:w="109"/>
        <w:gridCol w:w="109"/>
        <w:gridCol w:w="109"/>
        <w:gridCol w:w="289"/>
        <w:gridCol w:w="1028"/>
        <w:gridCol w:w="216"/>
      </w:tblGrid>
      <w:tr>
        <w:trPr/>
        <w:tc>
          <w:tcPr>
            <w:tcW w:w="2736"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in millions, except par value</w:t>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 2025</w:t>
            </w:r>
          </w:p>
        </w:tc>
      </w:tr>
      <w:tr>
        <w:trPr/>
        <w:tc>
          <w:tcPr>
            <w:tcW w:w="7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2,307</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2,311</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Unbilled receivables, net</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7,953</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Inventoried costs, net</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1,415</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1,604</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15,590</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Property, plant and equipment, net of accumulated depreciation of $10,061 for 2026 and $9,648 for 2025</w:t>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10,297</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10,972 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1,901</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17,439</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17,437 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598</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and other postretirement benefit plan assets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3,447</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1,491</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50,763</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51,377 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2,895</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employee compensation</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1,991</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Advance payments and billings in excess of costs incurred</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3,823</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4,636</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13,345</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13,882 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Long-term debt, net of current portion of $763 for 2026 and $534 for 2025</w:t>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14,428</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15,162 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and other postretirement benefit plan liabilities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1,086</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1,861</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2,159</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32,879</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34,703 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Shareholders’ equity</w:t>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$1 par value; 10,000,000 shares authorized; no shares issued and outstanding</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$1 par value; 800,000,000 shares authorized; issued and outstanding: 2026—142,062,680 and 2025—141,997,194</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Paid-in capital</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17,839</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16,658 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shareholders’ equity</w:t>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17,884</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16,674 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shareholders’ equity</w:t>
            </w:r>
          </w:p>
        </w:tc>
        <w:tc>
          <w:tcPr>
            <w:tcW w:w="24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50,763</w:t>
            </w:r>
            <w:r>
              <w:rPr>
                <w:color w:val="000000"/>
              </w:rPr>
              <w:t> </w:t>
            </w:r>
          </w:p>
        </w:tc>
        <w:tc>
          <w:tcPr>
            <w:tcW w:w="1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51,377 </w:t>
            </w:r>
          </w:p>
        </w:tc>
        <w:tc>
          <w:tcPr>
            <w:tcW w:w="2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028700"/>
                <wp:effectExtent l="0" t="0" r="0" b="0"/>
                <wp:wrapNone/>
                <wp:docPr id="15" name="Frame14"/>
                <a:graphic xmlns:a="http://schemas.openxmlformats.org/drawingml/2006/main">
                  <a:graphicData uri="http://schemas.microsoft.com/office/word/2010/wordprocessingShape">
                    <wps:wsp>
                      <wps:cNvSpPr txBox="1"/>
                      <wps:spPr>
                        <a:xfrm>
                          <a:off x="0" y="0"/>
                          <a:ext cx="6480175" cy="1028700"/>
                        </a:xfrm>
                        <a:prstGeom prst="rect"/>
                        <a:solidFill>
                          <a:srgbClr val="FFFFFF"/>
                        </a:solidFill>
                      </wps:spPr>
                      <wps:txb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pt;mso-wrap-distance-left:0pt;mso-wrap-distance-right:0pt;mso-wrap-distance-top:0pt;mso-wrap-distance-bottom:0pt;margin-top:0pt;mso-position-vertical:top;mso-position-vertical-relative:text;margin-left:0pt;mso-position-horizontal:left;mso-position-horizontal-relative:text">
                <v:textbo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7169" w:type="dxa"/>
        <w:jc w:val="left"/>
        <w:tblInd w:w="0" w:type="dxa"/>
        <w:tblLayout w:type="fixed"/>
        <w:tblCellMar>
          <w:top w:w="28" w:type="dxa"/>
          <w:left w:w="28" w:type="dxa"/>
          <w:bottom w:w="28" w:type="dxa"/>
          <w:right w:w="28" w:type="dxa"/>
        </w:tblCellMar>
      </w:tblPr>
      <w:tblGrid>
        <w:gridCol w:w="1250"/>
        <w:gridCol w:w="1096"/>
        <w:gridCol w:w="1096"/>
        <w:gridCol w:w="1096"/>
        <w:gridCol w:w="1096"/>
        <w:gridCol w:w="1114"/>
        <w:gridCol w:w="123"/>
        <w:gridCol w:w="123"/>
        <w:gridCol w:w="175"/>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748" w:type="dxa"/>
            <w:gridSpan w:val="6"/>
            <w:tcBorders/>
            <w:tcMar>
              <w:top w:w="0" w:type="dxa"/>
              <w:left w:w="0" w:type="dxa"/>
              <w:bottom w:w="0" w:type="dxa"/>
              <w:right w:w="0" w:type="dxa"/>
            </w:tcMar>
            <w:vAlign w:val="center"/>
          </w:tcPr>
          <w:p>
            <w:pPr>
              <w:pStyle w:val="TableContents"/>
              <w:bidi w:val="0"/>
              <w:spacing w:lineRule="auto" w:line="240" w:before="180" w:after="10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Second Quarter 2026 Financial Results</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12</w:t>
            </w:r>
          </w:p>
        </w:tc>
      </w:tr>
    </w:tbl>
    <w:p>
      <w:pPr>
        <w:pStyle w:val="TextBody"/>
        <w:bidi w:val="0"/>
        <w:spacing w:before="0" w:after="0"/>
        <w:jc w:val="center"/>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SCHEDULE 3</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NORTHROP GRUMMAN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8477" w:type="dxa"/>
        <w:jc w:val="center"/>
        <w:tblInd w:w="0" w:type="dxa"/>
        <w:tblLayout w:type="fixed"/>
        <w:tblCellMar>
          <w:top w:w="28" w:type="dxa"/>
          <w:left w:w="28" w:type="dxa"/>
          <w:bottom w:w="28" w:type="dxa"/>
          <w:right w:w="28" w:type="dxa"/>
        </w:tblCellMar>
      </w:tblPr>
      <w:tblGrid>
        <w:gridCol w:w="2085"/>
        <w:gridCol w:w="1830"/>
        <w:gridCol w:w="1845"/>
        <w:gridCol w:w="229"/>
        <w:gridCol w:w="703"/>
        <w:gridCol w:w="118"/>
        <w:gridCol w:w="118"/>
        <w:gridCol w:w="118"/>
        <w:gridCol w:w="118"/>
        <w:gridCol w:w="229"/>
        <w:gridCol w:w="703"/>
        <w:gridCol w:w="118"/>
        <w:gridCol w:w="109"/>
        <w:gridCol w:w="154"/>
      </w:tblGrid>
      <w:tr>
        <w:trPr/>
        <w:tc>
          <w:tcPr>
            <w:tcW w:w="2085"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in millions</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1,969</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to net cash used in operating activities:</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739</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453</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B-21 loss provision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pension and OPB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and OPB contributions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assets and liabilities:</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(936)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Unbilled receivables,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(860)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Inventoried costs,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141</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Trade 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Advance payments and billings in excess of costs incurred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(836)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(469)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 of investment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 of training services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proceeds from issuance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(527)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borrowings on 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repurchases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dividends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(684)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of employee taxes withheld from share-based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(1,356)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(2,096)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beginning of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4,403</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end of period</w:t>
            </w:r>
          </w:p>
        </w:tc>
        <w:tc>
          <w:tcPr>
            <w:tcW w:w="2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2,307</w:t>
            </w:r>
            <w:r>
              <w:rPr>
                <w:color w:val="000000"/>
              </w:rPr>
              <w:t> </w:t>
            </w:r>
          </w:p>
        </w:tc>
        <w:tc>
          <w:tcPr>
            <w:tcW w:w="1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1,899 </w:t>
            </w:r>
          </w:p>
        </w:tc>
        <w:tc>
          <w:tcPr>
            <w:tcW w:w="1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028700"/>
                <wp:effectExtent l="0" t="0" r="0" b="0"/>
                <wp:wrapNone/>
                <wp:docPr id="16" name="Frame15"/>
                <a:graphic xmlns:a="http://schemas.openxmlformats.org/drawingml/2006/main">
                  <a:graphicData uri="http://schemas.microsoft.com/office/word/2010/wordprocessingShape">
                    <wps:wsp>
                      <wps:cNvSpPr txBox="1"/>
                      <wps:spPr>
                        <a:xfrm>
                          <a:off x="0" y="0"/>
                          <a:ext cx="6480175" cy="1028700"/>
                        </a:xfrm>
                        <a:prstGeom prst="rect"/>
                        <a:solidFill>
                          <a:srgbClr val="FFFFFF"/>
                        </a:solidFill>
                      </wps:spPr>
                      <wps:txb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pt;mso-wrap-distance-left:0pt;mso-wrap-distance-right:0pt;mso-wrap-distance-top:0pt;mso-wrap-distance-bottom:0pt;margin-top:0pt;mso-position-vertical:top;mso-position-vertical-relative:text;margin-left:0pt;mso-position-horizontal:left;mso-position-horizontal-relative:text">
                <v:textbo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7169" w:type="dxa"/>
        <w:jc w:val="left"/>
        <w:tblInd w:w="0" w:type="dxa"/>
        <w:tblLayout w:type="fixed"/>
        <w:tblCellMar>
          <w:top w:w="28" w:type="dxa"/>
          <w:left w:w="28" w:type="dxa"/>
          <w:bottom w:w="28" w:type="dxa"/>
          <w:right w:w="28" w:type="dxa"/>
        </w:tblCellMar>
      </w:tblPr>
      <w:tblGrid>
        <w:gridCol w:w="1250"/>
        <w:gridCol w:w="1096"/>
        <w:gridCol w:w="1096"/>
        <w:gridCol w:w="1096"/>
        <w:gridCol w:w="1096"/>
        <w:gridCol w:w="1114"/>
        <w:gridCol w:w="123"/>
        <w:gridCol w:w="123"/>
        <w:gridCol w:w="175"/>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748" w:type="dxa"/>
            <w:gridSpan w:val="6"/>
            <w:tcBorders/>
            <w:tcMar>
              <w:top w:w="0" w:type="dxa"/>
              <w:left w:w="0" w:type="dxa"/>
              <w:bottom w:w="0" w:type="dxa"/>
              <w:right w:w="0" w:type="dxa"/>
            </w:tcMar>
            <w:vAlign w:val="center"/>
          </w:tcPr>
          <w:p>
            <w:pPr>
              <w:pStyle w:val="TableContents"/>
              <w:bidi w:val="0"/>
              <w:spacing w:lineRule="auto" w:line="240" w:before="180" w:after="10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Second Quarter 2026 Financial Results</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13</w:t>
            </w:r>
          </w:p>
        </w:tc>
      </w:tr>
    </w:tbl>
    <w:p>
      <w:pPr>
        <w:pStyle w:val="TextBody"/>
        <w:bidi w:val="0"/>
        <w:spacing w:before="0" w:after="0"/>
        <w:jc w:val="center"/>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SCHEDULE 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NORTHROP GRUMMAN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TOTAL BACKLOG</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83"/>
        <w:gridCol w:w="599"/>
        <w:gridCol w:w="606"/>
        <w:gridCol w:w="109"/>
        <w:gridCol w:w="109"/>
        <w:gridCol w:w="109"/>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336"/>
        <w:gridCol w:w="1198"/>
        <w:gridCol w:w="173"/>
        <w:gridCol w:w="109"/>
        <w:gridCol w:w="109"/>
        <w:gridCol w:w="109"/>
        <w:gridCol w:w="327"/>
        <w:gridCol w:w="327"/>
        <w:gridCol w:w="1003"/>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Change in 2026</w:t>
            </w:r>
          </w:p>
        </w:tc>
      </w:tr>
      <w:tr>
        <w:trPr/>
        <w:tc>
          <w:tcPr>
            <w:tcW w:w="1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Funded</w:t>
            </w:r>
            <w:r>
              <w:rPr>
                <w:rFonts w:ascii="Arial;sans-serif" w:hAnsi="Arial;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Unfunded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Total</w:t>
              <w:br/>
              <w:t>Backlog</w:t>
            </w:r>
            <w:r>
              <w:rPr>
                <w:rFonts w:ascii="Arial;sans-serif" w:hAnsi="Arial;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Total</w:t>
              <w:br/>
              <w:t>Backlog</w:t>
            </w:r>
            <w:r>
              <w:rPr>
                <w:rFonts w:ascii="Arial;sans-serif" w:hAnsi="Arial;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 Systems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13,394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24,568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23,052 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Defense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9,392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25,286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34,678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27,796 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Mission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18,465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18,632 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Space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16,700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26,981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888"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backlog</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45,945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58,747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104,692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95,681 </w:t>
            </w:r>
          </w:p>
        </w:tc>
        <w:tc>
          <w:tcPr>
            <w:tcW w:w="17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100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535"/>
        <w:gridCol w:w="1535"/>
        <w:gridCol w:w="1535"/>
        <w:gridCol w:w="1535"/>
        <w:gridCol w:w="1535"/>
        <w:gridCol w:w="21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Funded backlog represents firm orders for which funding is authorized and appropriated.</w:t>
            </w:r>
          </w:p>
        </w:tc>
      </w:tr>
      <w:tr>
        <w:trPr/>
        <w:tc>
          <w:tcPr>
            <w:tcW w:w="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backlog excludes unexercised contract options and indefinite delivery, indefinite quantity (IDIQ) contracts until the time the option or IDIQ task order is exercised or awarded.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028700"/>
                <wp:effectExtent l="0" t="0" r="0" b="0"/>
                <wp:wrapNone/>
                <wp:docPr id="17" name="Frame16"/>
                <a:graphic xmlns:a="http://schemas.openxmlformats.org/drawingml/2006/main">
                  <a:graphicData uri="http://schemas.microsoft.com/office/word/2010/wordprocessingShape">
                    <wps:wsp>
                      <wps:cNvSpPr txBox="1"/>
                      <wps:spPr>
                        <a:xfrm>
                          <a:off x="0" y="0"/>
                          <a:ext cx="6480175" cy="1028700"/>
                        </a:xfrm>
                        <a:prstGeom prst="rect"/>
                        <a:solidFill>
                          <a:srgbClr val="FFFFFF"/>
                        </a:solidFill>
                      </wps:spPr>
                      <wps:txb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pt;mso-wrap-distance-left:0pt;mso-wrap-distance-right:0pt;mso-wrap-distance-top:0pt;mso-wrap-distance-bottom:0pt;margin-top:0pt;mso-position-vertical:top;mso-position-vertical-relative:text;margin-left:0pt;mso-position-horizontal:left;mso-position-horizontal-relative:text">
                <v:textbo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7169" w:type="dxa"/>
        <w:jc w:val="left"/>
        <w:tblInd w:w="0" w:type="dxa"/>
        <w:tblLayout w:type="fixed"/>
        <w:tblCellMar>
          <w:top w:w="28" w:type="dxa"/>
          <w:left w:w="28" w:type="dxa"/>
          <w:bottom w:w="28" w:type="dxa"/>
          <w:right w:w="28" w:type="dxa"/>
        </w:tblCellMar>
      </w:tblPr>
      <w:tblGrid>
        <w:gridCol w:w="1250"/>
        <w:gridCol w:w="1096"/>
        <w:gridCol w:w="1096"/>
        <w:gridCol w:w="1096"/>
        <w:gridCol w:w="1096"/>
        <w:gridCol w:w="1114"/>
        <w:gridCol w:w="123"/>
        <w:gridCol w:w="123"/>
        <w:gridCol w:w="175"/>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748" w:type="dxa"/>
            <w:gridSpan w:val="6"/>
            <w:tcBorders/>
            <w:tcMar>
              <w:top w:w="0" w:type="dxa"/>
              <w:left w:w="0" w:type="dxa"/>
              <w:bottom w:w="0" w:type="dxa"/>
              <w:right w:w="0" w:type="dxa"/>
            </w:tcMar>
            <w:vAlign w:val="center"/>
          </w:tcPr>
          <w:p>
            <w:pPr>
              <w:pStyle w:val="TableContents"/>
              <w:bidi w:val="0"/>
              <w:spacing w:lineRule="auto" w:line="240" w:before="180" w:after="10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Second Quarter 2026 Financial Results</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14</w:t>
            </w:r>
          </w:p>
        </w:tc>
      </w:tr>
    </w:tbl>
    <w:p>
      <w:pPr>
        <w:pStyle w:val="TextBody"/>
        <w:bidi w:val="0"/>
        <w:spacing w:before="0" w:after="0"/>
        <w:jc w:val="center"/>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SCHEDULE 5</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NORTHROP GRUMMAN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SUPPLEMENTAL PER SHARE INFORMATION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051"/>
        <w:gridCol w:w="1493"/>
        <w:gridCol w:w="1504"/>
        <w:gridCol w:w="238"/>
        <w:gridCol w:w="653"/>
        <w:gridCol w:w="123"/>
        <w:gridCol w:w="123"/>
        <w:gridCol w:w="123"/>
        <w:gridCol w:w="123"/>
        <w:gridCol w:w="238"/>
        <w:gridCol w:w="653"/>
        <w:gridCol w:w="123"/>
        <w:gridCol w:w="109"/>
        <w:gridCol w:w="109"/>
        <w:gridCol w:w="109"/>
        <w:gridCol w:w="226"/>
        <w:gridCol w:w="619"/>
        <w:gridCol w:w="116"/>
        <w:gridCol w:w="116"/>
        <w:gridCol w:w="116"/>
        <w:gridCol w:w="116"/>
        <w:gridCol w:w="226"/>
        <w:gridCol w:w="619"/>
        <w:gridCol w:w="116"/>
        <w:gridCol w:w="163"/>
      </w:tblGrid>
      <w:tr>
        <w:trPr/>
        <w:tc>
          <w:tcPr>
            <w:tcW w:w="205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in millions, except per share amounts</w:t>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Per share impact of total net FAS/CAS pension adjustment</w:t>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FAS/CAS operating adjustment</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FAS pension benefit</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166</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332</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FAS/CAS pension adjustment</w:t>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173</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346</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effect</w:t>
            </w:r>
            <w:r>
              <w:rPr>
                <w:rFonts w:ascii="Arial;sans-serif" w:hAnsi="Arial;sans-serif"/>
                <w:b w:val="false"/>
                <w:color w:val="000000"/>
                <w:sz w:val="13"/>
              </w:rPr>
              <w:t>1</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After-tax impact</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130</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259</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diluted shares outstanding, in millions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142.4</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142.4</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Per share impact</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0.91</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1.82</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Per share impact of intangible asset amortization and PP&amp;E step-up depreciation</w:t>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and PP&amp;E step-up depreciation</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effect</w:t>
            </w:r>
            <w:r>
              <w:rPr>
                <w:rFonts w:ascii="Arial;sans-serif" w:hAnsi="Arial;sans-serif"/>
                <w:b w:val="false"/>
                <w:color w:val="000000"/>
                <w:sz w:val="13"/>
              </w:rPr>
              <w:t>1</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After-tax impact</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diluted shares outstanding, in millions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142.4</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142.4</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Per share impact</w:t>
            </w:r>
          </w:p>
        </w:tc>
        <w:tc>
          <w:tcPr>
            <w:tcW w:w="2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(0.08)</w:t>
            </w:r>
          </w:p>
        </w:tc>
        <w:tc>
          <w:tcPr>
            <w:tcW w:w="1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w:t>
            </w:r>
          </w:p>
        </w:tc>
        <w:tc>
          <w:tcPr>
            <w:tcW w:w="1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(0.20)</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tbl>
      <w:tblPr>
        <w:tblW w:w="6762" w:type="dxa"/>
        <w:jc w:val="center"/>
        <w:tblInd w:w="0" w:type="dxa"/>
        <w:tblLayout w:type="fixed"/>
        <w:tblCellMar>
          <w:top w:w="28" w:type="dxa"/>
          <w:left w:w="28" w:type="dxa"/>
          <w:bottom w:w="28" w:type="dxa"/>
          <w:right w:w="28" w:type="dxa"/>
        </w:tblCellMar>
      </w:tblPr>
      <w:tblGrid>
        <w:gridCol w:w="124"/>
        <w:gridCol w:w="109"/>
        <w:gridCol w:w="109"/>
        <w:gridCol w:w="1000"/>
        <w:gridCol w:w="1000"/>
        <w:gridCol w:w="1000"/>
        <w:gridCol w:w="1000"/>
        <w:gridCol w:w="1000"/>
        <w:gridCol w:w="14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1</w:t>
            </w:r>
          </w:p>
        </w:tc>
        <w:tc>
          <w:tcPr>
            <w:tcW w:w="64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Based on a 21% federal statutory tax rate and a 5.25% blended state tax rate.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028700"/>
                <wp:effectExtent l="0" t="0" r="0" b="0"/>
                <wp:wrapNone/>
                <wp:docPr id="18" name="Frame17"/>
                <a:graphic xmlns:a="http://schemas.openxmlformats.org/drawingml/2006/main">
                  <a:graphicData uri="http://schemas.microsoft.com/office/word/2010/wordprocessingShape">
                    <wps:wsp>
                      <wps:cNvSpPr txBox="1"/>
                      <wps:spPr>
                        <a:xfrm>
                          <a:off x="0" y="0"/>
                          <a:ext cx="6480175" cy="1028700"/>
                        </a:xfrm>
                        <a:prstGeom prst="rect"/>
                        <a:solidFill>
                          <a:srgbClr val="FFFFFF"/>
                        </a:solidFill>
                      </wps:spPr>
                      <wps:txb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pt;mso-wrap-distance-left:0pt;mso-wrap-distance-right:0pt;mso-wrap-distance-top:0pt;mso-wrap-distance-bottom:0pt;margin-top:0pt;mso-position-vertical:top;mso-position-vertical-relative:text;margin-left:0pt;mso-position-horizontal:left;mso-position-horizontal-relative:text">
                <v:textbo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7169" w:type="dxa"/>
        <w:jc w:val="left"/>
        <w:tblInd w:w="0" w:type="dxa"/>
        <w:tblLayout w:type="fixed"/>
        <w:tblCellMar>
          <w:top w:w="28" w:type="dxa"/>
          <w:left w:w="28" w:type="dxa"/>
          <w:bottom w:w="28" w:type="dxa"/>
          <w:right w:w="28" w:type="dxa"/>
        </w:tblCellMar>
      </w:tblPr>
      <w:tblGrid>
        <w:gridCol w:w="1250"/>
        <w:gridCol w:w="1096"/>
        <w:gridCol w:w="1096"/>
        <w:gridCol w:w="1096"/>
        <w:gridCol w:w="1096"/>
        <w:gridCol w:w="1114"/>
        <w:gridCol w:w="123"/>
        <w:gridCol w:w="123"/>
        <w:gridCol w:w="175"/>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748" w:type="dxa"/>
            <w:gridSpan w:val="6"/>
            <w:tcBorders/>
            <w:tcMar>
              <w:top w:w="0" w:type="dxa"/>
              <w:left w:w="0" w:type="dxa"/>
              <w:bottom w:w="0" w:type="dxa"/>
              <w:right w:w="0" w:type="dxa"/>
            </w:tcMar>
            <w:vAlign w:val="center"/>
          </w:tcPr>
          <w:p>
            <w:pPr>
              <w:pStyle w:val="TableContents"/>
              <w:bidi w:val="0"/>
              <w:spacing w:lineRule="auto" w:line="240" w:before="180" w:after="10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Second Quarter 2026 Financial Results</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15</w:t>
            </w:r>
          </w:p>
        </w:tc>
      </w:tr>
    </w:tbl>
    <w:p>
      <w:pPr>
        <w:pStyle w:val="TextBody"/>
        <w:bidi w:val="0"/>
        <w:spacing w:before="0" w:after="0"/>
        <w:jc w:val="center"/>
        <w:rPr/>
      </w:pPr>
      <w:r>
        <w:rPr/>
      </w:r>
    </w:p>
    <w:p>
      <w:pPr>
        <w:pStyle w:val="TextBody"/>
        <w:bidi w:val="0"/>
        <w:spacing w:lineRule="auto" w:line="288" w:before="0" w:after="100"/>
        <w:jc w:val="left"/>
        <w:rPr/>
      </w:pPr>
      <w:r>
        <w:rPr>
          <w:rFonts w:ascii="Arial;sans-serif" w:hAnsi="Arial;sans-serif"/>
          <w:b/>
          <w:color w:val="000000"/>
          <w:sz w:val="22"/>
          <w:u w:val="single"/>
        </w:rPr>
        <w:t>Non-GAAP Financial Measures Disclosure:</w:t>
      </w:r>
      <w:r>
        <w:rPr>
          <w:color w:val="000000"/>
        </w:rPr>
        <w:t xml:space="preserve"> </w:t>
      </w:r>
      <w:r>
        <w:rPr>
          <w:rFonts w:ascii="Arial;sans-serif" w:hAnsi="Arial;sans-serif"/>
          <w:b w:val="false"/>
          <w:color w:val="000000"/>
          <w:sz w:val="22"/>
        </w:rPr>
        <w:t>This earnings release contains non-GAAP (accounting principles generally accepted in the United States of America) financial measures, as defined by SEC Regulation G and indicated by a footnote in the text of the release. Definitions for the non-GAAP measures are provided below and reconciliations are provided in the body of the release, except that reconciliations of forward-looking non-GAAP measures are not provided because the company is unable to provide such reconciliations without unreasonable effort due to the uncertainty and inherent difficulty of predicting the occurrence and financial impact of certain items, including, but not limited to, the impact of any mark-to-market pension adjustment. Other companies may define these measures differently or may utilize different non-GAAP measures.</w:t>
      </w:r>
    </w:p>
    <w:p>
      <w:pPr>
        <w:pStyle w:val="TextBody"/>
        <w:bidi w:val="0"/>
        <w:spacing w:lineRule="auto" w:line="288" w:before="0" w:after="100"/>
        <w:jc w:val="left"/>
        <w:rPr/>
      </w:pPr>
      <w:r>
        <w:rPr>
          <w:rFonts w:ascii="Arial;sans-serif" w:hAnsi="Arial;sans-serif"/>
          <w:b/>
          <w:color w:val="000000"/>
          <w:sz w:val="22"/>
          <w:u w:val="single"/>
        </w:rPr>
        <w:t>MTM-adjusted EPS:</w:t>
      </w:r>
      <w:r>
        <w:rPr>
          <w:color w:val="000000"/>
        </w:rPr>
        <w:t xml:space="preserve"> </w:t>
      </w:r>
      <w:r>
        <w:rPr>
          <w:rFonts w:ascii="Arial;sans-serif" w:hAnsi="Arial;sans-serif"/>
          <w:b w:val="false"/>
          <w:color w:val="000000"/>
          <w:sz w:val="22"/>
        </w:rPr>
        <w:t>Diluted earnings per share excluding the per share impact of MTM benefit (expense) and related tax impacts. This measure may be useful to investors and other users of our financial statements as a supplemental measure in evaluating the company’s underlying financial performance by presenting the company’s diluted earnings per share results before the non-operational impact of pension and OPB actuarial gains and losses.</w:t>
      </w:r>
    </w:p>
    <w:p>
      <w:pPr>
        <w:pStyle w:val="TextBody"/>
        <w:bidi w:val="0"/>
        <w:spacing w:lineRule="auto" w:line="288" w:before="0" w:after="100"/>
        <w:jc w:val="left"/>
        <w:rPr/>
      </w:pPr>
      <w:r>
        <w:rPr>
          <w:rFonts w:ascii="Arial;sans-serif" w:hAnsi="Arial;sans-serif"/>
          <w:b/>
          <w:color w:val="000000"/>
          <w:sz w:val="22"/>
          <w:u w:val="single"/>
        </w:rPr>
        <w:t>Segment operating income and segment operating margin rate:</w:t>
      </w:r>
      <w:r>
        <w:rPr>
          <w:color w:val="000000"/>
        </w:rPr>
        <w:t xml:space="preserve"> </w:t>
      </w:r>
      <w:r>
        <w:rPr>
          <w:rFonts w:ascii="Arial;sans-serif" w:hAnsi="Arial;sans-serif"/>
          <w:b w:val="false"/>
          <w:color w:val="000000"/>
          <w:sz w:val="22"/>
        </w:rPr>
        <w:t>Segment operating income and segment operating margin rate (segment operating income divided by sales)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These measures may be useful to investors and other users of our financial statements as supplemental measures in evaluating the financial performance and operational trends of our sectors. These measures should not be considered in isolation or as alternatives to operating results presented in accordance with GAAP.</w:t>
      </w:r>
    </w:p>
    <w:p>
      <w:pPr>
        <w:pStyle w:val="TextBody"/>
        <w:bidi w:val="0"/>
        <w:spacing w:lineRule="auto" w:line="288" w:before="0" w:after="100"/>
        <w:jc w:val="left"/>
        <w:rPr/>
      </w:pPr>
      <w:r>
        <w:rPr>
          <w:rFonts w:ascii="Arial;sans-serif" w:hAnsi="Arial;sans-serif"/>
          <w:b/>
          <w:color w:val="000000"/>
          <w:sz w:val="22"/>
          <w:u w:val="single"/>
        </w:rPr>
        <w:t>Organic sales:</w:t>
      </w:r>
      <w:r>
        <w:rPr>
          <w:color w:val="000000"/>
        </w:rPr>
        <w:t xml:space="preserve"> </w:t>
      </w:r>
      <w:r>
        <w:rPr>
          <w:rFonts w:ascii="Arial;sans-serif" w:hAnsi="Arial;sans-serif"/>
          <w:b w:val="false"/>
          <w:color w:val="000000"/>
          <w:sz w:val="22"/>
        </w:rPr>
        <w:t>Total sales excluding sales attributable to the company’s former training services business. This measure may be useful to investors and other users of our financial statements as a supplemental measure in evaluating the company’s underlying sales growth as well as in understanding our ongoing business and future sales trends by presenting the company’s sales adjusted for the impact of the divestiture.</w:t>
      </w:r>
    </w:p>
    <w:p>
      <w:pPr>
        <w:pStyle w:val="TextBody"/>
        <w:bidi w:val="0"/>
        <w:spacing w:lineRule="auto" w:line="288" w:before="0" w:after="100"/>
        <w:jc w:val="left"/>
        <w:rPr/>
      </w:pPr>
      <w:r>
        <w:rPr>
          <w:rFonts w:ascii="Arial;sans-serif" w:hAnsi="Arial;sans-serif"/>
          <w:b/>
          <w:color w:val="000000"/>
          <w:sz w:val="22"/>
          <w:u w:val="single"/>
        </w:rPr>
        <w:t>Adjusted free cash flow:</w:t>
      </w:r>
      <w:r>
        <w:rPr>
          <w:color w:val="000000"/>
        </w:rPr>
        <w:t xml:space="preserve"> </w:t>
      </w:r>
      <w:r>
        <w:rPr>
          <w:rFonts w:ascii="Arial;sans-serif" w:hAnsi="Arial;sans-serif"/>
          <w:b w:val="false"/>
          <w:color w:val="000000"/>
          <w:sz w:val="22"/>
        </w:rPr>
        <w:t xml:space="preserve">Net cash provided by or used in operating activities, less capital expenditures, plus proceeds from the sale of equipment to a customer (not otherwise included in net cash provided by or used in operating activities) and the after-tax impact of discretionary pension contributions. Adjusted free cash flow includes proceeds from the sale of equipment to a customer, if any, as such proceeds were generated in a customer sales transaction. It also includes the after-tax impact of discretionary pension contributions, if any, for consistency and comparability of financial performance. This measure may not be defined and calculated by other companies in the same manner. We use adjusted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 During the six months ended June 30, 2026 and 2025, the company received no proceeds from the sale of equipment to a customer and made no discretionary pension contributions. </w:t>
      </w:r>
    </w:p>
    <w:p>
      <w:pPr>
        <w:pStyle w:val="TextBody"/>
        <w:bidi w:val="0"/>
        <w:spacing w:before="0" w:after="100"/>
        <w:jc w:val="left"/>
        <w:rPr/>
      </w:pPr>
      <w:r>
        <w:rPr/>
      </w:r>
    </w:p>
    <w:p>
      <w:pPr>
        <w:pStyle w:val="TextBody"/>
        <w:bidi w:val="0"/>
        <w:spacing w:before="0" w:after="100"/>
        <w:jc w:val="center"/>
        <w:rPr/>
      </w:pPr>
      <w:r>
        <w:rPr/>
      </w:r>
    </w:p>
    <w:p>
      <w:pPr>
        <w:pStyle w:val="TextBody"/>
        <w:bidi w:val="0"/>
        <w:spacing w:lineRule="auto" w:line="288" w:before="0" w:after="100"/>
        <w:jc w:val="center"/>
        <w:rPr>
          <w:rFonts w:ascii="Arial;sans-serif" w:hAnsi="Arial;sans-serif"/>
          <w:b w:val="false"/>
          <w:color w:val="000000"/>
          <w:sz w:val="22"/>
        </w:rPr>
      </w:pPr>
      <w:r>
        <w:rPr>
          <w:rFonts w:ascii="Arial;sans-serif" w:hAnsi="Arial;sans-serif"/>
          <w:b w:val="false"/>
          <w:color w:val="000000"/>
          <w:sz w:val="22"/>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028700"/>
                <wp:effectExtent l="0" t="0" r="0" b="0"/>
                <wp:wrapNone/>
                <wp:docPr id="19" name="Frame18"/>
                <a:graphic xmlns:a="http://schemas.openxmlformats.org/drawingml/2006/main">
                  <a:graphicData uri="http://schemas.microsoft.com/office/word/2010/wordprocessingShape">
                    <wps:wsp>
                      <wps:cNvSpPr txBox="1"/>
                      <wps:spPr>
                        <a:xfrm>
                          <a:off x="0" y="0"/>
                          <a:ext cx="6480175" cy="1028700"/>
                        </a:xfrm>
                        <a:prstGeom prst="rect"/>
                        <a:solidFill>
                          <a:srgbClr val="FFFFFF"/>
                        </a:solidFill>
                      </wps:spPr>
                      <wps:txb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pt;mso-wrap-distance-left:0pt;mso-wrap-distance-right:0pt;mso-wrap-distance-top:0pt;mso-wrap-distance-bottom:0pt;margin-top:0pt;mso-position-vertical:top;mso-position-vertical-relative:text;margin-left:0pt;mso-position-horizontal:left;mso-position-horizontal-relative:text">
                <v:textbo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5775</Words>
  <Characters>31976</Characters>
  <CharactersWithSpaces>36892</CharactersWithSpaces>
  <Paragraphs>1367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