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August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NORTHROP GRUMMAN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80-0640649</w:t>
      </w:r>
    </w:p>
    <w:p>
      <w:pPr>
        <w:spacing w:after="0" w:line="31" w:lineRule="exact"/>
        <w:rPr>
          <w:sz w:val="24"/>
          <w:szCs w:val="24"/>
          <w:color w:val="auto"/>
        </w:rPr>
      </w:pPr>
    </w:p>
    <w:p>
      <w:pPr>
        <w:sectPr>
          <w:pgSz w:w="11900" w:h="16838" w:orient="portrait"/>
          <w:cols w:equalWidth="0" w:num="3">
            <w:col w:w="4604" w:space="720"/>
            <w:col w:w="27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3564"/>
        <w:spacing w:after="0"/>
        <w:rPr>
          <w:sz w:val="20"/>
          <w:szCs w:val="20"/>
          <w:color w:val="auto"/>
        </w:rPr>
      </w:pPr>
      <w:r>
        <w:rPr>
          <w:rFonts w:ascii="Arial" w:cs="Arial" w:eastAsia="Arial" w:hAnsi="Arial"/>
          <w:sz w:val="16"/>
          <w:szCs w:val="16"/>
          <w:b w:val="1"/>
          <w:bCs w:val="1"/>
          <w:color w:val="auto"/>
        </w:rPr>
        <w:t>2980 Fairview Park Drive, Falls Church, VA 22042</w:t>
      </w:r>
    </w:p>
    <w:p>
      <w:pPr>
        <w:spacing w:after="0" w:line="4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(703) 280-2900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63"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219710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3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11" w:lineRule="exact"/>
        <w:rPr>
          <w:sz w:val="24"/>
          <w:szCs w:val="24"/>
          <w:color w:val="auto"/>
        </w:rPr>
      </w:pPr>
    </w:p>
    <w:p>
      <w:pPr>
        <w:jc w:val="center"/>
        <w:ind w:right="-3"/>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6"/>
          <w:szCs w:val="16"/>
          <w:color w:val="auto"/>
        </w:rPr>
        <w:t>On August 23, 2022, Northrop Grumman Corporation (the “Company”) entered into a five-year senior unsecured revolving credit facility in an aggregate principal amount of $2.5 billion under a credit agreement (the “Credit Agreement”), among the Company, as borrower, Northrop Grumman Systems Corporation, a wholly owned subsidiary of the Company, as guarantor, the lenders party thereto and JPMorgan Chase Bank, N.A., as administrative agent. The Credit Agreement replaces the Company’s existing five-year revolving credit facility in an aggregate principal amount of</w:t>
      </w:r>
    </w:p>
    <w:p>
      <w:pPr>
        <w:spacing w:after="0" w:line="1"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$2 billion entered into on August 17, 2018, and as amended on October 17, 2019. The revolving credit facility established under the Credit Agreement is intended to support the Company’s commercial paper program and other general corporate purposes.</w:t>
      </w:r>
    </w:p>
    <w:p>
      <w:pPr>
        <w:spacing w:after="0" w:line="185"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7"/>
          <w:szCs w:val="17"/>
          <w:color w:val="auto"/>
        </w:rPr>
        <w:t>The Credit Agreement contains customary terms and conditions, including covenants restricting the Company’s ability to sell all or substantially all of its assets, merge or consolidate with another entity or undertake other fundamental changes and incur liens. The Company also cannot permit the ratio of its consolidated debt to capitalization (determined in accordance with the Credit Agreement) to exceed 65 percent. The Credit Agreement contains customary events of default (subject to applicable grace and notice periods), including defaults based on (1) the nonpayment of principal, interest or fees when due, (2) incorrectness of representations and warranties in any material respect, (3) the failure to observe or perform any other covenant or agreement contained in the Credit Agreement, (4) cross-defaults to certain material debt resulting in the acceleration of the maturity thereof or failure to pay such debt when due, (5) certain bankruptcy and insolvency events, (6) certain material judgment events, (7) certain events occurring under the Employee Retirement Income Security Act and (8) a change of control.</w:t>
      </w:r>
    </w:p>
    <w:p>
      <w:pPr>
        <w:spacing w:after="0" w:line="178" w:lineRule="exact"/>
        <w:rPr>
          <w:sz w:val="20"/>
          <w:szCs w:val="20"/>
          <w:color w:val="auto"/>
        </w:rPr>
      </w:pPr>
    </w:p>
    <w:p>
      <w:pPr>
        <w:jc w:val="both"/>
        <w:ind w:left="4" w:right="80" w:firstLine="440"/>
        <w:spacing w:after="0" w:line="311" w:lineRule="auto"/>
        <w:rPr>
          <w:sz w:val="20"/>
          <w:szCs w:val="20"/>
          <w:color w:val="auto"/>
        </w:rPr>
      </w:pPr>
      <w:r>
        <w:rPr>
          <w:rFonts w:ascii="Arial" w:cs="Arial" w:eastAsia="Arial" w:hAnsi="Arial"/>
          <w:sz w:val="16"/>
          <w:szCs w:val="16"/>
          <w:color w:val="auto"/>
        </w:rPr>
        <w:t>The foregoing description of the Credit Agreement is qualified in its entirety by reference to the Credit Agreement, which is filed as Exhibit 10.1 hereto. Some of the lenders under the Credit Agreement or their respective affiliates have from time to time performed various financial services for the Company, including advisory, commercial banking, investment banking and hedging services, in the ordinary course of their respective businesses.</w:t>
      </w:r>
    </w:p>
    <w:p>
      <w:pPr>
        <w:spacing w:after="0" w:line="29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86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2"/>
                <w:szCs w:val="22"/>
                <w:color w:val="auto"/>
              </w:rPr>
            </w:pPr>
          </w:p>
        </w:tc>
        <w:tc>
          <w:tcPr>
            <w:tcW w:w="94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Credit Agreement, dated as of August 23, 2022, among Northrop Grumman Corporation, as borrower, Northrop Grumman Systems</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9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Corporation, as guarantor, the lenders party thereto and JPMorgan Chase Bank, N.A., as administrative agent.</w:t>
            </w:r>
          </w:p>
        </w:tc>
        <w:tc>
          <w:tcPr>
            <w:tcW w:w="1580" w:type="dxa"/>
            <w:vAlign w:val="bottom"/>
          </w:tcPr>
          <w:p>
            <w:pPr>
              <w:spacing w:after="0"/>
              <w:rPr>
                <w:sz w:val="17"/>
                <w:szCs w:val="17"/>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Jennifer C. McGarey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Corporate Vice President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2022</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August 23, 2022,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NORTHROP GRUMMAN SYSTEMS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000"/>
        <w:spacing w:after="0"/>
        <w:rPr>
          <w:sz w:val="20"/>
          <w:szCs w:val="20"/>
          <w:color w:val="auto"/>
        </w:rPr>
      </w:pPr>
      <w:r>
        <w:rPr>
          <w:rFonts w:ascii="Arial" w:cs="Arial" w:eastAsia="Arial" w:hAnsi="Arial"/>
          <w:sz w:val="22"/>
          <w:szCs w:val="22"/>
          <w:color w:val="auto"/>
        </w:rPr>
        <w:t>WELLS FARGO SECURITIES, LLC,</w:t>
      </w:r>
    </w:p>
    <w:p>
      <w:pPr>
        <w:spacing w:after="0" w:line="1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Joint Lead Arrangers and Joint Bookrunners</w:t>
      </w:r>
    </w:p>
    <w:p>
      <w:pPr>
        <w:spacing w:after="0" w:line="204" w:lineRule="exact"/>
        <w:rPr>
          <w:sz w:val="20"/>
          <w:szCs w:val="20"/>
          <w:color w:val="auto"/>
        </w:rPr>
      </w:pPr>
    </w:p>
    <w:p>
      <w:pPr>
        <w:jc w:val="center"/>
        <w:ind w:right="1000"/>
        <w:spacing w:after="0"/>
        <w:rPr>
          <w:sz w:val="20"/>
          <w:szCs w:val="20"/>
          <w:color w:val="auto"/>
        </w:rPr>
      </w:pPr>
      <w:r>
        <w:rPr>
          <w:rFonts w:ascii="Arial" w:cs="Arial" w:eastAsia="Arial" w:hAnsi="Arial"/>
          <w:sz w:val="21"/>
          <w:szCs w:val="21"/>
          <w:color w:val="auto"/>
        </w:rPr>
        <w:t>WELLS FARGO BANK, NATIONAL ASSOCIATION</w:t>
      </w:r>
    </w:p>
    <w:p>
      <w:pPr>
        <w:spacing w:after="0" w:line="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jc w:val="center"/>
        <w:ind w:right="1000"/>
        <w:spacing w:after="0"/>
        <w:rPr>
          <w:sz w:val="20"/>
          <w:szCs w:val="20"/>
          <w:color w:val="auto"/>
        </w:rPr>
      </w:pPr>
      <w:r>
        <w:rPr>
          <w:rFonts w:ascii="Arial" w:cs="Arial" w:eastAsia="Arial" w:hAnsi="Arial"/>
          <w:sz w:val="22"/>
          <w:szCs w:val="22"/>
          <w:color w:val="auto"/>
        </w:rPr>
        <w:t>MIZUHO BANK, LTD.,</w:t>
      </w:r>
    </w:p>
    <w:p>
      <w:pPr>
        <w:ind w:left="3700"/>
        <w:spacing w:after="0"/>
        <w:rPr>
          <w:sz w:val="20"/>
          <w:szCs w:val="20"/>
          <w:color w:val="auto"/>
        </w:rPr>
      </w:pPr>
      <w:r>
        <w:rPr>
          <w:rFonts w:ascii="Arial" w:cs="Arial" w:eastAsia="Arial" w:hAnsi="Arial"/>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244475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287655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500" w:type="dxa"/>
            <w:vAlign w:val="bottom"/>
          </w:tcPr>
          <w:p>
            <w:pPr>
              <w:spacing w:after="0"/>
              <w:rPr>
                <w:sz w:val="24"/>
                <w:szCs w:val="24"/>
                <w:color w:val="auto"/>
              </w:rPr>
            </w:pPr>
          </w:p>
        </w:tc>
        <w:tc>
          <w:tcPr>
            <w:tcW w:w="9160" w:type="dxa"/>
            <w:vAlign w:val="bottom"/>
          </w:tcPr>
          <w:p>
            <w:pPr>
              <w:jc w:val="center"/>
              <w:ind w:right="1110"/>
              <w:spacing w:after="0"/>
              <w:rPr>
                <w:sz w:val="20"/>
                <w:szCs w:val="20"/>
                <w:color w:val="auto"/>
              </w:rPr>
            </w:pPr>
            <w:r>
              <w:rPr>
                <w:rFonts w:ascii="Arial" w:cs="Arial" w:eastAsia="Arial" w:hAnsi="Arial"/>
                <w:sz w:val="18"/>
                <w:szCs w:val="18"/>
                <w:color w:val="auto"/>
                <w:w w:val="97"/>
              </w:rPr>
              <w:t>ARTICLE I</w:t>
            </w:r>
          </w:p>
        </w:tc>
        <w:tc>
          <w:tcPr>
            <w:tcW w:w="30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9160" w:type="dxa"/>
            <w:vAlign w:val="bottom"/>
          </w:tcPr>
          <w:p>
            <w:pPr>
              <w:jc w:val="center"/>
              <w:ind w:right="1110"/>
              <w:spacing w:after="0"/>
              <w:rPr>
                <w:sz w:val="20"/>
                <w:szCs w:val="20"/>
                <w:color w:val="auto"/>
              </w:rPr>
            </w:pPr>
            <w:r>
              <w:rPr>
                <w:rFonts w:ascii="Arial" w:cs="Arial" w:eastAsia="Arial" w:hAnsi="Arial"/>
                <w:sz w:val="18"/>
                <w:szCs w:val="18"/>
                <w:color w:val="auto"/>
                <w:w w:val="95"/>
              </w:rPr>
              <w:t>Definitions</w:t>
            </w:r>
          </w:p>
        </w:tc>
        <w:tc>
          <w:tcPr>
            <w:tcW w:w="300" w:type="dxa"/>
            <w:vAlign w:val="bottom"/>
          </w:tcPr>
          <w:p>
            <w:pPr>
              <w:spacing w:after="0"/>
              <w:rPr>
                <w:sz w:val="20"/>
                <w:szCs w:val="20"/>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1.01.</w:t>
            </w:r>
          </w:p>
        </w:tc>
        <w:tc>
          <w:tcPr>
            <w:tcW w:w="9160" w:type="dxa"/>
            <w:vAlign w:val="bottom"/>
          </w:tcPr>
          <w:p>
            <w:pPr>
              <w:ind w:left="340"/>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1.02.</w:t>
            </w:r>
          </w:p>
        </w:tc>
        <w:tc>
          <w:tcPr>
            <w:tcW w:w="9160" w:type="dxa"/>
            <w:vAlign w:val="bottom"/>
          </w:tcPr>
          <w:p>
            <w:pPr>
              <w:ind w:left="340"/>
              <w:spacing w:after="0"/>
              <w:rPr>
                <w:sz w:val="20"/>
                <w:szCs w:val="20"/>
                <w:color w:val="auto"/>
              </w:rPr>
            </w:pPr>
            <w:r>
              <w:rPr>
                <w:rFonts w:ascii="Arial" w:cs="Arial" w:eastAsia="Arial" w:hAnsi="Arial"/>
                <w:sz w:val="18"/>
                <w:szCs w:val="18"/>
                <w:color w:val="auto"/>
              </w:rPr>
              <w:t>Classification of Loans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1.03.</w:t>
            </w:r>
          </w:p>
        </w:tc>
        <w:tc>
          <w:tcPr>
            <w:tcW w:w="9160" w:type="dxa"/>
            <w:vAlign w:val="bottom"/>
          </w:tcPr>
          <w:p>
            <w:pPr>
              <w:ind w:left="340"/>
              <w:spacing w:after="0"/>
              <w:rPr>
                <w:sz w:val="20"/>
                <w:szCs w:val="20"/>
                <w:color w:val="auto"/>
              </w:rPr>
            </w:pPr>
            <w:r>
              <w:rPr>
                <w:rFonts w:ascii="Arial" w:cs="Arial" w:eastAsia="Arial" w:hAnsi="Arial"/>
                <w:sz w:val="18"/>
                <w:szCs w:val="18"/>
                <w:color w:val="auto"/>
              </w:rPr>
              <w:t>Terms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1.04.</w:t>
            </w:r>
          </w:p>
        </w:tc>
        <w:tc>
          <w:tcPr>
            <w:tcW w:w="9160" w:type="dxa"/>
            <w:vAlign w:val="bottom"/>
          </w:tcPr>
          <w:p>
            <w:pPr>
              <w:ind w:left="340"/>
              <w:spacing w:after="0"/>
              <w:rPr>
                <w:sz w:val="20"/>
                <w:szCs w:val="20"/>
                <w:color w:val="auto"/>
              </w:rPr>
            </w:pPr>
            <w:r>
              <w:rPr>
                <w:rFonts w:ascii="Arial" w:cs="Arial" w:eastAsia="Arial" w:hAnsi="Arial"/>
                <w:sz w:val="18"/>
                <w:szCs w:val="18"/>
                <w:color w:val="auto"/>
              </w:rPr>
              <w:t>Accounting Terms; GAAP</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1.05.</w:t>
            </w:r>
          </w:p>
        </w:tc>
        <w:tc>
          <w:tcPr>
            <w:tcW w:w="9160" w:type="dxa"/>
            <w:vAlign w:val="bottom"/>
          </w:tcPr>
          <w:p>
            <w:pPr>
              <w:ind w:left="340"/>
              <w:spacing w:after="0"/>
              <w:rPr>
                <w:sz w:val="20"/>
                <w:szCs w:val="20"/>
                <w:color w:val="auto"/>
              </w:rPr>
            </w:pPr>
            <w:r>
              <w:rPr>
                <w:rFonts w:ascii="Arial" w:cs="Arial" w:eastAsia="Arial" w:hAnsi="Arial"/>
                <w:sz w:val="18"/>
                <w:szCs w:val="18"/>
                <w:color w:val="auto"/>
              </w:rPr>
              <w:t>Currency Translation</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1.06.</w:t>
            </w:r>
          </w:p>
        </w:tc>
        <w:tc>
          <w:tcPr>
            <w:tcW w:w="9160" w:type="dxa"/>
            <w:vAlign w:val="bottom"/>
          </w:tcPr>
          <w:p>
            <w:pPr>
              <w:ind w:left="340"/>
              <w:spacing w:after="0"/>
              <w:rPr>
                <w:sz w:val="20"/>
                <w:szCs w:val="20"/>
                <w:color w:val="auto"/>
              </w:rPr>
            </w:pPr>
            <w:r>
              <w:rPr>
                <w:rFonts w:ascii="Arial" w:cs="Arial" w:eastAsia="Arial" w:hAnsi="Arial"/>
                <w:sz w:val="18"/>
                <w:szCs w:val="18"/>
                <w:color w:val="auto"/>
              </w:rPr>
              <w:t>Unrestricted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1.07.</w:t>
            </w:r>
          </w:p>
        </w:tc>
        <w:tc>
          <w:tcPr>
            <w:tcW w:w="9160" w:type="dxa"/>
            <w:vAlign w:val="bottom"/>
          </w:tcPr>
          <w:p>
            <w:pPr>
              <w:ind w:left="340"/>
              <w:spacing w:after="0"/>
              <w:rPr>
                <w:sz w:val="20"/>
                <w:szCs w:val="20"/>
                <w:color w:val="auto"/>
              </w:rPr>
            </w:pPr>
            <w:r>
              <w:rPr>
                <w:rFonts w:ascii="Arial" w:cs="Arial" w:eastAsia="Arial" w:hAnsi="Arial"/>
                <w:sz w:val="18"/>
                <w:szCs w:val="18"/>
                <w:color w:val="auto"/>
              </w:rPr>
              <w:t>Interest Rates; Benchmark Notifications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1.08.</w:t>
            </w:r>
          </w:p>
        </w:tc>
        <w:tc>
          <w:tcPr>
            <w:tcW w:w="9160" w:type="dxa"/>
            <w:vAlign w:val="bottom"/>
          </w:tcPr>
          <w:p>
            <w:pPr>
              <w:ind w:left="340"/>
              <w:spacing w:after="0"/>
              <w:rPr>
                <w:sz w:val="20"/>
                <w:szCs w:val="20"/>
                <w:color w:val="auto"/>
              </w:rPr>
            </w:pPr>
            <w:r>
              <w:rPr>
                <w:rFonts w:ascii="Arial" w:cs="Arial" w:eastAsia="Arial" w:hAnsi="Arial"/>
                <w:sz w:val="18"/>
                <w:szCs w:val="18"/>
                <w:color w:val="auto"/>
              </w:rPr>
              <w:t>Divisions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500" w:type="dxa"/>
            <w:vAlign w:val="bottom"/>
          </w:tcPr>
          <w:p>
            <w:pPr>
              <w:spacing w:after="0"/>
              <w:rPr>
                <w:sz w:val="24"/>
                <w:szCs w:val="24"/>
                <w:color w:val="auto"/>
              </w:rPr>
            </w:pPr>
          </w:p>
        </w:tc>
        <w:tc>
          <w:tcPr>
            <w:tcW w:w="9160" w:type="dxa"/>
            <w:vAlign w:val="bottom"/>
          </w:tcPr>
          <w:p>
            <w:pPr>
              <w:jc w:val="center"/>
              <w:ind w:right="111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9160" w:type="dxa"/>
            <w:vAlign w:val="bottom"/>
          </w:tcPr>
          <w:p>
            <w:pPr>
              <w:jc w:val="center"/>
              <w:ind w:right="1110"/>
              <w:spacing w:after="0"/>
              <w:rPr>
                <w:sz w:val="20"/>
                <w:szCs w:val="20"/>
                <w:color w:val="auto"/>
              </w:rPr>
            </w:pPr>
            <w:r>
              <w:rPr>
                <w:rFonts w:ascii="Arial" w:cs="Arial" w:eastAsia="Arial" w:hAnsi="Arial"/>
                <w:sz w:val="18"/>
                <w:szCs w:val="18"/>
                <w:color w:val="auto"/>
                <w:w w:val="90"/>
              </w:rPr>
              <w:t>The Credits</w:t>
            </w:r>
          </w:p>
        </w:tc>
        <w:tc>
          <w:tcPr>
            <w:tcW w:w="300" w:type="dxa"/>
            <w:vAlign w:val="bottom"/>
          </w:tcPr>
          <w:p>
            <w:pPr>
              <w:spacing w:after="0"/>
              <w:rPr>
                <w:sz w:val="20"/>
                <w:szCs w:val="20"/>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2.01.</w:t>
            </w:r>
          </w:p>
        </w:tc>
        <w:tc>
          <w:tcPr>
            <w:tcW w:w="9160" w:type="dxa"/>
            <w:vAlign w:val="bottom"/>
          </w:tcPr>
          <w:p>
            <w:pPr>
              <w:ind w:left="340"/>
              <w:spacing w:after="0"/>
              <w:rPr>
                <w:sz w:val="20"/>
                <w:szCs w:val="20"/>
                <w:color w:val="auto"/>
              </w:rPr>
            </w:pPr>
            <w:r>
              <w:rPr>
                <w:rFonts w:ascii="Arial" w:cs="Arial" w:eastAsia="Arial" w:hAnsi="Arial"/>
                <w:sz w:val="18"/>
                <w:szCs w:val="18"/>
                <w:color w:val="auto"/>
              </w:rPr>
              <w:t>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2.02.</w:t>
            </w:r>
          </w:p>
        </w:tc>
        <w:tc>
          <w:tcPr>
            <w:tcW w:w="9160" w:type="dxa"/>
            <w:vAlign w:val="bottom"/>
          </w:tcPr>
          <w:p>
            <w:pPr>
              <w:ind w:left="340"/>
              <w:spacing w:after="0"/>
              <w:rPr>
                <w:sz w:val="20"/>
                <w:szCs w:val="20"/>
                <w:color w:val="auto"/>
              </w:rPr>
            </w:pPr>
            <w:r>
              <w:rPr>
                <w:rFonts w:ascii="Arial" w:cs="Arial" w:eastAsia="Arial" w:hAnsi="Arial"/>
                <w:sz w:val="18"/>
                <w:szCs w:val="18"/>
                <w:color w:val="auto"/>
              </w:rPr>
              <w:t>Loans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2.03.</w:t>
            </w:r>
          </w:p>
        </w:tc>
        <w:tc>
          <w:tcPr>
            <w:tcW w:w="9160" w:type="dxa"/>
            <w:vAlign w:val="bottom"/>
          </w:tcPr>
          <w:p>
            <w:pPr>
              <w:ind w:left="340"/>
              <w:spacing w:after="0"/>
              <w:rPr>
                <w:sz w:val="20"/>
                <w:szCs w:val="20"/>
                <w:color w:val="auto"/>
              </w:rPr>
            </w:pPr>
            <w:r>
              <w:rPr>
                <w:rFonts w:ascii="Arial" w:cs="Arial" w:eastAsia="Arial" w:hAnsi="Arial"/>
                <w:sz w:val="18"/>
                <w:szCs w:val="18"/>
                <w:color w:val="auto"/>
              </w:rPr>
              <w:t>Requests for Revolving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2.04.</w:t>
            </w:r>
          </w:p>
        </w:tc>
        <w:tc>
          <w:tcPr>
            <w:tcW w:w="9160" w:type="dxa"/>
            <w:vAlign w:val="bottom"/>
          </w:tcPr>
          <w:p>
            <w:pPr>
              <w:ind w:left="340"/>
              <w:spacing w:after="0"/>
              <w:rPr>
                <w:sz w:val="20"/>
                <w:szCs w:val="20"/>
                <w:color w:val="auto"/>
              </w:rPr>
            </w:pPr>
            <w:r>
              <w:rPr>
                <w:rFonts w:ascii="Arial" w:cs="Arial" w:eastAsia="Arial" w:hAnsi="Arial"/>
                <w:sz w:val="18"/>
                <w:szCs w:val="18"/>
                <w:color w:val="auto"/>
              </w:rPr>
              <w:t>Competitive Bid Procedure</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2.05.</w:t>
            </w:r>
          </w:p>
        </w:tc>
        <w:tc>
          <w:tcPr>
            <w:tcW w:w="9160" w:type="dxa"/>
            <w:vAlign w:val="bottom"/>
          </w:tcPr>
          <w:p>
            <w:pPr>
              <w:ind w:left="340"/>
              <w:spacing w:after="0"/>
              <w:rPr>
                <w:sz w:val="20"/>
                <w:szCs w:val="20"/>
                <w:color w:val="auto"/>
              </w:rPr>
            </w:pPr>
            <w:r>
              <w:rPr>
                <w:rFonts w:ascii="Arial" w:cs="Arial" w:eastAsia="Arial" w:hAnsi="Arial"/>
                <w:sz w:val="18"/>
                <w:szCs w:val="18"/>
                <w:color w:val="auto"/>
              </w:rPr>
              <w:t>Letters of Credit</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2.06.</w:t>
            </w:r>
          </w:p>
        </w:tc>
        <w:tc>
          <w:tcPr>
            <w:tcW w:w="9160" w:type="dxa"/>
            <w:vAlign w:val="bottom"/>
          </w:tcPr>
          <w:p>
            <w:pPr>
              <w:ind w:left="340"/>
              <w:spacing w:after="0"/>
              <w:rPr>
                <w:sz w:val="20"/>
                <w:szCs w:val="20"/>
                <w:color w:val="auto"/>
              </w:rPr>
            </w:pPr>
            <w:r>
              <w:rPr>
                <w:rFonts w:ascii="Arial" w:cs="Arial" w:eastAsia="Arial" w:hAnsi="Arial"/>
                <w:sz w:val="18"/>
                <w:szCs w:val="18"/>
                <w:color w:val="auto"/>
              </w:rPr>
              <w:t>Funding of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2.07.</w:t>
            </w:r>
          </w:p>
        </w:tc>
        <w:tc>
          <w:tcPr>
            <w:tcW w:w="9160" w:type="dxa"/>
            <w:vAlign w:val="bottom"/>
          </w:tcPr>
          <w:p>
            <w:pPr>
              <w:ind w:left="340"/>
              <w:spacing w:after="0"/>
              <w:rPr>
                <w:sz w:val="20"/>
                <w:szCs w:val="20"/>
                <w:color w:val="auto"/>
              </w:rPr>
            </w:pPr>
            <w:r>
              <w:rPr>
                <w:rFonts w:ascii="Arial" w:cs="Arial" w:eastAsia="Arial" w:hAnsi="Arial"/>
                <w:sz w:val="18"/>
                <w:szCs w:val="18"/>
                <w:color w:val="auto"/>
              </w:rPr>
              <w:t>Interest Elections</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2.08.</w:t>
            </w:r>
          </w:p>
        </w:tc>
        <w:tc>
          <w:tcPr>
            <w:tcW w:w="9160" w:type="dxa"/>
            <w:vAlign w:val="bottom"/>
          </w:tcPr>
          <w:p>
            <w:pPr>
              <w:ind w:left="340"/>
              <w:spacing w:after="0"/>
              <w:rPr>
                <w:sz w:val="20"/>
                <w:szCs w:val="20"/>
                <w:color w:val="auto"/>
              </w:rPr>
            </w:pPr>
            <w:r>
              <w:rPr>
                <w:rFonts w:ascii="Arial" w:cs="Arial" w:eastAsia="Arial" w:hAnsi="Arial"/>
                <w:sz w:val="18"/>
                <w:szCs w:val="18"/>
                <w:color w:val="auto"/>
              </w:rPr>
              <w:t>Termination, Reduction and Increase of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2.09.</w:t>
            </w:r>
          </w:p>
        </w:tc>
        <w:tc>
          <w:tcPr>
            <w:tcW w:w="9160" w:type="dxa"/>
            <w:vAlign w:val="bottom"/>
          </w:tcPr>
          <w:p>
            <w:pPr>
              <w:ind w:left="340"/>
              <w:spacing w:after="0"/>
              <w:rPr>
                <w:sz w:val="20"/>
                <w:szCs w:val="20"/>
                <w:color w:val="auto"/>
              </w:rPr>
            </w:pPr>
            <w:r>
              <w:rPr>
                <w:rFonts w:ascii="Arial" w:cs="Arial" w:eastAsia="Arial" w:hAnsi="Arial"/>
                <w:sz w:val="18"/>
                <w:szCs w:val="18"/>
                <w:color w:val="auto"/>
              </w:rPr>
              <w:t>Repayment of Loans; Evidence of Debt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2.10.</w:t>
            </w:r>
          </w:p>
        </w:tc>
        <w:tc>
          <w:tcPr>
            <w:tcW w:w="9160" w:type="dxa"/>
            <w:vAlign w:val="bottom"/>
          </w:tcPr>
          <w:p>
            <w:pPr>
              <w:ind w:left="340"/>
              <w:spacing w:after="0"/>
              <w:rPr>
                <w:sz w:val="20"/>
                <w:szCs w:val="20"/>
                <w:color w:val="auto"/>
              </w:rPr>
            </w:pPr>
            <w:r>
              <w:rPr>
                <w:rFonts w:ascii="Arial" w:cs="Arial" w:eastAsia="Arial" w:hAnsi="Arial"/>
                <w:sz w:val="18"/>
                <w:szCs w:val="18"/>
                <w:color w:val="auto"/>
              </w:rPr>
              <w:t>Prepayment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2.11.</w:t>
            </w:r>
          </w:p>
        </w:tc>
        <w:tc>
          <w:tcPr>
            <w:tcW w:w="9160" w:type="dxa"/>
            <w:vAlign w:val="bottom"/>
          </w:tcPr>
          <w:p>
            <w:pPr>
              <w:ind w:left="340"/>
              <w:spacing w:after="0"/>
              <w:rPr>
                <w:sz w:val="20"/>
                <w:szCs w:val="20"/>
                <w:color w:val="auto"/>
              </w:rPr>
            </w:pPr>
            <w:r>
              <w:rPr>
                <w:rFonts w:ascii="Arial" w:cs="Arial" w:eastAsia="Arial" w:hAnsi="Arial"/>
                <w:sz w:val="18"/>
                <w:szCs w:val="18"/>
                <w:color w:val="auto"/>
              </w:rPr>
              <w:t>Fees</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2.12.</w:t>
            </w:r>
          </w:p>
        </w:tc>
        <w:tc>
          <w:tcPr>
            <w:tcW w:w="91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2.13.</w:t>
            </w:r>
          </w:p>
        </w:tc>
        <w:tc>
          <w:tcPr>
            <w:tcW w:w="9160" w:type="dxa"/>
            <w:vAlign w:val="bottom"/>
          </w:tcPr>
          <w:p>
            <w:pPr>
              <w:ind w:left="340"/>
              <w:spacing w:after="0"/>
              <w:rPr>
                <w:sz w:val="20"/>
                <w:szCs w:val="20"/>
                <w:color w:val="auto"/>
              </w:rPr>
            </w:pPr>
            <w:r>
              <w:rPr>
                <w:rFonts w:ascii="Arial" w:cs="Arial" w:eastAsia="Arial" w:hAnsi="Arial"/>
                <w:sz w:val="18"/>
                <w:szCs w:val="18"/>
                <w:color w:val="auto"/>
              </w:rPr>
              <w:t>Alternate Rate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2.14.</w:t>
            </w:r>
          </w:p>
        </w:tc>
        <w:tc>
          <w:tcPr>
            <w:tcW w:w="9160" w:type="dxa"/>
            <w:vAlign w:val="bottom"/>
          </w:tcPr>
          <w:p>
            <w:pPr>
              <w:ind w:left="340"/>
              <w:spacing w:after="0"/>
              <w:rPr>
                <w:sz w:val="20"/>
                <w:szCs w:val="20"/>
                <w:color w:val="auto"/>
              </w:rPr>
            </w:pPr>
            <w:r>
              <w:rPr>
                <w:rFonts w:ascii="Arial" w:cs="Arial" w:eastAsia="Arial" w:hAnsi="Arial"/>
                <w:sz w:val="18"/>
                <w:szCs w:val="18"/>
                <w:color w:val="auto"/>
              </w:rPr>
              <w:t>Increased Costs</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2.15.</w:t>
            </w:r>
          </w:p>
        </w:tc>
        <w:tc>
          <w:tcPr>
            <w:tcW w:w="9160" w:type="dxa"/>
            <w:vAlign w:val="bottom"/>
          </w:tcPr>
          <w:p>
            <w:pPr>
              <w:ind w:left="340"/>
              <w:spacing w:after="0"/>
              <w:rPr>
                <w:sz w:val="20"/>
                <w:szCs w:val="20"/>
                <w:color w:val="auto"/>
              </w:rPr>
            </w:pPr>
            <w:r>
              <w:rPr>
                <w:rFonts w:ascii="Arial" w:cs="Arial" w:eastAsia="Arial" w:hAnsi="Arial"/>
                <w:sz w:val="18"/>
                <w:szCs w:val="18"/>
                <w:color w:val="auto"/>
              </w:rPr>
              <w:t>Break Funding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2.16.</w:t>
            </w:r>
          </w:p>
        </w:tc>
        <w:tc>
          <w:tcPr>
            <w:tcW w:w="9160" w:type="dxa"/>
            <w:vAlign w:val="bottom"/>
          </w:tcPr>
          <w:p>
            <w:pPr>
              <w:ind w:left="34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2.17.</w:t>
            </w:r>
          </w:p>
        </w:tc>
        <w:tc>
          <w:tcPr>
            <w:tcW w:w="9160" w:type="dxa"/>
            <w:vAlign w:val="bottom"/>
          </w:tcPr>
          <w:p>
            <w:pPr>
              <w:ind w:left="340"/>
              <w:spacing w:after="0"/>
              <w:rPr>
                <w:sz w:val="20"/>
                <w:szCs w:val="20"/>
                <w:color w:val="auto"/>
              </w:rPr>
            </w:pPr>
            <w:r>
              <w:rPr>
                <w:rFonts w:ascii="Arial" w:cs="Arial" w:eastAsia="Arial" w:hAnsi="Arial"/>
                <w:sz w:val="18"/>
                <w:szCs w:val="18"/>
                <w:color w:val="auto"/>
              </w:rPr>
              <w:t>Payments Generally; Pro Rata Treatment; Sharing of Set-offs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2.18.</w:t>
            </w:r>
          </w:p>
        </w:tc>
        <w:tc>
          <w:tcPr>
            <w:tcW w:w="9160" w:type="dxa"/>
            <w:vAlign w:val="bottom"/>
          </w:tcPr>
          <w:p>
            <w:pPr>
              <w:ind w:left="34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2.19.</w:t>
            </w:r>
          </w:p>
        </w:tc>
        <w:tc>
          <w:tcPr>
            <w:tcW w:w="9160" w:type="dxa"/>
            <w:vAlign w:val="bottom"/>
          </w:tcPr>
          <w:p>
            <w:pPr>
              <w:ind w:left="340"/>
              <w:spacing w:after="0"/>
              <w:rPr>
                <w:sz w:val="20"/>
                <w:szCs w:val="20"/>
                <w:color w:val="auto"/>
              </w:rPr>
            </w:pPr>
            <w:r>
              <w:rPr>
                <w:rFonts w:ascii="Arial" w:cs="Arial" w:eastAsia="Arial" w:hAnsi="Arial"/>
                <w:sz w:val="18"/>
                <w:szCs w:val="18"/>
                <w:color w:val="auto"/>
              </w:rPr>
              <w:t>Defaulting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2.20.</w:t>
            </w:r>
          </w:p>
        </w:tc>
        <w:tc>
          <w:tcPr>
            <w:tcW w:w="9160" w:type="dxa"/>
            <w:vAlign w:val="bottom"/>
          </w:tcPr>
          <w:p>
            <w:pPr>
              <w:ind w:left="340"/>
              <w:spacing w:after="0"/>
              <w:rPr>
                <w:sz w:val="20"/>
                <w:szCs w:val="20"/>
                <w:color w:val="auto"/>
              </w:rPr>
            </w:pPr>
            <w:r>
              <w:rPr>
                <w:rFonts w:ascii="Arial" w:cs="Arial" w:eastAsia="Arial" w:hAnsi="Arial"/>
                <w:sz w:val="18"/>
                <w:szCs w:val="18"/>
                <w:color w:val="auto"/>
              </w:rPr>
              <w:t>Extension of Maturity Date</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500" w:type="dxa"/>
            <w:vAlign w:val="bottom"/>
          </w:tcPr>
          <w:p>
            <w:pPr>
              <w:spacing w:after="0"/>
              <w:rPr>
                <w:sz w:val="24"/>
                <w:szCs w:val="24"/>
                <w:color w:val="auto"/>
              </w:rPr>
            </w:pPr>
          </w:p>
        </w:tc>
        <w:tc>
          <w:tcPr>
            <w:tcW w:w="9160" w:type="dxa"/>
            <w:vAlign w:val="bottom"/>
          </w:tcPr>
          <w:p>
            <w:pPr>
              <w:jc w:val="center"/>
              <w:ind w:right="111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9160" w:type="dxa"/>
            <w:vAlign w:val="bottom"/>
          </w:tcPr>
          <w:p>
            <w:pPr>
              <w:jc w:val="center"/>
              <w:ind w:right="1110"/>
              <w:spacing w:after="0"/>
              <w:rPr>
                <w:sz w:val="20"/>
                <w:szCs w:val="20"/>
                <w:color w:val="auto"/>
              </w:rPr>
            </w:pPr>
            <w:r>
              <w:rPr>
                <w:rFonts w:ascii="Arial" w:cs="Arial" w:eastAsia="Arial" w:hAnsi="Arial"/>
                <w:sz w:val="18"/>
                <w:szCs w:val="18"/>
                <w:color w:val="auto"/>
                <w:w w:val="88"/>
              </w:rPr>
              <w:t>Representations and Warranties</w:t>
            </w:r>
          </w:p>
        </w:tc>
        <w:tc>
          <w:tcPr>
            <w:tcW w:w="300" w:type="dxa"/>
            <w:vAlign w:val="bottom"/>
          </w:tcPr>
          <w:p>
            <w:pPr>
              <w:spacing w:after="0"/>
              <w:rPr>
                <w:sz w:val="20"/>
                <w:szCs w:val="20"/>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3.01.</w:t>
            </w:r>
          </w:p>
        </w:tc>
        <w:tc>
          <w:tcPr>
            <w:tcW w:w="9160" w:type="dxa"/>
            <w:vAlign w:val="bottom"/>
          </w:tcPr>
          <w:p>
            <w:pPr>
              <w:ind w:left="340"/>
              <w:spacing w:after="0"/>
              <w:rPr>
                <w:sz w:val="20"/>
                <w:szCs w:val="20"/>
                <w:color w:val="auto"/>
              </w:rPr>
            </w:pPr>
            <w:r>
              <w:rPr>
                <w:rFonts w:ascii="Arial" w:cs="Arial" w:eastAsia="Arial" w:hAnsi="Arial"/>
                <w:sz w:val="18"/>
                <w:szCs w:val="18"/>
                <w:color w:val="auto"/>
              </w:rPr>
              <w:t>Organization; Powers</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3.02.</w:t>
            </w:r>
          </w:p>
        </w:tc>
        <w:tc>
          <w:tcPr>
            <w:tcW w:w="9160" w:type="dxa"/>
            <w:vAlign w:val="bottom"/>
          </w:tcPr>
          <w:p>
            <w:pPr>
              <w:ind w:left="340"/>
              <w:spacing w:after="0"/>
              <w:rPr>
                <w:sz w:val="20"/>
                <w:szCs w:val="20"/>
                <w:color w:val="auto"/>
              </w:rPr>
            </w:pPr>
            <w:r>
              <w:rPr>
                <w:rFonts w:ascii="Arial" w:cs="Arial" w:eastAsia="Arial" w:hAnsi="Arial"/>
                <w:sz w:val="18"/>
                <w:szCs w:val="18"/>
                <w:color w:val="auto"/>
              </w:rPr>
              <w:t>Authorization; Enforceability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3.03.</w:t>
            </w:r>
          </w:p>
        </w:tc>
        <w:tc>
          <w:tcPr>
            <w:tcW w:w="9160" w:type="dxa"/>
            <w:vAlign w:val="bottom"/>
          </w:tcPr>
          <w:p>
            <w:pPr>
              <w:ind w:left="340"/>
              <w:spacing w:after="0"/>
              <w:rPr>
                <w:sz w:val="20"/>
                <w:szCs w:val="20"/>
                <w:color w:val="auto"/>
              </w:rPr>
            </w:pPr>
            <w:r>
              <w:rPr>
                <w:rFonts w:ascii="Arial" w:cs="Arial" w:eastAsia="Arial" w:hAnsi="Arial"/>
                <w:sz w:val="18"/>
                <w:szCs w:val="18"/>
                <w:color w:val="auto"/>
              </w:rPr>
              <w:t>Governmental Approvals; No Conflicts</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3.04.</w:t>
            </w:r>
          </w:p>
        </w:tc>
        <w:tc>
          <w:tcPr>
            <w:tcW w:w="9160" w:type="dxa"/>
            <w:vAlign w:val="bottom"/>
          </w:tcPr>
          <w:p>
            <w:pPr>
              <w:ind w:left="340"/>
              <w:spacing w:after="0"/>
              <w:rPr>
                <w:sz w:val="20"/>
                <w:szCs w:val="20"/>
                <w:color w:val="auto"/>
              </w:rPr>
            </w:pPr>
            <w:r>
              <w:rPr>
                <w:rFonts w:ascii="Arial" w:cs="Arial" w:eastAsia="Arial" w:hAnsi="Arial"/>
                <w:sz w:val="18"/>
                <w:szCs w:val="18"/>
                <w:color w:val="auto"/>
              </w:rPr>
              <w:t>Financial Condition; No Material Adverse Change</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3.05.</w:t>
            </w:r>
          </w:p>
        </w:tc>
        <w:tc>
          <w:tcPr>
            <w:tcW w:w="710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2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3.06.</w:t>
            </w:r>
          </w:p>
        </w:tc>
        <w:tc>
          <w:tcPr>
            <w:tcW w:w="7100" w:type="dxa"/>
            <w:vAlign w:val="bottom"/>
          </w:tcPr>
          <w:p>
            <w:pPr>
              <w:ind w:left="340"/>
              <w:spacing w:after="0"/>
              <w:rPr>
                <w:sz w:val="20"/>
                <w:szCs w:val="20"/>
                <w:color w:val="auto"/>
              </w:rPr>
            </w:pPr>
            <w:r>
              <w:rPr>
                <w:rFonts w:ascii="Arial" w:cs="Arial" w:eastAsia="Arial" w:hAnsi="Arial"/>
                <w:sz w:val="18"/>
                <w:szCs w:val="18"/>
                <w:color w:val="auto"/>
              </w:rPr>
              <w:t>Litigation and Environmental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3.07.</w:t>
            </w:r>
          </w:p>
        </w:tc>
        <w:tc>
          <w:tcPr>
            <w:tcW w:w="7100" w:type="dxa"/>
            <w:vAlign w:val="bottom"/>
          </w:tcPr>
          <w:p>
            <w:pPr>
              <w:ind w:left="340"/>
              <w:spacing w:after="0"/>
              <w:rPr>
                <w:sz w:val="20"/>
                <w:szCs w:val="20"/>
                <w:color w:val="auto"/>
              </w:rPr>
            </w:pPr>
            <w:r>
              <w:rPr>
                <w:rFonts w:ascii="Arial" w:cs="Arial" w:eastAsia="Arial" w:hAnsi="Arial"/>
                <w:sz w:val="18"/>
                <w:szCs w:val="18"/>
                <w:color w:val="auto"/>
              </w:rPr>
              <w:t>Investment and Holding Company Status</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3.08.</w:t>
            </w:r>
          </w:p>
        </w:tc>
        <w:tc>
          <w:tcPr>
            <w:tcW w:w="7100" w:type="dxa"/>
            <w:vAlign w:val="bottom"/>
          </w:tcPr>
          <w:p>
            <w:pPr>
              <w:ind w:left="340"/>
              <w:spacing w:after="0"/>
              <w:rPr>
                <w:sz w:val="20"/>
                <w:szCs w:val="20"/>
                <w:color w:val="auto"/>
              </w:rPr>
            </w:pPr>
            <w:r>
              <w:rPr>
                <w:rFonts w:ascii="Arial" w:cs="Arial" w:eastAsia="Arial" w:hAnsi="Arial"/>
                <w:sz w:val="18"/>
                <w:szCs w:val="18"/>
                <w:color w:val="auto"/>
              </w:rPr>
              <w:t>Taxes</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3.09.</w:t>
            </w:r>
          </w:p>
        </w:tc>
        <w:tc>
          <w:tcPr>
            <w:tcW w:w="7100" w:type="dxa"/>
            <w:vAlign w:val="bottom"/>
          </w:tcPr>
          <w:p>
            <w:pPr>
              <w:ind w:left="340"/>
              <w:spacing w:after="0"/>
              <w:rPr>
                <w:sz w:val="20"/>
                <w:szCs w:val="20"/>
                <w:color w:val="auto"/>
              </w:rPr>
            </w:pPr>
            <w:r>
              <w:rPr>
                <w:rFonts w:ascii="Arial" w:cs="Arial" w:eastAsia="Arial" w:hAnsi="Arial"/>
                <w:sz w:val="18"/>
                <w:szCs w:val="18"/>
                <w:color w:val="auto"/>
              </w:rPr>
              <w:t>ERISA</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3.10.</w:t>
            </w:r>
          </w:p>
        </w:tc>
        <w:tc>
          <w:tcPr>
            <w:tcW w:w="7100" w:type="dxa"/>
            <w:vAlign w:val="bottom"/>
          </w:tcPr>
          <w:p>
            <w:pPr>
              <w:ind w:left="340"/>
              <w:spacing w:after="0"/>
              <w:rPr>
                <w:sz w:val="20"/>
                <w:szCs w:val="20"/>
                <w:color w:val="auto"/>
              </w:rPr>
            </w:pPr>
            <w:r>
              <w:rPr>
                <w:rFonts w:ascii="Arial" w:cs="Arial" w:eastAsia="Arial" w:hAnsi="Arial"/>
                <w:sz w:val="18"/>
                <w:szCs w:val="18"/>
                <w:color w:val="auto"/>
              </w:rPr>
              <w:t>Disclosure</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3.11.</w:t>
            </w:r>
          </w:p>
        </w:tc>
        <w:tc>
          <w:tcPr>
            <w:tcW w:w="7100" w:type="dxa"/>
            <w:vAlign w:val="bottom"/>
          </w:tcPr>
          <w:p>
            <w:pPr>
              <w:ind w:left="340"/>
              <w:spacing w:after="0"/>
              <w:rPr>
                <w:sz w:val="20"/>
                <w:szCs w:val="20"/>
                <w:color w:val="auto"/>
              </w:rPr>
            </w:pPr>
            <w:r>
              <w:rPr>
                <w:rFonts w:ascii="Arial" w:cs="Arial" w:eastAsia="Arial" w:hAnsi="Arial"/>
                <w:sz w:val="18"/>
                <w:szCs w:val="18"/>
                <w:color w:val="auto"/>
              </w:rPr>
              <w:t>Use of Proceeds</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3.12.</w:t>
            </w:r>
          </w:p>
        </w:tc>
        <w:tc>
          <w:tcPr>
            <w:tcW w:w="7100" w:type="dxa"/>
            <w:vAlign w:val="bottom"/>
          </w:tcPr>
          <w:p>
            <w:pPr>
              <w:ind w:left="340"/>
              <w:spacing w:after="0"/>
              <w:rPr>
                <w:sz w:val="20"/>
                <w:szCs w:val="20"/>
                <w:color w:val="auto"/>
              </w:rPr>
            </w:pPr>
            <w:r>
              <w:rPr>
                <w:rFonts w:ascii="Arial" w:cs="Arial" w:eastAsia="Arial" w:hAnsi="Arial"/>
                <w:sz w:val="18"/>
                <w:szCs w:val="18"/>
                <w:color w:val="auto"/>
              </w:rPr>
              <w:t>Margin Stock</w:t>
            </w:r>
          </w:p>
        </w:tc>
        <w:tc>
          <w:tcPr>
            <w:tcW w:w="2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3.13.</w:t>
            </w:r>
          </w:p>
        </w:tc>
        <w:tc>
          <w:tcPr>
            <w:tcW w:w="7100" w:type="dxa"/>
            <w:vAlign w:val="bottom"/>
          </w:tcPr>
          <w:p>
            <w:pPr>
              <w:ind w:left="340"/>
              <w:spacing w:after="0"/>
              <w:rPr>
                <w:sz w:val="20"/>
                <w:szCs w:val="20"/>
                <w:color w:val="auto"/>
              </w:rPr>
            </w:pPr>
            <w:r>
              <w:rPr>
                <w:rFonts w:ascii="Arial" w:cs="Arial" w:eastAsia="Arial" w:hAnsi="Arial"/>
                <w:sz w:val="18"/>
                <w:szCs w:val="18"/>
                <w:color w:val="auto"/>
              </w:rPr>
              <w:t>Anti-Corruption Laws and Sanctions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500" w:type="dxa"/>
            <w:vAlign w:val="bottom"/>
          </w:tcPr>
          <w:p>
            <w:pPr>
              <w:spacing w:after="0"/>
              <w:rPr>
                <w:sz w:val="24"/>
                <w:szCs w:val="24"/>
                <w:color w:val="auto"/>
              </w:rPr>
            </w:pPr>
          </w:p>
        </w:tc>
        <w:tc>
          <w:tcPr>
            <w:tcW w:w="7100" w:type="dxa"/>
            <w:vAlign w:val="bottom"/>
          </w:tcPr>
          <w:p>
            <w:pPr>
              <w:jc w:val="center"/>
              <w:ind w:left="750"/>
              <w:spacing w:after="0"/>
              <w:rPr>
                <w:sz w:val="20"/>
                <w:szCs w:val="20"/>
                <w:color w:val="auto"/>
              </w:rPr>
            </w:pPr>
            <w:r>
              <w:rPr>
                <w:rFonts w:ascii="Arial" w:cs="Arial" w:eastAsia="Arial" w:hAnsi="Arial"/>
                <w:sz w:val="18"/>
                <w:szCs w:val="18"/>
                <w:color w:val="auto"/>
                <w:w w:val="99"/>
              </w:rPr>
              <w:t>ARTICLE IV</w:t>
            </w:r>
          </w:p>
        </w:tc>
        <w:tc>
          <w:tcPr>
            <w:tcW w:w="23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7100" w:type="dxa"/>
            <w:vAlign w:val="bottom"/>
          </w:tcPr>
          <w:p>
            <w:pPr>
              <w:jc w:val="center"/>
              <w:ind w:left="770"/>
              <w:spacing w:after="0"/>
              <w:rPr>
                <w:sz w:val="20"/>
                <w:szCs w:val="20"/>
                <w:color w:val="auto"/>
              </w:rPr>
            </w:pPr>
            <w:r>
              <w:rPr>
                <w:rFonts w:ascii="Arial" w:cs="Arial" w:eastAsia="Arial" w:hAnsi="Arial"/>
                <w:sz w:val="18"/>
                <w:szCs w:val="18"/>
                <w:color w:val="auto"/>
                <w:w w:val="94"/>
              </w:rPr>
              <w:t>Conditions</w:t>
            </w:r>
          </w:p>
        </w:tc>
        <w:tc>
          <w:tcPr>
            <w:tcW w:w="2360" w:type="dxa"/>
            <w:vAlign w:val="bottom"/>
          </w:tcPr>
          <w:p>
            <w:pPr>
              <w:spacing w:after="0"/>
              <w:rPr>
                <w:sz w:val="20"/>
                <w:szCs w:val="20"/>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4.01.</w:t>
            </w:r>
          </w:p>
        </w:tc>
        <w:tc>
          <w:tcPr>
            <w:tcW w:w="7100" w:type="dxa"/>
            <w:vAlign w:val="bottom"/>
          </w:tcPr>
          <w:p>
            <w:pPr>
              <w:ind w:left="340"/>
              <w:spacing w:after="0"/>
              <w:rPr>
                <w:sz w:val="20"/>
                <w:szCs w:val="20"/>
                <w:color w:val="auto"/>
              </w:rPr>
            </w:pPr>
            <w:r>
              <w:rPr>
                <w:rFonts w:ascii="Arial" w:cs="Arial" w:eastAsia="Arial" w:hAnsi="Arial"/>
                <w:sz w:val="18"/>
                <w:szCs w:val="18"/>
                <w:color w:val="auto"/>
              </w:rPr>
              <w:t>Effective Date</w:t>
            </w:r>
          </w:p>
        </w:tc>
        <w:tc>
          <w:tcPr>
            <w:tcW w:w="2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4.02.</w:t>
            </w:r>
          </w:p>
        </w:tc>
        <w:tc>
          <w:tcPr>
            <w:tcW w:w="7100" w:type="dxa"/>
            <w:vAlign w:val="bottom"/>
          </w:tcPr>
          <w:p>
            <w:pPr>
              <w:ind w:left="340"/>
              <w:spacing w:after="0"/>
              <w:rPr>
                <w:sz w:val="20"/>
                <w:szCs w:val="20"/>
                <w:color w:val="auto"/>
              </w:rPr>
            </w:pPr>
            <w:r>
              <w:rPr>
                <w:rFonts w:ascii="Arial" w:cs="Arial" w:eastAsia="Arial" w:hAnsi="Arial"/>
                <w:sz w:val="18"/>
                <w:szCs w:val="18"/>
                <w:color w:val="auto"/>
              </w:rPr>
              <w:t>Each Credit Event</w:t>
            </w:r>
          </w:p>
        </w:tc>
        <w:tc>
          <w:tcPr>
            <w:tcW w:w="2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1500" w:type="dxa"/>
            <w:vAlign w:val="bottom"/>
          </w:tcPr>
          <w:p>
            <w:pPr>
              <w:spacing w:after="0"/>
              <w:rPr>
                <w:sz w:val="24"/>
                <w:szCs w:val="24"/>
                <w:color w:val="auto"/>
              </w:rPr>
            </w:pPr>
          </w:p>
        </w:tc>
        <w:tc>
          <w:tcPr>
            <w:tcW w:w="7100" w:type="dxa"/>
            <w:vAlign w:val="bottom"/>
          </w:tcPr>
          <w:p>
            <w:pPr>
              <w:jc w:val="center"/>
              <w:ind w:left="770"/>
              <w:spacing w:after="0"/>
              <w:rPr>
                <w:sz w:val="20"/>
                <w:szCs w:val="20"/>
                <w:color w:val="auto"/>
              </w:rPr>
            </w:pPr>
            <w:r>
              <w:rPr>
                <w:rFonts w:ascii="Arial" w:cs="Arial" w:eastAsia="Arial" w:hAnsi="Arial"/>
                <w:sz w:val="18"/>
                <w:szCs w:val="18"/>
                <w:color w:val="auto"/>
                <w:w w:val="98"/>
              </w:rPr>
              <w:t>ARTICLE V</w:t>
            </w:r>
          </w:p>
        </w:tc>
        <w:tc>
          <w:tcPr>
            <w:tcW w:w="23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7100" w:type="dxa"/>
            <w:vAlign w:val="bottom"/>
          </w:tcPr>
          <w:p>
            <w:pPr>
              <w:jc w:val="center"/>
              <w:ind w:left="770"/>
              <w:spacing w:after="0"/>
              <w:rPr>
                <w:sz w:val="20"/>
                <w:szCs w:val="20"/>
                <w:color w:val="auto"/>
              </w:rPr>
            </w:pPr>
            <w:r>
              <w:rPr>
                <w:rFonts w:ascii="Arial" w:cs="Arial" w:eastAsia="Arial" w:hAnsi="Arial"/>
                <w:sz w:val="18"/>
                <w:szCs w:val="18"/>
                <w:color w:val="auto"/>
                <w:w w:val="93"/>
              </w:rPr>
              <w:t>Affirmative Covenants</w:t>
            </w:r>
          </w:p>
        </w:tc>
        <w:tc>
          <w:tcPr>
            <w:tcW w:w="2360" w:type="dxa"/>
            <w:vAlign w:val="bottom"/>
          </w:tcPr>
          <w:p>
            <w:pPr>
              <w:spacing w:after="0"/>
              <w:rPr>
                <w:sz w:val="20"/>
                <w:szCs w:val="20"/>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5.01.</w:t>
            </w:r>
          </w:p>
        </w:tc>
        <w:tc>
          <w:tcPr>
            <w:tcW w:w="7100" w:type="dxa"/>
            <w:vAlign w:val="bottom"/>
          </w:tcPr>
          <w:p>
            <w:pPr>
              <w:ind w:left="340"/>
              <w:spacing w:after="0"/>
              <w:rPr>
                <w:sz w:val="20"/>
                <w:szCs w:val="20"/>
                <w:color w:val="auto"/>
              </w:rPr>
            </w:pPr>
            <w:r>
              <w:rPr>
                <w:rFonts w:ascii="Arial" w:cs="Arial" w:eastAsia="Arial" w:hAnsi="Arial"/>
                <w:sz w:val="18"/>
                <w:szCs w:val="18"/>
                <w:color w:val="auto"/>
              </w:rPr>
              <w:t>Financial Statements and Other Information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5.02.</w:t>
            </w:r>
          </w:p>
        </w:tc>
        <w:tc>
          <w:tcPr>
            <w:tcW w:w="7100" w:type="dxa"/>
            <w:vAlign w:val="bottom"/>
          </w:tcPr>
          <w:p>
            <w:pPr>
              <w:ind w:left="340"/>
              <w:spacing w:after="0"/>
              <w:rPr>
                <w:sz w:val="20"/>
                <w:szCs w:val="20"/>
                <w:color w:val="auto"/>
              </w:rPr>
            </w:pPr>
            <w:r>
              <w:rPr>
                <w:rFonts w:ascii="Arial" w:cs="Arial" w:eastAsia="Arial" w:hAnsi="Arial"/>
                <w:sz w:val="18"/>
                <w:szCs w:val="18"/>
                <w:color w:val="auto"/>
              </w:rPr>
              <w:t>Notices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5.03.</w:t>
            </w:r>
          </w:p>
        </w:tc>
        <w:tc>
          <w:tcPr>
            <w:tcW w:w="7100" w:type="dxa"/>
            <w:vAlign w:val="bottom"/>
          </w:tcPr>
          <w:p>
            <w:pPr>
              <w:ind w:left="340"/>
              <w:spacing w:after="0"/>
              <w:rPr>
                <w:sz w:val="20"/>
                <w:szCs w:val="20"/>
                <w:color w:val="auto"/>
              </w:rPr>
            </w:pPr>
            <w:r>
              <w:rPr>
                <w:rFonts w:ascii="Arial" w:cs="Arial" w:eastAsia="Arial" w:hAnsi="Arial"/>
                <w:sz w:val="18"/>
                <w:szCs w:val="18"/>
                <w:color w:val="auto"/>
              </w:rPr>
              <w:t>Existence; Conduct of Business</w:t>
            </w:r>
          </w:p>
        </w:tc>
        <w:tc>
          <w:tcPr>
            <w:tcW w:w="2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5.04.</w:t>
            </w:r>
          </w:p>
        </w:tc>
        <w:tc>
          <w:tcPr>
            <w:tcW w:w="7100" w:type="dxa"/>
            <w:vAlign w:val="bottom"/>
          </w:tcPr>
          <w:p>
            <w:pPr>
              <w:ind w:left="340"/>
              <w:spacing w:after="0"/>
              <w:rPr>
                <w:sz w:val="20"/>
                <w:szCs w:val="20"/>
                <w:color w:val="auto"/>
              </w:rPr>
            </w:pPr>
            <w:r>
              <w:rPr>
                <w:rFonts w:ascii="Arial" w:cs="Arial" w:eastAsia="Arial" w:hAnsi="Arial"/>
                <w:sz w:val="18"/>
                <w:szCs w:val="18"/>
                <w:color w:val="auto"/>
              </w:rPr>
              <w:t>Payment of Taxes</w:t>
            </w:r>
          </w:p>
        </w:tc>
        <w:tc>
          <w:tcPr>
            <w:tcW w:w="2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5.05.</w:t>
            </w:r>
          </w:p>
        </w:tc>
        <w:tc>
          <w:tcPr>
            <w:tcW w:w="7100" w:type="dxa"/>
            <w:vAlign w:val="bottom"/>
          </w:tcPr>
          <w:p>
            <w:pPr>
              <w:ind w:left="340"/>
              <w:spacing w:after="0"/>
              <w:rPr>
                <w:sz w:val="20"/>
                <w:szCs w:val="20"/>
                <w:color w:val="auto"/>
              </w:rPr>
            </w:pPr>
            <w:r>
              <w:rPr>
                <w:rFonts w:ascii="Arial" w:cs="Arial" w:eastAsia="Arial" w:hAnsi="Arial"/>
                <w:sz w:val="18"/>
                <w:szCs w:val="18"/>
                <w:color w:val="auto"/>
              </w:rPr>
              <w:t>Insurance</w:t>
            </w:r>
          </w:p>
        </w:tc>
        <w:tc>
          <w:tcPr>
            <w:tcW w:w="2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5.06.</w:t>
            </w:r>
          </w:p>
        </w:tc>
        <w:tc>
          <w:tcPr>
            <w:tcW w:w="7100" w:type="dxa"/>
            <w:vAlign w:val="bottom"/>
          </w:tcPr>
          <w:p>
            <w:pPr>
              <w:ind w:left="340"/>
              <w:spacing w:after="0"/>
              <w:rPr>
                <w:sz w:val="20"/>
                <w:szCs w:val="20"/>
                <w:color w:val="auto"/>
              </w:rPr>
            </w:pPr>
            <w:r>
              <w:rPr>
                <w:rFonts w:ascii="Arial" w:cs="Arial" w:eastAsia="Arial" w:hAnsi="Arial"/>
                <w:sz w:val="18"/>
                <w:szCs w:val="18"/>
                <w:color w:val="auto"/>
              </w:rPr>
              <w:t>Inspection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5.07.</w:t>
            </w:r>
          </w:p>
        </w:tc>
        <w:tc>
          <w:tcPr>
            <w:tcW w:w="7100" w:type="dxa"/>
            <w:vAlign w:val="bottom"/>
          </w:tcPr>
          <w:p>
            <w:pPr>
              <w:ind w:left="340"/>
              <w:spacing w:after="0"/>
              <w:rPr>
                <w:sz w:val="20"/>
                <w:szCs w:val="20"/>
                <w:color w:val="auto"/>
              </w:rPr>
            </w:pPr>
            <w:r>
              <w:rPr>
                <w:rFonts w:ascii="Arial" w:cs="Arial" w:eastAsia="Arial" w:hAnsi="Arial"/>
                <w:sz w:val="18"/>
                <w:szCs w:val="18"/>
                <w:color w:val="auto"/>
              </w:rPr>
              <w:t>Compliance with Laws</w:t>
            </w:r>
          </w:p>
        </w:tc>
        <w:tc>
          <w:tcPr>
            <w:tcW w:w="2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1500" w:type="dxa"/>
            <w:vAlign w:val="bottom"/>
          </w:tcPr>
          <w:p>
            <w:pPr>
              <w:spacing w:after="0"/>
              <w:rPr>
                <w:sz w:val="24"/>
                <w:szCs w:val="24"/>
                <w:color w:val="auto"/>
              </w:rPr>
            </w:pPr>
          </w:p>
        </w:tc>
        <w:tc>
          <w:tcPr>
            <w:tcW w:w="7100" w:type="dxa"/>
            <w:vAlign w:val="bottom"/>
          </w:tcPr>
          <w:p>
            <w:pPr>
              <w:jc w:val="center"/>
              <w:ind w:left="750"/>
              <w:spacing w:after="0"/>
              <w:rPr>
                <w:sz w:val="20"/>
                <w:szCs w:val="20"/>
                <w:color w:val="auto"/>
              </w:rPr>
            </w:pPr>
            <w:r>
              <w:rPr>
                <w:rFonts w:ascii="Arial" w:cs="Arial" w:eastAsia="Arial" w:hAnsi="Arial"/>
                <w:sz w:val="18"/>
                <w:szCs w:val="18"/>
                <w:color w:val="auto"/>
                <w:w w:val="99"/>
              </w:rPr>
              <w:t>ARTICLE VI</w:t>
            </w:r>
          </w:p>
        </w:tc>
        <w:tc>
          <w:tcPr>
            <w:tcW w:w="23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7100" w:type="dxa"/>
            <w:vAlign w:val="bottom"/>
          </w:tcPr>
          <w:p>
            <w:pPr>
              <w:jc w:val="center"/>
              <w:ind w:left="750"/>
              <w:spacing w:after="0"/>
              <w:rPr>
                <w:sz w:val="20"/>
                <w:szCs w:val="20"/>
                <w:color w:val="auto"/>
              </w:rPr>
            </w:pPr>
            <w:r>
              <w:rPr>
                <w:rFonts w:ascii="Arial" w:cs="Arial" w:eastAsia="Arial" w:hAnsi="Arial"/>
                <w:sz w:val="18"/>
                <w:szCs w:val="18"/>
                <w:color w:val="auto"/>
                <w:w w:val="90"/>
              </w:rPr>
              <w:t>Negative Covenants</w:t>
            </w:r>
          </w:p>
        </w:tc>
        <w:tc>
          <w:tcPr>
            <w:tcW w:w="2360" w:type="dxa"/>
            <w:vAlign w:val="bottom"/>
          </w:tcPr>
          <w:p>
            <w:pPr>
              <w:spacing w:after="0"/>
              <w:rPr>
                <w:sz w:val="20"/>
                <w:szCs w:val="20"/>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6.01.</w:t>
            </w:r>
          </w:p>
        </w:tc>
        <w:tc>
          <w:tcPr>
            <w:tcW w:w="7100" w:type="dxa"/>
            <w:vAlign w:val="bottom"/>
          </w:tcPr>
          <w:p>
            <w:pPr>
              <w:ind w:left="340"/>
              <w:spacing w:after="0"/>
              <w:rPr>
                <w:sz w:val="20"/>
                <w:szCs w:val="20"/>
                <w:color w:val="auto"/>
              </w:rPr>
            </w:pPr>
            <w:r>
              <w:rPr>
                <w:rFonts w:ascii="Arial" w:cs="Arial" w:eastAsia="Arial" w:hAnsi="Arial"/>
                <w:sz w:val="18"/>
                <w:szCs w:val="18"/>
                <w:color w:val="auto"/>
              </w:rPr>
              <w:t>Liens</w:t>
            </w:r>
          </w:p>
        </w:tc>
        <w:tc>
          <w:tcPr>
            <w:tcW w:w="2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6.02.</w:t>
            </w:r>
          </w:p>
        </w:tc>
        <w:tc>
          <w:tcPr>
            <w:tcW w:w="7100" w:type="dxa"/>
            <w:vAlign w:val="bottom"/>
          </w:tcPr>
          <w:p>
            <w:pPr>
              <w:ind w:left="340"/>
              <w:spacing w:after="0"/>
              <w:rPr>
                <w:sz w:val="20"/>
                <w:szCs w:val="20"/>
                <w:color w:val="auto"/>
              </w:rPr>
            </w:pPr>
            <w:r>
              <w:rPr>
                <w:rFonts w:ascii="Arial" w:cs="Arial" w:eastAsia="Arial" w:hAnsi="Arial"/>
                <w:sz w:val="18"/>
                <w:szCs w:val="18"/>
                <w:color w:val="auto"/>
              </w:rPr>
              <w:t>Fundamental Changes</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6.03.</w:t>
            </w:r>
          </w:p>
        </w:tc>
        <w:tc>
          <w:tcPr>
            <w:tcW w:w="7100" w:type="dxa"/>
            <w:vAlign w:val="bottom"/>
          </w:tcPr>
          <w:p>
            <w:pPr>
              <w:ind w:left="340"/>
              <w:spacing w:after="0"/>
              <w:rPr>
                <w:sz w:val="20"/>
                <w:szCs w:val="20"/>
                <w:color w:val="auto"/>
              </w:rPr>
            </w:pPr>
            <w:r>
              <w:rPr>
                <w:rFonts w:ascii="Arial" w:cs="Arial" w:eastAsia="Arial" w:hAnsi="Arial"/>
                <w:sz w:val="18"/>
                <w:szCs w:val="18"/>
                <w:color w:val="auto"/>
              </w:rPr>
              <w:t>Consolidated Debt to Capitalization Ratio</w:t>
            </w:r>
          </w:p>
        </w:tc>
        <w:tc>
          <w:tcPr>
            <w:tcW w:w="2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6.04.</w:t>
            </w:r>
          </w:p>
        </w:tc>
        <w:tc>
          <w:tcPr>
            <w:tcW w:w="7100" w:type="dxa"/>
            <w:vAlign w:val="bottom"/>
          </w:tcPr>
          <w:p>
            <w:pPr>
              <w:ind w:left="340"/>
              <w:spacing w:after="0"/>
              <w:rPr>
                <w:sz w:val="20"/>
                <w:szCs w:val="20"/>
                <w:color w:val="auto"/>
              </w:rPr>
            </w:pPr>
            <w:r>
              <w:rPr>
                <w:rFonts w:ascii="Arial" w:cs="Arial" w:eastAsia="Arial" w:hAnsi="Arial"/>
                <w:sz w:val="18"/>
                <w:szCs w:val="18"/>
                <w:color w:val="auto"/>
              </w:rPr>
              <w:t>Use of Proceeds</w:t>
            </w:r>
          </w:p>
        </w:tc>
        <w:tc>
          <w:tcPr>
            <w:tcW w:w="2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1500" w:type="dxa"/>
            <w:vAlign w:val="bottom"/>
          </w:tcPr>
          <w:p>
            <w:pPr>
              <w:spacing w:after="0"/>
              <w:rPr>
                <w:sz w:val="24"/>
                <w:szCs w:val="24"/>
                <w:color w:val="auto"/>
              </w:rPr>
            </w:pPr>
          </w:p>
        </w:tc>
        <w:tc>
          <w:tcPr>
            <w:tcW w:w="7100" w:type="dxa"/>
            <w:vAlign w:val="bottom"/>
          </w:tcPr>
          <w:p>
            <w:pPr>
              <w:jc w:val="center"/>
              <w:ind w:left="770"/>
              <w:spacing w:after="0"/>
              <w:rPr>
                <w:sz w:val="20"/>
                <w:szCs w:val="20"/>
                <w:color w:val="auto"/>
              </w:rPr>
            </w:pPr>
            <w:r>
              <w:rPr>
                <w:rFonts w:ascii="Arial" w:cs="Arial" w:eastAsia="Arial" w:hAnsi="Arial"/>
                <w:sz w:val="18"/>
                <w:szCs w:val="18"/>
                <w:color w:val="auto"/>
              </w:rPr>
              <w:t>ARTICLE VII</w:t>
            </w:r>
          </w:p>
        </w:tc>
        <w:tc>
          <w:tcPr>
            <w:tcW w:w="23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7100" w:type="dxa"/>
            <w:vAlign w:val="bottom"/>
          </w:tcPr>
          <w:p>
            <w:pPr>
              <w:jc w:val="center"/>
              <w:ind w:left="770"/>
              <w:spacing w:after="0"/>
              <w:rPr>
                <w:sz w:val="20"/>
                <w:szCs w:val="20"/>
                <w:color w:val="auto"/>
              </w:rPr>
            </w:pPr>
            <w:r>
              <w:rPr>
                <w:rFonts w:ascii="Arial" w:cs="Arial" w:eastAsia="Arial" w:hAnsi="Arial"/>
                <w:sz w:val="18"/>
                <w:szCs w:val="18"/>
                <w:color w:val="auto"/>
                <w:w w:val="93"/>
              </w:rPr>
              <w:t>Events of Default</w:t>
            </w:r>
          </w:p>
        </w:tc>
        <w:tc>
          <w:tcPr>
            <w:tcW w:w="2360" w:type="dxa"/>
            <w:vAlign w:val="bottom"/>
          </w:tcPr>
          <w:p>
            <w:pPr>
              <w:spacing w:after="0"/>
              <w:rPr>
                <w:sz w:val="20"/>
                <w:szCs w:val="20"/>
                <w:color w:val="auto"/>
              </w:rPr>
            </w:pPr>
          </w:p>
        </w:tc>
      </w:tr>
      <w:tr>
        <w:trPr>
          <w:trHeight w:val="310"/>
        </w:trPr>
        <w:tc>
          <w:tcPr>
            <w:tcW w:w="1500" w:type="dxa"/>
            <w:vAlign w:val="bottom"/>
          </w:tcPr>
          <w:p>
            <w:pPr>
              <w:spacing w:after="0"/>
              <w:rPr>
                <w:sz w:val="24"/>
                <w:szCs w:val="24"/>
                <w:color w:val="auto"/>
              </w:rPr>
            </w:pPr>
          </w:p>
        </w:tc>
        <w:tc>
          <w:tcPr>
            <w:tcW w:w="7100" w:type="dxa"/>
            <w:vAlign w:val="bottom"/>
          </w:tcPr>
          <w:p>
            <w:pPr>
              <w:jc w:val="center"/>
              <w:ind w:left="750"/>
              <w:spacing w:after="0"/>
              <w:rPr>
                <w:sz w:val="20"/>
                <w:szCs w:val="20"/>
                <w:color w:val="auto"/>
              </w:rPr>
            </w:pPr>
            <w:r>
              <w:rPr>
                <w:rFonts w:ascii="Arial" w:cs="Arial" w:eastAsia="Arial" w:hAnsi="Arial"/>
                <w:sz w:val="18"/>
                <w:szCs w:val="18"/>
                <w:color w:val="auto"/>
              </w:rPr>
              <w:t>ARTICLE VIII</w:t>
            </w:r>
          </w:p>
        </w:tc>
        <w:tc>
          <w:tcPr>
            <w:tcW w:w="23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7100" w:type="dxa"/>
            <w:vAlign w:val="bottom"/>
          </w:tcPr>
          <w:p>
            <w:pPr>
              <w:jc w:val="center"/>
              <w:ind w:left="770"/>
              <w:spacing w:after="0"/>
              <w:rPr>
                <w:sz w:val="20"/>
                <w:szCs w:val="20"/>
                <w:color w:val="auto"/>
              </w:rPr>
            </w:pPr>
            <w:r>
              <w:rPr>
                <w:rFonts w:ascii="Arial" w:cs="Arial" w:eastAsia="Arial" w:hAnsi="Arial"/>
                <w:sz w:val="18"/>
                <w:szCs w:val="18"/>
                <w:color w:val="auto"/>
                <w:w w:val="93"/>
              </w:rPr>
              <w:t>The Administrative Agent</w:t>
            </w:r>
          </w:p>
        </w:tc>
        <w:tc>
          <w:tcPr>
            <w:tcW w:w="2360" w:type="dxa"/>
            <w:vAlign w:val="bottom"/>
          </w:tcPr>
          <w:p>
            <w:pPr>
              <w:spacing w:after="0"/>
              <w:rPr>
                <w:sz w:val="20"/>
                <w:szCs w:val="20"/>
                <w:color w:val="auto"/>
              </w:rPr>
            </w:pPr>
          </w:p>
        </w:tc>
      </w:tr>
      <w:tr>
        <w:trPr>
          <w:trHeight w:val="310"/>
        </w:trPr>
        <w:tc>
          <w:tcPr>
            <w:tcW w:w="1500" w:type="dxa"/>
            <w:vAlign w:val="bottom"/>
          </w:tcPr>
          <w:p>
            <w:pPr>
              <w:spacing w:after="0"/>
              <w:rPr>
                <w:sz w:val="24"/>
                <w:szCs w:val="24"/>
                <w:color w:val="auto"/>
              </w:rPr>
            </w:pPr>
          </w:p>
        </w:tc>
        <w:tc>
          <w:tcPr>
            <w:tcW w:w="7100" w:type="dxa"/>
            <w:vAlign w:val="bottom"/>
          </w:tcPr>
          <w:p>
            <w:pPr>
              <w:jc w:val="center"/>
              <w:ind w:left="750"/>
              <w:spacing w:after="0"/>
              <w:rPr>
                <w:sz w:val="20"/>
                <w:szCs w:val="20"/>
                <w:color w:val="auto"/>
              </w:rPr>
            </w:pPr>
            <w:r>
              <w:rPr>
                <w:rFonts w:ascii="Arial" w:cs="Arial" w:eastAsia="Arial" w:hAnsi="Arial"/>
                <w:sz w:val="18"/>
                <w:szCs w:val="18"/>
                <w:color w:val="auto"/>
                <w:w w:val="99"/>
              </w:rPr>
              <w:t>ARTICLE IX</w:t>
            </w:r>
          </w:p>
        </w:tc>
        <w:tc>
          <w:tcPr>
            <w:tcW w:w="23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7100" w:type="dxa"/>
            <w:vAlign w:val="bottom"/>
          </w:tcPr>
          <w:p>
            <w:pPr>
              <w:jc w:val="center"/>
              <w:ind w:left="750"/>
              <w:spacing w:after="0"/>
              <w:rPr>
                <w:sz w:val="20"/>
                <w:szCs w:val="20"/>
                <w:color w:val="auto"/>
              </w:rPr>
            </w:pPr>
            <w:r>
              <w:rPr>
                <w:rFonts w:ascii="Arial" w:cs="Arial" w:eastAsia="Arial" w:hAnsi="Arial"/>
                <w:sz w:val="18"/>
                <w:szCs w:val="18"/>
                <w:color w:val="auto"/>
                <w:w w:val="86"/>
              </w:rPr>
              <w:t>Guarantee</w:t>
            </w:r>
          </w:p>
        </w:tc>
        <w:tc>
          <w:tcPr>
            <w:tcW w:w="2360" w:type="dxa"/>
            <w:vAlign w:val="bottom"/>
          </w:tcPr>
          <w:p>
            <w:pPr>
              <w:spacing w:after="0"/>
              <w:rPr>
                <w:sz w:val="20"/>
                <w:szCs w:val="20"/>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9.01.</w:t>
            </w:r>
          </w:p>
        </w:tc>
        <w:tc>
          <w:tcPr>
            <w:tcW w:w="7100" w:type="dxa"/>
            <w:vAlign w:val="bottom"/>
          </w:tcPr>
          <w:p>
            <w:pPr>
              <w:ind w:left="340"/>
              <w:spacing w:after="0"/>
              <w:rPr>
                <w:sz w:val="20"/>
                <w:szCs w:val="20"/>
                <w:color w:val="auto"/>
              </w:rPr>
            </w:pPr>
            <w:r>
              <w:rPr>
                <w:rFonts w:ascii="Arial" w:cs="Arial" w:eastAsia="Arial" w:hAnsi="Arial"/>
                <w:sz w:val="18"/>
                <w:szCs w:val="18"/>
                <w:color w:val="auto"/>
              </w:rPr>
              <w:t>Guarantee</w:t>
            </w:r>
          </w:p>
        </w:tc>
        <w:tc>
          <w:tcPr>
            <w:tcW w:w="2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9.02.</w:t>
            </w:r>
          </w:p>
        </w:tc>
        <w:tc>
          <w:tcPr>
            <w:tcW w:w="7100" w:type="dxa"/>
            <w:vAlign w:val="bottom"/>
          </w:tcPr>
          <w:p>
            <w:pPr>
              <w:ind w:left="340"/>
              <w:spacing w:after="0"/>
              <w:rPr>
                <w:sz w:val="20"/>
                <w:szCs w:val="20"/>
                <w:color w:val="auto"/>
              </w:rPr>
            </w:pPr>
            <w:r>
              <w:rPr>
                <w:rFonts w:ascii="Arial" w:cs="Arial" w:eastAsia="Arial" w:hAnsi="Arial"/>
                <w:sz w:val="18"/>
                <w:szCs w:val="18"/>
                <w:color w:val="auto"/>
              </w:rPr>
              <w:t>Release of Guarantee</w:t>
            </w:r>
          </w:p>
        </w:tc>
        <w:tc>
          <w:tcPr>
            <w:tcW w:w="236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00" w:type="dxa"/>
            <w:vAlign w:val="bottom"/>
          </w:tcPr>
          <w:p>
            <w:pPr>
              <w:ind w:left="3500"/>
              <w:spacing w:after="0"/>
              <w:rPr>
                <w:sz w:val="20"/>
                <w:szCs w:val="20"/>
                <w:color w:val="auto"/>
              </w:rPr>
            </w:pPr>
            <w:r>
              <w:rPr>
                <w:rFonts w:ascii="Arial" w:cs="Arial" w:eastAsia="Arial" w:hAnsi="Arial"/>
                <w:sz w:val="18"/>
                <w:szCs w:val="18"/>
                <w:color w:val="auto"/>
              </w:rPr>
              <w:t>ARTICLE X</w:t>
            </w:r>
          </w:p>
        </w:tc>
        <w:tc>
          <w:tcPr>
            <w:tcW w:w="5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00" w:type="dxa"/>
            <w:vAlign w:val="bottom"/>
          </w:tcPr>
          <w:p>
            <w:pPr>
              <w:ind w:left="3440"/>
              <w:spacing w:after="0"/>
              <w:rPr>
                <w:sz w:val="20"/>
                <w:szCs w:val="20"/>
                <w:color w:val="auto"/>
              </w:rPr>
            </w:pPr>
            <w:r>
              <w:rPr>
                <w:rFonts w:ascii="Arial" w:cs="Arial" w:eastAsia="Arial" w:hAnsi="Arial"/>
                <w:sz w:val="18"/>
                <w:szCs w:val="18"/>
                <w:color w:val="auto"/>
              </w:rPr>
              <w:t>Miscellaneous</w:t>
            </w:r>
          </w:p>
        </w:tc>
        <w:tc>
          <w:tcPr>
            <w:tcW w:w="540" w:type="dxa"/>
            <w:vAlign w:val="bottom"/>
          </w:tcPr>
          <w:p>
            <w:pPr>
              <w:spacing w:after="0"/>
              <w:rPr>
                <w:sz w:val="20"/>
                <w:szCs w:val="20"/>
                <w:color w:val="auto"/>
              </w:rPr>
            </w:pPr>
          </w:p>
        </w:tc>
      </w:tr>
      <w:tr>
        <w:trPr>
          <w:trHeight w:val="310"/>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10.01.</w:t>
            </w:r>
          </w:p>
        </w:tc>
        <w:tc>
          <w:tcPr>
            <w:tcW w:w="240" w:type="dxa"/>
            <w:vAlign w:val="bottom"/>
          </w:tcPr>
          <w:p>
            <w:pPr>
              <w:spacing w:after="0"/>
              <w:rPr>
                <w:sz w:val="24"/>
                <w:szCs w:val="24"/>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Notices</w:t>
            </w: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10.02.</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Waivers; Amendments</w:t>
            </w: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10.03.</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Expenses; Indemnity; Damage Waiver</w:t>
            </w: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10.04.</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10.05.</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Survival</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10.06.</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Counterparts; Integration; Effectiveness</w:t>
            </w: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10.07.</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10.08.</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No Reliance on Margin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10.09.</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Governing Law; Jurisdiction; Consent to Service of Process</w:t>
            </w: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10.10.</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10.11.</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Headings</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10.12.</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Confidentiality</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10.13.</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Interest Rate Limitation</w:t>
            </w: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10.14.</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Conversion of Currencies</w:t>
            </w: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10.15.</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USA PATRIOT Act Notice</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10.16.</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No Fiduciary Relationship</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10.17.</w:t>
            </w:r>
          </w:p>
        </w:tc>
        <w:tc>
          <w:tcPr>
            <w:tcW w:w="24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Non-Public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280" w:type="dxa"/>
            <w:vAlign w:val="bottom"/>
            <w:gridSpan w:val="4"/>
          </w:tcPr>
          <w:p>
            <w:pPr>
              <w:spacing w:after="0"/>
              <w:rPr>
                <w:sz w:val="20"/>
                <w:szCs w:val="20"/>
                <w:color w:val="auto"/>
              </w:rPr>
            </w:pPr>
            <w:r>
              <w:rPr>
                <w:rFonts w:ascii="Arial" w:cs="Arial" w:eastAsia="Arial" w:hAnsi="Arial"/>
                <w:sz w:val="18"/>
                <w:szCs w:val="18"/>
                <w:color w:val="auto"/>
                <w:w w:val="93"/>
              </w:rPr>
              <w:t>SECTION 10.18.</w:t>
            </w:r>
          </w:p>
        </w:tc>
        <w:tc>
          <w:tcPr>
            <w:tcW w:w="240" w:type="dxa"/>
            <w:vAlign w:val="bottom"/>
          </w:tcPr>
          <w:p>
            <w:pPr>
              <w:spacing w:after="0"/>
              <w:rPr>
                <w:sz w:val="20"/>
                <w:szCs w:val="20"/>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18"/>
        </w:trPr>
        <w:tc>
          <w:tcPr>
            <w:tcW w:w="1280" w:type="dxa"/>
            <w:vAlign w:val="bottom"/>
            <w:gridSpan w:val="4"/>
          </w:tcPr>
          <w:p>
            <w:pPr>
              <w:spacing w:after="0"/>
              <w:rPr>
                <w:sz w:val="20"/>
                <w:szCs w:val="20"/>
                <w:color w:val="auto"/>
              </w:rPr>
            </w:pPr>
            <w:r>
              <w:rPr>
                <w:rFonts w:ascii="Arial" w:cs="Arial" w:eastAsia="Arial" w:hAnsi="Arial"/>
                <w:sz w:val="18"/>
                <w:szCs w:val="18"/>
                <w:color w:val="auto"/>
              </w:rPr>
              <w:t>SCHEDULES:</w:t>
            </w:r>
          </w:p>
        </w:tc>
        <w:tc>
          <w:tcPr>
            <w:tcW w:w="2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8"/>
              </w:rPr>
              <w:t>Schedule 2.01</w:t>
            </w:r>
          </w:p>
        </w:tc>
        <w:tc>
          <w:tcPr>
            <w:tcW w:w="2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900" w:type="dxa"/>
            <w:vAlign w:val="bottom"/>
          </w:tcPr>
          <w:p>
            <w:pPr>
              <w:ind w:left="160"/>
              <w:spacing w:after="0"/>
              <w:rPr>
                <w:sz w:val="20"/>
                <w:szCs w:val="20"/>
                <w:color w:val="auto"/>
              </w:rPr>
            </w:pPr>
            <w:r>
              <w:rPr>
                <w:rFonts w:ascii="Arial" w:cs="Arial" w:eastAsia="Arial" w:hAnsi="Arial"/>
                <w:sz w:val="18"/>
                <w:szCs w:val="18"/>
                <w:color w:val="auto"/>
              </w:rPr>
              <w:t>Commitments</w:t>
            </w:r>
          </w:p>
        </w:tc>
        <w:tc>
          <w:tcPr>
            <w:tcW w:w="540" w:type="dxa"/>
            <w:vAlign w:val="bottom"/>
          </w:tcPr>
          <w:p>
            <w:pPr>
              <w:spacing w:after="0"/>
              <w:rPr>
                <w:sz w:val="24"/>
                <w:szCs w:val="24"/>
                <w:color w:val="auto"/>
              </w:rPr>
            </w:pPr>
          </w:p>
        </w:tc>
      </w:tr>
      <w:tr>
        <w:trPr>
          <w:trHeight w:val="230"/>
        </w:trPr>
        <w:tc>
          <w:tcPr>
            <w:tcW w:w="1280" w:type="dxa"/>
            <w:vAlign w:val="bottom"/>
            <w:gridSpan w:val="4"/>
          </w:tcPr>
          <w:p>
            <w:pPr>
              <w:spacing w:after="0"/>
              <w:rPr>
                <w:sz w:val="20"/>
                <w:szCs w:val="20"/>
                <w:color w:val="auto"/>
              </w:rPr>
            </w:pPr>
            <w:r>
              <w:rPr>
                <w:rFonts w:ascii="Arial" w:cs="Arial" w:eastAsia="Arial" w:hAnsi="Arial"/>
                <w:sz w:val="18"/>
                <w:szCs w:val="18"/>
                <w:color w:val="auto"/>
              </w:rPr>
              <w:t>Schedule 2.05</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900" w:type="dxa"/>
            <w:vAlign w:val="bottom"/>
          </w:tcPr>
          <w:p>
            <w:pPr>
              <w:ind w:left="160"/>
              <w:spacing w:after="0"/>
              <w:rPr>
                <w:sz w:val="20"/>
                <w:szCs w:val="20"/>
                <w:color w:val="auto"/>
              </w:rPr>
            </w:pPr>
            <w:r>
              <w:rPr>
                <w:rFonts w:ascii="Arial" w:cs="Arial" w:eastAsia="Arial" w:hAnsi="Arial"/>
                <w:sz w:val="18"/>
                <w:szCs w:val="18"/>
                <w:color w:val="auto"/>
              </w:rPr>
              <w:t>LC Commitments</w:t>
            </w:r>
          </w:p>
        </w:tc>
        <w:tc>
          <w:tcPr>
            <w:tcW w:w="540" w:type="dxa"/>
            <w:vAlign w:val="bottom"/>
          </w:tcPr>
          <w:p>
            <w:pPr>
              <w:spacing w:after="0"/>
              <w:rPr>
                <w:sz w:val="20"/>
                <w:szCs w:val="20"/>
                <w:color w:val="auto"/>
              </w:rPr>
            </w:pPr>
          </w:p>
        </w:tc>
      </w:tr>
      <w:tr>
        <w:trPr>
          <w:trHeight w:val="392"/>
        </w:trPr>
        <w:tc>
          <w:tcPr>
            <w:tcW w:w="1280" w:type="dxa"/>
            <w:vAlign w:val="bottom"/>
            <w:gridSpan w:val="4"/>
          </w:tcPr>
          <w:p>
            <w:pPr>
              <w:spacing w:after="0"/>
              <w:rPr>
                <w:sz w:val="20"/>
                <w:szCs w:val="20"/>
                <w:color w:val="auto"/>
              </w:rPr>
            </w:pPr>
            <w:r>
              <w:rPr>
                <w:rFonts w:ascii="Arial" w:cs="Arial" w:eastAsia="Arial" w:hAnsi="Arial"/>
                <w:sz w:val="18"/>
                <w:szCs w:val="18"/>
                <w:color w:val="auto"/>
              </w:rPr>
              <w:t>ANNEXES:</w:t>
            </w:r>
          </w:p>
        </w:tc>
        <w:tc>
          <w:tcPr>
            <w:tcW w:w="2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7"/>
        </w:trPr>
        <w:tc>
          <w:tcPr>
            <w:tcW w:w="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Annex I</w:t>
            </w:r>
          </w:p>
        </w:tc>
        <w:tc>
          <w:tcPr>
            <w:tcW w:w="440" w:type="dxa"/>
            <w:vAlign w:val="bottom"/>
            <w:gridSpan w:val="2"/>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900" w:type="dxa"/>
            <w:vAlign w:val="bottom"/>
          </w:tcPr>
          <w:p>
            <w:pPr>
              <w:ind w:left="160"/>
              <w:spacing w:after="0"/>
              <w:rPr>
                <w:sz w:val="20"/>
                <w:szCs w:val="20"/>
                <w:color w:val="auto"/>
              </w:rPr>
            </w:pPr>
            <w:r>
              <w:rPr>
                <w:rFonts w:ascii="Arial" w:cs="Arial" w:eastAsia="Arial" w:hAnsi="Arial"/>
                <w:sz w:val="18"/>
                <w:szCs w:val="18"/>
                <w:color w:val="auto"/>
              </w:rPr>
              <w:t>Pricing Categories</w:t>
            </w:r>
          </w:p>
        </w:tc>
        <w:tc>
          <w:tcPr>
            <w:tcW w:w="540" w:type="dxa"/>
            <w:vAlign w:val="bottom"/>
          </w:tcPr>
          <w:p>
            <w:pPr>
              <w:spacing w:after="0"/>
              <w:rPr>
                <w:sz w:val="20"/>
                <w:szCs w:val="20"/>
                <w:color w:val="auto"/>
              </w:rPr>
            </w:pPr>
          </w:p>
        </w:tc>
      </w:tr>
      <w:tr>
        <w:trPr>
          <w:trHeight w:val="391"/>
        </w:trPr>
        <w:tc>
          <w:tcPr>
            <w:tcW w:w="1280" w:type="dxa"/>
            <w:vAlign w:val="bottom"/>
            <w:gridSpan w:val="4"/>
          </w:tcPr>
          <w:p>
            <w:pPr>
              <w:spacing w:after="0"/>
              <w:rPr>
                <w:sz w:val="20"/>
                <w:szCs w:val="20"/>
                <w:color w:val="auto"/>
              </w:rPr>
            </w:pPr>
            <w:r>
              <w:rPr>
                <w:rFonts w:ascii="Arial" w:cs="Arial" w:eastAsia="Arial" w:hAnsi="Arial"/>
                <w:sz w:val="18"/>
                <w:szCs w:val="18"/>
                <w:color w:val="auto"/>
              </w:rPr>
              <w:t>EXHIBITS:</w:t>
            </w:r>
          </w:p>
        </w:tc>
        <w:tc>
          <w:tcPr>
            <w:tcW w:w="2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460" w:type="dxa"/>
            <w:vAlign w:val="bottom"/>
            <w:gridSpan w:val="3"/>
          </w:tcPr>
          <w:p>
            <w:pPr>
              <w:spacing w:after="0"/>
              <w:rPr>
                <w:sz w:val="19"/>
                <w:szCs w:val="19"/>
                <w:color w:val="auto"/>
              </w:rPr>
            </w:pPr>
          </w:p>
        </w:tc>
        <w:tc>
          <w:tcPr>
            <w:tcW w:w="9140" w:type="dxa"/>
            <w:vAlign w:val="bottom"/>
            <w:gridSpan w:val="2"/>
          </w:tcPr>
          <w:p>
            <w:pPr>
              <w:ind w:left="20"/>
              <w:spacing w:after="0"/>
              <w:rPr>
                <w:sz w:val="20"/>
                <w:szCs w:val="20"/>
                <w:color w:val="auto"/>
              </w:rPr>
            </w:pPr>
            <w:r>
              <w:rPr>
                <w:rFonts w:ascii="Arial" w:cs="Arial" w:eastAsia="Arial" w:hAnsi="Arial"/>
                <w:sz w:val="18"/>
                <w:szCs w:val="18"/>
                <w:color w:val="auto"/>
              </w:rPr>
              <w:t>–   Form of Assignment and Assumption</w:t>
            </w:r>
          </w:p>
        </w:tc>
        <w:tc>
          <w:tcPr>
            <w:tcW w:w="540" w:type="dxa"/>
            <w:vAlign w:val="bottom"/>
          </w:tcPr>
          <w:p>
            <w:pPr>
              <w:spacing w:after="0"/>
              <w:rPr>
                <w:sz w:val="19"/>
                <w:szCs w:val="19"/>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rPr>
              <w:t>–   Form of Borrowing Request</w:t>
            </w:r>
          </w:p>
        </w:tc>
        <w:tc>
          <w:tcPr>
            <w:tcW w:w="54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rPr>
              <w:t>–   Form of Confidentiality Agreement</w:t>
            </w:r>
          </w:p>
        </w:tc>
        <w:tc>
          <w:tcPr>
            <w:tcW w:w="54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rPr>
              <w:t>–   Form of Interest Election Request</w:t>
            </w:r>
          </w:p>
        </w:tc>
        <w:tc>
          <w:tcPr>
            <w:tcW w:w="54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rPr>
              <w:t>–   Form of Letter of Credit Application</w:t>
            </w:r>
          </w:p>
        </w:tc>
        <w:tc>
          <w:tcPr>
            <w:tcW w:w="54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Exhibit F-1</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w w:val="98"/>
              </w:rPr>
              <w:t>–   Form of US Tax Certificate (For Foreign Lenders that are not Partnerships for US Federal Income Tax Purposes)</w:t>
            </w:r>
          </w:p>
        </w:tc>
        <w:tc>
          <w:tcPr>
            <w:tcW w:w="54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Exhibit F-2</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rPr>
              <w:t>–   Form of US Tax Certificate (For Foreign Lenders that are Partnerships for US Federal Income Tax Purposes)</w:t>
            </w:r>
          </w:p>
        </w:tc>
        <w:tc>
          <w:tcPr>
            <w:tcW w:w="540" w:type="dxa"/>
            <w:vAlign w:val="bottom"/>
          </w:tcPr>
          <w:p>
            <w:pPr>
              <w:spacing w:after="0"/>
              <w:rPr>
                <w:sz w:val="18"/>
                <w:szCs w:val="18"/>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Exhibit F-3</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w w:val="95"/>
              </w:rPr>
              <w:t>–   Form of US Tax Certificate (For Foreign Participants that are not Partnerships for US Federal Income Tax Purposes)</w:t>
            </w:r>
          </w:p>
        </w:tc>
        <w:tc>
          <w:tcPr>
            <w:tcW w:w="540" w:type="dxa"/>
            <w:vAlign w:val="bottom"/>
          </w:tcPr>
          <w:p>
            <w:pPr>
              <w:spacing w:after="0"/>
              <w:rPr>
                <w:sz w:val="18"/>
                <w:szCs w:val="18"/>
                <w:color w:val="auto"/>
              </w:rPr>
            </w:pPr>
          </w:p>
        </w:tc>
      </w:tr>
      <w:tr>
        <w:trPr>
          <w:trHeight w:val="230"/>
        </w:trPr>
        <w:tc>
          <w:tcPr>
            <w:tcW w:w="1280" w:type="dxa"/>
            <w:vAlign w:val="bottom"/>
            <w:gridSpan w:val="4"/>
          </w:tcPr>
          <w:p>
            <w:pPr>
              <w:spacing w:after="0"/>
              <w:rPr>
                <w:sz w:val="20"/>
                <w:szCs w:val="20"/>
                <w:color w:val="auto"/>
              </w:rPr>
            </w:pPr>
            <w:r>
              <w:rPr>
                <w:rFonts w:ascii="Arial" w:cs="Arial" w:eastAsia="Arial" w:hAnsi="Arial"/>
                <w:sz w:val="18"/>
                <w:szCs w:val="18"/>
                <w:color w:val="auto"/>
              </w:rPr>
              <w:t>Exhibit F-4</w:t>
            </w:r>
          </w:p>
        </w:tc>
        <w:tc>
          <w:tcPr>
            <w:tcW w:w="9140" w:type="dxa"/>
            <w:vAlign w:val="bottom"/>
            <w:gridSpan w:val="2"/>
          </w:tcPr>
          <w:p>
            <w:pPr>
              <w:ind w:left="20"/>
              <w:spacing w:after="0"/>
              <w:rPr>
                <w:sz w:val="20"/>
                <w:szCs w:val="20"/>
                <w:color w:val="auto"/>
              </w:rPr>
            </w:pPr>
            <w:r>
              <w:rPr>
                <w:rFonts w:ascii="Arial" w:cs="Arial" w:eastAsia="Arial" w:hAnsi="Arial"/>
                <w:sz w:val="18"/>
                <w:szCs w:val="18"/>
                <w:color w:val="auto"/>
                <w:w w:val="98"/>
              </w:rPr>
              <w:t>–   Form of US Tax Certificate (For Foreign Participants that are Partnerships for US Federal Income Tax Purposes)</w:t>
            </w:r>
          </w:p>
        </w:tc>
        <w:tc>
          <w:tcPr>
            <w:tcW w:w="54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7" w:name="page8"/>
    <w:bookmarkEnd w:id="7"/>
    <w:p>
      <w:pPr>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dated as of August 23, 2022, among NORTHROP GRUMMAN CORPORATION, a Delaware corporation, as Borrower; NORTHROP GRUMMAN SYSTEMS CORPORATION, a Delaware corporation, as Guarantor; the LENDERS party hereto; and JPMORGAN CHASE BANK, N.A., as Administrative Agent and an Issuing Bank.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WHEREAS, the Borrower has requested that the Lenders and the Issuing Banks make extensions of credit to the Borrower in an aggregate principal amount not exceeding $2,500,000,000 at any time outstanding; and</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WHEREAS, the Lenders and the Issuing Banks have agreed to make such extensions of credit to the Borrower on the terms and subject to the conditions set forth herein.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NOW, THEREFORE, in consideration of the above premises and the agreements, provisions and covenants contained herein,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 the Guarantor, each Lender, each Issuing Bank and the Administrative Agent agree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Borrowing</w:t>
      </w:r>
      <w:r>
        <w:rPr>
          <w:rFonts w:ascii="Arial" w:cs="Arial" w:eastAsia="Arial" w:hAnsi="Arial"/>
          <w:sz w:val="18"/>
          <w:szCs w:val="18"/>
          <w:color w:val="auto"/>
        </w:rPr>
        <w:t>” means any Borrowing comprised of ABR Loans.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w:t>
      </w:r>
      <w:r>
        <w:rPr>
          <w:rFonts w:ascii="Arial" w:cs="Arial" w:eastAsia="Arial" w:hAnsi="Arial"/>
          <w:sz w:val="18"/>
          <w:szCs w:val="18"/>
          <w:color w:val="auto"/>
        </w:rPr>
        <w:t>” means any Loan that bears interest at a rate determined by reference to the Alternate Base Rate.</w:t>
      </w:r>
    </w:p>
    <w:p>
      <w:pPr>
        <w:spacing w:after="0" w:line="225" w:lineRule="exact"/>
        <w:rPr>
          <w:sz w:val="20"/>
          <w:szCs w:val="20"/>
          <w:color w:val="auto"/>
        </w:rPr>
      </w:pPr>
    </w:p>
    <w:p>
      <w:pPr>
        <w:ind w:right="2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any series of related transactions, by which the Borrower or any of its Subsidiaries (a) acquires assets comprising all or substantially all of the assets of any Person or all or substantially all of the assets of a division, business or operating unit or product line of any Person or (b) acquires (in one transaction or as the most recent transaction in a series of transactions) at least a majority (by percentage of voting power) of the Equity Interests in any Person that have ordinary voting power for the election of directors (or persons exercising comparable authority) (other than Equity Interests having such power only by reason of the happening of a contingency).</w:t>
      </w:r>
    </w:p>
    <w:p>
      <w:pPr>
        <w:spacing w:after="0" w:line="16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Indebtedness</w:t>
      </w:r>
      <w:r>
        <w:rPr>
          <w:rFonts w:ascii="Arial" w:cs="Arial" w:eastAsia="Arial" w:hAnsi="Arial"/>
          <w:sz w:val="17"/>
          <w:szCs w:val="17"/>
          <w:color w:val="auto"/>
        </w:rPr>
        <w:t xml:space="preserve">” means any Indebtedness of the Borrower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either (a) the release of the proceeds thereof to the Borrower and the Subsidiaries is contingent upon the substantially simultaneous consummation of such Acquisition (and, if the definitive agreement for such Acquisition is terminated prior to the consummation of such Acquisition, or if such Acquisition is otherwise not consummated by the date specified in the definitive documentation evidencing, governing the rights of the holders of or otherwise relating</w:t>
      </w:r>
    </w:p>
    <w:p>
      <w:pPr>
        <w:sectPr>
          <w:pgSz w:w="11900" w:h="16838" w:orient="portrait"/>
          <w:cols w:equalWidth="0" w:num="1">
            <w:col w:w="11000"/>
          </w:cols>
          <w:pgMar w:left="440" w:top="274" w:right="459" w:bottom="1440" w:gutter="0" w:footer="0" w:header="0"/>
        </w:sectPr>
      </w:pPr>
    </w:p>
    <w:bookmarkStart w:id="8" w:name="page9"/>
    <w:bookmarkEnd w:id="8"/>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Indebtedness, then, in each case, such proceeds are, and pursuant to the terms of such definitive documentation are required to be, promptly applied to satisfy and discharge all obligations of the Borrower and the Subsidiaries in respect of such Indebtedness) or (b) such Indebtedness contains a “special mandatory redemption” provision (or a similar provision), or such definitive documentation permits such Indebtedness to be redeemed or prepaid, if such Acquisition is not consummated by the date specified in the definitive documentation evidencing, governing the rights of the holders of or otherwise relating to such Indebtedness (and, if the definitive agreement for such Acquisition is terminated prior to the consummation of such Acquisition or such Acquisition is otherwise not consummated by the date so specified, such Indebtedness is redeemed or otherwise satisfied and discharged within 90 days of such termination or such specified date, as the case may be).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has the meaning assigned to such term in Section 2.20(c).</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Daily Simple SOFR</w:t>
      </w:r>
      <w:r>
        <w:rPr>
          <w:rFonts w:ascii="Arial" w:cs="Arial" w:eastAsia="Arial" w:hAnsi="Arial"/>
          <w:sz w:val="18"/>
          <w:szCs w:val="18"/>
          <w:color w:val="auto"/>
        </w:rPr>
        <w:t xml:space="preserve">” means an interest rate per annum equal to (a) the Daily Simple SOFR plus (b) 0.10%;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Daily Simple SOFR Rate as so determined would be less than zero, such rate shall be deemed to be zero.</w:t>
      </w:r>
    </w:p>
    <w:p>
      <w:pPr>
        <w:spacing w:after="0" w:line="170"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Term SOFR</w:t>
      </w:r>
      <w:r>
        <w:rPr>
          <w:rFonts w:ascii="Arial" w:cs="Arial" w:eastAsia="Arial" w:hAnsi="Arial"/>
          <w:sz w:val="17"/>
          <w:szCs w:val="17"/>
          <w:color w:val="auto"/>
        </w:rPr>
        <w:t xml:space="preserve">” means, for any Interest Period, an interest rate per annum equal to (a) the Term SOFR for such Interest Period plus (b) 0.10%;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Adjusted Term SOFR as so determined shall be less than zero, such rate shall be deemed to be zero.</w:t>
      </w:r>
    </w:p>
    <w:p>
      <w:pPr>
        <w:spacing w:after="0" w:line="146"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in its capacity as administrative agent for the Lenders hereunder, or any successor thereto appointed in accordance with Article VIII.</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(including the Schedules and Exhibits hereto), as amended, restated, amended and restated, supplemented or otherwise modified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assigned to such term in Section 10.14(b).</w:t>
      </w:r>
    </w:p>
    <w:p>
      <w:pPr>
        <w:spacing w:after="0" w:line="225"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 (b) the NYFRB Rate in effect on such day plus 1/2 of 1.00% per annum and (c) the Adjusted Term SOFR for a one-month Interest Period as published two US Government Securities Business Days prior to such day (or if such day is not a US Government Securities Business Day, the immediately preceding US Government Securities Business Day) plus 1.00% per annum. For purposes of clause (c) above, the Adjusted Term SOFR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shall be effective from and including the effective date of such change in the Prime Rate, the NYFRB Rate or the Adjusted Term SOFR, respectively. If the Alternate Base Rate is being used as an alternate rate of interest pursuant to Section 2.13 (for the avoidance of doubt, only until the Benchmark Replacement has been determined pursuant to Section 2.13(b)), then the Alternate Base Rate shall be the greater of clauses (a) and (b) above and shall be determined without reference to clause (c) above. Notwithstanding the foregoing, if the Alternate Base Rate as determined pursuant to the foregoing would be less than 1.00%, such rate shall be deemed to be 1.00%.</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such term in Section 10.06(b).</w:t>
      </w:r>
    </w:p>
    <w:p>
      <w:pPr>
        <w:spacing w:after="0" w:line="225" w:lineRule="exact"/>
        <w:rPr>
          <w:sz w:val="20"/>
          <w:szCs w:val="20"/>
          <w:color w:val="auto"/>
        </w:rPr>
      </w:pPr>
    </w:p>
    <w:p>
      <w:pPr>
        <w:ind w:right="2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the United States Foreign Corrupt Practices Act of 1977 and the United Kingdom Bribery Act 2010, in each case, as amended, and other similar laws, rules and regulations of the United States, the United Kingdom, the European Union and any European Union member state that are applicable to the Borrower or any Subsidiary from time to time concerning or relating to bribery or corruption.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has the meaning assigned to such term in Section 10.14(b).</w:t>
      </w:r>
    </w:p>
    <w:p>
      <w:pPr>
        <w:spacing w:after="0" w:line="225"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LC Participation Fee Rate</w:t>
      </w:r>
      <w:r>
        <w:rPr>
          <w:rFonts w:ascii="Arial" w:cs="Arial" w:eastAsia="Arial" w:hAnsi="Arial"/>
          <w:sz w:val="18"/>
          <w:szCs w:val="18"/>
          <w:color w:val="auto"/>
        </w:rPr>
        <w:t>” means, at any time, (a) in the case of any Financial Letter of Credit, the Applicable Rate that would be in effect at such time with respect to Term SOFR Loans and (b) in the case of any Performance Letter of Credit, 75% of the Applicable LC Participation Fee Rate that would be in effect under clause (a) above for a Financial Letter of Credit.</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at any time with respect to any Lender, the percentage of the total Commitments represented by such Lender’s Commitment at such time. If all the Commitments have terminated or expired, the Applicable Percentages shall be determined based upon the Commitments most recently in effect, giving effect to any assignments.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has the meaning assigned to such term in Annex I.</w:t>
      </w:r>
    </w:p>
    <w:p>
      <w:pPr>
        <w:spacing w:after="0" w:line="225"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 and which has the operational capability to administer revolving credits of the type contemplated by this Agreement, or which has an arrangement with the related Lender for the performance of its obligations hereunder.</w:t>
      </w:r>
    </w:p>
    <w:p>
      <w:pPr>
        <w:spacing w:after="0" w:line="157"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Wells Fargo Securities, LLC, JPMorgan and Mizuho Bank, Ltd., in their capacities as the joint lead arrangers and joint bookrunners for the credit facility established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 w:name="page11"/>
    <w:bookmarkEnd w:id="10"/>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assignee (with the consent of any Person whose consent is required by Section 10.04), and accepted by the Administrative Agent, in the form of Exhibit A or any other form approved by the Administrative Agent and the Borrower.</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3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2.13(b)(iv).</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Backstopped Letter of Credit</w:t>
      </w:r>
      <w:r>
        <w:rPr>
          <w:rFonts w:ascii="Arial" w:cs="Arial" w:eastAsia="Arial" w:hAnsi="Arial"/>
          <w:sz w:val="18"/>
          <w:szCs w:val="18"/>
          <w:color w:val="auto"/>
        </w:rPr>
        <w:t>” has the meaning assigned to such term in Section 2.05(c).</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8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xml:space="preserve">” means, with respect to any Person, that such Person has become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Bankruptcy Event shall not result solely by virtue of any ownership interest, or the acquisition of any ownership interest, in such Person by a Governmental Authority so long as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1" w:name="page12"/>
    <w:bookmarkEnd w:id="11"/>
    <w:p>
      <w:pPr>
        <w:ind w:right="2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initially, the Term SOFR;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and the related Benchmark Replacement Date have occurred with respect to the Term SOFR or the then-current Benchmark, then “Benchmark” means the applicable Benchmark Replacement to the extent that such Benchmark Replacement has replaced such prior benchmark rate pursuant to Section 2.13(b).</w:t>
      </w:r>
    </w:p>
    <w:p>
      <w:pPr>
        <w:spacing w:after="0" w:line="165"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for any Available Tenor,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and/or (ii) any evolving or then-prevailing market convention for determining a benchmark rate as a replacement for the then-current Benchmark for US Dollar-denominated syndicated credit facilities at such time in the United States and (b) the related Benchmark Replacement Adjustment. If the Benchmark Replacement determined as set forth above would be less than the Floor, the Benchmark Replacement will be deemed to be the Floor for the purposes of this Agreement and the other Loan Documents.</w:t>
      </w:r>
    </w:p>
    <w:p>
      <w:pPr>
        <w:spacing w:after="0" w:line="177"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in the United States.</w:t>
      </w:r>
    </w:p>
    <w:p>
      <w:pPr>
        <w:spacing w:after="0" w:line="18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determines in its reasonable discretion, in consultation with the Borrower, may be appropriate to reflect the adoption and implementation of the applicable Benchmark and to permit the administration thereof by the Administrative Agent in a manner substantially consistent with market practice (or, if the Administrative Agent determines in its reasonable discretion, in consultation with the Borrower, that adoption of any portion of such market practice is not administratively feasible or if the Administrative Agent determines in its reasonable discretion, in consultation with the Borrower, that no market practice for the administration of such Benchmark exists, in such other manner of administration as the Administrative Agent determines in its reasonable discretion, in consultation with the Borrower, is reasonably necessary in connection with the administration of this Agreement and the other Loan Documents).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 w:name="page13"/>
    <w:bookmarkEnd w:id="12"/>
    <w:p>
      <w:pPr>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earlier to occur of the following events with respect to such then-current Benchmark:</w:t>
      </w:r>
    </w:p>
    <w:p>
      <w:pPr>
        <w:spacing w:after="0" w:line="170" w:lineRule="exact"/>
        <w:rPr>
          <w:sz w:val="20"/>
          <w:szCs w:val="20"/>
          <w:color w:val="auto"/>
        </w:rPr>
      </w:pPr>
    </w:p>
    <w:p>
      <w:pPr>
        <w:ind w:right="240" w:firstLine="987"/>
        <w:spacing w:after="0" w:line="311" w:lineRule="auto"/>
        <w:tabs>
          <w:tab w:leader="none" w:pos="1246"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48" w:lineRule="exact"/>
        <w:rPr>
          <w:rFonts w:ascii="Arial" w:cs="Arial" w:eastAsia="Arial" w:hAnsi="Arial"/>
          <w:sz w:val="16"/>
          <w:szCs w:val="16"/>
          <w:color w:val="auto"/>
        </w:rPr>
      </w:pPr>
    </w:p>
    <w:p>
      <w:pPr>
        <w:ind w:right="60" w:firstLine="987"/>
        <w:spacing w:after="0" w:line="257" w:lineRule="auto"/>
        <w:tabs>
          <w:tab w:leader="none" w:pos="12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8"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70" w:lineRule="exact"/>
        <w:rPr>
          <w:sz w:val="20"/>
          <w:szCs w:val="20"/>
          <w:color w:val="auto"/>
        </w:rPr>
      </w:pPr>
    </w:p>
    <w:p>
      <w:pPr>
        <w:ind w:right="80" w:firstLine="987"/>
        <w:spacing w:after="0" w:line="259"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ind w:firstLine="987"/>
        <w:spacing w:after="0" w:line="291" w:lineRule="auto"/>
        <w:tabs>
          <w:tab w:leader="none" w:pos="124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 public statement or publication of information by the regulatory supervisor for the administrator of such Benchmark (or the published component used in the calculation thereof), the Board of Governors,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firstLine="987"/>
        <w:spacing w:after="0" w:line="263"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 (1) or (2) of that definition has occurred if, at such time, no Benchmark Replacement has replaced such then-current Benchmark for all purposes hereunder in accordance with Section 2.13(b) and (y) ending at the time that a Benchmark Replacement has replaced such then-current Benchmark for all purposes hereunder in accordance with Section 2.13(b).</w:t>
      </w:r>
    </w:p>
    <w:p>
      <w:pPr>
        <w:spacing w:after="0" w:line="18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Northrop Grumman Corporation, a Delaware corporation, and its successors and permitted assigns.</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Term SOFR Loans, as to which a single Interest Period is in effect or (b) a Competitive Loan or group of Competitive Loans of the same Type made on the same date and as to which a single Interest Period is in effect.</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Revolving Borrowing in accordance with Section 2.03, which, if in writing, shall be in the form of Exhibit B or any other form approved by the Administrative Agent and the Borrower.</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Term SOFR Loan or a Daily Simple SOFR Loan and any interest rate settings, fundings, disbursements, settlements or payments of any such Loans, or any other dealings in respect of any Loans referencing the Adjusted Term SOFR or the Adjusted Daily Simple SOFR, the term “Business Day” shall also exclude any day that is not a US Government Securities Business Day.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 w:name="page15"/>
    <w:bookmarkEnd w:id="14"/>
    <w:p>
      <w:pPr>
        <w:ind w:right="8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(subject to Section 1.04), and the amount of such obligations shall be the capitalized amount thereof determined in accordance with GAAP (subject to Section 1.04).</w:t>
      </w:r>
    </w:p>
    <w:p>
      <w:pPr>
        <w:spacing w:after="0" w:line="171" w:lineRule="exact"/>
        <w:rPr>
          <w:sz w:val="20"/>
          <w:szCs w:val="20"/>
          <w:color w:val="auto"/>
        </w:rPr>
      </w:pPr>
    </w:p>
    <w:p>
      <w:pPr>
        <w:ind w:right="56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Markets Debt</w:t>
      </w:r>
      <w:r>
        <w:rPr>
          <w:rFonts w:ascii="Arial" w:cs="Arial" w:eastAsia="Arial" w:hAnsi="Arial"/>
          <w:sz w:val="17"/>
          <w:szCs w:val="17"/>
          <w:color w:val="auto"/>
        </w:rPr>
        <w:t>” means, as of any date of determination, indebtedness for borrowed money or evidenced by bonds, notes, debentures or similar instruments existing as of such date (other than any such Indebtedness created under the Loan Documents), in an aggregate principal amount exceeding $500,000,000, that is owed to financial institutions or institutional investors.</w:t>
      </w:r>
    </w:p>
    <w:p>
      <w:pPr>
        <w:spacing w:after="0" w:line="16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Exchange Act and the rules of the Securities and Exchange Commission thereunder as in effect on the date hereof, but excluding (i) any employee benefit plan of the Borrower or any Subsidiary and any Person acting as the trustee, agent or other fiduciary or administrator therefor and (ii) any underwriter in connection with any offering of Equity Interests) of Equity Interests representing more than 50% of the aggregate ordinary voting power represented by the issued and outstanding Equity Interests of the Borrower or (b) occupation of a majority of the seats (other than vacant seats) on the board of directors of the Borrower by Persons who were not Continuing Directors.</w:t>
      </w:r>
    </w:p>
    <w:p>
      <w:pPr>
        <w:spacing w:after="0" w:line="178" w:lineRule="exact"/>
        <w:rPr>
          <w:sz w:val="20"/>
          <w:szCs w:val="20"/>
          <w:color w:val="auto"/>
        </w:rPr>
      </w:pPr>
    </w:p>
    <w:p>
      <w:pPr>
        <w:ind w:right="80"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rule,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similar authority) or the United States financial regulatory authorities, in each case pursuant to Basel III, shall in each case be deemed to be a “Change in Law”, whether enacted, adopted, promulgated or issued before or after the date of this Agreement.</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Competitive Loans.</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5" w:name="page16"/>
    <w:bookmarkEnd w:id="1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with respect to each Lender, the commitment of such Lender to make Revolving Loans and to acquire participations in Letters of Credit hereunder, expressed as an amount representing the maximum aggregate amount of such Lender’s Revolving Credit Exposure hereunder, as such commitment may be (a) reduced or increased from time to time pursuant to Section 2.08 and (b) reduced or increased from time to time pursuant to assignments by or to such Lender pursuant to Section 10.04. The initial amount of each Lender’s Commitment is set forth on Schedule 2.01, or in the Assignment and Assumption or the documentation referred to in Section 2.08(d) pursuant to which such Lender shall have assumed or extended its Commitment, as applicable. The aggregate amount of the Lenders’ Commitments as of the Effective Date is $2,500,000,000.</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2.04.</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means, with respect to any Competitive Bid, the Margin or the Fixed Rate, as applicable, offered by the Lender making such Competitive Bid.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by the Borrower for Competitive Bids in accordance with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a confidentiality agreement in the form of Exhibit C.</w:t>
      </w:r>
    </w:p>
    <w:p>
      <w:pPr>
        <w:spacing w:after="0" w:line="225"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Assets</w:t>
      </w:r>
      <w:r>
        <w:rPr>
          <w:rFonts w:ascii="Arial" w:cs="Arial" w:eastAsia="Arial" w:hAnsi="Arial"/>
          <w:sz w:val="18"/>
          <w:szCs w:val="18"/>
          <w:color w:val="auto"/>
        </w:rPr>
        <w:t>” means, at any time, the total assets of the Borrower and the Subsidiaries at such time, as determined on a consolidated basis in accordance with GAAP.</w:t>
      </w:r>
    </w:p>
    <w:p>
      <w:pPr>
        <w:spacing w:after="0" w:line="170"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Debt</w:t>
      </w:r>
      <w:r>
        <w:rPr>
          <w:rFonts w:ascii="Arial" w:cs="Arial" w:eastAsia="Arial" w:hAnsi="Arial"/>
          <w:sz w:val="17"/>
          <w:szCs w:val="17"/>
          <w:color w:val="auto"/>
        </w:rPr>
        <w:t xml:space="preserve">” means, as of any date of determination and without duplication, all indebtedness for borrowed money and Capital Lease Obligations reported as indebtedness on the consolidated statement of financial position of the Borrower and its Subsidiaries prepared as of such date of determination, plus all indebtedness for borrowed money and Capital Lease Obligations incurred by third parties and guaranteed by the Borrower or a Subsidiary not otherwise reported as indebtedness on such consolidated statement of financial 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Consolidated Debt, at any time after the definitive agreement for any Acquisition in which the aggregate consideration payable by the Borrower and its Subsidiaries has a fair value of $100,000,000 or more shall have been executed, any Acquisition Indebtedness with respect to such Acquisition shall, unless such Acquisition shall have been consummated, be disregarded.</w:t>
      </w:r>
    </w:p>
    <w:p>
      <w:pPr>
        <w:spacing w:after="0" w:line="17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at any time, the Consolidated Assets at such time, after deducting therefrom (a) all current liabilities at such time, except for (i) notes and loans payable, (ii) current maturities of long-term debt, (iii) current maturities of obligations under capital leases and (iv) deferred income taxes, and (b) all goodwill, tradenames, trademarks, patents, unamortized debt discount and expenses and other like intangibles at such time, in each case, of the Borrower and its Subsidiaries, all as determined on a consolidated basis in accordance with GAAP.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 w:name="page17"/>
    <w:bookmarkEnd w:id="16"/>
    <w:p>
      <w:pPr>
        <w:jc w:val="both"/>
        <w:ind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with respect to any Person as of any date of determination, any member of the board of directors of such Person who (a) was a member of such board of directors on the Effective Date or (b) was nominated for election or elected to such board of directors with the approval of a majority of the Continuing Directors who were members of such board at the time of such nomination or election, in each case either by specific vote or by approval of a proxy statement issued by the Borrower on behalf of its entire board of directors in which such individual is named as a nominee for director.</w:t>
      </w:r>
    </w:p>
    <w:p>
      <w:pPr>
        <w:spacing w:after="0" w:line="188" w:lineRule="exact"/>
        <w:rPr>
          <w:sz w:val="20"/>
          <w:szCs w:val="20"/>
          <w:color w:val="auto"/>
        </w:rPr>
      </w:pPr>
    </w:p>
    <w:p>
      <w:pPr>
        <w:ind w:right="3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Controlled</w:t>
      </w:r>
      <w:r>
        <w:rPr>
          <w:rFonts w:ascii="Arial" w:cs="Arial" w:eastAsia="Arial" w:hAnsi="Arial"/>
          <w:sz w:val="16"/>
          <w:szCs w:val="16"/>
          <w:color w:val="auto"/>
        </w:rPr>
        <w:t>” has a correlative meaning thereto.</w:t>
      </w:r>
    </w:p>
    <w:p>
      <w:pPr>
        <w:spacing w:after="0" w:line="124" w:lineRule="exact"/>
        <w:rPr>
          <w:sz w:val="20"/>
          <w:szCs w:val="20"/>
          <w:color w:val="auto"/>
        </w:rPr>
      </w:pPr>
    </w:p>
    <w:p>
      <w:pPr>
        <w:ind w:right="5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means, for any day (a “</w:t>
      </w:r>
      <w:r>
        <w:rPr>
          <w:rFonts w:ascii="Arial" w:cs="Arial" w:eastAsia="Arial" w:hAnsi="Arial"/>
          <w:sz w:val="17"/>
          <w:szCs w:val="17"/>
          <w:u w:val="single" w:color="auto"/>
          <w:color w:val="auto"/>
        </w:rPr>
        <w:t>SOFR Rate Day</w:t>
      </w:r>
      <w:r>
        <w:rPr>
          <w:rFonts w:ascii="Arial" w:cs="Arial" w:eastAsia="Arial" w:hAnsi="Arial"/>
          <w:sz w:val="17"/>
          <w:szCs w:val="17"/>
          <w:color w:val="auto"/>
        </w:rPr>
        <w:t>”), a rate per annum equal to SOFR for the day that is five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 Borrowing</w:t>
      </w:r>
      <w:r>
        <w:rPr>
          <w:rFonts w:ascii="Arial" w:cs="Arial" w:eastAsia="Arial" w:hAnsi="Arial"/>
          <w:sz w:val="18"/>
          <w:szCs w:val="18"/>
          <w:color w:val="auto"/>
        </w:rPr>
        <w:t>” means any Borrowing comprised of Daily Simple SOFR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4787265</wp:posOffset>
            </wp:positionH>
            <wp:positionV relativeFrom="paragraph">
              <wp:posOffset>-10160</wp:posOffset>
            </wp:positionV>
            <wp:extent cx="28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 Loan</w:t>
      </w:r>
      <w:r>
        <w:rPr>
          <w:rFonts w:ascii="Arial" w:cs="Arial" w:eastAsia="Arial" w:hAnsi="Arial"/>
          <w:sz w:val="16"/>
          <w:szCs w:val="16"/>
          <w:color w:val="auto"/>
        </w:rPr>
        <w:t>” means any Loan that bears interest at a rate determined by reference to the Adjusted Daily Simple SOFR.</w:t>
      </w:r>
    </w:p>
    <w:p>
      <w:pPr>
        <w:spacing w:after="0" w:line="248"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within two Business Days of the date required to be funded or paid, (i) to fund any portion of its Loans, (ii) to fund any portion of its participations in Letters of Credit or (iii) to pay to any Lender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Borrower or any Lender Party in writing, or has made a public statement, to the effect that it does not intend or expect to comply with any of its funding obligations under this Agreement (unless such writing or public statement indicates that such position is based on such Lender’s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7" w:name="page18"/>
    <w:bookmarkEnd w:id="1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good 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the Borrower or an Issuing Bank made in good faith, to provide a certification in writing from an authorized officer of such Lender that it will comply with its obligations to fund prospective Loans and participations in then outstanding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by the Administrative Agent and, if the request has been made by it, the Borrower or the applicable Issuing Bank of such certification, which shall be in form and substance reasonably satisfactory to the Administrative Agent and, if the request has been made by it, the Borrower or the applicable Issuing Bank, (d) has, or has a direct or indirect parent company that has, become the subject of a Bankruptcy Event, or (e) has become the subject of a Bail-In Action.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Currency</w:t>
      </w:r>
      <w:r>
        <w:rPr>
          <w:rFonts w:ascii="Arial" w:cs="Arial" w:eastAsia="Arial" w:hAnsi="Arial"/>
          <w:sz w:val="18"/>
          <w:szCs w:val="18"/>
          <w:color w:val="auto"/>
        </w:rPr>
        <w:t>” means any foreign currency that is freely traded and exchangeable into US Dollars.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described in clause (a) or (b) above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precedent set forth in Section 4.01 shall be satisfied or waived, which date is acknowledged to be August 23, 2022.</w:t>
      </w:r>
    </w:p>
    <w:p>
      <w:pPr>
        <w:spacing w:after="0" w:line="17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signature,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applicable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49" w:lineRule="exact"/>
        <w:rPr>
          <w:sz w:val="20"/>
          <w:szCs w:val="20"/>
          <w:color w:val="auto"/>
        </w:rPr>
      </w:pPr>
    </w:p>
    <w:p>
      <w:pPr>
        <w:ind w:right="3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the date of such conversion, Indebtedness that is convertible into any such Equity Interests).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Group</w:t>
      </w:r>
      <w:r>
        <w:rPr>
          <w:rFonts w:ascii="Arial" w:cs="Arial" w:eastAsia="Arial" w:hAnsi="Arial"/>
          <w:sz w:val="16"/>
          <w:szCs w:val="16"/>
          <w:color w:val="auto"/>
        </w:rPr>
        <w:t>” means the Borrower and (a) all members of a controlled group of corporations and all trades or businesses (whether or not incorporated) under common control that, together with the Borrower, are treated as a single employer under Section 414(b), (c), (m) or (o) of the Code and (b) any entity, whether or not incorporated, that is under common control with the Borrower within the meaning of Section 4001(a)(14) of ERISA.</w:t>
      </w:r>
    </w:p>
    <w:p>
      <w:pPr>
        <w:spacing w:after="0" w:line="149"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the Administrative Agent, any Lender, any Issuing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Bank or any other recipient of any payment to be made by or on account of any obligation of the Borrower or the Guarantor hereunder: (a) Taxes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imposed on or measured by net income (however denominated), franchise Taxes, and branch profits Taxes, in each case, (i) imposed as a result of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recipient being organized under the laws of, or having its principal office or, in the case of any Lender, its applicable lending office located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jurisdiction imposing such Tax (or the jurisdiction that is a member of a supra-national body imposing such Tax or any political subdivision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jurisdiction imposing such Tax) or (ii) that are Other Connection Taxes, (b) in the case of a Lender, US Federal withholding Taxes imposed on amounts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to or for the account of such Lender with respect to an applicable interest in a Loan or Commitment pursuant to a law in effect on the date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 such Lender acquires such interest in the Loan or Commitment (other than pursuant to an assignment request by the Borrower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2.18(b) or 10.02(c)) or (ii) such Lender changes its lending office, except in each case to the extent that, pursuant to Section 2.16, amounts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such Taxes were payable either to such Lender’s assignor immediately before such Lender acquired the applicable interest in such Loan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Commitment or to such Lender immediately before it changed its lending office, (c) Taxes attributable to such Recipient’s failure to comply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2.16(f) and (d) any US Federal withholding Taxes imposed under FATCA.</w:t>
      </w:r>
    </w:p>
    <w:p>
      <w:pPr>
        <w:spacing w:after="0" w:line="211"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August 17, 2018, as amended by that certain Extension and Amendment Agreement dated as of October 17, 2019, among the Borrower, the Guarantor, the lenders party thereto and JPMorgan, as administrative agent.</w:t>
      </w:r>
    </w:p>
    <w:p>
      <w:pPr>
        <w:spacing w:after="0" w:line="184"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 Refinancing</w:t>
      </w:r>
      <w:r>
        <w:rPr>
          <w:rFonts w:ascii="Arial" w:cs="Arial" w:eastAsia="Arial" w:hAnsi="Arial"/>
          <w:sz w:val="16"/>
          <w:szCs w:val="16"/>
          <w:color w:val="auto"/>
        </w:rPr>
        <w:t>” means the payment in full of all principal, interest, fees and other amounts due or outstanding under the Existing Credit Agreement and the termination of all commitments thereunder and discharge or release of the guarantee thereunder.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9" w:name="page20"/>
    <w:bookmarkEnd w:id="19"/>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Existing Letter of Credit</w:t>
      </w:r>
      <w:r>
        <w:rPr>
          <w:rFonts w:ascii="Arial" w:cs="Arial" w:eastAsia="Arial" w:hAnsi="Arial"/>
          <w:sz w:val="18"/>
          <w:szCs w:val="18"/>
          <w:color w:val="auto"/>
        </w:rPr>
        <w:t>” means any letter of credit that is issued by any Issuing Bank for the account of the Borrower or any Subsidiary and, subject to compliance with the requirements set forth in Section 2.05 as to the maximum LC Exposure and expiration of Letters of Credit, is designated as an Existing Letter of Credit by written notice thereof by the Borrower and such Issuing Bank to the Administrative Agent (which notice shall contain a representation and warranty by the Borrower as of the date thereof that the conditions precedent set forth in Sections 4.02(a) and 4.02(b) shall be satisfied immediately after giving effect to such designation).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2.20(b).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assigned to such term in Section 2.20(d).</w:t>
      </w:r>
    </w:p>
    <w:p>
      <w:pPr>
        <w:spacing w:after="0" w:line="225"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intergovernmental agreements in respect thereof (and any legislation, regulations or other official guidance pursuant to, or in respect of, such intergovernmental agreements).</w:t>
      </w:r>
    </w:p>
    <w:p>
      <w:pPr>
        <w:spacing w:after="0" w:line="17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Letter of Credit</w:t>
      </w:r>
      <w:r>
        <w:rPr>
          <w:rFonts w:ascii="Arial" w:cs="Arial" w:eastAsia="Arial" w:hAnsi="Arial"/>
          <w:sz w:val="18"/>
          <w:szCs w:val="18"/>
          <w:color w:val="auto"/>
        </w:rPr>
        <w:t>” means a Letter of Credit that is not a Performance Letter of Credit.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principal accounting officer, treasurer, assistant treasurer or controller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w:t>
      </w:r>
      <w:r>
        <w:rPr>
          <w:rFonts w:ascii="Arial" w:cs="Arial" w:eastAsia="Arial" w:hAnsi="Arial"/>
          <w:sz w:val="18"/>
          <w:szCs w:val="18"/>
          <w:color w:val="auto"/>
        </w:rPr>
        <w:t>” means, with respect to any Competitive Loan (other than a Term SOFR Competitive Loan), the fixed rate of interest per annum specified by the Lender making such Competitive Loan in its related Competitive Bid.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w:t>
      </w:r>
    </w:p>
    <w:p>
      <w:pPr>
        <w:spacing w:after="0" w:line="225"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the Adjusted Term SOFR or the Adjusted Daily Simple SOFR, as applicable. For the avoidance of doubt, the initial Floor for each of the Adjusted Term SOFR or the Adjusted Daily Simple SOFR is zero.</w:t>
      </w:r>
    </w:p>
    <w:p>
      <w:pPr>
        <w:spacing w:after="0" w:line="14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0" w:name="page21"/>
    <w:bookmarkEnd w:id="20"/>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any indebtedness for borrowed money (other than such indebtedness under this Agreement) of the Borrower and/or one or more of its Restricted Subsidiaries.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of America, applied in accordance with Section 1.04.</w:t>
      </w:r>
    </w:p>
    <w:p>
      <w:pPr>
        <w:spacing w:after="0" w:line="237" w:lineRule="exact"/>
        <w:rPr>
          <w:sz w:val="20"/>
          <w:szCs w:val="20"/>
          <w:color w:val="auto"/>
        </w:rPr>
      </w:pPr>
    </w:p>
    <w:p>
      <w:pPr>
        <w:ind w:right="2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of any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71"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Northrop Grumman Systems Corporation, a Delaware corporation and a direct wholly owned subsidiary of the Borrower, and its permitted successors.</w:t>
      </w:r>
    </w:p>
    <w:p>
      <w:pPr>
        <w:spacing w:after="0" w:line="170" w:lineRule="exact"/>
        <w:rPr>
          <w:sz w:val="20"/>
          <w:szCs w:val="20"/>
          <w:color w:val="auto"/>
        </w:rPr>
      </w:pPr>
    </w:p>
    <w:p>
      <w:pPr>
        <w:ind w:right="20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has the meaning assigned to such term in Section 2.08(d).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2.08(d).</w:t>
      </w:r>
    </w:p>
    <w:p>
      <w:pPr>
        <w:spacing w:after="0" w:line="225"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indebtedness for borrowed money and Capital Lease Obligations reported as indebtedness on the consolidated statement of financial position of such Person and its consolidated subsidiaries, plus all indebtedness for borrowed money and Capital Lease Obligations incurred by third parties and guaranteed by such Person or any of its consolidated subsidiaries not otherwise reported as indebtedness on such consolidated statement of financial position.</w:t>
      </w:r>
    </w:p>
    <w:p>
      <w:pPr>
        <w:spacing w:after="0" w:line="187"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this Agreement and (b) to the extent not otherwise described in clause (a), Other Taxes.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10.03(b).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Borrowing</w:t>
      </w:r>
      <w:r>
        <w:rPr>
          <w:rFonts w:ascii="Arial" w:cs="Arial" w:eastAsia="Arial" w:hAnsi="Arial"/>
          <w:sz w:val="18"/>
          <w:szCs w:val="18"/>
          <w:color w:val="auto"/>
        </w:rPr>
        <w:t>” has the meaning assigned to such term in Section 2.08(d).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21" w:name="page22"/>
    <w:bookmarkEnd w:id="21"/>
    <w:p>
      <w:pPr>
        <w:ind w:right="82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Revolving Borrowing in accordance with Section 2.07, which shall be in the form of Exhibit D or any other form approved by the Administrative Agent and the Borrower.</w:t>
      </w:r>
    </w:p>
    <w:p>
      <w:pPr>
        <w:spacing w:after="0" w:line="146"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or Daily Simple SOFR Loan, the last day of each March, June, September and December, (b) with respect to any Term SOFR Loan, the last day of the Interest Period applicable to the Borrowing of which such Loan is a part and, in the case of a Term SOFR Borrowing with an Interest Period of more than three months’ duration, each day prior to the last day of such Interest Period that occurs at intervals of three months’ duration after the first day of such Interest Period and (c) with respect to any Fixed Rate Loan, the last day of the Interest Period applicable to the Borrowing of which such Loan is a part and, in the case of a Fixed Rate Borrowing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Interest Payment Dates with respect to such Borrowing.</w:t>
      </w:r>
    </w:p>
    <w:p>
      <w:pPr>
        <w:spacing w:after="0" w:line="16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with respect to any Term SOFR Borrowing, the period commencing on the date of such Borrowing and ending on the numerically corresponding day in the calendar month that is one, three or six months thereafter, or any other period agreed to by the Borrower and each applicable Lender, as the Borrower may elect and (b) with respect to any Fixed Rate Borrowing, the period (which shall not be less than 7 days or more than 360 days) commencing on the date of such Borrowing and ending on the date specified in the applicable Competitive Bid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in the case of a Term SOFR Borrowing only, such next succeeding Business Day would fall in the next calendar month, in which case such Interest Period shall end on the preceding Business Day, (ii) any Interest Period pertaining to a Term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2.13(b) shall be available for specification in any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Wells Fargo Bank, National Association, JPMorgan, Mizuho Bank, Ltd. and each other Person that shall have become an Issuing Bank hereunder as provided in Section 2.05(i), in each case in its capacity as an issuer of Letters of Credit hereunder (other than any Person that shall have ceased to be an Issuing Bank as provided in Section 2.05(j)). Each Issuing Bank may, in its discretion, arrange for one or more Letters of Credit to be issued by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2" w:name="page23"/>
    <w:bookmarkEnd w:id="22"/>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identity and creditworthiness of the Affiliate is reasonably acceptable to the Borrower), in which case the term “Issuing Bank” shall include any such Affiliate with respect to Letters of Credit issued by such Affiliate (it being agreed that such Issuing Bank shall, or shall cause such Affiliate to, comply with the requirements of Section 2.05 with respect to such Letters of Credit).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has the meaning assigned to such term in Section 2.05(i).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means JPMorgan Chase Bank, N.A. and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10.14(b).</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means, with respect to each Issuing Bank, the maximum permitted amount of the LC Exposure that may be attributable to Letters of Credit issued by such Issuing Bank. The amount of each Issuing Bank’s LC Commitment is set forth on Schedule 2.05, or in such Issuing Bank’s Issuing Bank Agreement or, in each case, is such other maximum amount as may have been agreed in writing (and notified in writing to the Administrative Agent) by such Issuing Bank and the Borrower.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right="40"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Exchange Rate</w:t>
      </w:r>
      <w:r>
        <w:rPr>
          <w:rFonts w:ascii="Arial" w:cs="Arial" w:eastAsia="Arial" w:hAnsi="Arial"/>
          <w:sz w:val="18"/>
          <w:szCs w:val="18"/>
          <w:color w:val="auto"/>
        </w:rPr>
        <w:t xml:space="preserve">” means, on any day, with respect to US Dollars in relation to any Designated Foreign Currency, the rate at which US Dollars may be exchanged into such currency, as set forth at approximately 12:00 noon, New York City time, on such day on the applicable Reuters World Currency Page. In the event that any such rate does not appear on the applicable Reuters World Currency Page, the LC Exchange Rate shall be determined by reference to such other publicly available service for displaying exchange rates as may be agreed upon by the Administrative Agent and the Borrower or, in the absence of such agreement, such LC Exchange Rate shall instead be the spot rate of exchange of the Administrative Agent, at or about 11:00 a.m., London time, on such date for the purchase of such Designated Foreign Currency with US Dollars for delivery two Business Days later;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96"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at any time, the sum of (a) the aggregate of the US Dollar Equivalents of the undrawn amounts of all outstanding Letters of Credit at such time plus (b) the aggregate of the US Dollar Equivalents of all LC Disbursements that have not yet been reimbursed by or on behalf of the Borrower at such time (determined as provided in Section 2.05 as of the applicable LC Participation Calculation Dates in the case of LC Disbursements in respect of which the Borrower’s reimbursement obligations have been converted to US Dollar amounts in accordance with such Section). The LC Exposure of any Lender at any time shall be its Applicable Percentage of the total LC Exposure at such time, adjusted to give effect to any reallocation under Section 2.19(a)(iii) of the LC Exposure of Defaulting Lenders in effect at such time.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 w:name="page24"/>
    <w:bookmarkEnd w:id="23"/>
    <w:p>
      <w:pPr>
        <w:ind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LC Participation Calculation Date</w:t>
      </w:r>
      <w:r>
        <w:rPr>
          <w:rFonts w:ascii="Arial" w:cs="Arial" w:eastAsia="Arial" w:hAnsi="Arial"/>
          <w:sz w:val="17"/>
          <w:szCs w:val="17"/>
          <w:color w:val="auto"/>
        </w:rPr>
        <w:t>” means, with respect to any LC Disbursement or any refund of a reimbursement payment made by any Issuing Bank to the Borrower, in each case, in a currency other than US Dollars (a) the date on which the applicable Issuing Bank shall advise the Administrative Agent that it purchased with US Dollars the currency used to make such LC Disbursement or refund, or (b) if such Issuing Bank shall not advise the Administrative Agent that it made such a purchase, the date on which such LC Disbursement or refund is made.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Notice Date</w:t>
      </w:r>
      <w:r>
        <w:rPr>
          <w:rFonts w:ascii="Arial" w:cs="Arial" w:eastAsia="Arial" w:hAnsi="Arial"/>
          <w:sz w:val="18"/>
          <w:szCs w:val="18"/>
          <w:color w:val="auto"/>
        </w:rPr>
        <w:t>” has the meaning assigned to such term in Section 2.20(b).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means each of the Administrative Agent, the Issuing Banks and the Lenders.</w:t>
      </w:r>
    </w:p>
    <w:p>
      <w:pPr>
        <w:spacing w:after="0" w:line="225"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Persons listed on Schedule 2.01 and any other Person that shall have become a party hereto pursuant to an Assignment and Assumption in compliance with Section 10.04 or the documentation referred to in Section 2.08(d), other than any such Person that ceases to be a party hereto pursuant to an Assignment and Assumption.</w:t>
      </w:r>
    </w:p>
    <w:p>
      <w:pPr>
        <w:spacing w:after="0" w:line="184"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each Existing Letter of Credit and any other letter of credit issued pursuant to this Agreement, other than any such letter of credit that shall have ceased to be a “Letter of Credit” outstanding hereunder pursuant to Section 10.05.</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w:t>
      </w:r>
    </w:p>
    <w:p>
      <w:pPr>
        <w:spacing w:after="0" w:line="170"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and, other than for purposes of Section 10.02, any Issuing Bank Agreement, any agreement between the Borrower and any Issuing Bank regarding such Issuing Bank’s LC Commitment and each promissory note executed and delivered by the Borrower under Section 2.09(e) (if any).</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Guarantor (but, in the case of the Guarantor, only for so long as the Guarantor has not been released from the guarantee contained in Section 9.01 pursuant to Section 9.02 or Section 10.14).</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 and for the avoidance of doubt, includes Competitive Loans.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with respect to any Term SOFR Competitive Loan, the marginal rate of interest, if any, to be added to or subtracted from the Adjusted Term SOFR to determine the rate of interest applicable to such Loan, as specified by the Lender making such Loan in its related Competitive Bid.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ascribed to such term in Regulation U issued by the Board of Governors.</w:t>
      </w:r>
    </w:p>
    <w:p>
      <w:pPr>
        <w:spacing w:after="0" w:line="225"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(a) on the ability of the Loan Parties to perform their obligations under this Agreement, (b) on the validity or enforceability of this Agreement against the Loan Parties or (c) on the rights and remedies of the Lenders and the Administrative Agent under this Agreement, taken as a whole.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4" w:name="page25"/>
    <w:bookmarkEnd w:id="24"/>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August 23, 2027, as such date may be extended by any or all Lenders pursuant to Section 2.20 or otherwise. In the event of any such extension by some, but less than all, Lenders, resulting in two or more Maturity Dates for different groups of Lenders, references herein to the Maturity Date shall be construed to refer to the applicable Maturity Date for each relevant group of Lenders.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MNPI</w:t>
      </w:r>
      <w:r>
        <w:rPr>
          <w:rFonts w:ascii="Arial" w:cs="Arial" w:eastAsia="Arial" w:hAnsi="Arial"/>
          <w:sz w:val="16"/>
          <w:szCs w:val="16"/>
          <w:color w:val="auto"/>
        </w:rPr>
        <w:t>” means material information concerning the Borrower and the Subsidiaries and their securities that has not been disseminated in a manner making it available to investors generally, within the meaning of Regulation FD under the Securities Act and the Exchange Act.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10.02(c).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any Lender that is not a Defaulting Lender at such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2.20(b).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NYFRB Rate shall be less than zero, such rate shall be deemed to be zero for the purposes of this Agreement.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the principal of and interest (including interest accruing during the pendency of any bankruptcy, insolvency, receivership or other similar proceeding, regardless of whether allowed or allowable in such proceeding) on the Loans, (b) each payment required to be made by the Borrower under this Agreement in respect of any Letter of Credit, including payments in respect of reimbursement of disbursements, interest thereon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under this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25" w:name="page26"/>
    <w:bookmarkEnd w:id="25"/>
    <w:p>
      <w:pPr>
        <w:ind w:right="18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the Administrative Agent, any Lender, any Issuing Bank or any other recipient of any payment to be made by or on account of any obligation of the Borrower or the Guarantor hereunder, Taxes imposed as a result of a present or former connection between such recipient and the jurisdiction imposing such Tax or the jurisdiction that is a member of a supra-national body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or any promissory note delivered pursuant to Section 2.09(e), or sold or assigned an interest in any Loan or this Agreement or any promissory note delivered pursuant to Section 2.09(e)).</w:t>
      </w:r>
    </w:p>
    <w:p>
      <w:pPr>
        <w:spacing w:after="0" w:line="19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except any such Taxes that are Other Connection Taxes imposed with respect to an assignment (other than an assignment made pursuant to Section 2.18(b) or 10.02(c)).</w:t>
      </w:r>
    </w:p>
    <w:p>
      <w:pPr>
        <w:spacing w:after="0" w:line="187"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10.04(c)(i).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10.04(c)(i).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such term in Article VIII.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such term in Article VIII.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Letter of Credit</w:t>
      </w:r>
      <w:r>
        <w:rPr>
          <w:rFonts w:ascii="Arial" w:cs="Arial" w:eastAsia="Arial" w:hAnsi="Arial"/>
          <w:sz w:val="18"/>
          <w:szCs w:val="18"/>
          <w:color w:val="auto"/>
        </w:rPr>
        <w:t>” means a Letter of Credit that constitutes a “performance-based standby letter of credit” as defined in 12 CFR Pt. 3, App. 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right="600" w:firstLine="987"/>
        <w:spacing w:after="0" w:line="277" w:lineRule="auto"/>
        <w:tabs>
          <w:tab w:leader="none" w:pos="1236"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imposed by law for Taxes that are not yet overdue by more than 60 days, or remain payable without penalty, or are being contested in good faith and by proper proceedings;</w:t>
      </w:r>
    </w:p>
    <w:p>
      <w:pPr>
        <w:spacing w:after="0" w:line="170"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construction contractors’, landlords’ and other like Liens imposed by law, arising in the ordinary course of business and securing obligations that are not overdue by more than 60 days (or, if such obligations are more than 60 days overdue, are unfiled (or if filed have been discharged or stayed) and no other action has been taken to enforce such Liens) or are being contested in good faith and by proper proceedings;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6" w:name="page27"/>
    <w:bookmarkEnd w:id="26"/>
    <w:p>
      <w:pPr>
        <w:jc w:val="both"/>
        <w:ind w:right="200" w:firstLine="987"/>
        <w:spacing w:after="0" w:line="311" w:lineRule="auto"/>
        <w:tabs>
          <w:tab w:leader="none" w:pos="123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incurred (i) in compliance with workers’ compensation, unemployment insurance or premiums related thereto and other social security laws, pension obligations, vacation pay, health, disability or other employee benefits and (ii) in respect of letters of credit, bank guarantees or similar instruments issued for the account of the Borrower or any Subsidiary supporting obligations of the type set forth in clause (i) above;</w:t>
      </w:r>
    </w:p>
    <w:p>
      <w:pPr>
        <w:spacing w:after="0" w:line="148" w:lineRule="exact"/>
        <w:rPr>
          <w:rFonts w:ascii="Arial" w:cs="Arial" w:eastAsia="Arial" w:hAnsi="Arial"/>
          <w:sz w:val="16"/>
          <w:szCs w:val="16"/>
          <w:color w:val="auto"/>
        </w:rPr>
      </w:pPr>
    </w:p>
    <w:p>
      <w:pPr>
        <w:ind w:right="240" w:firstLine="987"/>
        <w:spacing w:after="0" w:line="296"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Liens incurred (i) to secure the performance of bids, tenders, trade contracts, governmental contracts, leases, statutory obligations (other than any obligation imposed pursuant to Section 430(k) of the Code or Sections 303(k) or 4068 of ERISA), surety, stay, customs and appeal bonds, performance and return-of-money bonds, completion guarantees and other obligations of a like nature (including those to secure health, safety and environmental obligations), in each case in the ordinary course of business and (ii) in respect of letters of credit, bank guarantees or similar instruments issued for the account of the Borrower or any Subsidiary supporting obligations of the type set forth in clause (i) above;</w:t>
      </w:r>
    </w:p>
    <w:p>
      <w:pPr>
        <w:spacing w:after="0" w:line="161" w:lineRule="exact"/>
        <w:rPr>
          <w:rFonts w:ascii="Arial" w:cs="Arial" w:eastAsia="Arial" w:hAnsi="Arial"/>
          <w:sz w:val="16"/>
          <w:szCs w:val="16"/>
          <w:color w:val="auto"/>
        </w:rPr>
      </w:pPr>
    </w:p>
    <w:p>
      <w:pPr>
        <w:ind w:firstLine="987"/>
        <w:spacing w:after="0" w:line="277"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color w:val="auto"/>
        </w:rPr>
        <w:t>(i) Liens securing judgments, awards, attachments and decrees that do not constitute an Event of Default under clause (k) of Article VII and (ii) any pledge and/or deposit securing any settlement of litigation;</w:t>
      </w:r>
    </w:p>
    <w:p>
      <w:pPr>
        <w:spacing w:after="0" w:line="170" w:lineRule="exact"/>
        <w:rPr>
          <w:rFonts w:ascii="Arial" w:cs="Arial" w:eastAsia="Arial" w:hAnsi="Arial"/>
          <w:sz w:val="18"/>
          <w:szCs w:val="18"/>
          <w:color w:val="auto"/>
        </w:rPr>
      </w:pPr>
    </w:p>
    <w:p>
      <w:pPr>
        <w:ind w:right="160" w:firstLine="987"/>
        <w:spacing w:after="0" w:line="257" w:lineRule="auto"/>
        <w:tabs>
          <w:tab w:leader="none" w:pos="1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consisting of easements, rights-of-way, covenants, licenses, agreements, declarations, restrictions, defects, encroachments, and other similar rights with respect to real property, and any leases, subleases, tenancies, options, concession agreements, rental agreements, occupancy agreements, access agreements and any other similar agreements, whether or not of record, affecting any real property, that do not, in the aggregate, materially interfere with the ordinary conduct of the business of the Borrower and the Restricted Subsidiaries, taken as a whole, and any minor defects or irregularities in title;</w:t>
      </w:r>
    </w:p>
    <w:p>
      <w:pPr>
        <w:spacing w:after="0" w:line="187" w:lineRule="exact"/>
        <w:rPr>
          <w:rFonts w:ascii="Arial" w:cs="Arial" w:eastAsia="Arial" w:hAnsi="Arial"/>
          <w:sz w:val="18"/>
          <w:szCs w:val="18"/>
          <w:color w:val="auto"/>
        </w:rPr>
      </w:pPr>
    </w:p>
    <w:p>
      <w:pPr>
        <w:ind w:right="140" w:firstLine="987"/>
        <w:spacing w:after="0" w:line="286" w:lineRule="auto"/>
        <w:tabs>
          <w:tab w:leader="none" w:pos="1246" w:val="left"/>
        </w:tabs>
        <w:numPr>
          <w:ilvl w:val="0"/>
          <w:numId w:val="7"/>
        </w:numPr>
        <w:rPr>
          <w:rFonts w:ascii="Arial" w:cs="Arial" w:eastAsia="Arial" w:hAnsi="Arial"/>
          <w:sz w:val="17"/>
          <w:szCs w:val="17"/>
          <w:color w:val="auto"/>
        </w:rPr>
      </w:pPr>
      <w:r>
        <w:rPr>
          <w:rFonts w:ascii="Arial" w:cs="Arial" w:eastAsia="Arial" w:hAnsi="Arial"/>
          <w:sz w:val="17"/>
          <w:szCs w:val="17"/>
          <w:color w:val="auto"/>
        </w:rPr>
        <w:t>(i) any zoning or similar law or right reserved to or vested in any Governmental Authority to control or regulate the use of any real property or the structures thereon and (ii) the rights of any Governmental Authority or public utility company to construct and/or maintain lines, pipes, wires, cables, poles, conduits and distribution boxes and equipment in, over, under, and/or upon any portion of any real property;</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ground leases in respect of real property on which facilities owned or leased by the Borrower or any Subsidiary are located;</w:t>
      </w:r>
    </w:p>
    <w:p>
      <w:pPr>
        <w:spacing w:after="0" w:line="236" w:lineRule="exact"/>
        <w:rPr>
          <w:rFonts w:ascii="Arial" w:cs="Arial" w:eastAsia="Arial" w:hAnsi="Arial"/>
          <w:sz w:val="17"/>
          <w:szCs w:val="17"/>
          <w:color w:val="auto"/>
        </w:rPr>
      </w:pPr>
    </w:p>
    <w:p>
      <w:pPr>
        <w:ind w:right="160" w:firstLine="987"/>
        <w:spacing w:after="0" w:line="277" w:lineRule="auto"/>
        <w:tabs>
          <w:tab w:leader="none" w:pos="1206"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encumbering initial deposits and margin deposits and similar Liens attaching to commodity trading accounts or other brokerage accounts incurred in the ordinary course of business;</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Liens of a collection bank (including those arising under Section 4-208 of the Uniform Commercial Code on the items in the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collection);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7" w:name="page28"/>
    <w:bookmarkEnd w:id="27"/>
    <w:p>
      <w:pPr>
        <w:ind w:left="1244" w:hanging="253"/>
        <w:spacing w:after="0"/>
        <w:tabs>
          <w:tab w:leader="none" w:pos="1244"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Liens arising by virtue of Uniform Commercial Code financing statement filings (or similar filings under applicable law) regarding</w:t>
      </w:r>
    </w:p>
    <w:p>
      <w:pPr>
        <w:spacing w:after="0" w:line="46" w:lineRule="exact"/>
        <w:rPr>
          <w:rFonts w:ascii="Arial" w:cs="Arial" w:eastAsia="Arial" w:hAnsi="Arial"/>
          <w:sz w:val="16"/>
          <w:szCs w:val="16"/>
          <w:color w:val="auto"/>
        </w:rPr>
      </w:pPr>
    </w:p>
    <w:p>
      <w:pPr>
        <w:ind w:left="4" w:right="100" w:hanging="4"/>
        <w:spacing w:after="0" w:line="252"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operating leases or (y) any sale of accounts receivable (or a similar asset),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this clause (y), that such Liens shall not apply to any assets of the Borrower or any of its Restricted Subsidiaries other than accounts receivable (or similar assets) and related assets, (ii) Liens arising by virtue of precautionary Uniform Commercial Code financing statements (or similar filings under applicable law), including Liens relating to consignment or bailee arrangements, and (iii) Liens arising from equipment or other materials which are not owned by the Borrower or any Subsidiary located on the premises of the Borrower or any Subsidiary (but not in connection with, or as part of, the financing thereof) from time to time in the ordinary course of business;</w:t>
      </w:r>
    </w:p>
    <w:p>
      <w:pPr>
        <w:spacing w:after="0" w:line="193" w:lineRule="exact"/>
        <w:rPr>
          <w:rFonts w:ascii="Arial" w:cs="Arial" w:eastAsia="Arial" w:hAnsi="Arial"/>
          <w:sz w:val="18"/>
          <w:szCs w:val="18"/>
          <w:color w:val="auto"/>
        </w:rPr>
      </w:pPr>
    </w:p>
    <w:p>
      <w:pPr>
        <w:ind w:left="4" w:right="80" w:firstLine="987"/>
        <w:spacing w:after="0" w:line="277" w:lineRule="auto"/>
        <w:tabs>
          <w:tab w:leader="none" w:pos="12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deposits of cash with the owner or lessor of premises leased and operated by the Borrower or any Subsidiary to secure the performance of its obligations under the lease for such premises, in each case in the ordinary course of business;</w:t>
      </w:r>
    </w:p>
    <w:p>
      <w:pPr>
        <w:spacing w:after="0" w:line="170" w:lineRule="exact"/>
        <w:rPr>
          <w:rFonts w:ascii="Arial" w:cs="Arial" w:eastAsia="Arial" w:hAnsi="Arial"/>
          <w:sz w:val="18"/>
          <w:szCs w:val="18"/>
          <w:color w:val="auto"/>
        </w:rPr>
      </w:pPr>
    </w:p>
    <w:p>
      <w:pPr>
        <w:ind w:left="4" w:right="200" w:firstLine="987"/>
        <w:spacing w:after="0" w:line="296"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Liens consisting of (i) any interest or title of a lessor, sub-lessor, licensor or sub-licensor under any lease, license or similar arrangement permitted hereunder, (ii) any landlord lien permitted by the terms of any lease, or assignments of insurance or condemnation proceeds provided to landlords (or their mortgagees) pursuant to the terms of any lease, (iii) any restriction or encumbrance to which the interest or title of such lessor, sub-lessor, licensor or sub-licensor may be subject or (iv) any subordination of the interest of the lessee, sub-lessee, licensee or sub-licensee under such lease, license or similar arrangement to any restriction or encumbrance referred to in the preceding clause (iii);</w:t>
      </w:r>
    </w:p>
    <w:p>
      <w:pPr>
        <w:spacing w:after="0" w:line="161" w:lineRule="exact"/>
        <w:rPr>
          <w:rFonts w:ascii="Arial" w:cs="Arial" w:eastAsia="Arial" w:hAnsi="Arial"/>
          <w:sz w:val="16"/>
          <w:szCs w:val="16"/>
          <w:color w:val="auto"/>
        </w:rPr>
      </w:pPr>
    </w:p>
    <w:p>
      <w:pPr>
        <w:ind w:left="4" w:right="20" w:firstLine="987"/>
        <w:spacing w:after="0" w:line="277" w:lineRule="auto"/>
        <w:tabs>
          <w:tab w:leader="none" w:pos="1250" w:val="left"/>
        </w:tabs>
        <w:numPr>
          <w:ilvl w:val="1"/>
          <w:numId w:val="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4" w:right="440" w:firstLine="987"/>
        <w:spacing w:after="0" w:line="277" w:lineRule="auto"/>
        <w:tabs>
          <w:tab w:leader="none" w:pos="1250" w:val="left"/>
        </w:tabs>
        <w:numPr>
          <w:ilvl w:val="1"/>
          <w:numId w:val="9"/>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thereof securing obligations in respect of documentary letters of credit issued to facilitate the purchase, shipment or storage of such inventory or such other goods;</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9"/>
        </w:numPr>
        <w:rPr>
          <w:rFonts w:ascii="Arial" w:cs="Arial" w:eastAsia="Arial" w:hAnsi="Arial"/>
          <w:sz w:val="18"/>
          <w:szCs w:val="18"/>
          <w:color w:val="auto"/>
        </w:rPr>
      </w:pPr>
      <w:r>
        <w:rPr>
          <w:rFonts w:ascii="Arial" w:cs="Arial" w:eastAsia="Arial" w:hAnsi="Arial"/>
          <w:sz w:val="18"/>
          <w:szCs w:val="18"/>
          <w:color w:val="auto"/>
        </w:rPr>
        <w:t>Liens that are contractual rights of set-off;</w:t>
      </w:r>
    </w:p>
    <w:p>
      <w:pPr>
        <w:spacing w:after="0" w:line="225" w:lineRule="exact"/>
        <w:rPr>
          <w:rFonts w:ascii="Arial" w:cs="Arial" w:eastAsia="Arial" w:hAnsi="Arial"/>
          <w:sz w:val="18"/>
          <w:szCs w:val="18"/>
          <w:color w:val="auto"/>
        </w:rPr>
      </w:pPr>
    </w:p>
    <w:p>
      <w:pPr>
        <w:ind w:left="4" w:firstLine="987"/>
        <w:spacing w:after="0" w:line="286" w:lineRule="auto"/>
        <w:tabs>
          <w:tab w:leader="none" w:pos="1250" w:val="left"/>
        </w:tabs>
        <w:numPr>
          <w:ilvl w:val="1"/>
          <w:numId w:val="9"/>
        </w:numPr>
        <w:rPr>
          <w:rFonts w:ascii="Arial" w:cs="Arial" w:eastAsia="Arial" w:hAnsi="Arial"/>
          <w:sz w:val="17"/>
          <w:szCs w:val="17"/>
          <w:color w:val="auto"/>
        </w:rPr>
      </w:pPr>
      <w:r>
        <w:rPr>
          <w:rFonts w:ascii="Arial" w:cs="Arial" w:eastAsia="Arial" w:hAnsi="Arial"/>
          <w:sz w:val="17"/>
          <w:szCs w:val="17"/>
          <w:color w:val="auto"/>
        </w:rPr>
        <w:t>(i) Liens arising out of conditional sale, title retention, consignment or similar arrangements for the sale of goods and bailment arrangements entered into in the ordinary course of business (excluding any general inventory financing) and (ii) Liens arising by operation of law under Article 2 of the Uniform Commercial Code (and any similar provision of any other requirement of law) in favor of a seller or buyer of goods;</w:t>
      </w:r>
    </w:p>
    <w:p>
      <w:pPr>
        <w:spacing w:after="0" w:line="165" w:lineRule="exact"/>
        <w:rPr>
          <w:rFonts w:ascii="Arial" w:cs="Arial" w:eastAsia="Arial" w:hAnsi="Arial"/>
          <w:sz w:val="17"/>
          <w:szCs w:val="17"/>
          <w:color w:val="auto"/>
        </w:rPr>
      </w:pPr>
    </w:p>
    <w:p>
      <w:pPr>
        <w:ind w:left="4" w:right="20" w:firstLine="987"/>
        <w:spacing w:after="0" w:line="301" w:lineRule="auto"/>
        <w:tabs>
          <w:tab w:leader="none" w:pos="122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banker’s liens, rights of setoff or similar rights and remedies as to deposit accounts or other funds maintained with depository institutions and securities accounts and other financial assets maintained with securities intermediaries;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deposit accounts or funds and securities accounts or other financial assets are not established or deposited for the purpose of providing collateral for any Indebtedness and are not subject to restrictions on access by the Borrower or any Subsidiary in excess of those required by applicable banking regulations; and</w:t>
      </w:r>
    </w:p>
    <w:p>
      <w:pPr>
        <w:spacing w:after="0" w:line="157" w:lineRule="exact"/>
        <w:rPr>
          <w:rFonts w:ascii="Arial" w:cs="Arial" w:eastAsia="Arial" w:hAnsi="Arial"/>
          <w:sz w:val="16"/>
          <w:szCs w:val="16"/>
          <w:color w:val="auto"/>
        </w:rPr>
      </w:pPr>
    </w:p>
    <w:p>
      <w:pPr>
        <w:ind w:left="4" w:right="220" w:firstLine="987"/>
        <w:spacing w:after="0" w:line="263" w:lineRule="auto"/>
        <w:tabs>
          <w:tab w:leader="none" w:pos="123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trustees’ Liens granted pursuant to any indenture governing any Indebtedness not otherwise prohibited by this Agreement in favor of the trustee under such indenture and securing only obligations to pay compensation to such trustee, to reimburse such trustee of its expenses and to indemnify such trustee under the terms of such indenture;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xml:space="preserve"> that the term “Permitted Encumbrances” shall not include any Lien securing Indebtedness, other than any Lien securing letters of credit, bank guarantees or similar instruments referred to in clause (c), (d) or (o) above.</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Program</w:t>
      </w:r>
      <w:r>
        <w:rPr>
          <w:rFonts w:ascii="Arial" w:cs="Arial" w:eastAsia="Arial" w:hAnsi="Arial"/>
          <w:sz w:val="18"/>
          <w:szCs w:val="18"/>
          <w:color w:val="auto"/>
        </w:rPr>
        <w:t xml:space="preserve">” means any receivables securitization program pursuant to which the Borrower or any of the Subsidiaries sells accounts receivable and related assets to any special purpose entity established for purposes of such program in a “true sale”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Receivables Program Debt in respect of all Permitted Receivables Programs shall not exceed $750,000,000 at any time outstanding.</w:t>
      </w:r>
    </w:p>
    <w:p>
      <w:pPr>
        <w:spacing w:after="0" w:line="187"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any time, an “employee pension benefit plan” as defined in Section 3(2) of ERISA (other than a Multiemployer Plan) that is covered by Title IV of ERISA or subject to the minimum funding standards under Section 412 of the Code and is maintained, or contributed to, by any member of the ERISA Group for employees of any member of the ERISA Group.</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xml:space="preserve">” means of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 time.</w:t>
      </w:r>
    </w:p>
    <w:p>
      <w:pPr>
        <w:spacing w:after="0" w:line="248"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in its reasonable discretion) or any similar release by the Federal Reserve Board (as determined by the Administrative Agent in its reasonable discretion). Each change in the Prime Rate shall be effective from and including the date such change is publicly announced or quoted as being effective.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has the meaning assigned to such term in Section 10.02(c).</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Program Debt</w:t>
      </w:r>
      <w:r>
        <w:rPr>
          <w:rFonts w:ascii="Arial" w:cs="Arial" w:eastAsia="Arial" w:hAnsi="Arial"/>
          <w:sz w:val="18"/>
          <w:szCs w:val="18"/>
          <w:color w:val="auto"/>
        </w:rPr>
        <w:t>” means, at any time, in respect of any Permitted Receivables Program, the amount of proceeds from accounts receivables sold pursuant to such Permitted Receivables Program that would be required to be distributed to pay principal of any loans or securities held by investors in such Permitted Receivables Program to satisfy the entire principal amount thereof if such Permitted Receivables Program were to be terminated at such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9" w:name="page30"/>
    <w:bookmarkEnd w:id="29"/>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(a) if such Benchmark is the Term SOFR, 5:00 a.m., Chicago time, on the day that is two US Government Securities Business Days preceding the date of such setting, and (b) otherwise, the time determined by the Administrative Agent in its reasonable discretion.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10.04(b)(iv).</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members, partners, trustees, employees, agents and advisors of such Person and such Person’s Affiliates.</w:t>
      </w:r>
    </w:p>
    <w:p>
      <w:pPr>
        <w:spacing w:after="0" w:line="166"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and</w:t>
      </w:r>
      <w:r>
        <w:rPr>
          <w:rFonts w:ascii="Arial" w:cs="Arial" w:eastAsia="Arial" w:hAnsi="Arial"/>
          <w:sz w:val="18"/>
          <w:szCs w:val="18"/>
          <w:b w:val="1"/>
          <w:bCs w:val="1"/>
          <w:color w:val="auto"/>
        </w:rPr>
        <w:t>/</w:t>
      </w:r>
      <w:r>
        <w:rPr>
          <w:rFonts w:ascii="Arial" w:cs="Arial" w:eastAsia="Arial" w:hAnsi="Arial"/>
          <w:sz w:val="18"/>
          <w:szCs w:val="18"/>
          <w:color w:val="auto"/>
        </w:rPr>
        <w:t>or the NYFRB, or a committee officially endorsed or convened by the Board of Governors or the NYFRB or, in each case, any successor thereto.</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has the meaning assigned to such term in Section 10.12.</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declaring the Loans to be due and payable pursuant to Article VII, and for all purposes after the Loans become due and payable pursuant to Article VII or the Commitments expire or terminate, the outstanding Competitive Loans of the Lenders shall be included in their respective Revolving Credit Exposures in determining the Required Lenders.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chief financial officer, treasurer or general counsel of the Borrower, in each case from time to time (as of the date of this Agreement, Kathy J. Warden, David F. Keffer, Todd B. Ernst or Sheila C. Cheston).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each Subsidiary other than an Unrestricted Subsidiary.</w:t>
      </w:r>
    </w:p>
    <w:p>
      <w:pPr>
        <w:spacing w:after="0" w:line="225" w:lineRule="exact"/>
        <w:rPr>
          <w:sz w:val="20"/>
          <w:szCs w:val="20"/>
          <w:color w:val="auto"/>
        </w:rPr>
      </w:pPr>
    </w:p>
    <w:p>
      <w:pPr>
        <w:jc w:val="both"/>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and its LC Exposure at such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Sections 2.01 and 2.03.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region or territory that at such time is itself the subject or target of any Sanctions.</w:t>
      </w:r>
    </w:p>
    <w:p>
      <w:pPr>
        <w:spacing w:after="0" w:line="23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0" w:name="page31"/>
    <w:bookmarkEnd w:id="30"/>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Kingdom, (b) any Person operating, organized or resident in a Sanctioned Country or (c) any Person that is owned (in the case of the term “Sanctioned Person” as used in reference to the Borrower, to the knowledge of the Borrower) or controlled by any such Person or Persons described in the foregoing clause (a).</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(but not, for the avoidance of doubt, fees, penalties, forfeitures and similar consequences) or trade embargoes similar to those administered by the Office of Foreign Assets Control of the US Department of the Treasury or the US Department of State imposed, administered or enforced from time to time by (a) the US government or (b) the United Nations Security Council, the European Union, any European Union member state or Her Majesty’s Treasury of the United Kingdom. It is understood that the term Sanctions does not include debarment or suspension from contracting with the US government, whether pursuant to Federal Acquisition Regulation subpart 9.4 or otherwise.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Shareholders’ Equity</w:t>
      </w:r>
      <w:r>
        <w:rPr>
          <w:rFonts w:ascii="Arial" w:cs="Arial" w:eastAsia="Arial" w:hAnsi="Arial"/>
          <w:sz w:val="17"/>
          <w:szCs w:val="17"/>
          <w:color w:val="auto"/>
        </w:rPr>
        <w:t xml:space="preserve">” means, at any time, the consolidated shareholders’ equity of the Borrower that would be reported as total shareholders’ equity on a consolidated statement of financial position of the Borrower prepared as of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calculating Shareholders’ Equity, (a) any accumulated other comprehensive income or loss, in each case as reflected on the consolidated statement of financial position of the Borrower in accordance with GAAP, shall be excluded, (b) a decrease of $5,897,000,000 to the retained earnings resulting from the change in accounting method related to the recognition of actuarial gains and losses for the pension and other postretirement benefit plans of the Borrower and its Subsidiaries, adopted for the fiscal year ended December 31, 2018, shall be disregarded (and the amount of Shareholders’ Equity shall be calculated as if such decrease had not occurred), (c) the cumulative amount of mark-to-market pension and other postretirement benefit or expense, in each case as reflected on the consolidated statements of earnings and comprehensive income, net of related tax effects, beginning with the fiscal year ending December 31, 2019, shall be excluded and (d) any non-cash asset impairments in an amount of up to $1,250,000,000 for the period from the Effective Date to the Maturity Date shall be excluded.</w:t>
      </w:r>
    </w:p>
    <w:p>
      <w:pPr>
        <w:spacing w:after="0" w:line="18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as of each determination date, each Subsidiary with a book value of total assets, net of depreciation and amortization and after intercompany eliminations, in excess of $500,000,000.</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or any successor source for the secured overnight financing rate identified as such by the SOFR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Revolving Borrowings</w:t>
      </w:r>
      <w:r>
        <w:rPr>
          <w:rFonts w:ascii="Arial" w:cs="Arial" w:eastAsia="Arial" w:hAnsi="Arial"/>
          <w:sz w:val="18"/>
          <w:szCs w:val="18"/>
          <w:color w:val="auto"/>
        </w:rPr>
        <w:t>” has the meaning assigned to such term in Section 2.08(d).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1" w:name="page32"/>
    <w:bookmarkEnd w:id="31"/>
    <w:p>
      <w:pPr>
        <w:ind w:right="1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or any of its subsidiaries, or a combination thereof.</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Syndication Agents</w:t>
      </w:r>
      <w:r>
        <w:rPr>
          <w:rFonts w:ascii="Arial" w:cs="Arial" w:eastAsia="Arial" w:hAnsi="Arial"/>
          <w:sz w:val="17"/>
          <w:szCs w:val="17"/>
          <w:color w:val="auto"/>
        </w:rPr>
        <w:t>” means Wells Fargo Bank, National Association and Mizuho Bank, Ltd., in their capacity as syndication agents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ind w:right="8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u w:val="single" w:color="auto"/>
          <w:color w:val="auto"/>
        </w:rPr>
        <w:t>“Term SOFR</w:t>
      </w:r>
      <w:r>
        <w:rPr>
          <w:rFonts w:ascii="Arial" w:cs="Arial" w:eastAsia="Arial" w:hAnsi="Arial"/>
          <w:sz w:val="17"/>
          <w:szCs w:val="17"/>
          <w:color w:val="auto"/>
        </w:rPr>
        <w:t>” means, with respect to any Term SOFR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Borrowing</w:t>
      </w:r>
      <w:r>
        <w:rPr>
          <w:rFonts w:ascii="Arial" w:cs="Arial" w:eastAsia="Arial" w:hAnsi="Arial"/>
          <w:sz w:val="18"/>
          <w:szCs w:val="18"/>
          <w:color w:val="auto"/>
        </w:rPr>
        <w:t>” means any Borrowing comprised of Term SOFR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-10160</wp:posOffset>
            </wp:positionV>
            <wp:extent cx="2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any Loan that bears interest at a rate determined by reference to the Adjusted Term SOFR (other than solely as a result of clause (c) of the definition of Alternate Base Rate).</w:t>
      </w:r>
    </w:p>
    <w:p>
      <w:pPr>
        <w:spacing w:after="0" w:line="170"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Reference Rate</w:t>
      </w:r>
      <w:r>
        <w:rPr>
          <w:rFonts w:ascii="Arial" w:cs="Arial" w:eastAsia="Arial" w:hAnsi="Arial"/>
          <w:sz w:val="17"/>
          <w:szCs w:val="17"/>
          <w:color w:val="auto"/>
        </w:rPr>
        <w:t>” means, for any day and time (such day, the “</w:t>
      </w:r>
      <w:r>
        <w:rPr>
          <w:rFonts w:ascii="Arial" w:cs="Arial" w:eastAsia="Arial" w:hAnsi="Arial"/>
          <w:sz w:val="17"/>
          <w:szCs w:val="17"/>
          <w:u w:val="single" w:color="auto"/>
          <w:color w:val="auto"/>
        </w:rPr>
        <w:t>Term SOFR Determination Day</w:t>
      </w:r>
      <w:r>
        <w:rPr>
          <w:rFonts w:ascii="Arial" w:cs="Arial" w:eastAsia="Arial" w:hAnsi="Arial"/>
          <w:sz w:val="17"/>
          <w:szCs w:val="17"/>
          <w:color w:val="auto"/>
        </w:rPr>
        <w:t>”), with respect to any Term SOFR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spacing w:after="0" w:line="181"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Loan Parties of this Agreement, the borrowing of Loans and the issuance of Letters of Credit.</w:t>
      </w:r>
    </w:p>
    <w:p>
      <w:pPr>
        <w:spacing w:after="0" w:line="170" w:lineRule="exact"/>
        <w:rPr>
          <w:sz w:val="20"/>
          <w:szCs w:val="20"/>
          <w:color w:val="auto"/>
        </w:rPr>
      </w:pPr>
    </w:p>
    <w:p>
      <w:pPr>
        <w:jc w:val="center"/>
        <w:ind w:left="540" w:right="8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w:t>
      </w:r>
      <w:r>
        <w:rPr>
          <w:rFonts w:ascii="Arial" w:cs="Arial" w:eastAsia="Arial" w:hAnsi="Arial"/>
          <w:sz w:val="18"/>
          <w:szCs w:val="18"/>
          <w:color w:val="auto"/>
        </w:rPr>
        <w:t>” means any United States Treasury regulation, in effect from time to time, promulgated under the Code. 25</w:t>
      </w:r>
    </w:p>
    <w:p>
      <w:pPr>
        <w:sectPr>
          <w:pgSz w:w="11900" w:h="16838" w:orient="portrait"/>
          <w:cols w:equalWidth="0" w:num="1">
            <w:col w:w="10940"/>
          </w:cols>
          <w:pgMar w:left="440" w:top="274" w:right="519" w:bottom="1440" w:gutter="0" w:footer="0" w:header="0"/>
        </w:sectPr>
      </w:pPr>
    </w:p>
    <w:bookmarkStart w:id="32" w:name="page33"/>
    <w:bookmarkEnd w:id="32"/>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Term SOFR (other than solely as a result of clause (c) of the definition of Alternate Base Rate), the Adjusted Daily Simple SOFR (if applicable pursuant to Section 2.13), the Alternate Base Rate or, in the case of a Competitive Loan or Borrowing, a Fixed Rate.</w:t>
      </w:r>
    </w:p>
    <w:p>
      <w:pPr>
        <w:spacing w:after="0" w:line="18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Liabilities</w:t>
      </w:r>
      <w:r>
        <w:rPr>
          <w:rFonts w:ascii="Arial" w:cs="Arial" w:eastAsia="Arial" w:hAnsi="Arial"/>
          <w:sz w:val="18"/>
          <w:szCs w:val="18"/>
          <w:color w:val="auto"/>
        </w:rPr>
        <w:t>” means, with respect to any Plan at any time, the amount (if any) by which (a) the present value of all benefits under such Plan exceeds (b) the fair market value of all Plan assets allocable to such benefits (excluding any accrued but unpaid contributions), all determined as of the then most recent valuation date for such Plan using the actuarial assumptions applied in the Plan’s most recent valuation for purposes of complying with ASC Topic 715-30, but only to the extent that such excess represents a potential liability of a member of the ERISA Group to the PBGC or an appointed trustee under of Title IV of ERISA.</w:t>
      </w:r>
    </w:p>
    <w:p>
      <w:pPr>
        <w:spacing w:after="0" w:line="188"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designated as such pursuant to and in compliance with Section 1.06 and not thereafter redesignated as a Restricted Subsidiary pursuant to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Significant Subsidiary, and no Subsidiary that owns any Equity Interests of any Restricted Subsidiary, shall be an Unrestricted Subsidiary.</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 Equivalent</w:t>
      </w:r>
      <w:r>
        <w:rPr>
          <w:rFonts w:ascii="Arial" w:cs="Arial" w:eastAsia="Arial" w:hAnsi="Arial"/>
          <w:sz w:val="18"/>
          <w:szCs w:val="18"/>
          <w:color w:val="auto"/>
        </w:rPr>
        <w:t>” means, on any date of determination, (a) with respect to any amount in US Dollars, such amount, and (b) with respect to any amount in any currency other than US Dollars, the equivalent in US Dollars of such amount, determined by the Administrative Agent using the LC Exchange Rate with respect to such currency in effect for such amount on such date. The US Dollar Equivalent at any time of the amount of any Letter of Credit or LC Disbursement denominated in any currency other than US Dollars shall be the amount most recently determined as provided in Section 1.05.</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money of the United States of America.</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3" w:name="page34"/>
    <w:bookmarkEnd w:id="3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Certificate</w:t>
      </w:r>
      <w:r>
        <w:rPr>
          <w:rFonts w:ascii="Arial" w:cs="Arial" w:eastAsia="Arial" w:hAnsi="Arial"/>
          <w:sz w:val="18"/>
          <w:szCs w:val="18"/>
          <w:color w:val="auto"/>
        </w:rPr>
        <w:t>” has the meaning assigned to such term in Section 2.16(f)(ii)(D)(2).</w:t>
      </w:r>
    </w:p>
    <w:p>
      <w:pPr>
        <w:spacing w:after="0" w:line="225"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USA PATRIOT Improvement and Reauthorization Act, Title III of Pub. L. 109-177 (signed into law March 9, 2009, as amended from time to time).</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“Term SOFR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“Term SOFR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“Term SOFR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“Term SOFR Revolving Borrowing”).</w:t>
      </w:r>
    </w:p>
    <w:p>
      <w:pPr>
        <w:spacing w:after="0" w:line="187"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any other Loan Document),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4" w:name="page35"/>
    <w:bookmarkEnd w:id="3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this Agreement in its entirety and not to any particular provision hereof, (d) all references herein to Articles, Sections, Exhibits, Schedules and Annexes shall be construed to refer to Articles and Sections of, and Exhibits, Schedules and Annexes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7"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anything to the contrary set forth herein, for purposes of this Agreement (other than Sections 3.04(a), 5.01(a) and 5.01(b)) all terms of an accounting or financial nature shall be construed, and all computations of amounts referred to herein shall be made, without giving effect to (i) any change in accounting for leases pursuant to GAAP resulting from the adoption by the Borrower of Financial Accounting Standards Board ASU No. 2016-02, Leases (Topic 842), to the extent such adoption would require treating any lease (or similar arrangement conveying the right to use) as a capitalized asset with a corresponding lease liability where such lease (or similar arrangement) would not have been required to be so treated prior to the adoption by the Borrower of Financial Accounting Standards Board ASU No. 2016-02, Leases (Topic 842), (ii)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0"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Translation</w:t>
      </w:r>
      <w:r>
        <w:rPr>
          <w:rFonts w:ascii="Arial" w:cs="Arial" w:eastAsia="Arial" w:hAnsi="Arial"/>
          <w:sz w:val="18"/>
          <w:szCs w:val="18"/>
          <w:color w:val="auto"/>
        </w:rPr>
        <w:t>. The Administrative Agent shall determine the US Dollar Equivalent of any Letter of Credit denominated in a Designated Foreign Currency as of the date of issuance thereof and on the first Business Day of each calendar month on which such Letter of Credit is outstanding, in each case using the LC Exchange Rate for the applicable currency in effect on the date of determination, and each such amount shall be the US Dollar Equivalent of such Letter of Credit until the next required calculation thereof pursuant to this paragraph. The Administrative Agent shall in addition determine the US Dollar Equivalent of any Letter of Credit denominated in any Designated Foreign Currency as provided in Section 2.05. The Administrative Agent shall notify the Borrower and the applicable Issuing Bank of each calculation of the US Dollar Equivalent of each Letter of Credit and LC Disbursement.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5" w:name="page36"/>
    <w:bookmarkEnd w:id="35"/>
    <w:p>
      <w:pPr>
        <w:jc w:val="both"/>
        <w:ind w:left="4" w:right="2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1.06. </w:t>
      </w:r>
      <w:r>
        <w:rPr>
          <w:rFonts w:ascii="Arial" w:cs="Arial" w:eastAsia="Arial" w:hAnsi="Arial"/>
          <w:sz w:val="16"/>
          <w:szCs w:val="16"/>
          <w:u w:val="single" w:color="auto"/>
          <w:color w:val="auto"/>
        </w:rPr>
        <w:t>Unrestricted Subsidiaries</w:t>
      </w:r>
      <w:r>
        <w:rPr>
          <w:rFonts w:ascii="Arial" w:cs="Arial" w:eastAsia="Arial" w:hAnsi="Arial"/>
          <w:sz w:val="16"/>
          <w:szCs w:val="16"/>
          <w:color w:val="auto"/>
        </w:rPr>
        <w:t xml:space="preserve">. The Borrower may, at any time and from time to time, designate any Subsidiary (other than any Significant Subsidiary or any Subsidiary that shall own any Equity Interests of any Restricted Subsidiary) as an Unrestricted Subsidiary by delivery of a written notice of such designation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Default shall exist at the time of any such designation and</w:t>
      </w:r>
    </w:p>
    <w:p>
      <w:pPr>
        <w:spacing w:after="0" w:line="2" w:lineRule="exact"/>
        <w:rPr>
          <w:sz w:val="20"/>
          <w:szCs w:val="20"/>
          <w:color w:val="auto"/>
        </w:rPr>
      </w:pPr>
    </w:p>
    <w:p>
      <w:pPr>
        <w:ind w:left="4" w:hanging="4"/>
        <w:spacing w:after="0" w:line="269" w:lineRule="auto"/>
        <w:tabs>
          <w:tab w:leader="none" w:pos="25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immediately after giving effect to such designation, the aggregate combined assets of all Unrestricted Subsidiaries (including any Indebtedness of the Borrower or any Restricted Subsidiary owed to any Unrestricted Subsidiary) shall not exceed 15% of Consolidated Assets. The Borrower may, at any time and from time to time, designate any Unrestricted Subsidiary as a Restricted Subsidiary by delivery of written notice of such designation to the Administrative Agent. If, as of the end of any fiscal quarter or fiscal year, the aggregate combined assets of all Unrestricted Subsidiaries (including any Indebtedness of the Borrower or any Restricted Subsidiary owed to any Unrestricted Subsidiary) shall exceed 15% of Consolidated Assets, then the Borrower shall, not later than 30 days after the delivery of the certificate referred to in Section 5.01(c) with respect to such fiscal quarter or fiscal year, eliminate such excess by designating one or more Unrestricted Subsidiaries as Restricted Subsidiaries.</w:t>
      </w:r>
    </w:p>
    <w:p>
      <w:pPr>
        <w:spacing w:after="0" w:line="180"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Interest Rates; Benchmark Notifications</w:t>
      </w:r>
      <w:r>
        <w:rPr>
          <w:rFonts w:ascii="Arial" w:cs="Arial" w:eastAsia="Arial" w:hAnsi="Arial"/>
          <w:sz w:val="16"/>
          <w:szCs w:val="16"/>
          <w:color w:val="auto"/>
        </w:rPr>
        <w:t>. The interest rate on a Loan may be derived from an interest rate benchmark that may be discontinued or is, or may in the future become, the subject of regulatory reform. Upon the occurrence of a Benchmark Transition Event, Section 2.13(b)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Persons may engage in transactions that affect the calculation of any interest rate used in this Agreement or any alternative, successor or replacement rate (including any Benchmark Replacement) and/or any relevant adjustments thereto, in each case, in a manner adverse to the Borrower (it being understood that the transactions under this Agreement shall be subject to the other terms of this Agreement).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7" w:lineRule="exact"/>
        <w:rPr>
          <w:sz w:val="20"/>
          <w:szCs w:val="20"/>
          <w:color w:val="auto"/>
        </w:rPr>
      </w:pPr>
    </w:p>
    <w:p>
      <w:pPr>
        <w:ind w:left="4" w:right="260" w:firstLine="991"/>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 each Lender agrees to make Revolving Loans to the Borrower from time to time during the Availability Period in US Dollars in an aggregate principal amount that will not result (after giving effect to the application of proceeds of such Loans to prepay or repay any other Loans) in (a) such Lender’s Revolving Credit Exposure exceeding such Lender’s Commitment or (b) the sum of the total Revolving Credit Exposures plus the aggregate principal amount of outstanding Competitive Loans exceeding the total Commitments. Within the foregoing limits and subject to the terms and conditions set forth herein, the Borrower may borrow, repay and reborrow Revolving Loans.</w:t>
      </w:r>
    </w:p>
    <w:p>
      <w:pPr>
        <w:spacing w:after="0" w:line="19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Revolving Loan shall be made as part of a Borrowing consisting of Revolving Loans of the same Type made by the Lenders ratably in accordance with their respective Commitments. Each Competitive Loan shall be made in accordance with the procedures set forth in Section 2.04.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and Competitive Bids of the Lenders are several and no Lender shall be responsible for any other Lender’s failure to make Loans as required.</w:t>
      </w:r>
    </w:p>
    <w:p>
      <w:pPr>
        <w:spacing w:after="0" w:line="188" w:lineRule="exact"/>
        <w:rPr>
          <w:sz w:val="20"/>
          <w:szCs w:val="20"/>
          <w:color w:val="auto"/>
        </w:rPr>
      </w:pPr>
    </w:p>
    <w:p>
      <w:pPr>
        <w:ind w:right="280" w:firstLine="987"/>
        <w:spacing w:after="0" w:line="270" w:lineRule="auto"/>
        <w:tabs>
          <w:tab w:leader="none" w:pos="12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Subject to Section 2.13, (i) each Revolving Borrowing shall be comprised entirely of ABR Loans or Term SOFR Loans as the Borrower may request in accordance herewith, and (ii) each Competitive Borrowing shall be comprised entirely of Term SOFR Loans or Fixed Rate Loans as the Borrower may request in accordance herewith. Each Lender at its option may make any Term SOFR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exercise of such option shall not affect the obligation of the Borrower to repay such Loan in accordance with the terms of this Agreement, (ii) in exercising such option, such Lender shall use commercially reasonable efforts to minimize increased costs to the Borrower resulting therefrom and (iii) any such domestic or foreign branch or Affiliate of such Lender shall not be entitled to any greater indemnification under Section 2.14 or 2.16 with respect to such Loan than that to which such Lender was entitled on the date on which such Loan was made (except in connection with any indemnification entitlement arising as a result of a Change in Law after the date on which such Loan was made).</w:t>
      </w:r>
    </w:p>
    <w:p>
      <w:pPr>
        <w:spacing w:after="0" w:line="180" w:lineRule="exact"/>
        <w:rPr>
          <w:rFonts w:ascii="Arial" w:cs="Arial" w:eastAsia="Arial" w:hAnsi="Arial"/>
          <w:sz w:val="17"/>
          <w:szCs w:val="17"/>
          <w:color w:val="auto"/>
        </w:rPr>
      </w:pPr>
    </w:p>
    <w:p>
      <w:pPr>
        <w:ind w:firstLine="987"/>
        <w:spacing w:after="0" w:line="273" w:lineRule="auto"/>
        <w:tabs>
          <w:tab w:leader="none" w:pos="1226"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Term SOFR Revolving Borrowing, such Borrowing shall be in an aggregate amount that is an integral multiple of $5,000,000 and not less than $25,000,000;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 Term SOFR Revolving Borrowing that results from a continuation of an outstanding Term SOFR Revolving Borrowing may be in an aggregate amount that is equal to such outstanding Borrowing and (ii) a Term SOFR Revolving Borrowing may be in an aggregate amount that is equal to the entire unused balance of the total Commitments. At the time that each ABR Revolving Borrowing and, if applicable pursuant to Section 2.13, Daily Simple SOFR Revolving Borrowing is made, such Borrowing shall be in an aggregate amount that is an integral multiple of $5,000,000 and not less than $25,000,000;</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37" w:name="page38"/>
    <w:bookmarkEnd w:id="37"/>
    <w:p>
      <w:pPr>
        <w:ind w:right="4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xml:space="preserve"> that any such Revolving Borrowing may be in an aggregate amount that is equal to the entire unused balance of the total Commitments or that is required to finance the reimbursement of an LC Disbursement as contemplated by Section 2.05(e). Each Competitive Borrowing shall be in an aggregate amount that is an integral multiple of $5,000,000 and not less than $25,000,000.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15 Term SOFR Revolving Borrowings and Daily Simple SOFR Revolving Borrowing outstanding.</w:t>
      </w:r>
    </w:p>
    <w:p>
      <w:pPr>
        <w:spacing w:after="0" w:line="188" w:lineRule="exact"/>
        <w:rPr>
          <w:sz w:val="20"/>
          <w:szCs w:val="20"/>
          <w:color w:val="auto"/>
        </w:rPr>
      </w:pPr>
    </w:p>
    <w:p>
      <w:pPr>
        <w:ind w:firstLine="987"/>
        <w:spacing w:after="0" w:line="308" w:lineRule="auto"/>
        <w:tabs>
          <w:tab w:leader="none" w:pos="12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Borrower shall not be entitled to request, or to elect to convert or continue, any Borrowing if the Interest Period requested with respect thereto would end after the latest Maturity Date under this Agreement.</w:t>
      </w:r>
    </w:p>
    <w:p>
      <w:pPr>
        <w:spacing w:after="0" w:line="146"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To request a Revolving Borrowing, the Borrower shall notify the Administrative Agent of such request (a) in the case of a Term SOFR Borrowing, not later than 12:00 noon, New York City time, three US Government Securities Business Days before the date of the proposed Borrowing, (b) in the case of an ABR Borrowing, not later than 1:00 p.m., New York City time, on the Business Day of the proposed Borrowing and (c) if applicable pursuant to Section 2.13, in the case of a Daily Simple SOFR Borrowing, not later than 12:00 noon, New York City time, three US Government Securities Business Days before the date of the proposed Borrowing. Each such Borrowing Request shall be irrevocable and shall be made by delivery to the Administrative Agent of a written Borrowing Request signed by the Borrower (or by telephone if confirmed promptly by such delivery of a written Borrowing Request). Each such telephonic and written Borrowing Request shall specify the following information in compliance with Section 2.02:</w:t>
      </w:r>
    </w:p>
    <w:p>
      <w:pPr>
        <w:spacing w:after="0" w:line="70" w:lineRule="exact"/>
        <w:rPr>
          <w:sz w:val="20"/>
          <w:szCs w:val="20"/>
          <w:color w:val="auto"/>
        </w:rPr>
      </w:pPr>
    </w:p>
    <w:p>
      <w:pPr>
        <w:ind w:left="1600" w:hanging="212"/>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Type of such Borrowing;</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6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 Term SOFR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jc w:val="both"/>
        <w:ind w:left="980" w:right="20" w:firstLine="408"/>
        <w:spacing w:after="0" w:line="263" w:lineRule="auto"/>
        <w:tabs>
          <w:tab w:leader="none" w:pos="1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location and number of the account of the Borrower to which funds are to be disbursed or, in the case of any ABR Revolving Borrowing requested to finance the reimbursement of an LC Disbursement as provided in Section 2.05(e), the identity of the Issuing Bank that made such LC Disbursement.</w:t>
      </w:r>
    </w:p>
    <w:p>
      <w:pPr>
        <w:spacing w:after="0" w:line="18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If no election as to the Type of Revolving Borrowing is specified, then the requested Revolving Borrowing shall be an ABR Borrowing. If no Interest Period is specified with respect to any requested Term SOFR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38" w:name="page39"/>
    <w:bookmarkEnd w:id="38"/>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2.04.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Subject to the terms and conditions set forth herein, from time to time during the Availability Period the Borrower may request Competitive Bids and may (but shall not have any obligation to) accept Competitive Bids and borrow Competitive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the total Revolving Credit Exposures plus the aggregate principal amount of outstanding Competitive Loans at any time shall not exceed the total Commitments. To request Competitive Bids, the Borrower shall notify the Administrative Agent of such request, in the case of a Term SOFR Borrowing, not later than 11:00 a.m., New York City time, four US Government Securities Business Days before the date of the proposed Borrowing and, in the case of a Fixed Rate Borrowing, not later than 11:00 a.m., New York City time, one Business Day before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submit up to (but not more than) five Competitive Bid Requests on the same day, but a Competitive Bid Request shall not be made within five Business Days after the date of any previous Competitive Bid Request, unless any and all such previous Competitive Bid Requests shall have been withdrawn or all Competitive Bids received in response thereto rejected. Each such Competitive Bid Request shall be made by delivery to the Administrative Agent of a written Competitive Bid Request in a form approved by the Administrative Agent and signed by the Borrower (or by telephone if confirmed promptly by such delivery of a written Competitive Bid request). Each such telephonic and written Competitive Bid Request shall specify the following information in compliance with Section 2.02:</w:t>
      </w:r>
    </w:p>
    <w:p>
      <w:pPr>
        <w:spacing w:after="0" w:line="60" w:lineRule="exact"/>
        <w:rPr>
          <w:sz w:val="20"/>
          <w:szCs w:val="20"/>
          <w:color w:val="auto"/>
        </w:rPr>
      </w:pPr>
    </w:p>
    <w:p>
      <w:pPr>
        <w:ind w:left="1600" w:hanging="212"/>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principal amount of the requested Borrowing;</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such Borrowing is to be a Term SOFR Borrowing or a Fixed Rate Borrowing;</w:t>
      </w:r>
    </w:p>
    <w:p>
      <w:pPr>
        <w:spacing w:after="0" w:line="117" w:lineRule="exact"/>
        <w:rPr>
          <w:rFonts w:ascii="Arial" w:cs="Arial" w:eastAsia="Arial" w:hAnsi="Arial"/>
          <w:sz w:val="18"/>
          <w:szCs w:val="18"/>
          <w:color w:val="auto"/>
        </w:rPr>
      </w:pPr>
    </w:p>
    <w:p>
      <w:pPr>
        <w:ind w:left="980" w:right="520" w:firstLine="408"/>
        <w:spacing w:after="0" w:line="277" w:lineRule="auto"/>
        <w:tabs>
          <w:tab w:leader="none" w:pos="16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Period to be applicable to such Borrowing, which shall be a period contemplated by the definition of the term “Interest Period”; and</w:t>
      </w:r>
    </w:p>
    <w:p>
      <w:pPr>
        <w:spacing w:after="0" w:line="62" w:lineRule="exact"/>
        <w:rPr>
          <w:rFonts w:ascii="Arial" w:cs="Arial" w:eastAsia="Arial" w:hAnsi="Arial"/>
          <w:sz w:val="18"/>
          <w:szCs w:val="18"/>
          <w:color w:val="auto"/>
        </w:rPr>
      </w:pPr>
    </w:p>
    <w:p>
      <w:pPr>
        <w:ind w:left="980" w:firstLine="408"/>
        <w:spacing w:after="0" w:line="277" w:lineRule="auto"/>
        <w:tabs>
          <w:tab w:leader="none" w:pos="1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which shall comply with the requirements of Section 2.06.</w:t>
      </w:r>
    </w:p>
    <w:p>
      <w:pPr>
        <w:spacing w:after="0" w:line="170"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color w:val="auto"/>
        </w:rPr>
        <w:t>Promptly following receipt of a Competitive Bid Request in accordance with this Section, the Administrative Agent shall notify the Lenders of the details thereof by email or other permitted electronic communication, inviting the Lenders to submit Competitive Bids.</w:t>
      </w:r>
    </w:p>
    <w:p>
      <w:pPr>
        <w:spacing w:after="0" w:line="146" w:lineRule="exact"/>
        <w:rPr>
          <w:sz w:val="20"/>
          <w:szCs w:val="20"/>
          <w:color w:val="auto"/>
        </w:rPr>
      </w:pPr>
    </w:p>
    <w:p>
      <w:pPr>
        <w:ind w:firstLine="987"/>
        <w:spacing w:after="0" w:line="272" w:lineRule="auto"/>
        <w:tabs>
          <w:tab w:leader="none" w:pos="12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Lender may (but shall not have any obligation to) make one or more Competitive Bids to the Borrower in response to a Competitive Bid Request. Each Competitive Bid by a Lender must be in a form approved by the Administrative Agent and must be received by the Administrative Agent by email or other permitted electronic communication, in the case of a Term SOFR Competitive Borrowing, not later than 10:00 a.m., New York City time, three US Government Securities Business Days before the proposed date of such Competitive Borrowing, and in the case of a Fixed Rate Borrowing, not later than 10:00 a.m., New York City time, on the proposed date of such Competitive Borrowing. Competitive Bids that do not conform substantially to the form approved by the Administrative Agent may be rejected by the Administrative Agent, and the Administrative Agent shall notify the applicable Lender of such rejection as promptly as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274" w:right="519" w:bottom="1440" w:gutter="0" w:footer="0" w:header="0"/>
        </w:sectPr>
      </w:pPr>
    </w:p>
    <w:bookmarkStart w:id="39" w:name="page40"/>
    <w:bookmarkEnd w:id="39"/>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practicable. A Lender may submit multiple bids to the Administrative Agent. Each Competitive Bid shall specify (i) the principal amount (which shall be a minimum of $5,000,000 and an integral multiple of $1,000,000 and which may equal the entire principal amount of the Competitive Borrowing requested by the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Subject to Section 2.13, a Competitive Bid submitted by a Lender shall be irrevocable.</w:t>
      </w:r>
    </w:p>
    <w:p>
      <w:pPr>
        <w:spacing w:after="0" w:line="192" w:lineRule="exact"/>
        <w:rPr>
          <w:sz w:val="20"/>
          <w:szCs w:val="20"/>
          <w:color w:val="auto"/>
        </w:rPr>
      </w:pPr>
    </w:p>
    <w:p>
      <w:pPr>
        <w:ind w:left="4" w:right="40" w:firstLine="987"/>
        <w:spacing w:after="0" w:line="277"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by email of the Competitive Bid Rate and the principal amount specified in each Competitive Bid and the identity of the Lender that shall have made such Competitive Bid.</w:t>
      </w:r>
    </w:p>
    <w:p>
      <w:pPr>
        <w:spacing w:after="0" w:line="170" w:lineRule="exact"/>
        <w:rPr>
          <w:rFonts w:ascii="Arial" w:cs="Arial" w:eastAsia="Arial" w:hAnsi="Arial"/>
          <w:sz w:val="18"/>
          <w:szCs w:val="18"/>
          <w:color w:val="auto"/>
        </w:rPr>
      </w:pPr>
    </w:p>
    <w:p>
      <w:pPr>
        <w:ind w:left="4" w:firstLine="987"/>
        <w:spacing w:after="0" w:line="285" w:lineRule="auto"/>
        <w:tabs>
          <w:tab w:leader="none" w:pos="1250"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Borrower may in its discretion accept or reject any Competitive Bid. The Borrower shall notify the Administrative Agent whether and to what extent it has decided to accept or reject each Competitive Bid, in the case of a Term SOFR Competitive Borrowing, not later than 11:00 a.m., New York City time, three US Government Securities Business Days before the date of the proposed Competitive Borrowing, and in the case of a Fixed Rate Borrowing, not later than 11:00 a.m., New York City time, on the proposed date of the Competitive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failure of the Borrower to give such notice shall be deemed to be a rejection of each Competitive Bid,</w:t>
      </w:r>
    </w:p>
    <w:p>
      <w:pPr>
        <w:spacing w:after="0" w:line="1" w:lineRule="exact"/>
        <w:rPr>
          <w:rFonts w:ascii="Arial" w:cs="Arial" w:eastAsia="Arial" w:hAnsi="Arial"/>
          <w:sz w:val="16"/>
          <w:szCs w:val="16"/>
          <w:color w:val="auto"/>
        </w:rPr>
      </w:pPr>
    </w:p>
    <w:p>
      <w:pPr>
        <w:ind w:left="4" w:hanging="4"/>
        <w:spacing w:after="0" w:line="251" w:lineRule="auto"/>
        <w:tabs>
          <w:tab w:leader="none" w:pos="2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Borrower shall not accept a Competitive Bid made at a particular Competitive Bid Rate if the Borrower rejects a Competitive Bid made at a lower Competitive Bid Rate, (iii) the aggregate amount of the Competitive Bids accepted by the Borrower shall not exceed the aggregate principal amount of the requested Competitive Borrowing specified in the related Competitive Bid Request, (iv) to the extent necessary to comply with clause (iii) above, the 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the Borrower. A notice given by the Borrower pursuant to this paragraph shall be irrevocable.</w:t>
      </w:r>
    </w:p>
    <w:p>
      <w:pPr>
        <w:spacing w:after="0" w:line="196" w:lineRule="exact"/>
        <w:rPr>
          <w:rFonts w:ascii="Arial" w:cs="Arial" w:eastAsia="Arial" w:hAnsi="Arial"/>
          <w:sz w:val="18"/>
          <w:szCs w:val="18"/>
          <w:color w:val="auto"/>
        </w:rPr>
      </w:pPr>
    </w:p>
    <w:p>
      <w:pPr>
        <w:ind w:left="4" w:right="40" w:firstLine="987"/>
        <w:spacing w:after="0" w:line="311"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Administrative Agent shall promptly notify each bidding Lender by email or other permitted electronic communication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48" w:lineRule="exact"/>
        <w:rPr>
          <w:rFonts w:ascii="Arial" w:cs="Arial" w:eastAsia="Arial" w:hAnsi="Arial"/>
          <w:sz w:val="16"/>
          <w:szCs w:val="16"/>
          <w:color w:val="auto"/>
        </w:rPr>
      </w:pPr>
    </w:p>
    <w:p>
      <w:pPr>
        <w:ind w:left="4" w:right="300" w:firstLine="987"/>
        <w:spacing w:after="0" w:line="277" w:lineRule="auto"/>
        <w:tabs>
          <w:tab w:leader="none" w:pos="1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Borrower at least one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40" w:name="page41"/>
    <w:bookmarkEnd w:id="40"/>
    <w:p>
      <w:pPr>
        <w:ind w:left="4"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 of an hour earlier than the time by which the other Lenders are required to submit their Competitive Bids to the Administrative Agent pursuant to paragraph (b) of this Section.</w:t>
      </w:r>
    </w:p>
    <w:p>
      <w:pPr>
        <w:spacing w:after="0" w:line="170"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each Issuing Bank agrees to issue, upon request of the Borrower, Letters of Credit denominated in US Dollars or any Designated Foreign Currency approved by such Issuing Bank, for the account of the Borrower or any of its Subsidiaries in a form reasonably acceptable to such Issuing Bank (and to amend (in the form reasonably acceptable to such Issuing Bank) or extend Letters of Credit previously issued by it as requested by the Borrower), at any time and from time to time during the Availability Period. Each Existing Letter of Credit shall be deemed, for all purposes of this Agreement (including paragraphs (d) and (e) of this Section), to be a Letter of Credit issued hereunder. Except as to matters covered by agreements contained herein or otherwise expressly agreed by the relevant Issuing Bank and the Borrower when a Letter of Credit is issued, (i) the rules of the ISP shall apply to each standby Letter of Credit and</w:t>
      </w:r>
    </w:p>
    <w:p>
      <w:pPr>
        <w:spacing w:after="0" w:line="2" w:lineRule="exact"/>
        <w:rPr>
          <w:sz w:val="20"/>
          <w:szCs w:val="20"/>
          <w:color w:val="auto"/>
        </w:rPr>
      </w:pPr>
    </w:p>
    <w:p>
      <w:pPr>
        <w:ind w:left="4" w:right="100" w:hanging="4"/>
        <w:spacing w:after="0" w:line="266" w:lineRule="auto"/>
        <w:tabs>
          <w:tab w:leader="none" w:pos="2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rules of the Uniform Customs and Practice for Documentary Credits, as most recently published by the International Chamber of Commerce at the time of issuance, shall apply to each commercial Letter of Credit. Notwithstanding anything contained in any letter of credit application or other agreement furnished to any Issuing Bank in connection with the issuance, amendment or extension of any Letter of Credit, (A) in the event that such letter of credit application or other agreement includes representations and warranties, covenants and/or events of default that do not contain the materiality qualifiers, exceptions or thresholds that are applicable to the analogous provisions of this Agreement, or are otherwise more restrictive, the relevant qualifiers, exceptions and thresholds contained in this Agreement shall be deemed incorporated therein or, to the extent more restrictive, shall be deemed for purposes of such letter of credit application or other agreement to be the same as the analogous provisions of this Agreement and (B) in the event of any other inconsistency between the terms and conditions of this Agreement and the terms and conditions of any such letter of credit application or other agreement, the terms and conditions of this Agreement shall control. It is understood and agreed that the Borrower shall be deemed to be a primary account party under, and obligated in respect of, each Letter of Credit issued at the request of the Borrower hereunder, notwithstanding the fact that a Subsidiary may be listed as the account party in the Letter of Credit, and the Borrower unconditionally and irrevocably agrees that, in connection with any Letter of Credit issued for the joint account of any Subsidiary (including any such Letter of Credit that is an Existing Letter of Credit), it will be fully responsible for the reimbursement of LC Disbursements, the payment of interest thereon and the payment of participation fees and other fees due hereunder to the same extent as if it were the sole account party in respect of such Letter of Credit (the Borrower hereby irrevocably waiving any defenses that might otherwise be available to it as a guarantor of the obligations of any Subsidiary that shall be a joint account party in respect of any such Letter of Credit).</w:t>
      </w:r>
    </w:p>
    <w:p>
      <w:pPr>
        <w:spacing w:after="0" w:line="191" w:lineRule="exact"/>
        <w:rPr>
          <w:rFonts w:ascii="Arial" w:cs="Arial" w:eastAsia="Arial" w:hAnsi="Arial"/>
          <w:sz w:val="17"/>
          <w:szCs w:val="17"/>
          <w:color w:val="auto"/>
        </w:rPr>
      </w:pPr>
    </w:p>
    <w:p>
      <w:pPr>
        <w:ind w:left="4" w:right="80" w:firstLine="987"/>
        <w:spacing w:after="0" w:line="255" w:lineRule="auto"/>
        <w:tabs>
          <w:tab w:leader="none" w:pos="125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Extension; Certain Conditions</w:t>
      </w:r>
      <w:r>
        <w:rPr>
          <w:rFonts w:ascii="Arial" w:cs="Arial" w:eastAsia="Arial" w:hAnsi="Arial"/>
          <w:sz w:val="18"/>
          <w:szCs w:val="18"/>
          <w:color w:val="auto"/>
        </w:rPr>
        <w:t>. To request the issuance of a Letter of Credit (or the amendment or extension of an outstanding Letter of Credit (other than an automatic extension permitted pursuant to paragraph (c) of this Section)), the Borrower shall hand deliver or send by email or other permitted electronic communication to the applicable Issuing Bank and the Administrative Agent (at least three Business Days (or such shorter period as may be acceptable to the applicable Issuing Bank) in advance of the requested date of issuance, amendment or extension) a notice in the form of Exhibit E or such other form as the Borrower and the applicable Issuing Bank may agree requesting the issuance of a Letter of</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1" w:name="page42"/>
    <w:bookmarkEnd w:id="4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or identifying the Letter of Credit to be amended or extended, and specifying the date of issuance, amendment or extension (which shall be a Business Day), the date on which such Letter of Credit is to expire (which shall comply with paragraph (c) of this Section), the currency and amount of such Letter of Credit, the name and address of the beneficiary thereof and such other information as shall be necessary to prepare, amend or extend such Letter of Credit. A Letter of Credit shall be issued, amended or extended only if (and upon issuance, amendment or extension of each Letter of Credit the Borrower shall be deemed to represent and warrant that), after giving effect to such issuance, amendment or extension (i) the LC Exposure shall not exceed the total Commitments, (ii) the sum of the total Revolving Credit Exposures plus the aggregate principal amount of outstanding Competitive Loans shall not exceed the total Commitments and (iii) the portion of the LC Exposure attributable to Letters of Credit issued by the applicable Issuing Bank shall not, unless otherwise agreed by such Issuing Bank, exceed the LC Commitment of such Issuing Bank.</w:t>
      </w:r>
    </w:p>
    <w:p>
      <w:pPr>
        <w:spacing w:after="0" w:line="165" w:lineRule="exact"/>
        <w:rPr>
          <w:sz w:val="20"/>
          <w:szCs w:val="20"/>
          <w:color w:val="auto"/>
        </w:rPr>
      </w:pPr>
    </w:p>
    <w:p>
      <w:pPr>
        <w:ind w:firstLine="987"/>
        <w:spacing w:after="0" w:line="268"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Each Letter of Credit shall expire at or prior to the close of business on the earlier of (i) the date one year after the date of the issuance of such Letter of Credit (or, in the case of any extension thereof, one year after such extension) or such longer period as may be agreed to between the Borrower and the Issuing Bank and (ii) unless such Letter of Credit is cash collateralized or otherwise backstopped (any such Letter of Credit being referred to as the “</w:t>
      </w:r>
      <w:r>
        <w:rPr>
          <w:rFonts w:ascii="Arial" w:cs="Arial" w:eastAsia="Arial" w:hAnsi="Arial"/>
          <w:sz w:val="17"/>
          <w:szCs w:val="17"/>
          <w:u w:val="single" w:color="auto"/>
          <w:color w:val="auto"/>
        </w:rPr>
        <w:t>Backstopped Letter of Credit</w:t>
      </w:r>
      <w:r>
        <w:rPr>
          <w:rFonts w:ascii="Arial" w:cs="Arial" w:eastAsia="Arial" w:hAnsi="Arial"/>
          <w:sz w:val="17"/>
          <w:szCs w:val="17"/>
          <w:color w:val="auto"/>
        </w:rPr>
        <w:t xml:space="preserve">”), in either case on terms and pursuant to arrangements reasonably satisfactory to the applicable Issuing Bank, the date that is five Business Days prior to the latest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Maturity Date has been extended pursuant to Section 2.20 or otherwise by less than all of the Lenders, the LC Exposure with respect to Letters of Credit with an expiration date that is later than five Business Days prior to the earliest applicable Maturity Date shall not exceed the amount of the Commitments which terminate after such earlier Maturity Date and (ii) subject to the foregoing provisions with respect to Backstopped Letters of Credit, no Issuing Bank shall be required to issue a Letter of Credit that has an expiration date, or extend a Letter of Credit to have an expiration date, that is later than five Business Days prior to the Maturity Date as in effect on the Effective Date, unless such Issuing Bank has agreed to issue Letters of Credit with a later expiration date or, in its capacity as a Lender, has consented to the extension of the Maturity Date pursuant to Section 2.20;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Letter of Credit with a one-year tenor may provide for extensions thereof under procedures reasonably satisfactory to the applicable Issuing Bank for additional one-year periods (which shall in no event extend beyond the date referred to in clause (ii) above unless such Letter of Credit is or becomes a Backstopped Letter of Credit).</w:t>
      </w:r>
    </w:p>
    <w:p>
      <w:pPr>
        <w:spacing w:after="0" w:line="184" w:lineRule="exact"/>
        <w:rPr>
          <w:rFonts w:ascii="Arial" w:cs="Arial" w:eastAsia="Arial" w:hAnsi="Arial"/>
          <w:sz w:val="17"/>
          <w:szCs w:val="17"/>
          <w:color w:val="auto"/>
        </w:rPr>
      </w:pPr>
    </w:p>
    <w:p>
      <w:pPr>
        <w:ind w:right="20" w:firstLine="987"/>
        <w:spacing w:after="0" w:line="254"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(determined as of the time or times at which the Lenders are required to make payments in respect of unreimbursed LC Disbursements under such Letter of Credit pursuant to paragraph (e) below) of each LC Disbursement made by such Issuing Bank and not reimbursed by the Borrower on the date due as provided in paragraph (e)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2" w:name="page43"/>
    <w:bookmarkEnd w:id="4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this Section, or of any reimbursement payment required to be refunded to the Borrower for any reason (or, if the currency of the applicable LC Disbursement or reimbursement payment shall be a Designated Foreign Currency, an amount equal to the US Dollar Equivalent thereof using the LC Exchange Rate in effect on the applicable LC Participation Calculation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 or any fluctuation in currency values, and that each such payment shall be made without any offset, abatement, withholding or reduction whatsoever. Each Lender further acknowledges and agrees that, in issuing, amending or extending any Letter of Credit, the Issuing Bank shall be entitled to rely, and shall not incur any liability for relying, upon the representation and warranty of the Borrower deemed made pursuant to Section 2.05(b) or 4.02.</w:t>
      </w:r>
    </w:p>
    <w:p>
      <w:pPr>
        <w:spacing w:after="0" w:line="196" w:lineRule="exact"/>
        <w:rPr>
          <w:sz w:val="20"/>
          <w:szCs w:val="20"/>
          <w:color w:val="auto"/>
        </w:rPr>
      </w:pPr>
    </w:p>
    <w:p>
      <w:pPr>
        <w:ind w:right="20" w:firstLine="987"/>
        <w:spacing w:after="0" w:line="311"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If an Issuing Bank makes any LC Disbursement in respect of a Letter of Credit, it shall promptly (and in any event on the date such LC Disbursement is made) notify the Borrower thereof by telephone (and promptly confirmed by email). The Borrower shall reimburse such LC Disbursement by paying to the Administrative Agent an amount equal to such LC Disbursement by the following deadlines:</w:t>
      </w:r>
    </w:p>
    <w:p>
      <w:pPr>
        <w:spacing w:after="0" w:line="40" w:lineRule="exact"/>
        <w:rPr>
          <w:rFonts w:ascii="Arial" w:cs="Arial" w:eastAsia="Arial" w:hAnsi="Arial"/>
          <w:sz w:val="16"/>
          <w:szCs w:val="16"/>
          <w:color w:val="auto"/>
        </w:rPr>
      </w:pPr>
    </w:p>
    <w:p>
      <w:pPr>
        <w:ind w:left="980" w:right="60" w:firstLine="408"/>
        <w:spacing w:after="0" w:line="277" w:lineRule="auto"/>
        <w:tabs>
          <w:tab w:leader="none" w:pos="15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Borrower receives such notice prior to 12:00 noon, New York City time, not later than 12:00 noon, New York City time, on the Business Day immediately following the date of notice, or</w:t>
      </w:r>
    </w:p>
    <w:p>
      <w:pPr>
        <w:spacing w:after="0" w:line="62" w:lineRule="exact"/>
        <w:rPr>
          <w:rFonts w:ascii="Arial" w:cs="Arial" w:eastAsia="Arial" w:hAnsi="Arial"/>
          <w:sz w:val="18"/>
          <w:szCs w:val="18"/>
          <w:color w:val="auto"/>
        </w:rPr>
      </w:pPr>
    </w:p>
    <w:p>
      <w:pPr>
        <w:ind w:left="980" w:right="60" w:firstLine="408"/>
        <w:spacing w:after="0" w:line="277" w:lineRule="auto"/>
        <w:tabs>
          <w:tab w:leader="none" w:pos="16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Borrower receives such notice following 12:00 noon, New York City time, not later than 12:00 noon, New York City time, two Business Days following the day that the Borrower receives such notice.</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Each such reimbursement shall be made in the currency of such LC Disbursement. If such LC Disbursement is denominated in US Dollars, the Borrower may, subject to the conditions to borrowing set forth herein, request in accordance with Section 2.03 that such payment be financed with an ABR Revolving Borrowing in an equivalent amount and, to the extent so financed, the Borrower’s obligation to make such payment shall be discharged and replaced by the resulting ABR Revolving Borrowing. If the Borrower fails to reimburse any LC Disbursement when due, (A) if such payment relates to a Letter of Credit denominated in a Designated Foreign Currency, automatically and with no further action required, the obligation of the Borrower to reimburse the applicable LC Disbursement shall be permanently converted into an obligation to reimburse the US Dollar Equivalent, calculated using the LC Exchange Rate on the applicable LC Participation Calculation Date, of such LC Disbursement, (B) unless the Borrower shall have notified the Administrative Agent in writing to the contrary, notwithstanding anything herein to the contrary (including Section 4.02, but subject to the requirements of clauses (a) and (b) of Section 2.01), the obligation of the Borrower to reimburse the applicable LC Disbursement shall be deemed to have been automatically financed with a borrowing of ABR Revolving Loans in an equivalent amount, and the Borrower’s obligations to make any payment in respect of such LC Disbursement shall be discharged and replaced by the resulting ABR Revolving Borrowing and (C) subject to clause (B) above, in the case of each LC Disbursement, the Administrative Agent shall notify each Lender of the applicable LC Disbursement, the payment then due from the Borrower in respect thereof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43" w:name="page44"/>
    <w:bookmarkEnd w:id="43"/>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aggregate principal amount of the ABR Revolving Borrowing referred to in clause (B) above) and such Lender’s Applicable Percentage thereof. Promptly following receipt of such notice, each Lender shall pay to the Administrative Agent its Applicable Percentage of the payment then due from the Borrower (or its Applicable Percentage of the aggregate principal amount of such ABR Revolving Borrowing), in the same manner as provided in Section 2.06 with respect to Loans made by such Lender (and Section 2.06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such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If the Borrower’s reimbursement of, or obligation to reimburse, any amounts in respect of any Letter of Credit denominated in a currency other than US Dollars would subject the Administrative Agent, the applicable Issuing Bank or any Lender to any stamp duty, ad valorem charge or other tax, expense or loss (including any loss resulting from changes in currency exchange rates between the date of any LC Disbursement and the date of any reimbursement payment in respect thereof), the Borrower shall, subject to the provisions of Sections 2.14(c),</w:t>
      </w:r>
    </w:p>
    <w:p>
      <w:pPr>
        <w:spacing w:after="0" w:line="4"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 xml:space="preserve">2.14(d) and 2.14(e), </w:t>
      </w:r>
      <w:r>
        <w:rPr>
          <w:rFonts w:ascii="Arial" w:cs="Arial" w:eastAsia="Arial" w:hAnsi="Arial"/>
          <w:sz w:val="18"/>
          <w:szCs w:val="18"/>
          <w:u w:val="single" w:color="auto"/>
          <w:color w:val="auto"/>
        </w:rPr>
        <w:t>mutatis mutandis</w:t>
      </w:r>
      <w:r>
        <w:rPr>
          <w:rFonts w:ascii="Arial" w:cs="Arial" w:eastAsia="Arial" w:hAnsi="Arial"/>
          <w:sz w:val="18"/>
          <w:szCs w:val="18"/>
          <w:color w:val="auto"/>
        </w:rPr>
        <w:t>, pay the amount of any such tax, expense or loss requested by the Administrative Agent, the relevant Issuing Bank or such Lender, as applicable.</w:t>
      </w:r>
    </w:p>
    <w:p>
      <w:pPr>
        <w:spacing w:after="0" w:line="185" w:lineRule="exact"/>
        <w:rPr>
          <w:sz w:val="20"/>
          <w:szCs w:val="20"/>
          <w:color w:val="auto"/>
        </w:rPr>
      </w:pPr>
    </w:p>
    <w:p>
      <w:pPr>
        <w:ind w:left="4" w:right="60" w:firstLine="987"/>
        <w:spacing w:after="0" w:line="287" w:lineRule="auto"/>
        <w:tabs>
          <w:tab w:leader="none" w:pos="122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2" w:lineRule="exact"/>
        <w:rPr>
          <w:rFonts w:ascii="Arial" w:cs="Arial" w:eastAsia="Arial" w:hAnsi="Arial"/>
          <w:sz w:val="16"/>
          <w:szCs w:val="16"/>
          <w:color w:val="auto"/>
        </w:rPr>
      </w:pPr>
    </w:p>
    <w:p>
      <w:pPr>
        <w:ind w:left="4" w:right="20" w:hanging="4"/>
        <w:spacing w:after="0" w:line="284" w:lineRule="auto"/>
        <w:tabs>
          <w:tab w:leader="none" w:pos="2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Issuing Banks,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bad faith on the part of an Issuing Bank, such Issuing Bank shall be deemed to have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44" w:name="page45"/>
    <w:bookmarkEnd w:id="4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8" w:lineRule="exact"/>
        <w:rPr>
          <w:sz w:val="20"/>
          <w:szCs w:val="20"/>
          <w:color w:val="auto"/>
        </w:rPr>
      </w:pPr>
    </w:p>
    <w:p>
      <w:pPr>
        <w:ind w:right="40" w:firstLine="987"/>
        <w:spacing w:after="0" w:line="257" w:lineRule="auto"/>
        <w:tabs>
          <w:tab w:leader="none" w:pos="12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(promptly confirmed by email)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such Issuing Bank and the Lenders with respect to any such LC Disbursement.</w:t>
      </w:r>
    </w:p>
    <w:p>
      <w:pPr>
        <w:spacing w:after="0" w:line="187" w:lineRule="exact"/>
        <w:rPr>
          <w:rFonts w:ascii="Arial" w:cs="Arial" w:eastAsia="Arial" w:hAnsi="Arial"/>
          <w:sz w:val="18"/>
          <w:szCs w:val="18"/>
          <w:color w:val="auto"/>
        </w:rPr>
      </w:pPr>
    </w:p>
    <w:p>
      <w:pPr>
        <w:ind w:firstLine="987"/>
        <w:spacing w:after="0" w:line="286" w:lineRule="auto"/>
        <w:tabs>
          <w:tab w:leader="none" w:pos="124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(or such LC Disbursement is refinanced or deemed to be refinanced with ABR Revolving Loans as provided in Section 2.05), (i) in the case of any LC Disbursement denominated in US Dollars and at all times following the conversion to US Dollars of an LC Disbursement made in a Designated Foreign Currency pursuant to paragraph (e) of this Section, at the rate per annum then applicable to ABR Revolving Loans, and (ii) if such LC Disbursement is made in a Designated Foreign Currency, at all times prior to its conversion to US Dollars pursuant to paragraph (e) of this Section, at a rate per annum reasonably determined by the applicable Issuing Bank to represent the cost to such Issuing Bank of funding such LC Disbursement plus the Applicable Rate applicable to Term SOFR Revolving Loans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paragraph (e) of this Section (and unless such LC Disbursement is deemed to be refinanced with ABR Revolving Loans as provided in Section 2.05), then Section 2.12(e)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73" w:lineRule="exact"/>
        <w:rPr>
          <w:rFonts w:ascii="Arial" w:cs="Arial" w:eastAsia="Arial" w:hAnsi="Arial"/>
          <w:sz w:val="16"/>
          <w:szCs w:val="16"/>
          <w:color w:val="auto"/>
        </w:rPr>
      </w:pPr>
    </w:p>
    <w:p>
      <w:pPr>
        <w:ind w:right="20" w:firstLine="987"/>
        <w:spacing w:after="0" w:line="254" w:lineRule="auto"/>
        <w:tabs>
          <w:tab w:leader="none" w:pos="120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From time to time, the Borrower may by notice to the Administrative Agent and the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which shall be in a form reasonably satisfactory to the Borrower and the Administrative Agent, shall set forth the LC Commitment of such Lender and shall be executed by such Lender, the Borrower and the Administrative Agent and, from and after the effective date of such agreement, (i) such Lender shall have all the rights and obligations of an Issuing Bank under this Agreement and (ii) references herein to the term “Issuing Bank” shall be deemed to include such Lender in its capacity as an Issuing Bank.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5" w:name="page46"/>
    <w:bookmarkEnd w:id="45"/>
    <w:p>
      <w:pPr>
        <w:ind w:left="-20" w:right="60" w:firstLine="987"/>
        <w:spacing w:after="0" w:line="271" w:lineRule="auto"/>
        <w:tabs>
          <w:tab w:leader="none" w:pos="118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an Issuing Bank</w:t>
      </w:r>
      <w:r>
        <w:rPr>
          <w:rFonts w:ascii="Arial" w:cs="Arial" w:eastAsia="Arial" w:hAnsi="Arial"/>
          <w:sz w:val="17"/>
          <w:szCs w:val="17"/>
          <w:color w:val="auto"/>
        </w:rPr>
        <w:t xml:space="preser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2.11(b). Notwithstanding the effectiveness of any such termination, the terminated Issuing Bank shall continue to have all the rights of an Issuing Bank under this Agreement with respect to Letters of Credit issued by it prior to such termination, but shall not issue any additional Letters of Credit.</w:t>
      </w:r>
    </w:p>
    <w:p>
      <w:pPr>
        <w:spacing w:after="0" w:line="178" w:lineRule="exact"/>
        <w:rPr>
          <w:rFonts w:ascii="Arial" w:cs="Arial" w:eastAsia="Arial" w:hAnsi="Arial"/>
          <w:sz w:val="17"/>
          <w:szCs w:val="17"/>
          <w:color w:val="auto"/>
        </w:rPr>
      </w:pPr>
    </w:p>
    <w:p>
      <w:pPr>
        <w:ind w:left="-20" w:firstLine="987"/>
        <w:spacing w:after="0" w:line="285" w:lineRule="auto"/>
        <w:tabs>
          <w:tab w:leader="none" w:pos="122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any Event of Default shall occur and be continuing, on the Business Day that the Borrower receives notice from the Administrative Agent or the Required Lenders (or, if the maturity of the Loans has been accelerated, Lenders with LC Exposures representing greater than 50% of the total LC Exposure) demanding the deposit of cash collateral pursuant to this paragraph, the Borrower shall deposit in an account with the Administrative Agent, in the name of the Administrative Agent and for the benefit of the Lenders, an amount in cash equal to the LC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amounts payable in respect of any Letter of Credit or LC Disbursement shall be payable in the currency of such Letter of Credit or LC Disbursement, except that LC Disbursements in a Designated Foreign Currency in respect of which the Borrower’s reimbursement obligations have been converted to obligations in US Dollars as provided in paragraph (e) above and interest accrued thereon shall be payable in US Dollars and (ii) the obligation to deposit such cash collateral shall become effective immediately, and such deposit shall become immediately due and payable, without demand or other notice of any kind, upon the occurrence of any Event of Default with respect to the Borrower described in clause (i) or (j) of Article VII.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60" w:top="274" w:right="459" w:bottom="1440" w:gutter="0" w:footer="0" w:header="0"/>
        </w:sectPr>
      </w:pPr>
    </w:p>
    <w:bookmarkStart w:id="46" w:name="page47"/>
    <w:bookmarkEnd w:id="46"/>
    <w:p>
      <w:pPr>
        <w:ind w:left="4" w:right="40" w:firstLine="987"/>
        <w:spacing w:after="0" w:line="253" w:lineRule="auto"/>
        <w:tabs>
          <w:tab w:leader="none" w:pos="121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Issuing Bank Reports</w:t>
      </w:r>
      <w:r>
        <w:rPr>
          <w:rFonts w:ascii="Arial" w:cs="Arial" w:eastAsia="Arial" w:hAnsi="Arial"/>
          <w:sz w:val="18"/>
          <w:szCs w:val="18"/>
          <w:color w:val="auto"/>
        </w:rPr>
        <w:t>. Unless otherwise agreed by the Administrative Agent, each Issuing Bank shall report in writing to the Administrative Agent (which shall promptly provide notice to the Lenders of the contents thereof) (i) on or prior to each Business Day on which such Issuing Bank issues, amends or extends any Letter of Credit, the date of such issuance, amendment or extension, and the currency and aggregate face amount of the Letters of Credit issued, amended or extended by it and outstanding after giving effect to such issuance, amendment or extension (and whether the amount thereof shall have changed), it being understood that such Issuing Bank shall not effect any issuance,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the Borrower fails to reimburse an LC Disbursement required to be reimbursed to such Issuing Bank on such day, the date of such failure and the currency and amount of such LC Disbursement and (iv) on any other Business Day, such other information as the Administrative Agent shall reasonably request as to the Letters of Credit issued by such Issuing Bank.</w:t>
      </w:r>
    </w:p>
    <w:p>
      <w:pPr>
        <w:spacing w:after="0" w:line="192" w:lineRule="exact"/>
        <w:rPr>
          <w:sz w:val="20"/>
          <w:szCs w:val="20"/>
          <w:color w:val="auto"/>
        </w:rPr>
      </w:pPr>
    </w:p>
    <w:p>
      <w:pPr>
        <w:ind w:left="4" w:right="60" w:firstLine="991"/>
        <w:spacing w:after="0" w:line="272"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it hereunder on the proposed date thereof by wire transfer of immediately available funds to the account of the Administrative Agent most recently designated by it for such purpose by notice to the Lenders, by (i) in the case of ABR Revolving Loans, 3:00 p.m., New York City time (or, if earlier, not later than two hours after the time the Borrower delivers its request for borrowing) and (ii) in the case of all other Loans, 1:00 p.m., New York City time. The Administrative Agent will make such Loans available to the Borrower by promptly crediting the amounts so received, in like funds, to the account designated by the Borrower pursuant to Section 2.03 or 2.04;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made to finance the reimbursement of an LC Disbursement as provided in Section 2.05(e) shall be remitted by the Administrative Agent to the Issuing Bank.</w:t>
      </w:r>
    </w:p>
    <w:p>
      <w:pPr>
        <w:spacing w:after="0" w:line="177" w:lineRule="exact"/>
        <w:rPr>
          <w:sz w:val="20"/>
          <w:szCs w:val="20"/>
          <w:color w:val="auto"/>
        </w:rPr>
      </w:pPr>
    </w:p>
    <w:p>
      <w:pPr>
        <w:ind w:left="4" w:right="120" w:firstLine="987"/>
        <w:spacing w:after="0" w:line="284" w:lineRule="auto"/>
        <w:tabs>
          <w:tab w:leader="none" w:pos="1250" w:val="left"/>
        </w:tabs>
        <w:numPr>
          <w:ilvl w:val="1"/>
          <w:numId w:val="26"/>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(A) the NYFRB Rate and</w:t>
      </w:r>
    </w:p>
    <w:p>
      <w:pPr>
        <w:spacing w:after="0" w:line="2" w:lineRule="exact"/>
        <w:rPr>
          <w:rFonts w:ascii="Arial" w:cs="Arial" w:eastAsia="Arial" w:hAnsi="Arial"/>
          <w:sz w:val="16"/>
          <w:szCs w:val="16"/>
          <w:color w:val="auto"/>
        </w:rPr>
      </w:pPr>
    </w:p>
    <w:p>
      <w:pPr>
        <w:ind w:left="4" w:hanging="4"/>
        <w:spacing w:after="0" w:line="270" w:lineRule="auto"/>
        <w:tabs>
          <w:tab w:leader="none" w:pos="289"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rate determined by the Administrative Agent in accordance with banking industry rules on interbank compensation, and (ii) in the case of a payment to be made by the Borrower, the rate of interest otherwise applicable to ABR Revolving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 Any such payment by the Borrower shall be without prejudice to any claim the Borrower may have against a Lender that shall have failed to make such payment to the Administrative Agent.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47" w:name="page48"/>
    <w:bookmarkEnd w:id="47"/>
    <w:p>
      <w:pPr>
        <w:ind w:right="28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Revolving Borrowing initially shall be of the Type specified in the applicable Borrowing Request and, in the case of a Term SOFR Revolving Borrowing, shall have an initial Interest Period as specified in such Borrowing Request or as otherwise provided in Section 2.03. Thereafter, the Borrower may elect to convert such Borrowing to a different Type or to continue such Borrowing and, in the case of a Term SOFR Revolving Borrowing, may elect Interest Periods therefor, all as provided in this Section. The Borrower may elect different options with respect to different portions of the affected Revolving Borrowing, in which case each such portion shall be allocated ratably among the Lenders holding the Loans comprising such Borrowing, and the Loans comprising each such portion shall be considered a separate Borrowing. This Section shall not apply to Competitive Borrowings, which may not be converted or continued.</w:t>
      </w:r>
    </w:p>
    <w:p>
      <w:pPr>
        <w:spacing w:after="0" w:line="166" w:lineRule="exact"/>
        <w:rPr>
          <w:sz w:val="20"/>
          <w:szCs w:val="20"/>
          <w:color w:val="auto"/>
        </w:rPr>
      </w:pPr>
    </w:p>
    <w:p>
      <w:pPr>
        <w:ind w:firstLine="987"/>
        <w:spacing w:after="0" w:line="257"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the time that a Borrowing Request would be required under Section 2.03 if the Borrower were requesting a Revolving Borrowing of the Type resulting from such election to be made on the effective date of such election. Each such Interest Election Request shall be irrevocable and shall be made by delivery to the Administrative Agent of a written Interest Election Request signed by the Borrower (or by telephone if confirmed promptly by such delivery of a written Interest Election Request).</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2.02:</w:t>
      </w:r>
    </w:p>
    <w:p>
      <w:pPr>
        <w:spacing w:after="0" w:line="128" w:lineRule="exact"/>
        <w:rPr>
          <w:rFonts w:ascii="Arial" w:cs="Arial" w:eastAsia="Arial" w:hAnsi="Arial"/>
          <w:sz w:val="17"/>
          <w:szCs w:val="17"/>
          <w:color w:val="auto"/>
        </w:rPr>
      </w:pPr>
    </w:p>
    <w:p>
      <w:pPr>
        <w:ind w:left="980" w:firstLine="408"/>
        <w:spacing w:after="0" w:line="263" w:lineRule="auto"/>
        <w:tabs>
          <w:tab w:leader="none" w:pos="15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Revolving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75" w:lineRule="exact"/>
        <w:rPr>
          <w:rFonts w:ascii="Arial" w:cs="Arial" w:eastAsia="Arial" w:hAnsi="Arial"/>
          <w:sz w:val="18"/>
          <w:szCs w:val="18"/>
          <w:color w:val="auto"/>
        </w:rPr>
      </w:pPr>
    </w:p>
    <w:p>
      <w:pPr>
        <w:ind w:left="1660" w:hanging="272"/>
        <w:spacing w:after="0"/>
        <w:tabs>
          <w:tab w:leader="none" w:pos="1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Type of the resulting Borrowing; and</w:t>
      </w:r>
    </w:p>
    <w:p>
      <w:pPr>
        <w:spacing w:after="0" w:line="117" w:lineRule="exact"/>
        <w:rPr>
          <w:rFonts w:ascii="Arial" w:cs="Arial" w:eastAsia="Arial" w:hAnsi="Arial"/>
          <w:sz w:val="18"/>
          <w:szCs w:val="18"/>
          <w:color w:val="auto"/>
        </w:rPr>
      </w:pPr>
    </w:p>
    <w:p>
      <w:pPr>
        <w:ind w:left="980" w:right="380" w:firstLine="408"/>
        <w:spacing w:after="0" w:line="277" w:lineRule="auto"/>
        <w:tabs>
          <w:tab w:leader="none" w:pos="1686"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the resulting Borrowing is a Term SOFR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any such Interest Election Request requests a Term SOFR Borrowing but does not specify an Interest Period, then the Borrower shall be deemed to have selected an Interest Period of one month’s duration.</w:t>
      </w:r>
    </w:p>
    <w:p>
      <w:pPr>
        <w:spacing w:after="0" w:line="170" w:lineRule="exact"/>
        <w:rPr>
          <w:sz w:val="20"/>
          <w:szCs w:val="20"/>
          <w:color w:val="auto"/>
        </w:rPr>
      </w:pPr>
    </w:p>
    <w:p>
      <w:pPr>
        <w:ind w:right="280" w:firstLine="987"/>
        <w:spacing w:after="0" w:line="277"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8" w:name="page49"/>
    <w:bookmarkEnd w:id="48"/>
    <w:p>
      <w:pPr>
        <w:ind w:right="100" w:firstLine="987"/>
        <w:spacing w:after="0" w:line="273" w:lineRule="auto"/>
        <w:tabs>
          <w:tab w:leader="none" w:pos="1236"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fails to deliver a timely Interest Election Request with respect to a Term SOFR Revolving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Term SOFR Borrowing and (ii) unless repaid, each Term SOFR Revolving Borrowing shall be converted to an ABR Borrowing at the end of the Interest Period applicable thereto.</w:t>
      </w:r>
    </w:p>
    <w:p>
      <w:pPr>
        <w:spacing w:after="0" w:line="178"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and Increase of Commitments</w:t>
      </w:r>
      <w:r>
        <w:rPr>
          <w:rFonts w:ascii="Arial" w:cs="Arial" w:eastAsia="Arial" w:hAnsi="Arial"/>
          <w:sz w:val="18"/>
          <w:szCs w:val="18"/>
          <w:color w:val="auto"/>
        </w:rPr>
        <w:t>. (a) Unless previously terminated, the Commitments shall terminate on the Maturity Date.</w:t>
      </w:r>
    </w:p>
    <w:p>
      <w:pPr>
        <w:spacing w:after="0" w:line="170" w:lineRule="exact"/>
        <w:rPr>
          <w:sz w:val="20"/>
          <w:szCs w:val="20"/>
          <w:color w:val="auto"/>
        </w:rPr>
      </w:pPr>
    </w:p>
    <w:p>
      <w:pPr>
        <w:ind w:right="60" w:firstLine="987"/>
        <w:spacing w:after="0" w:line="279" w:lineRule="auto"/>
        <w:tabs>
          <w:tab w:leader="none" w:pos="1246"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Commitments shall be in an amount that is an integral multiple of $5,000,000 and not less than $25,000,000 and (ii) the Borrower shall not terminate or reduce the Commitments if, after giving effect to any concurrent prepayment of the Loans in accordance with Section 2.10, the sum of the Revolving Credit Exposures plus the aggregate principal amount of outstanding Competitive Loans would exceed the total Commitments.</w:t>
      </w:r>
    </w:p>
    <w:p>
      <w:pPr>
        <w:spacing w:after="0" w:line="171" w:lineRule="exact"/>
        <w:rPr>
          <w:rFonts w:ascii="Arial" w:cs="Arial" w:eastAsia="Arial" w:hAnsi="Arial"/>
          <w:sz w:val="17"/>
          <w:szCs w:val="17"/>
          <w:color w:val="auto"/>
        </w:rPr>
      </w:pPr>
    </w:p>
    <w:p>
      <w:pPr>
        <w:ind w:firstLine="987"/>
        <w:spacing w:after="0" w:line="271" w:lineRule="auto"/>
        <w:tabs>
          <w:tab w:leader="none" w:pos="12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of any election to terminate or reduce the Commitments under paragraph (b) of this Section at least one Business Day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or reduction of the Commitments delivered by the Borrower may state that such notice is conditioned upon the effectiveness of another credit facility or the occurrence of any other event,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78" w:lineRule="exact"/>
        <w:rPr>
          <w:rFonts w:ascii="Arial" w:cs="Arial" w:eastAsia="Arial" w:hAnsi="Arial"/>
          <w:sz w:val="17"/>
          <w:szCs w:val="17"/>
          <w:color w:val="auto"/>
        </w:rPr>
      </w:pPr>
    </w:p>
    <w:p>
      <w:pPr>
        <w:ind w:firstLine="987"/>
        <w:spacing w:after="0" w:line="253" w:lineRule="auto"/>
        <w:tabs>
          <w:tab w:leader="none" w:pos="12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Borrower may from time to time, by written notice to the Administrative Agent, executed by the Borrower and one or more financial institutions (any such financial institution referred to in this Section being called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which may include any Lender, cause the Commitments of the Increasing Lenders to be increased (or cause Commitments to be extended by the Increasing Lenders, as the case may be) in an amount for each Increasing Lender set forth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amount of any such increase in the aggregate Commitments shall be not less than $25,000,000, (ii) the aggregate amount of increases in Commitments made pursuant to this Section shall not exceed $750,000,000 since the Effective Date and (iii) each Increasing Lender, if not already a Lender hereunder, shall be subject to the approval of the Administrative Agent and each Issuing Bank (which approval shall not be unreasonably withheld, delayed or conditioned) and shall execute all such documentation as the Administrative Agent and the Borrower shall specify to evidence the Commitment of such Increasing Lender and its status as a Lender hereunder. Such notice shall set forth the date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49" w:name="page50"/>
    <w:bookmarkEnd w:id="49"/>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xml:space="preserve">”) on which such increase is requested to become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increase in the Commitments (or in any Commitment of any Lender) or addition of a Increasing Lender shall become effective under this paragraph unless (A) the Administrative Agent shall have received a certificate dated as of the Increase Effective Date and executed by a Financial Officer of the Borrower certifying that the conditions set forth in paragraphs (a) and (b) of Section 4.02 are satisfied (without giving effect to the parenthetical in such paragraph (a)) and (B) to the extent reasonably requested by the Administrative Agent, the Administrative Agent shall have received documents consistent with those delivered pursuant to Section 4.01 as to the corporate power and authority of the Borrower to borrow hereunder after giving effect to such increase. The Administrative Agent shall notify the Borrower and the Lenders of the Increase Effective Date, and such notice shall be conclusive and binding. On the Increase Effective Date, (A) the aggregate principal amount of the Revolving Borrowings outstanding (the “</w:t>
      </w:r>
      <w:r>
        <w:rPr>
          <w:rFonts w:ascii="Arial" w:cs="Arial" w:eastAsia="Arial" w:hAnsi="Arial"/>
          <w:sz w:val="16"/>
          <w:szCs w:val="16"/>
          <w:u w:val="single" w:color="auto"/>
          <w:color w:val="auto"/>
        </w:rPr>
        <w:t>Initial Revolving Borrowings</w:t>
      </w:r>
      <w:r>
        <w:rPr>
          <w:rFonts w:ascii="Arial" w:cs="Arial" w:eastAsia="Arial" w:hAnsi="Arial"/>
          <w:sz w:val="16"/>
          <w:szCs w:val="16"/>
          <w:color w:val="auto"/>
        </w:rPr>
        <w:t>”) immediately prior to giving effect to the commitment increase shall be deemed to be repaid, (B) after the effectiveness of the increase in the Commitments, the Borrower shall be deemed to have made new Borrowings (the “</w:t>
      </w:r>
      <w:r>
        <w:rPr>
          <w:rFonts w:ascii="Arial" w:cs="Arial" w:eastAsia="Arial" w:hAnsi="Arial"/>
          <w:sz w:val="16"/>
          <w:szCs w:val="16"/>
          <w:u w:val="single" w:color="auto"/>
          <w:color w:val="auto"/>
        </w:rPr>
        <w:t>Subsequent Revolving Borrowings</w:t>
      </w:r>
      <w:r>
        <w:rPr>
          <w:rFonts w:ascii="Arial" w:cs="Arial" w:eastAsia="Arial" w:hAnsi="Arial"/>
          <w:sz w:val="16"/>
          <w:szCs w:val="16"/>
          <w:color w:val="auto"/>
        </w:rPr>
        <w:t>”) in an aggregate principal amount equal to the aggregate principal amount of the Initial Revolving Borrowings and of the Types and for the Interest Periods specified in a Borrowing Request delivered to the Administrative Agent in accordance with Section 2.03, (C) each Lender shall pay to the Administrative Agent in same day funds an amount equal to the difference, if positive, between (x) such Lender’s Applicable Percentage (calculated after giving effect to such increase) of the Subsequent Revolving Borrowings and (y) such Lender’s Applicable Percentage (calculated without giving effect to such increase) of the Initial Revolving Borrowings,</w:t>
      </w:r>
    </w:p>
    <w:p>
      <w:pPr>
        <w:spacing w:after="0" w:line="1" w:lineRule="exact"/>
        <w:rPr>
          <w:sz w:val="20"/>
          <w:szCs w:val="20"/>
          <w:color w:val="auto"/>
        </w:rPr>
      </w:pPr>
    </w:p>
    <w:p>
      <w:pPr>
        <w:ind w:left="4" w:hanging="4"/>
        <w:spacing w:after="0" w:line="285" w:lineRule="auto"/>
        <w:tabs>
          <w:tab w:leader="none" w:pos="29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after the Administrative Agent receives the funds specified in clause (C) above, the Administrative Agent shall pay to each Lender the portion of such funds that is equal to the difference, if positive, between (1) such Lender’s Applicable Percentage (calculated without giving effect to such increase) of the Initial Revolving Borrowings and (2) such Lender’s Applicable Percentage (calculated after giving effect to such increase) of the amount of the Subsequent Revolving Borrowings, (E) each Lender (including each Increasing Lender) shall be deemed to hold its Applicable Percentage of each Subsequent Revolving Borrowing (each calculated after giving effect to such increase) and (F) the Borrower shall pay each Lender (other than any Increasing Lender that was not a Lender before giving effect to such increase) any and all accrued but unpaid interest on the Initial Revolving Borrowings. The deemed payments made pursuant to clause (A) above in respect of each Term SOFR Loan shall be subject to indemnification by the Borrower pursuant to the provisions of Section 2.15 if the Increase Effective Date occurs other than on the last day of the Interest Period relating thereto and breakage costs actually result therefrom. In connection with any increase of Commitments pursuant to this paragraph, the Administrative Agent and the Borrower may, without the consent of any Lender or Issuing Bank, effect such amendments to this Agreement as may be necessary or appropriate, in the opinion of the Administrative Agent and the Borrower, to give effect to the provisions of this paragraph.</w:t>
      </w:r>
    </w:p>
    <w:p>
      <w:pPr>
        <w:spacing w:after="0" w:line="174" w:lineRule="exact"/>
        <w:rPr>
          <w:sz w:val="20"/>
          <w:szCs w:val="20"/>
          <w:color w:val="auto"/>
        </w:rPr>
      </w:pPr>
    </w:p>
    <w:p>
      <w:pPr>
        <w:ind w:left="4" w:right="180" w:firstLine="991"/>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(a) The Borrower hereby unconditionally promises to pay (i) to the Administrative Agent for the account of each Lender the then unpaid principal amount of each Revolving Loan on the Maturity Date and (ii) to the Administrative Agent for the account of each Lender the then unpaid principal amount of each Competitive Loan on the last day of the Interest Period applicable to such Loan.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4"/>
          </w:cols>
          <w:pgMar w:left="436" w:top="274" w:right="479" w:bottom="1440" w:gutter="0" w:footer="0" w:header="0"/>
        </w:sectPr>
      </w:pPr>
    </w:p>
    <w:bookmarkStart w:id="50" w:name="page51"/>
    <w:bookmarkEnd w:id="50"/>
    <w:p>
      <w:pPr>
        <w:ind w:right="180" w:firstLine="987"/>
        <w:spacing w:after="0" w:line="263"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jc w:val="both"/>
        <w:ind w:right="140" w:firstLine="987"/>
        <w:spacing w:after="0" w:line="259"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firstLine="987"/>
        <w:spacing w:after="0" w:line="259" w:lineRule="auto"/>
        <w:tabs>
          <w:tab w:leader="none" w:pos="1246" w:val="left"/>
        </w:tabs>
        <w:numPr>
          <w:ilvl w:val="0"/>
          <w:numId w:val="33"/>
        </w:numPr>
        <w:rPr>
          <w:rFonts w:ascii="Arial" w:cs="Arial" w:eastAsia="Arial" w:hAnsi="Arial"/>
          <w:sz w:val="18"/>
          <w:szCs w:val="18"/>
          <w:u w:val="single" w:color="auto"/>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absent a demonstrable error,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u w:val="single" w:color="auto"/>
          <w:color w:val="auto"/>
        </w:rPr>
      </w:pPr>
    </w:p>
    <w:p>
      <w:pPr>
        <w:ind w:right="40" w:firstLine="987"/>
        <w:spacing w:after="0" w:line="275" w:lineRule="auto"/>
        <w:tabs>
          <w:tab w:leader="none" w:pos="12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Section 10.04) be represented by one or more promissory notes in such form payable to the payee named therein (or, if such promissory note is a registered note, to such payee and its registered assigns).</w:t>
      </w:r>
    </w:p>
    <w:p>
      <w:pPr>
        <w:spacing w:after="0" w:line="176"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xml:space="preserve">. (a) The Borrower shall have the right at any time and from time to time to prepay or repay any Borrowing in whole or in part, subject to prior notice in accordance with paragraph (c)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have the right to prepay any Competitive Loan without the prior consent of the Lender thereof.</w:t>
      </w:r>
    </w:p>
    <w:p>
      <w:pPr>
        <w:spacing w:after="0" w:line="184" w:lineRule="exact"/>
        <w:rPr>
          <w:sz w:val="20"/>
          <w:szCs w:val="20"/>
          <w:color w:val="auto"/>
        </w:rPr>
      </w:pPr>
    </w:p>
    <w:p>
      <w:pPr>
        <w:ind w:firstLine="987"/>
        <w:spacing w:after="0" w:line="269" w:lineRule="auto"/>
        <w:tabs>
          <w:tab w:leader="none" w:pos="1246"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the sum of the Revolving Credit Exposures exceeds the sum of the Commitments, the Borrower shall, not later than the next Business Day following receipt of notice of such excess from the Administrative Agent, prepay Revolving Borrowings in an aggregate amount equal to such excess, and in the event that after such prepayment of Revolving Borrowings any such excess shall remain, the Borrower shall deposit cash in an amount equal to such excess as collateral for the reimbursement obligations of the Borrower in respect of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excess results from a change in currency exchange rates, such prepayment and deposit shall be required to be made not later than the fifth Business Day after the day on which the Administrative Agent shall have given the Borrower notice of such excess. Any cash so deposited (and any cash previously deposited pursuant to this paragraph) with the Administrative Agent shall be held in an account over which the Administrative Agent shall have sole dominion and control, including exclusive rights of withdrawal. Other than any interest earned on the investment of such deposits, which investment shall be made in the discretion of the Administrative Agent and at the Borrower’s risk and expense, such deposits shall not bear interest. Interest or profits, if any, on such investments shall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1" w:name="page52"/>
    <w:bookmarkEnd w:id="51"/>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accumulate in such account. Moneys in such account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holding a majority of the LC Exposures), be applied to satisfy other obligations of the Borrower under this Agreement. If the Borrower has provided cash collateral to secure the reimbursement obligations of the Borrower in respect of Letters of Credit, then, so long as no Event of Default shall exist, such cash collateral shall be released to the Borrower if so requested by the Borrower at any time if and to the extent that, after giving effect to such release, the aggregate amount of the Revolving Credit Exposures would not exceed the aggregate amount of the Commitments.</w:t>
      </w:r>
    </w:p>
    <w:p>
      <w:pPr>
        <w:spacing w:after="0" w:line="166" w:lineRule="exact"/>
        <w:rPr>
          <w:sz w:val="20"/>
          <w:szCs w:val="20"/>
          <w:color w:val="auto"/>
        </w:rPr>
      </w:pPr>
    </w:p>
    <w:p>
      <w:pPr>
        <w:ind w:firstLine="987"/>
        <w:spacing w:after="0" w:line="286" w:lineRule="auto"/>
        <w:tabs>
          <w:tab w:leader="none" w:pos="12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(which notice may be by telephone if promptly confirmed by email or other permitted electronic communication) of any prepayment hereunder (i) in the case of prepayment of a Term SOFR Borrowing or a Daily Simple SOFR Loan, not later than 11:00 a.m., New York City time, three Business Days before the date of prepayment or (ii) in the case of prepayment of an ABR Borrowing, not later than 11:00 a.m., New York City time, one Business Day before the date of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prepayment required to be made within one Business Day under paragraph (b) above the Borrower will give such notice as soon as practicable.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may state that such notice is conditioned upon the occurrence of one or more events specified therein, in which case such notice may be revoked by the Borrower (by notice to the Administrative Agent on or prior to the specified date of prepayment) if such condition is not satisfied.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except as necessary to apply fully the required amount of a mandatory prepayment. Each prepayment of a Revolving Borrowing shall be applied ratably to the Loans included in the prepaid Borrowing. Prepayments shall be accompanied by accrued interest to the extent required by Section 2.12 and, subject to Section 2.15, shall be without premium or penalty.</w:t>
      </w:r>
    </w:p>
    <w:p>
      <w:pPr>
        <w:spacing w:after="0" w:line="174"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Borrower agrees to pay to the Administrative Agent for the account of each Lender a commitment fee, which shall accrue at the Applicable Rate on the average daily unused amount of the Commitment of such Lender during the period from and including the Effective Date to but excluding the date on which such Commitment terminates. Commitment fees accrued through and including the last day of March, June, September and December of each year shall be payable on the 15th day following such last day, commencing on the first such date to occur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accrued commitment fees shall be payable on the date on which the Commitments terminate. All commitment fees shall be computed on the basis of a year of 360 days and shall be payable for the actual number of days elapsed (including the first day but excluding the last day).</w:t>
      </w:r>
    </w:p>
    <w:p>
      <w:pPr>
        <w:spacing w:after="0" w:line="195" w:lineRule="exact"/>
        <w:rPr>
          <w:sz w:val="20"/>
          <w:szCs w:val="20"/>
          <w:color w:val="auto"/>
        </w:rPr>
      </w:pPr>
    </w:p>
    <w:p>
      <w:pPr>
        <w:ind w:right="540" w:firstLine="987"/>
        <w:spacing w:after="0" w:line="342" w:lineRule="auto"/>
        <w:tabs>
          <w:tab w:leader="none" w:pos="12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Borrower agrees to pay (i) to the Administrative Agent for the account of each Lender a participation fee with respect to its participations in Financial Letters of Credit and Performance Letters of Credit, which fee shall accrue on each day at the Applicable LC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Participation Fee Rate for Financial Letters of Credit or Performance Letters of Credit, as the case may be, on the average daily amount of such Lender’s LC Exposure attributable to Financial Letters of Credit or Performance Letters of Credit, respectively (excluding any portion thereof attributable to unreimbursed LC Disbursements), in each case during the period from and including the Effective Date to but excluding the later of the date on which such Lender’s Commitment terminates and the date on which such Lender ceases to have any LC Exposure, (ii) to each Issuing Bank, for its own account, a fronting fee, which shall accrue at the rate or rates per annum separately agreed upon between the Borrower and such Issuing Bank on the average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Commitments and the date on which there ceases to be any LC Exposure, and (iii) to each Issuing Bank, for its own account, such Issuing Bank’s standard fees (or such other fees as may be agreed to by such Issuing Bank and the Borrower from time to time) with respect to the amendment or extension of any Letter of Credit issued by it or processing of drawings thereunder. Participation fees and fronting fees accrued through and including the last day of March, June, September and December of each year shall be payable on the 15th day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accrued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67" w:lineRule="exact"/>
        <w:rPr>
          <w:sz w:val="20"/>
          <w:szCs w:val="20"/>
          <w:color w:val="auto"/>
        </w:rPr>
      </w:pPr>
    </w:p>
    <w:p>
      <w:pPr>
        <w:ind w:right="200" w:firstLine="987"/>
        <w:spacing w:after="0" w:line="277"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in writing between the Borrower and the Administrative Agent.</w:t>
      </w:r>
    </w:p>
    <w:p>
      <w:pPr>
        <w:spacing w:after="0" w:line="170" w:lineRule="exact"/>
        <w:rPr>
          <w:rFonts w:ascii="Arial" w:cs="Arial" w:eastAsia="Arial" w:hAnsi="Arial"/>
          <w:sz w:val="18"/>
          <w:szCs w:val="18"/>
          <w:color w:val="auto"/>
        </w:rPr>
      </w:pPr>
    </w:p>
    <w:p>
      <w:pPr>
        <w:ind w:right="300" w:firstLine="987"/>
        <w:spacing w:after="0" w:line="263"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Interest</w:t>
      </w:r>
      <w:r>
        <w:rPr>
          <w:rFonts w:ascii="Arial" w:cs="Arial" w:eastAsia="Arial" w:hAnsi="Arial"/>
          <w:sz w:val="16"/>
          <w:szCs w:val="16"/>
          <w:color w:val="auto"/>
        </w:rPr>
        <w:t>. (a) The Loans comprising each ABR Borrowing shall bear interest at the Alternate Base Rate plus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right="60" w:firstLine="987"/>
        <w:spacing w:after="0" w:line="311" w:lineRule="auto"/>
        <w:tabs>
          <w:tab w:leader="none" w:pos="12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Loans comprising each Term SOFR Borrowing shall bear interest (i) in the case of a Term SOFR Revolving Loan, at the Adjusted Term SOFR for the Interest Period in effect for such Borrowing plus the Applicable Rate, or (ii) in the case of a Term SOFR Competitive Loan, at the Adjusted Term SOFR for the Interest Period in effect for such Borrowing plus (or minus, as applicable) the Margin applicable to such Loan.</w:t>
      </w:r>
    </w:p>
    <w:p>
      <w:pPr>
        <w:spacing w:after="0" w:line="148" w:lineRule="exact"/>
        <w:rPr>
          <w:rFonts w:ascii="Arial" w:cs="Arial" w:eastAsia="Arial" w:hAnsi="Arial"/>
          <w:sz w:val="16"/>
          <w:szCs w:val="16"/>
          <w:color w:val="auto"/>
        </w:rPr>
      </w:pPr>
    </w:p>
    <w:p>
      <w:pPr>
        <w:ind w:right="260" w:firstLine="987"/>
        <w:spacing w:after="0" w:line="277" w:lineRule="auto"/>
        <w:tabs>
          <w:tab w:leader="none" w:pos="12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Loans comprising each Daily Simple SOFR Borrowing (if such Type of Borrowing is applicable pursuant to Section 2.13) shall bear interest at the Adjusted Daily Simple SOFR plus the Applicable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3" w:name="page54"/>
    <w:bookmarkEnd w:id="53"/>
    <w:p>
      <w:pPr>
        <w:ind w:left="1244" w:hanging="253"/>
        <w:spacing w:after="0"/>
        <w:tabs>
          <w:tab w:leader="none" w:pos="1244"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Fixed Rate Loan shall bear interest at the Fixed Rate applicable to such Loan.</w:t>
      </w:r>
    </w:p>
    <w:p>
      <w:pPr>
        <w:spacing w:after="0" w:line="225" w:lineRule="exact"/>
        <w:rPr>
          <w:rFonts w:ascii="Arial" w:cs="Arial" w:eastAsia="Arial" w:hAnsi="Arial"/>
          <w:sz w:val="18"/>
          <w:szCs w:val="18"/>
          <w:color w:val="auto"/>
        </w:rPr>
      </w:pPr>
    </w:p>
    <w:p>
      <w:pPr>
        <w:ind w:left="4" w:right="60" w:firstLine="987"/>
        <w:spacing w:after="0" w:line="286" w:lineRule="auto"/>
        <w:tabs>
          <w:tab w:leader="none" w:pos="12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Notwithstanding the foregoing, if any principal of or interest on any Loan, any LC Disbursement or any fee payable by the Borrower hereunder is not paid when due, whether at stated maturity, upon acceleration or otherwise, such overdue amount shall bear interest, after as well as before judgment, at a rate per annum equal to (i) in the case of overdue principal of any Loan or any LC Disbursement, 2% per annum plus the rate otherwise applicable to such Loan as provided in the preceding paragraphs of this Section or to such LC Disbursement as provided in Section 2.05(h)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other amount, 2% per annum plus the rate applicable to ABR Loans as provided in paragraph (a) of this Section.</w:t>
      </w:r>
    </w:p>
    <w:p>
      <w:pPr>
        <w:spacing w:after="0" w:line="210" w:lineRule="exact"/>
        <w:rPr>
          <w:rFonts w:ascii="Arial" w:cs="Arial" w:eastAsia="Arial" w:hAnsi="Arial"/>
          <w:sz w:val="18"/>
          <w:szCs w:val="18"/>
          <w:color w:val="auto"/>
        </w:rPr>
      </w:pPr>
    </w:p>
    <w:p>
      <w:pPr>
        <w:jc w:val="both"/>
        <w:ind w:left="4" w:right="240" w:firstLine="987"/>
        <w:spacing w:after="0" w:line="291" w:lineRule="auto"/>
        <w:tabs>
          <w:tab w:leader="none" w:pos="1220" w:val="left"/>
        </w:tabs>
        <w:numPr>
          <w:ilvl w:val="1"/>
          <w:numId w:val="40"/>
        </w:numPr>
        <w:rPr>
          <w:rFonts w:ascii="Arial" w:cs="Arial" w:eastAsia="Arial" w:hAnsi="Arial"/>
          <w:sz w:val="16"/>
          <w:szCs w:val="16"/>
          <w:u w:val="single" w:color="auto"/>
          <w:color w:val="auto"/>
        </w:rPr>
      </w:pPr>
      <w:r>
        <w:rPr>
          <w:rFonts w:ascii="Arial" w:cs="Arial" w:eastAsia="Arial" w:hAnsi="Arial"/>
          <w:sz w:val="16"/>
          <w:szCs w:val="16"/>
          <w:color w:val="auto"/>
        </w:rPr>
        <w:t xml:space="preserve">Accrued interest on each Loan shall be payable in arrears on each Interest Payment Date for such Loan and, in the case of Revolving Loans,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(e) of this Section shall be payable on demand,</w:t>
      </w:r>
    </w:p>
    <w:p>
      <w:pPr>
        <w:ind w:left="4" w:right="20" w:hanging="4"/>
        <w:spacing w:after="0" w:line="253" w:lineRule="auto"/>
        <w:tabs>
          <w:tab w:leader="none" w:pos="2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SOFR Revolving Loan prior to the end of the current Interest Period therefor, accrued interest on such Loan shall be payable on the effective date of such conversion.</w:t>
      </w:r>
    </w:p>
    <w:p>
      <w:pPr>
        <w:spacing w:after="0" w:line="192" w:lineRule="exact"/>
        <w:rPr>
          <w:rFonts w:ascii="Arial" w:cs="Arial" w:eastAsia="Arial" w:hAnsi="Arial"/>
          <w:sz w:val="18"/>
          <w:szCs w:val="18"/>
          <w:color w:val="auto"/>
        </w:rPr>
      </w:pPr>
    </w:p>
    <w:p>
      <w:pPr>
        <w:jc w:val="both"/>
        <w:ind w:left="4" w:right="60" w:firstLine="987"/>
        <w:spacing w:after="0" w:line="257" w:lineRule="auto"/>
        <w:tabs>
          <w:tab w:leader="none" w:pos="12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A determination of the applicable Alternate Base Rate, Adjusted Term SOFR or Adjusted Daily Simple SOFR by the Administrative Agent shall be conclusive absent manifest error.</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Section 2.13(b), if:</w:t>
      </w:r>
    </w:p>
    <w:p>
      <w:pPr>
        <w:spacing w:after="0" w:line="117" w:lineRule="exact"/>
        <w:rPr>
          <w:rFonts w:ascii="Arial" w:cs="Arial" w:eastAsia="Arial" w:hAnsi="Arial"/>
          <w:sz w:val="18"/>
          <w:szCs w:val="18"/>
          <w:color w:val="auto"/>
        </w:rPr>
      </w:pPr>
    </w:p>
    <w:p>
      <w:pPr>
        <w:ind w:left="984" w:firstLine="408"/>
        <w:spacing w:after="0" w:line="301" w:lineRule="auto"/>
        <w:tabs>
          <w:tab w:leader="none" w:pos="16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(A) prior to the commencement of any Interest Period for a Term SOFR Borrowing, that adequate and reasonable means do not exist for ascertaining the Adjusted Term SOFR for such Interest Period (including because the Term SOFR Reference Rate is not available or published on a current basis) or (B) at any time, that adequate and reasonable means do not exist for ascertaining the applicable Adjusted Daily Simple SOFR; or</w:t>
      </w:r>
    </w:p>
    <w:p>
      <w:pPr>
        <w:spacing w:after="0" w:line="49" w:lineRule="exact"/>
        <w:rPr>
          <w:rFonts w:ascii="Arial" w:cs="Arial" w:eastAsia="Arial" w:hAnsi="Arial"/>
          <w:sz w:val="16"/>
          <w:szCs w:val="16"/>
          <w:color w:val="auto"/>
        </w:rPr>
      </w:pPr>
    </w:p>
    <w:p>
      <w:pPr>
        <w:ind w:left="984" w:right="100" w:firstLine="408"/>
        <w:spacing w:after="0" w:line="257" w:lineRule="auto"/>
        <w:tabs>
          <w:tab w:leader="none" w:pos="16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(A) prior to the commencement of any Interest Period for a Term SOFR Borrowing, that the Adjusted Term SOFR for such Interest Period will not adequately and fairly reflect the cost to such Lenders of making or maintaining their Loans included in such Borrowing for such Interest Period or (B) at any time, that the Adjusted Daily Simple SOFR will not adequately and fairly reflect the cost to such Lenders of making or maintaining their Loans included in any Daily Simple SOFR Borrowing;</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54" w:name="page55"/>
    <w:bookmarkEnd w:id="54"/>
    <w:p>
      <w:pPr>
        <w:ind w:left="44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Administrative Agent shall give notice thereof to the Borrower and the Lenders (which may be by telephone if promptly confirmed by email or, in the case of the Lenders, other electronic communication) as promptly as practicable thereafter and, until (x) the Administrative Agent notifies the Borrower and the Lenders that the circumstances giving rise to such notice no longer exist with respect to the relevant Benchmark and</w:t>
      </w:r>
    </w:p>
    <w:p>
      <w:pPr>
        <w:spacing w:after="0" w:line="2" w:lineRule="exact"/>
        <w:rPr>
          <w:sz w:val="20"/>
          <w:szCs w:val="20"/>
          <w:color w:val="auto"/>
        </w:rPr>
      </w:pPr>
    </w:p>
    <w:p>
      <w:pPr>
        <w:ind w:left="440" w:right="40" w:hanging="4"/>
        <w:spacing w:after="0" w:line="267" w:lineRule="auto"/>
        <w:tabs>
          <w:tab w:leader="none" w:pos="6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Borrower delivers a new Interest Election Request in accordance with Section 2.07 or a new Borrowing Request in accordance with Section 2.03, any Interest Election Request that requests the conversion of any Revolving Borrowing to, or continuation of any Revolving Borrowing as, an affected Term SOFR Borrowing and any Borrowing Request that requests an affected Term SOFR Borrowing shall instead be deemed to be an Interest Election Request or a Borrowing Request, as applicable, for (x) a Daily Simple SOFR Borrowing so long as the Adjusted Daily Simple SOFR is not also the subject of Section 2.13(a)(i) or 2.13(a)(ii) or (y) an ABR Borrowing if the Adjusted Daily Simple SOFR also is the subject of Section 2.13(a)(i) or 2.13(a)(ii). Furthermore, if any Term SOFR Loan is outstanding on the date of the Borrower’s receipt of the notice from the Administrative Agent referred to in this Section 2.13(a) with respect to the Adjusted Term SOFR, then until (x) the Administrative Agent notifies the Borrower and the Lenders that the circumstances giving rise to such notice no longer exist with respect to the Adjusted Term SOFR and (y) the Borrower delivers a new Interest Election Request in accordance with the terms of Section 2.07, any affected Term SOFR Loan shall, on the last day of the Interest Period applicable to such Loan, convert to, and shall constitute, (x) a Daily Simple SOFR Loan for so long as the Adjusted Daily Simple SOFR is not also the subject of Section 2.13(a)(i) or 2.13(a)(ii) or (y) an ABR Loan if the Adjusted Daily Simple SOFR also is the subject of Section 2.13(a)(i) or 2.13(a)(ii).</w:t>
      </w:r>
    </w:p>
    <w:p>
      <w:pPr>
        <w:spacing w:after="0" w:line="184" w:lineRule="exact"/>
        <w:rPr>
          <w:rFonts w:ascii="Arial" w:cs="Arial" w:eastAsia="Arial" w:hAnsi="Arial"/>
          <w:sz w:val="17"/>
          <w:szCs w:val="17"/>
          <w:color w:val="auto"/>
        </w:rPr>
      </w:pPr>
    </w:p>
    <w:p>
      <w:pPr>
        <w:ind w:right="60" w:firstLine="987"/>
        <w:spacing w:after="0" w:line="293" w:lineRule="auto"/>
        <w:tabs>
          <w:tab w:leader="none" w:pos="1246" w:val="left"/>
        </w:tabs>
        <w:numPr>
          <w:ilvl w:val="1"/>
          <w:numId w:val="43"/>
        </w:numPr>
        <w:rPr>
          <w:rFonts w:ascii="Arial" w:cs="Arial" w:eastAsia="Arial" w:hAnsi="Arial"/>
          <w:sz w:val="16"/>
          <w:szCs w:val="16"/>
          <w:color w:val="auto"/>
        </w:rPr>
      </w:pPr>
      <w:r>
        <w:rPr>
          <w:rFonts w:ascii="Arial" w:cs="Arial" w:eastAsia="Arial" w:hAnsi="Arial"/>
          <w:sz w:val="16"/>
          <w:szCs w:val="16"/>
          <w:color w:val="auto"/>
        </w:rPr>
        <w:t>(i) 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other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constituting the Required Lenders.</w:t>
      </w:r>
    </w:p>
    <w:p>
      <w:pPr>
        <w:spacing w:after="0" w:line="56" w:lineRule="exact"/>
        <w:rPr>
          <w:rFonts w:ascii="Arial" w:cs="Arial" w:eastAsia="Arial" w:hAnsi="Arial"/>
          <w:sz w:val="16"/>
          <w:szCs w:val="16"/>
          <w:color w:val="auto"/>
        </w:rPr>
      </w:pPr>
    </w:p>
    <w:p>
      <w:pPr>
        <w:ind w:left="980" w:firstLine="408"/>
        <w:spacing w:after="0" w:line="301" w:lineRule="auto"/>
        <w:tabs>
          <w:tab w:leader="none" w:pos="1646" w:val="left"/>
        </w:tabs>
        <w:numPr>
          <w:ilvl w:val="2"/>
          <w:numId w:val="43"/>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55" w:name="page56"/>
    <w:bookmarkEnd w:id="55"/>
    <w:p>
      <w:pPr>
        <w:ind w:left="-20" w:right="40" w:firstLine="408"/>
        <w:spacing w:after="0" w:line="270" w:lineRule="auto"/>
        <w:tabs>
          <w:tab w:leader="none" w:pos="696"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will promptly notify the Borrower and the Lenders of (A) any occurrence of a Benchmark Transition Event, (B) the implementation of any Benchmark Replacement, (C) the effectiveness of any Benchmark Replacement Conforming Changes, (D) the removal or reinstatement of any tenor of a Benchmark pursuant to clause (iv) below and (E) the commencement or conclusion of any Benchmark Unavailability Period. Any determination, decision or election that may be made by the Administrative Agent or, if applicable, any Lender (or group of Lenders) pursuant to this Section 2.13(b),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2.13(b).</w:t>
      </w:r>
    </w:p>
    <w:p>
      <w:pPr>
        <w:spacing w:after="0" w:line="72" w:lineRule="exact"/>
        <w:rPr>
          <w:rFonts w:ascii="Arial" w:cs="Arial" w:eastAsia="Arial" w:hAnsi="Arial"/>
          <w:sz w:val="17"/>
          <w:szCs w:val="17"/>
          <w:color w:val="auto"/>
        </w:rPr>
      </w:pPr>
    </w:p>
    <w:p>
      <w:pPr>
        <w:ind w:left="-20" w:firstLine="408"/>
        <w:spacing w:after="0" w:line="269" w:lineRule="auto"/>
        <w:tabs>
          <w:tab w:leader="none" w:pos="686"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(A) if the then-current Benchmark is a term rate (including Term SOFR)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73" w:lineRule="exact"/>
        <w:rPr>
          <w:rFonts w:ascii="Arial" w:cs="Arial" w:eastAsia="Arial" w:hAnsi="Arial"/>
          <w:sz w:val="17"/>
          <w:szCs w:val="17"/>
          <w:color w:val="auto"/>
        </w:rPr>
      </w:pPr>
    </w:p>
    <w:p>
      <w:pPr>
        <w:ind w:left="-20" w:firstLine="408"/>
        <w:spacing w:after="0" w:line="254" w:lineRule="auto"/>
        <w:tabs>
          <w:tab w:leader="none" w:pos="6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borrowing of, conversion to or continuation of Term SOFR Loans to be made, converted or continued during any Benchmark Unavailability Period and, failing that, the Borrower will be deemed to have converted any request for a Term SOFR Borrowing into a request for a borrowing of or conversion to (A) a Daily Simple SOFR Borrowing so long as the Adjusted Daily Simple SOFR is not the subject of a Benchmark Transition Event or (B) an ABR Borrowing if the Adjusted Daily Simple SOFR is the subject of a Benchmark Transition Event. Furthermore, if any Term SOFR Loan is outstanding on the date of the Borrower’s receipt of notice of the commencement of a Benchmark Unavailability Period with respect to the Adjusted Term SOFR, then until such time as a Benchmark Replacement is</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980"/>
          </w:cols>
          <w:pgMar w:left="1440" w:top="274" w:right="479" w:bottom="1440" w:gutter="0" w:footer="0" w:header="0"/>
        </w:sectPr>
      </w:pPr>
    </w:p>
    <w:bookmarkStart w:id="56" w:name="page57"/>
    <w:bookmarkEnd w:id="56"/>
    <w:p>
      <w:pPr>
        <w:ind w:left="980"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implemented pursuant to this Section 2.13(b), any Term SOFR Loan shall, on the last day of the Interest Period applicable to such Loan, convert to, and shall constitute, (x) a Daily Simple SOFR Loan so long as the Adjusted Daily Simple SOFR is not the subject of a Benchmark Transition Event or (y) an ABR Loan if the Adjusted Daily Simple SOFR is the subject of a Benchmark Transition Event.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7" w:lineRule="exact"/>
        <w:rPr>
          <w:sz w:val="20"/>
          <w:szCs w:val="20"/>
          <w:color w:val="auto"/>
        </w:rPr>
      </w:pPr>
    </w:p>
    <w:p>
      <w:pPr>
        <w:ind w:left="980" w:right="60" w:firstLine="408"/>
        <w:spacing w:after="0" w:line="277" w:lineRule="auto"/>
        <w:tabs>
          <w:tab w:leader="none" w:pos="15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impose, modify or deem applicable any reserve, liquidity, special deposit or similar requirement against assets of, deposits with or for the account of, or credit extended by, any Lender or any Issuing Bank;</w:t>
      </w:r>
    </w:p>
    <w:p>
      <w:pPr>
        <w:spacing w:after="0" w:line="62" w:lineRule="exact"/>
        <w:rPr>
          <w:rFonts w:ascii="Arial" w:cs="Arial" w:eastAsia="Arial" w:hAnsi="Arial"/>
          <w:sz w:val="18"/>
          <w:szCs w:val="18"/>
          <w:color w:val="auto"/>
        </w:rPr>
      </w:pPr>
    </w:p>
    <w:p>
      <w:pPr>
        <w:ind w:left="980" w:right="20" w:firstLine="408"/>
        <w:spacing w:after="0" w:line="263" w:lineRule="auto"/>
        <w:tabs>
          <w:tab w:leader="none" w:pos="16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any Lender or any Issuing Bank to any Taxes (other than (A) Indemnified Taxes and (B) Excluded Taxes) on its loans, loan principal, letters of credit, commitments, or other obligations under this Agreement, or its deposits, reserves, other liabilities or capital attributable thereto; or</w:t>
      </w:r>
    </w:p>
    <w:p>
      <w:pPr>
        <w:spacing w:after="0" w:line="75" w:lineRule="exact"/>
        <w:rPr>
          <w:rFonts w:ascii="Arial" w:cs="Arial" w:eastAsia="Arial" w:hAnsi="Arial"/>
          <w:sz w:val="18"/>
          <w:szCs w:val="18"/>
          <w:color w:val="auto"/>
        </w:rPr>
      </w:pPr>
    </w:p>
    <w:p>
      <w:pPr>
        <w:ind w:left="980" w:right="340" w:firstLine="408"/>
        <w:spacing w:after="0" w:line="277" w:lineRule="auto"/>
        <w:tabs>
          <w:tab w:leader="none" w:pos="1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impose on any Lender or any Issuing Bank any other condition affecting this Agreement or Term SOFR Loans or Fixed Rate Loans made by such Lender or any Letter of Credit or participation therein (other than Taxes);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Term SOFR Loan or Fixed Rate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in each case by an amount deemed by that Lender or Issuing Bank in good faith to be material, then, subject to paragraph (c) of this Section, the Borrower will pay to such Lender or such Issuing Bank, as the case may be, such additional amount or amounts as will compensate such Lender or such Issuing Bank, as the case may be, for such additional costs incurred or reduction suffered (as imposed by such Change in Law).</w:t>
      </w:r>
    </w:p>
    <w:p>
      <w:pPr>
        <w:spacing w:after="0" w:line="195" w:lineRule="exact"/>
        <w:rPr>
          <w:sz w:val="20"/>
          <w:szCs w:val="20"/>
          <w:color w:val="auto"/>
        </w:rPr>
      </w:pPr>
    </w:p>
    <w:p>
      <w:pPr>
        <w:ind w:right="80" w:firstLine="987"/>
        <w:spacing w:after="0" w:line="270" w:lineRule="auto"/>
        <w:tabs>
          <w:tab w:leader="none" w:pos="12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any Lender or any Issuing Bank determines that any Change in Law regarding capital or liquidity requirements has had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in each case by an amount deemed by that Lender in good faith to be material, then, subject to paragraph (c) of this Section,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57" w:name="page58"/>
    <w:bookmarkEnd w:id="57"/>
    <w:p>
      <w:pPr>
        <w:ind w:right="100" w:firstLine="987"/>
        <w:spacing w:after="0" w:line="285" w:lineRule="auto"/>
        <w:tabs>
          <w:tab w:leader="none" w:pos="1236"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certificate of a Lender or an Issuing Bank setting forth the amount or amounts necessary to compensate such Lender or such Issuing Bank or its holding company, as the case may be, as specified in paragraph (a) or (b) of this Section and setting forth the basis for the determination thereof, together with supporting calculations, shall be delivered to the Borrower and shall be conclusive absent manifest error. In determining such amount or amounts, such Lender or such Issuing Bank shall act reasonably and in good faith, and may use any reasonable averaging and attribution methods. The Borrower shall pay such Lender or such Issuing Bank, as the case may be, the amount shown as due on any such certificate within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 Business Days after receipt thereof.</w:t>
      </w:r>
    </w:p>
    <w:p>
      <w:pPr>
        <w:spacing w:after="0" w:line="210" w:lineRule="exact"/>
        <w:rPr>
          <w:rFonts w:ascii="Arial" w:cs="Arial" w:eastAsia="Arial" w:hAnsi="Arial"/>
          <w:sz w:val="16"/>
          <w:szCs w:val="16"/>
          <w:color w:val="auto"/>
        </w:rPr>
      </w:pPr>
    </w:p>
    <w:p>
      <w:pPr>
        <w:ind w:right="20" w:firstLine="987"/>
        <w:spacing w:after="0" w:line="293" w:lineRule="auto"/>
        <w:tabs>
          <w:tab w:leader="none" w:pos="1246"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an Issuing Bank pursuant to this Section for any increased costs or reductions incurred more than 90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90-day period referred to above shall be extended to include the period of retroactive effect thereof.</w:t>
      </w:r>
    </w:p>
    <w:p>
      <w:pPr>
        <w:spacing w:after="0" w:line="164" w:lineRule="exact"/>
        <w:rPr>
          <w:rFonts w:ascii="Arial" w:cs="Arial" w:eastAsia="Arial" w:hAnsi="Arial"/>
          <w:sz w:val="16"/>
          <w:szCs w:val="16"/>
          <w:color w:val="auto"/>
        </w:rPr>
      </w:pPr>
    </w:p>
    <w:p>
      <w:pPr>
        <w:ind w:firstLine="987"/>
        <w:spacing w:after="0" w:line="255" w:lineRule="auto"/>
        <w:tabs>
          <w:tab w:leader="none" w:pos="12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(i) a Lender shall not be entitled to compensation pursuant to this Section in respect of any Competitive Loan if the Change in Law that would otherwise entitle it to such compensation shall have been publicly announced prior to submission of the Competitive Bid pursuant to which such Loan was made and (ii) no Lender or Issuing Bank shall request, or be entitled to receive, any compensation pursuant to this Section unless it shall be the general policy and practice of such Lender or Issuing Bank to seek corresponding compensation from similarly situated companies under other similar U.S. syndicated credit agreements (to the extent such Lender or Issuing Bank has the right to claim such compensation under such similar credit agreements).</w:t>
      </w:r>
    </w:p>
    <w:p>
      <w:pPr>
        <w:spacing w:after="0" w:line="192"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In the event of (a) the payment of any principal of any Term SOFR Loan or Fixed Rate Loan other than on the last day of an Interest Period applicable thereto (including as a result of an Event of Default), (b) the conversion of any Term SOFR Loan other than on the last day of the Interest Period applicable thereto, (c) the failure to borrow, convert, continue or prepay any Term SOFR Loan or Fixed Rate Loan on the date specified in any notice delivered pursuant hereto (regardless of whether such notice may be revoked under Section 2.10(c) and is revoked in accordance therewith, but other than as contemplated under Section 2.13 and other than any failure to borrow as a result of a failure to make a Loan by any Lender as required hereunder), (d) the failure to borrow any Competitive Loan after accepting the Competitive Bid to make such Loan (other than as contemplated under Section 2.13 and other than any failure to borrow as a result of a failure to make such Loan by any Lender as required hereunder), or (e) the assignment of any Term SOFR Loan or Fixed Rate Loan other than on the last day of the Interest Period applicable thereto as a result of a request by the Borrower pursuant to Section 2.18, then, in any such event, the Borrower shall compensate each affected Lender for the actual loss, cost and expense suffered or incurred by such Lender that is attributable to such event (which loss, cost or expense will not be deemed to include lost profit).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58" w:name="page59"/>
    <w:bookmarkEnd w:id="58"/>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certificate of any Lender setting forth any amount or amounts that such Lender is entitled to receive pursuant to this Section and setting forth the basis for the determination thereof, together with supporting calculations, shall be delivered to the Borrower and shall be conclusive absent manifest error. In determining such amount or amounts, such Lender shall act reasonably and in good faith. The Borrower shall pay such Lender the amount shown as due on any such certificate within 10 Business Days after receipt thereof.</w:t>
      </w:r>
    </w:p>
    <w:p>
      <w:pPr>
        <w:spacing w:after="0" w:line="187"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Any and all payments by or on account of any obligation of any Loan Party hereunder shall be made free and clear of and without deduction for any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applicable withholding agent shall be required to deduct any Taxes from such payments, then (i) if such Tax is an Indemnified Tax,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applicable withholding agent shall make such deductions and (iii) the applicable withholding agent shall pay the full amount deducted to the relevant Governmental Authority in accordance with applicable law.</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 In addition, the Loan Parties shall timely pay any Other Taxes to the relevant Governmental Authority in accordance with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firstLine="987"/>
        <w:spacing w:after="0" w:line="291" w:lineRule="auto"/>
        <w:tabs>
          <w:tab w:leader="none" w:pos="12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Loan Parties shall indemnify the Administrative Agent, each Lender and each Issuing Bank, within 10 Business Days after written demand therefor, for the full amount of any Indemnified Taxes paid by the Administrative Agent, such Lender or such Issuing Bank, as the case may be, on or with respect to any payment by or on account of any obligation of the Loan Parties hereunder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Loan Party and setting forth the basis for the determination thereof, by a Lender or an Issuing Bank, or by the Administrative Agent on its own behalf or on behalf of a Lender or an Issuing Bank, shall be conclusive absent manifest error.</w:t>
      </w:r>
    </w:p>
    <w:p>
      <w:pPr>
        <w:spacing w:after="0" w:line="166" w:lineRule="exact"/>
        <w:rPr>
          <w:rFonts w:ascii="Arial" w:cs="Arial" w:eastAsia="Arial" w:hAnsi="Arial"/>
          <w:sz w:val="16"/>
          <w:szCs w:val="16"/>
          <w:color w:val="auto"/>
        </w:rPr>
      </w:pPr>
    </w:p>
    <w:p>
      <w:pPr>
        <w:ind w:right="180" w:firstLine="987"/>
        <w:spacing w:after="0" w:line="289" w:lineRule="auto"/>
        <w:tabs>
          <w:tab w:leader="none" w:pos="12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Lender and each Issuing Bank shall severally indemnify the Administrative Agent for any Taxes (but, in the case of any Indemnified Taxes, only to the extent that the Borrower has not already indemnified the Administrative Agent for such Indemnified Taxes and without limiting the obligation of the Borrower to do so) attributable to such Lender or such Issuing Bank that are paid or payable by the Administrative Agent in connection with this Agreement and any reasonable expenses arising therefrom or with respect thereto, whether or not such Taxes were correctly or legally imposed or asserted by the relevant Governmental Authority. Each Lender shall severally indemnify (i) the Administrative Agent and the Borrower against any Taxes attributable to such Lender’s failure to comply with the provisions of Section 10.04(c)(i) relating to the maintenance of a Participant Register and (ii) the Borrower against any Excluded Taxes attributable to such Lender that are directly imposed on the Borrower, in each case that are payable or paid by the Administrative Agent or the Borrower in connection with this Agreement, and any reasonable expenses arising therefrom or with respect thereto, whether or not such Taxes were correctly or legally imposed or asserted by the relevant Governmental Authority.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59" w:name="page60"/>
    <w:bookmarkEnd w:id="59"/>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a Lender’s obligations to indemnify under clause (ii) of the preceding sentence shall survive only until the earlier of (A) the termination of this Agreement and (B) the date such Lender ceases to be a party under this Agreement pursuant to an Assignment and Assumption. The indemnity under this Section 2.16(d) shall be paid within 10 Business Days after the Administrative Agent or Borrower, as applicable, delivers to the applicable Lender a certificate stating the amount of Taxes so paid or payable by the Administrative Agent or Borrower, as applicable. Such certificate shall be conclusive of the amount so paid or payable absent manifest error.</w:t>
      </w:r>
    </w:p>
    <w:p>
      <w:pPr>
        <w:spacing w:after="0" w:line="176" w:lineRule="exact"/>
        <w:rPr>
          <w:sz w:val="20"/>
          <w:szCs w:val="20"/>
          <w:color w:val="auto"/>
        </w:rPr>
      </w:pPr>
    </w:p>
    <w:p>
      <w:pPr>
        <w:ind w:firstLine="987"/>
        <w:spacing w:after="0" w:line="311" w:lineRule="auto"/>
        <w:tabs>
          <w:tab w:leader="none" w:pos="12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soon as practicable after any payment of Taxes by any Loan Party to a Governmental Authority, the applicable Loan Party shall deliver to the Administrative Agent the original or a certified copy of a receipt issued by such Governmental Authority evidencing such payment, a copy of that portion of the tax return reporting such payment or other evidence of such payment reasonably satisfactory to the Administrative Agent.</w:t>
      </w:r>
    </w:p>
    <w:p>
      <w:pPr>
        <w:spacing w:after="0" w:line="148" w:lineRule="exact"/>
        <w:rPr>
          <w:rFonts w:ascii="Arial" w:cs="Arial" w:eastAsia="Arial" w:hAnsi="Arial"/>
          <w:sz w:val="16"/>
          <w:szCs w:val="16"/>
          <w:color w:val="auto"/>
        </w:rPr>
      </w:pPr>
    </w:p>
    <w:p>
      <w:pPr>
        <w:ind w:right="20" w:firstLine="987"/>
        <w:spacing w:after="0" w:line="286" w:lineRule="auto"/>
        <w:tabs>
          <w:tab w:leader="none" w:pos="12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or reasonably requested by the Borrower as will permit such payments to be made without withholding or at a reduced rate of withholding.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2.16(f)(ii)(A) through (E) and (f)(iii) below) shall not be required if in the Lender’s judgment such completion, execution or submission would subject such Lender to any material unreimbursed cost or expense or would materially prejudice the legal or commercial position of such Lender. Upon the reasonable request of the Borrower or the Administrative Agent, any Lender shall update any form or certification previously delivered pursuant to this Section 2.16(f). If any form or certification previously delivered pursuant to this Section expires or becomes obsolete or inaccurate in any respect with respect to a Lender, such Lender shall promptly (and in any event within 10 Business Days after such expiration, obsolescence or inaccuracy) notify the Borrower and the Administrative Agent in writing of such expiration, obsolescence or inaccuracy and update the form or certification if it is legally eligible to do so.</w:t>
      </w:r>
    </w:p>
    <w:p>
      <w:pPr>
        <w:spacing w:after="0" w:line="59" w:lineRule="exact"/>
        <w:rPr>
          <w:rFonts w:ascii="Arial" w:cs="Arial" w:eastAsia="Arial" w:hAnsi="Arial"/>
          <w:sz w:val="16"/>
          <w:szCs w:val="16"/>
          <w:color w:val="auto"/>
        </w:rPr>
      </w:pPr>
    </w:p>
    <w:p>
      <w:pPr>
        <w:ind w:left="980" w:firstLine="408"/>
        <w:spacing w:after="0" w:line="259" w:lineRule="auto"/>
        <w:tabs>
          <w:tab w:leader="none" w:pos="1646" w:val="left"/>
        </w:tabs>
        <w:numPr>
          <w:ilvl w:val="1"/>
          <w:numId w:val="4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the Borrower is a US Person, any Lender with respect to the Borrower shall, if it is legally eligible to do so, deliver to the Borrower and the Administrative Agent (in such number of copies reasonably requested by the Borrower and the Administrative Agent) on or prior to the date on which such Lender becomes a party hereto, duly completed and executed copies of whichever of the following is applicable: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60" w:name="page61"/>
    <w:bookmarkEnd w:id="60"/>
    <w:p>
      <w:pPr>
        <w:ind w:left="420" w:right="140" w:firstLine="391"/>
        <w:spacing w:after="0" w:line="277" w:lineRule="auto"/>
        <w:tabs>
          <w:tab w:leader="none" w:pos="1098"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Lender that is a US Person, IRS Form W-9 certifying that such Lender is exempt from US Federal backup withholding tax;</w:t>
      </w:r>
    </w:p>
    <w:p>
      <w:pPr>
        <w:spacing w:after="0" w:line="62" w:lineRule="exact"/>
        <w:rPr>
          <w:rFonts w:ascii="Arial" w:cs="Arial" w:eastAsia="Arial" w:hAnsi="Arial"/>
          <w:sz w:val="18"/>
          <w:szCs w:val="18"/>
          <w:color w:val="auto"/>
        </w:rPr>
      </w:pPr>
    </w:p>
    <w:p>
      <w:pPr>
        <w:jc w:val="both"/>
        <w:ind w:left="420" w:right="20" w:firstLine="391"/>
        <w:spacing w:after="0" w:line="255"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(1) with respect to payments of interest under this Agreement, IRS Form W-8BEN or IRS Form W-8BEN-E (as applicable) establishing an exemption from, or reduction of, US Federal withholding Tax pursuant to the “interest” article of such tax treaty and (2) with respect to any other applicable payments under this Agreement, IRS Form W-8BEN or IRS Form W-8BEN-E (as applicable) establishing an exemption from, or reduction of, US Federal withholding Tax pursuant to the “business profits” or “other income” article of such tax treaty;</w:t>
      </w:r>
    </w:p>
    <w:p>
      <w:pPr>
        <w:spacing w:after="0" w:line="84" w:lineRule="exact"/>
        <w:rPr>
          <w:rFonts w:ascii="Arial" w:cs="Arial" w:eastAsia="Arial" w:hAnsi="Arial"/>
          <w:sz w:val="18"/>
          <w:szCs w:val="18"/>
          <w:color w:val="auto"/>
        </w:rPr>
      </w:pPr>
    </w:p>
    <w:p>
      <w:pPr>
        <w:ind w:left="420" w:right="200" w:firstLine="391"/>
        <w:spacing w:after="0" w:line="277"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Foreign Lender for whom payments under this Agreement constitute income that is effectively connected with such Lender’s conduct of a trade or business in the United States, IRS Form W-8ECI;</w:t>
      </w:r>
    </w:p>
    <w:p>
      <w:pPr>
        <w:spacing w:after="0" w:line="62" w:lineRule="exact"/>
        <w:rPr>
          <w:rFonts w:ascii="Arial" w:cs="Arial" w:eastAsia="Arial" w:hAnsi="Arial"/>
          <w:sz w:val="18"/>
          <w:szCs w:val="18"/>
          <w:color w:val="auto"/>
        </w:rPr>
      </w:pPr>
    </w:p>
    <w:p>
      <w:pPr>
        <w:ind w:left="420" w:right="20" w:firstLine="391"/>
        <w:spacing w:after="0" w:line="273" w:lineRule="auto"/>
        <w:tabs>
          <w:tab w:leader="none" w:pos="10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881(c) of the Code both (1) IRS Form W-8BEN or IRS Form W-8BEN-E (as applicable) and (2) a certificate substantially in the form of, as applicable, Exhibits F-1 through F-4 (a “</w:t>
      </w:r>
      <w:r>
        <w:rPr>
          <w:rFonts w:ascii="Arial" w:cs="Arial" w:eastAsia="Arial" w:hAnsi="Arial"/>
          <w:sz w:val="17"/>
          <w:szCs w:val="17"/>
          <w:u w:val="single" w:color="auto"/>
          <w:color w:val="auto"/>
        </w:rPr>
        <w:t>US Tax Certificate</w:t>
      </w:r>
      <w:r>
        <w:rPr>
          <w:rFonts w:ascii="Arial" w:cs="Arial" w:eastAsia="Arial" w:hAnsi="Arial"/>
          <w:sz w:val="17"/>
          <w:szCs w:val="17"/>
          <w:color w:val="auto"/>
        </w:rPr>
        <w:t>”) to the effect that such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w:t>
      </w:r>
    </w:p>
    <w:p>
      <w:pPr>
        <w:spacing w:after="0" w:line="69" w:lineRule="exact"/>
        <w:rPr>
          <w:rFonts w:ascii="Arial" w:cs="Arial" w:eastAsia="Arial" w:hAnsi="Arial"/>
          <w:sz w:val="17"/>
          <w:szCs w:val="17"/>
          <w:color w:val="auto"/>
        </w:rPr>
      </w:pPr>
    </w:p>
    <w:p>
      <w:pPr>
        <w:ind w:left="420" w:firstLine="391"/>
        <w:spacing w:after="0" w:line="255" w:lineRule="auto"/>
        <w:tabs>
          <w:tab w:leader="none" w:pos="107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 the case of a Foreign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Lender is a partnership and one or more of its partners are claiming the exemption for portfolio interest under Section 881(c) of the Code, such Lender may provide a US Tax Certificate on behalf of such partners; or</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00"/>
          </w:cols>
          <w:pgMar w:left="1440" w:top="274" w:right="459" w:bottom="1440" w:gutter="0" w:footer="0" w:header="0"/>
        </w:sectPr>
      </w:pPr>
    </w:p>
    <w:bookmarkStart w:id="61" w:name="page62"/>
    <w:bookmarkEnd w:id="61"/>
    <w:p>
      <w:pPr>
        <w:jc w:val="both"/>
        <w:ind w:left="1420" w:right="220" w:firstLine="391"/>
        <w:spacing w:after="0" w:line="263" w:lineRule="auto"/>
        <w:tabs>
          <w:tab w:leader="none" w:pos="2068" w:val="left"/>
        </w:tabs>
        <w:numPr>
          <w:ilvl w:val="2"/>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form prescribed by law as a basis for claiming exemption from, or a reduction of, US Federal withholding Tax together with such supplementary documentation necessary to enable the Borrower or the Administrative Agent to determine the amount of Tax (if any) required by law to be withheld.</w:t>
      </w:r>
    </w:p>
    <w:p>
      <w:pPr>
        <w:spacing w:after="0" w:line="75" w:lineRule="exact"/>
        <w:rPr>
          <w:rFonts w:ascii="Arial" w:cs="Arial" w:eastAsia="Arial" w:hAnsi="Arial"/>
          <w:sz w:val="18"/>
          <w:szCs w:val="18"/>
          <w:color w:val="auto"/>
        </w:rPr>
      </w:pPr>
    </w:p>
    <w:p>
      <w:pPr>
        <w:ind w:left="980" w:right="20" w:firstLine="408"/>
        <w:spacing w:after="0" w:line="270" w:lineRule="auto"/>
        <w:tabs>
          <w:tab w:leader="none" w:pos="1696"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and the Administrative Agent, such documentation prescribed by applicable law (including as prescribed by Section 1471(b)(3)(C)(i) of the Code) and such additional documentation reasonably requested by the Borrower and the Administrative Agent, as may be necessary for the Borrower and the Administrative Agent, to comply with its obligations under FATCA, to determine that such Lender has or has not complied with such Lender’s obligations under FATCA and, as necessary, to determine the amount to deduct and withhold from such payment. Solely for purposes of this Section 2.16(f) (iii), “FATCA” shall include any amendments made to FATCA after the date of this Agreement.</w:t>
      </w:r>
    </w:p>
    <w:p>
      <w:pPr>
        <w:spacing w:after="0" w:line="180" w:lineRule="exact"/>
        <w:rPr>
          <w:rFonts w:ascii="Arial" w:cs="Arial" w:eastAsia="Arial" w:hAnsi="Arial"/>
          <w:sz w:val="17"/>
          <w:szCs w:val="17"/>
          <w:color w:val="auto"/>
        </w:rPr>
      </w:pPr>
    </w:p>
    <w:p>
      <w:pPr>
        <w:ind w:firstLine="987"/>
        <w:spacing w:after="0" w:line="289" w:lineRule="auto"/>
        <w:tabs>
          <w:tab w:leader="none" w:pos="12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that it has received a refund of any Taxes as to which it has been indemnified by the Borrower or with respect to which the Borrower has paid additional amounts pursuant to this Section, it shall pay over such refund to the Borrower (but only to the extent of indemnity payments made, or additional amounts paid, by the Borrower under this Section with respect to the Taxes or Other Taxes giving rise to such refund), net of all reasonable out-of-pocket expenses of the Administrative Agent or such Lender and without interest (other than any interest paid by the relevant Governmental Authority with respect to such refund) within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such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w:t>
      </w:r>
    </w:p>
    <w:p>
      <w:pPr>
        <w:spacing w:after="0" w:line="166" w:lineRule="exact"/>
        <w:rPr>
          <w:rFonts w:ascii="Arial" w:cs="Arial" w:eastAsia="Arial" w:hAnsi="Arial"/>
          <w:sz w:val="16"/>
          <w:szCs w:val="16"/>
          <w:color w:val="auto"/>
        </w:rPr>
      </w:pPr>
    </w:p>
    <w:p>
      <w:pPr>
        <w:ind w:left="1240" w:hanging="253"/>
        <w:spacing w:after="0"/>
        <w:tabs>
          <w:tab w:leader="none" w:pos="124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2.16, the term “Lender” includes any Issuing Bank and the term “applicable law” includes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11"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(a) The Borrower shall make each payment required to be made by it hereunder (whether of principal, interest, fees or reimbursement of LC Disbursements, or of amounts payable under Section 2.14, 2.15 or</w:t>
      </w:r>
    </w:p>
    <w:p>
      <w:pPr>
        <w:ind w:right="100"/>
        <w:spacing w:after="0" w:line="253" w:lineRule="auto"/>
        <w:rPr>
          <w:sz w:val="20"/>
          <w:szCs w:val="20"/>
          <w:color w:val="auto"/>
        </w:rPr>
      </w:pPr>
      <w:r>
        <w:rPr>
          <w:rFonts w:ascii="Arial" w:cs="Arial" w:eastAsia="Arial" w:hAnsi="Arial"/>
          <w:sz w:val="18"/>
          <w:szCs w:val="18"/>
          <w:color w:val="auto"/>
        </w:rPr>
        <w:t>2.16, or otherwise)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of the Administrative Agent as may be reasonably specified by the Administrative Agent for such purpose, except payments to be made directly to an Issuing Bank as expressly provided herein and except that payments pursuant to Sections 2.14,</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4" w:right="499" w:bottom="1440" w:gutter="0" w:footer="0" w:header="0"/>
        </w:sectPr>
      </w:pPr>
    </w:p>
    <w:bookmarkStart w:id="62" w:name="page63"/>
    <w:bookmarkEnd w:id="6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 2.16 and 10.03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US Dollars except as expressly provided herein.</w:t>
      </w:r>
    </w:p>
    <w:p>
      <w:pPr>
        <w:spacing w:after="0" w:line="188" w:lineRule="exact"/>
        <w:rPr>
          <w:sz w:val="20"/>
          <w:szCs w:val="20"/>
          <w:color w:val="auto"/>
        </w:rPr>
      </w:pPr>
    </w:p>
    <w:p>
      <w:pPr>
        <w:ind w:right="40" w:firstLine="987"/>
        <w:spacing w:after="0" w:line="275" w:lineRule="auto"/>
        <w:tabs>
          <w:tab w:leader="none" w:pos="1246"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76" w:lineRule="exact"/>
        <w:rPr>
          <w:rFonts w:ascii="Arial" w:cs="Arial" w:eastAsia="Arial" w:hAnsi="Arial"/>
          <w:sz w:val="17"/>
          <w:szCs w:val="17"/>
          <w:color w:val="auto"/>
        </w:rPr>
      </w:pPr>
    </w:p>
    <w:p>
      <w:pPr>
        <w:ind w:firstLine="987"/>
        <w:spacing w:after="0" w:line="268" w:lineRule="auto"/>
        <w:tabs>
          <w:tab w:leader="none" w:pos="123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Revolving Loans or participations in LC Disbursements resulting in such Lender receiving payment of a greater proportion of the aggregate amount of its Revolving Loans and participations in LC Disbursements and accrued interest thereon than the proportion received by any other Lender, then the Lender receiving such greater proportion shall purchase (for cash at face value) participations in the Revolving Loans and participations in LC Disbursements of other Lenders to the extent necessary so that the benefit of all such payments shall be shared by the Lenders ratably in accordance with the aggregate amount of principal of and accrued interest on their respective Revolving Loans and participations in LC Disbursements;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(for the avoidance of doubt, as amended from time to time) or any payment obtained by a Lender as consideration for the assignment of or sale of a participation in any of its Revolving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1" w:lineRule="exact"/>
        <w:rPr>
          <w:rFonts w:ascii="Arial" w:cs="Arial" w:eastAsia="Arial" w:hAnsi="Arial"/>
          <w:sz w:val="17"/>
          <w:szCs w:val="17"/>
          <w:color w:val="auto"/>
        </w:rPr>
      </w:pPr>
    </w:p>
    <w:p>
      <w:pPr>
        <w:ind w:right="300" w:firstLine="987"/>
        <w:spacing w:after="0" w:line="301" w:lineRule="auto"/>
        <w:tabs>
          <w:tab w:leader="none" w:pos="12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or the applicable Issuing Bank hereunder that the Borrower will not make such payment, the Administrative Agent may assume that the Borrower has made such payment on such date in accordance herewith and may, in reliance upon such assumption, distribute to the Lenders or such Issuing Bank, as the case may be, the amount due. In such event, if the Borrower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3" w:name="page64"/>
    <w:bookmarkEnd w:id="63"/>
    <w:p>
      <w:pPr>
        <w:ind w:left="4"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not in fact made such payment, then each of the Lenders or the applicable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71" w:lineRule="exact"/>
        <w:rPr>
          <w:sz w:val="20"/>
          <w:szCs w:val="20"/>
          <w:color w:val="auto"/>
        </w:rPr>
      </w:pPr>
    </w:p>
    <w:p>
      <w:pPr>
        <w:ind w:left="4" w:right="20" w:firstLine="987"/>
        <w:spacing w:after="0" w:line="259"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2.05(d), 2.05(e), 2.06(b) or 2.17(d),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7"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(a) If any Lender or Issuing Bank requests compensation under Section 2.14, or if any Loan Party is required to pay any Indemnified Taxes or additional amount to any Lender or Issuing Bank or any Governmental Authority for the account of any Lender or Issuing Bank pursuant to Section 2.16, then such Lender or Issuing Bank shall use reasonable efforts to designate a different lending or issuing office for funding or booking its Loans or Letters of Credit hereunder or to assign and delegate its rights and obligations hereunder to another of its offices, branches or Affiliates, if, in the reasonable judgment of such Lender or Issuing Bank, such designation or assignment and delegation (i) would eliminate or reduce amounts payable pursuant to Section 2.14 or 2.16, as the case may be, in the future and</w:t>
      </w:r>
    </w:p>
    <w:p>
      <w:pPr>
        <w:spacing w:after="0" w:line="4" w:lineRule="exact"/>
        <w:rPr>
          <w:sz w:val="20"/>
          <w:szCs w:val="20"/>
          <w:color w:val="auto"/>
        </w:rPr>
      </w:pPr>
    </w:p>
    <w:p>
      <w:pPr>
        <w:ind w:left="4" w:hanging="4"/>
        <w:spacing w:after="0" w:line="255" w:lineRule="auto"/>
        <w:tabs>
          <w:tab w:leader="none" w:pos="2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would not subject such Lender or Issuing Bank to any unreimbursed cost or expense and would not otherwise be disadvantageous to such Lender or Issuing Bank. The Borrower hereby agrees to pay all reasonable costs and expenses incurred by any Lender or Issuing Bank in connection with any such designation or assignment and delegation.</w:t>
      </w:r>
    </w:p>
    <w:p>
      <w:pPr>
        <w:spacing w:after="0" w:line="189" w:lineRule="exact"/>
        <w:rPr>
          <w:rFonts w:ascii="Arial" w:cs="Arial" w:eastAsia="Arial" w:hAnsi="Arial"/>
          <w:sz w:val="18"/>
          <w:szCs w:val="18"/>
          <w:color w:val="auto"/>
        </w:rPr>
      </w:pPr>
    </w:p>
    <w:p>
      <w:pPr>
        <w:ind w:left="4" w:firstLine="987"/>
        <w:spacing w:after="0" w:line="284" w:lineRule="auto"/>
        <w:tabs>
          <w:tab w:leader="none" w:pos="1250"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2.14, (ii) any Loan Party is required to pay any additional amount to any Lender or any Governmental Authority for the account of any Lender pursuant to Section 2.16, (iii) if any Lender becomes a Defaulting Lender, (iv) any Lender becomes a Non-Extending Lender or (v) any Lender becomes a Non-Consenting Lender, then the Borrower may, at its sole expense and effort, upon notice to such Lender and the Administrative Agent, require such Lender to assign and delegate, without recourse (in accordance with and subject to the restrictions contained in Section 10.04), all its interests, rights and obligations under this Agreement (other than any outstanding Competitive Loans held by it)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 w:lineRule="exact"/>
        <w:rPr>
          <w:rFonts w:ascii="Arial" w:cs="Arial" w:eastAsia="Arial" w:hAnsi="Arial"/>
          <w:sz w:val="16"/>
          <w:szCs w:val="16"/>
          <w:color w:val="auto"/>
        </w:rPr>
      </w:pPr>
    </w:p>
    <w:p>
      <w:pPr>
        <w:ind w:left="4" w:right="60"/>
        <w:spacing w:after="0" w:line="268" w:lineRule="auto"/>
        <w:rPr>
          <w:rFonts w:ascii="Arial" w:cs="Arial" w:eastAsia="Arial" w:hAnsi="Arial"/>
          <w:sz w:val="16"/>
          <w:szCs w:val="16"/>
          <w:color w:val="auto"/>
        </w:rPr>
      </w:pPr>
      <w:r>
        <w:rPr>
          <w:rFonts w:ascii="Arial" w:cs="Arial" w:eastAsia="Arial" w:hAnsi="Arial"/>
          <w:sz w:val="17"/>
          <w:szCs w:val="17"/>
          <w:color w:val="auto"/>
        </w:rPr>
        <w:t>(A) to the extent such consent would be required under Section 10.04, the Borrower shall have received the prior written consent of the Administrative Agent and each Issuing Bank, which consent shall not unreasonably be withheld, delayed or conditioned, (B) such Lender shall have received payment of an amount equal to the outstanding principal of its Loans (other than Competitive Loans) and participations in LC Disbursements,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Section 2.14 or payments required to be made pursuant to Section 2.16, such assignment will result in a reduction in such compensation or payments. 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64" w:name="page65"/>
    <w:bookmarkEnd w:id="64"/>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2.19. </w:t>
      </w:r>
      <w:r>
        <w:rPr>
          <w:rFonts w:ascii="Arial" w:cs="Arial" w:eastAsia="Arial" w:hAnsi="Arial"/>
          <w:sz w:val="17"/>
          <w:szCs w:val="17"/>
          <w:u w:val="single" w:color="auto"/>
          <w:color w:val="auto"/>
        </w:rPr>
        <w:t>Defaulting Lenders</w:t>
      </w:r>
      <w:r>
        <w:rPr>
          <w:rFonts w:ascii="Arial" w:cs="Arial" w:eastAsia="Arial" w:hAnsi="Arial"/>
          <w:sz w:val="17"/>
          <w:szCs w:val="17"/>
          <w:color w:val="auto"/>
        </w:rPr>
        <w:t>. (a) Notwithstanding any provision of this Agreement to the contrary, if any Lender becomes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the following provisions shall apply for so long as such Lender is a Defaulting Lender:</w:t>
      </w:r>
    </w:p>
    <w:p>
      <w:pPr>
        <w:spacing w:after="0" w:line="103" w:lineRule="exact"/>
        <w:rPr>
          <w:sz w:val="20"/>
          <w:szCs w:val="20"/>
          <w:color w:val="auto"/>
        </w:rPr>
      </w:pPr>
    </w:p>
    <w:p>
      <w:pPr>
        <w:ind w:left="980" w:right="560" w:firstLine="408"/>
        <w:spacing w:after="0" w:line="277" w:lineRule="auto"/>
        <w:tabs>
          <w:tab w:leader="none" w:pos="15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commitment fee shall cease to accrue on the unused amount of the Commitment of such Defaulting Lender pursuant to Section 2.11(a);</w:t>
      </w:r>
    </w:p>
    <w:p>
      <w:pPr>
        <w:spacing w:after="0" w:line="62" w:lineRule="exact"/>
        <w:rPr>
          <w:rFonts w:ascii="Arial" w:cs="Arial" w:eastAsia="Arial" w:hAnsi="Arial"/>
          <w:sz w:val="18"/>
          <w:szCs w:val="18"/>
          <w:color w:val="auto"/>
        </w:rPr>
      </w:pPr>
    </w:p>
    <w:p>
      <w:pPr>
        <w:ind w:left="980" w:firstLine="408"/>
        <w:spacing w:after="0" w:line="255" w:lineRule="auto"/>
        <w:tabs>
          <w:tab w:leader="none" w:pos="16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Commitment, Revolving Credit Exposure and Competitive Loans of such Defaulting Lender shall not be included in determining whether the Required Lenders or any other requisite Lenders have taken or may take any action hereunder or under any related agreement or any document furnished hereunder (including any consent to any amendment, waiver or other modification pursuant to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waiver or other modification requiring the consent of all Lenders or all Lenders adversely affected thereby shall, except as otherwise provided in Section 10.02, require the consent of such Defaulting Lender in accordance with the terms hereof; and</w:t>
      </w:r>
    </w:p>
    <w:p>
      <w:pPr>
        <w:spacing w:after="0" w:line="84" w:lineRule="exact"/>
        <w:rPr>
          <w:rFonts w:ascii="Arial" w:cs="Arial" w:eastAsia="Arial" w:hAnsi="Arial"/>
          <w:sz w:val="18"/>
          <w:szCs w:val="18"/>
          <w:color w:val="auto"/>
        </w:rPr>
      </w:pPr>
    </w:p>
    <w:p>
      <w:pPr>
        <w:ind w:left="1700" w:hanging="312"/>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LC Exposure exists at the time such Lender becomes a Defaulting Lender then:</w:t>
      </w:r>
    </w:p>
    <w:p>
      <w:pPr>
        <w:spacing w:after="0" w:line="117" w:lineRule="exact"/>
        <w:rPr>
          <w:rFonts w:ascii="Arial" w:cs="Arial" w:eastAsia="Arial" w:hAnsi="Arial"/>
          <w:sz w:val="18"/>
          <w:szCs w:val="18"/>
          <w:color w:val="auto"/>
        </w:rPr>
      </w:pPr>
    </w:p>
    <w:p>
      <w:pPr>
        <w:ind w:left="1420" w:firstLine="391"/>
        <w:spacing w:after="0" w:line="293" w:lineRule="auto"/>
        <w:tabs>
          <w:tab w:leader="none" w:pos="2098"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LC Exposure of such Defaulting Lender (other than any portion thereof attributable to unreimbursed LC Disbursements with respect to which such Defaulting Lender shall have funded its participation as contemplated by Sections 2.05(d) and 2.05(e)) shall be reallocated among the Non-Defaulting Lenders ratably in accordance with their respective Commitments, but only to the extent that (i) the sum of all Non-Defaulting Lenders’ Revolving Credit Exposures plus such Defaulting Lender’s LC Exposure does not exceed the sum of all Non-Defaulting Lenders’ Commitments and (ii) such reallocation does not result in the Revolving Credit Exposure of any Non-Defaulting Lender exceeding such Non-Defaulting Lender’s Commitment;</w:t>
      </w:r>
    </w:p>
    <w:p>
      <w:pPr>
        <w:spacing w:after="0" w:line="56" w:lineRule="exact"/>
        <w:rPr>
          <w:rFonts w:ascii="Arial" w:cs="Arial" w:eastAsia="Arial" w:hAnsi="Arial"/>
          <w:sz w:val="16"/>
          <w:szCs w:val="16"/>
          <w:color w:val="auto"/>
        </w:rPr>
      </w:pPr>
    </w:p>
    <w:p>
      <w:pPr>
        <w:ind w:left="1420" w:right="40" w:firstLine="391"/>
        <w:spacing w:after="0" w:line="257" w:lineRule="auto"/>
        <w:tabs>
          <w:tab w:leader="none" w:pos="20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reallocation described in clause (iii)(A) above cannot, or can only partially, be effected, the Borrower shall within five Business Days following notice by the Administrative Agent cash collateralize for the benefit of the Issuing Bank the portion of such Defaulting Lender’s LC Exposure (other than any portion thereof referred to in the parenthetical in clause (iii)(A) above) that has not been reallocated in accordance with the procedures set forth in Section 2.05(k) for so long as such LC Exposure is outstanding;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5" w:name="page66"/>
    <w:bookmarkEnd w:id="65"/>
    <w:p>
      <w:pPr>
        <w:ind w:left="1400" w:right="260" w:firstLine="391"/>
        <w:spacing w:after="0" w:line="259" w:lineRule="auto"/>
        <w:tabs>
          <w:tab w:leader="none" w:pos="2068"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shall cash collateralize any portion of such Defaulting Lender’s LC Exposure pursuant to clause (iii)(B) above, the Borrower shall not be required to pay participation fees to such Defaulting Lender pursuant to Section 2.11(b) with respect to such portion of such Defaulting Lender’s LC Exposure for so long as such Defaulting Lender’s LC Exposure is cash collateralized;</w:t>
      </w:r>
    </w:p>
    <w:p>
      <w:pPr>
        <w:spacing w:after="0" w:line="78" w:lineRule="exact"/>
        <w:rPr>
          <w:rFonts w:ascii="Arial" w:cs="Arial" w:eastAsia="Arial" w:hAnsi="Arial"/>
          <w:sz w:val="18"/>
          <w:szCs w:val="18"/>
          <w:color w:val="auto"/>
        </w:rPr>
      </w:pPr>
    </w:p>
    <w:p>
      <w:pPr>
        <w:ind w:left="1400" w:right="120" w:firstLine="391"/>
        <w:spacing w:after="0" w:line="308" w:lineRule="auto"/>
        <w:tabs>
          <w:tab w:leader="none" w:pos="2078"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any portion of the LC Exposure of such Defaulting Lender is reallocated pursuant to clause (iii)(A) above, then the fees payable to the Lenders pursuant to Sections 2.11(a) and 2.11(b) shall be adjusted to give effect to such reallocation; and</w:t>
      </w:r>
    </w:p>
    <w:p>
      <w:pPr>
        <w:spacing w:after="0" w:line="38" w:lineRule="exact"/>
        <w:rPr>
          <w:rFonts w:ascii="Arial" w:cs="Arial" w:eastAsia="Arial" w:hAnsi="Arial"/>
          <w:sz w:val="17"/>
          <w:szCs w:val="17"/>
          <w:color w:val="auto"/>
        </w:rPr>
      </w:pPr>
    </w:p>
    <w:p>
      <w:pPr>
        <w:ind w:left="1400" w:right="80" w:firstLine="391"/>
        <w:spacing w:after="0" w:line="293" w:lineRule="auto"/>
        <w:tabs>
          <w:tab w:leader="none" w:pos="2058"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all or any portion of such Defaulting Lender’s LC Exposure that is subject to reallocation pursuant to clause (iii)(A) above is neither reallocated nor cash collateralized pursuant to clause (iii)(A) or (iii)(B) above, then, without prejudice to any rights or remedies of any Issuing Bank or any other Lender hereunder, all participation fees payable pursuant to Section 2.11(b) to such Defaulting Lender with respect to such Defaulting Lender’s LC Exposure shall be payable to the Issuing Banks (and allocated among them ratably based on the amount of such portion of the LC Exposure of such Defaulting Lender attributable to Letters of Credit issued by each Issuing Bank) until and to the extent that such LC Exposure is reallocated and/or cash collateralized.</w:t>
      </w:r>
    </w:p>
    <w:p>
      <w:pPr>
        <w:spacing w:after="0" w:line="164" w:lineRule="exact"/>
        <w:rPr>
          <w:rFonts w:ascii="Arial" w:cs="Arial" w:eastAsia="Arial" w:hAnsi="Arial"/>
          <w:sz w:val="16"/>
          <w:szCs w:val="16"/>
          <w:color w:val="auto"/>
        </w:rPr>
      </w:pPr>
    </w:p>
    <w:p>
      <w:pPr>
        <w:ind w:left="-20" w:firstLine="987"/>
        <w:spacing w:after="0" w:line="257" w:lineRule="auto"/>
        <w:tabs>
          <w:tab w:leader="none" w:pos="12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 long as such Lender is a Defaulting Lender, the Issuing Banks shall not be required to issue, amend or extend any Letter of Credit unless the related exposure and the Defaulting Lender’s then outstanding LC Exposure will be fully covered by the Commitments of the Non-Defaulting Lenders and/or cash collateral provided by the Borrower in accordance with Section 2.19(a)(iii), and participating interests in any such issued, amended or extended Letter of Credit will be allocated among the Non-Defaulting Lenders in a manner consistent with Section 2.19(a)(iii) (and such Defaulting Lender shall not participate therein).</w:t>
      </w:r>
    </w:p>
    <w:p>
      <w:pPr>
        <w:spacing w:after="0" w:line="187" w:lineRule="exact"/>
        <w:rPr>
          <w:rFonts w:ascii="Arial" w:cs="Arial" w:eastAsia="Arial" w:hAnsi="Arial"/>
          <w:sz w:val="18"/>
          <w:szCs w:val="18"/>
          <w:color w:val="auto"/>
        </w:rPr>
      </w:pPr>
    </w:p>
    <w:p>
      <w:pPr>
        <w:ind w:left="-20" w:right="60" w:firstLine="987"/>
        <w:spacing w:after="0" w:line="287" w:lineRule="auto"/>
        <w:tabs>
          <w:tab w:leader="none" w:pos="1216"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event that the Administrative Agent, the Borrower and each Issuing Bank each agree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Revolving Loans of the other Lenders as the Administrative Agent shall determine may be necessary in order for such Lender to hold such Loans in accordance with its Applicable Percentage (but shall not be entitled to receive any fees that shall have ceased to accrue for its benefit during the period when it was a Defaulting Lender, and all amendments, waivers or modifications effected without its consent in accordance with the provisions of Section 10.02 during such period shall be binding on it). The rights and remedies against, and with respect to, a Defaulting Lender under this Section are in addition to, and cumulative and not in limitation of, all other rights and remedies that the Administrative Agent, any Issuing Bank, any Lender or the Borrower may at any time have against, or with respect to, such Defaulting Lender. Subject to Section 10.19,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60" w:top="274" w:right="479" w:bottom="1440" w:gutter="0" w:footer="0" w:header="0"/>
        </w:sectPr>
      </w:pPr>
    </w:p>
    <w:bookmarkStart w:id="66" w:name="page67"/>
    <w:bookmarkEnd w:id="66"/>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2.20. </w:t>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 (a) The Borrower may, by notice to the Administrative Agent (which shall promptly notify the Lenders), request that each Lender extend such Lender’s Maturity Date to a date that is one year after the Maturity Date then in effect for such Lender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(it being agreed at no time shall any such extended Maturity Date be more than five years after the effective date of any such extension).</w:t>
      </w:r>
    </w:p>
    <w:p>
      <w:pPr>
        <w:spacing w:after="0" w:line="187" w:lineRule="exact"/>
        <w:rPr>
          <w:sz w:val="20"/>
          <w:szCs w:val="20"/>
          <w:color w:val="auto"/>
        </w:rPr>
      </w:pPr>
    </w:p>
    <w:p>
      <w:pPr>
        <w:ind w:right="40" w:firstLine="987"/>
        <w:spacing w:after="0" w:line="254" w:lineRule="auto"/>
        <w:tabs>
          <w:tab w:leader="none" w:pos="1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Lender, acting in its sole and individual discretion, shall, by notice to the Administrative Agent given not later than the date that is 15 days after the date on which the Administrative Agent received the Borrower’s extension request (the “</w:t>
      </w:r>
      <w:r>
        <w:rPr>
          <w:rFonts w:ascii="Arial" w:cs="Arial" w:eastAsia="Arial" w:hAnsi="Arial"/>
          <w:sz w:val="18"/>
          <w:szCs w:val="18"/>
          <w:u w:val="single" w:color="auto"/>
          <w:color w:val="auto"/>
        </w:rPr>
        <w:t>Lender Notice Date</w:t>
      </w:r>
      <w:r>
        <w:rPr>
          <w:rFonts w:ascii="Arial" w:cs="Arial" w:eastAsia="Arial" w:hAnsi="Arial"/>
          <w:sz w:val="18"/>
          <w:szCs w:val="18"/>
          <w:color w:val="auto"/>
        </w:rPr>
        <w:t>”), advise the Administrative Agent whether or not such Lender agrees to such extension (each Lender that agrees to such extension,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and each other Lender,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that does not so advise the Administrative Agent on or before the Lender Notice Date shall be deemed to be a Non-Extending Lender. The Administrative Agent shall notify the Borrower of each Lender’s determination under this Section promptly upon receiving notice thereof from such Lender. The election of any Lender to agree to such extension shall not obligate any other Lender to so agree, and it is understood and agreed that no Lender shall have any obligation whatsoever to agree to any request made by the Borrower for extension of the Maturity Date.</w:t>
      </w:r>
    </w:p>
    <w:p>
      <w:pPr>
        <w:spacing w:after="0" w:line="191" w:lineRule="exact"/>
        <w:rPr>
          <w:rFonts w:ascii="Arial" w:cs="Arial" w:eastAsia="Arial" w:hAnsi="Arial"/>
          <w:sz w:val="18"/>
          <w:szCs w:val="18"/>
          <w:color w:val="auto"/>
        </w:rPr>
      </w:pPr>
    </w:p>
    <w:p>
      <w:pPr>
        <w:ind w:right="20" w:firstLine="987"/>
        <w:spacing w:after="0" w:line="296" w:lineRule="auto"/>
        <w:tabs>
          <w:tab w:leader="none" w:pos="12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Borrower shall have the right, but shall not be obligated, on or before the Maturity Date applicable to any Non-Extending Lender to replace such Non-Extending Lender with, and add as “Lenders” under this Agreement in place thereof, one or more financial institutions (each,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in accordance with the procedures set forth in Section 2.18(b). Prior to any Non-Extending Lender being replaced by one or more Additional Commitment Lenders pursuant hereto, such Non-Extending Lender may elect, in its sole discretion, by giving irrevocable notice thereof to the Administrative Agent and the Borrower (which notice shall set forth such Lender’s new Maturity Date), to become an Extending Lender.</w:t>
      </w:r>
    </w:p>
    <w:p>
      <w:pPr>
        <w:spacing w:after="0" w:line="161" w:lineRule="exact"/>
        <w:rPr>
          <w:rFonts w:ascii="Arial" w:cs="Arial" w:eastAsia="Arial" w:hAnsi="Arial"/>
          <w:sz w:val="16"/>
          <w:szCs w:val="16"/>
          <w:color w:val="auto"/>
        </w:rPr>
      </w:pPr>
    </w:p>
    <w:p>
      <w:pPr>
        <w:ind w:firstLine="987"/>
        <w:spacing w:after="0" w:line="270" w:lineRule="auto"/>
        <w:tabs>
          <w:tab w:leader="none" w:pos="1246"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(and only if) the total of the Commitments of the Lenders that have agreed to extend their Maturity Date and the new or increased Commitments of any Additional Commitment Lenders is more than 50% of the aggregate amount of the Commitments in effect immediately prior to the applicable Extension Date, then, effective as of the first date on which the foregoing conditions shall have been satisfied (the “</w:t>
      </w:r>
      <w:r>
        <w:rPr>
          <w:rFonts w:ascii="Arial" w:cs="Arial" w:eastAsia="Arial" w:hAnsi="Arial"/>
          <w:sz w:val="17"/>
          <w:szCs w:val="17"/>
          <w:u w:val="single" w:color="auto"/>
          <w:color w:val="auto"/>
        </w:rPr>
        <w:t>Extension Date</w:t>
      </w:r>
      <w:r>
        <w:rPr>
          <w:rFonts w:ascii="Arial" w:cs="Arial" w:eastAsia="Arial" w:hAnsi="Arial"/>
          <w:sz w:val="17"/>
          <w:szCs w:val="17"/>
          <w:color w:val="auto"/>
        </w:rPr>
        <w:t xml:space="preserve">”), the Maturity Date of each Extending Lender and of each Additional Commitment Lender shall be extended to the date that has been requested by the Borrower pursuant to (and approved in accordance with) this Section, and each Additional Commitment Lender shall thereupon become a Lender for all purposes of this Agreement and shall be bound by the provisions of this Agreement as a Lender hereunder and shall have the obligations of a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extension of any Maturity Date pursuant to this Section shall be subject to the receipt by the Administrative Agent of a certificate dated such date and executed by a Financial Officer of the Borrower certifying that the conditions set forth in paragraphs (a) and (b) of Section 4.02 are satisfied.</w:t>
      </w:r>
    </w:p>
    <w:p>
      <w:pPr>
        <w:spacing w:after="0" w:line="180" w:lineRule="exact"/>
        <w:rPr>
          <w:rFonts w:ascii="Arial" w:cs="Arial" w:eastAsia="Arial" w:hAnsi="Arial"/>
          <w:sz w:val="17"/>
          <w:szCs w:val="17"/>
          <w:color w:val="auto"/>
        </w:rPr>
      </w:pPr>
    </w:p>
    <w:p>
      <w:pPr>
        <w:ind w:right="40" w:firstLine="987"/>
        <w:spacing w:after="0" w:line="255"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the Maturity Date applicable to any Non-Extending Lender, (i) the Commitment of such Non-Extending Lender shall automatically terminate and (ii) the Borrower shall repay such Non-Extending Lender in accordance with Section 2.09 (and shall pay to such Non-Extending Lender all of the other Obligations then owing to it under this Agreement) and after giving effect thereto the Administrative Agent shall administer any necessary reallocation of the Revolving Credit Exposures (without regard to any minimum borrowing, pro rata borrowing and/or pro rata payment requirements contained elsewhere in this Agreement) to the extent necessary to keep outstanding Revolving Loans ratable with any revised Applicable Percentages of the Lenders effective as of such 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67" w:name="page68"/>
    <w:bookmarkEnd w:id="67"/>
    <w:p>
      <w:pPr>
        <w:ind w:firstLine="987"/>
        <w:spacing w:after="0" w:line="257" w:lineRule="auto"/>
        <w:tabs>
          <w:tab w:leader="none" w:pos="121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extension of the Maturity Date pursuant to this Section, the Administrative Agent and the Borrower may, without the consent of any Lender or Issuing Bank, effect such amendments to this Agreement as may be necessary or appropriate, in the opinion of the Administrative Agent and the Borrower, to give effect to the provisions of this Section. This Section shall supersede any provisions in Section 2.17 to the contrary. Nothing in this Section shall be construed to limit any amendment to extend the Maturity Date of any Lender that is otherwise permitted by Section 10.02.</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Borrower represents and warrants to the Lenders, on the Effective Date and as of each other date the representations and warranties of the Borrower herein are required to be or deemed made pursuant to this Agreement, that:</w:t>
      </w:r>
    </w:p>
    <w:p>
      <w:pPr>
        <w:spacing w:after="0" w:line="170"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Borrower and the Guarantor is duly organized, validly existing and in good standing under the laws of the jurisdiction of its organization. Each Significant Subsidiary is duly organized, validly existing and (to the extent the concept is applicable in such jurisdiction) in good standing under the laws of the jurisdiction of its organization, in each case except where the failure to be so organized, existing or in good standing would not be reasonably likely to have a Material Adverse Effect. The Borrower and each Restricted Subsidiary has all requisite power and authority to carry on its business as now conducted and is duly qualified to transact business in all jurisdictions where such qualification is necessary, in each case except where the failure to have such authority, or to be so qualified, would not be reasonably likely to have a Material Adverse Effect.</w:t>
      </w:r>
    </w:p>
    <w:p>
      <w:pPr>
        <w:spacing w:after="0" w:line="19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to be entered into by each Loan Party are within such Loan Party’s corporate powers and have been duly authorized by all necessary corporate and stockholder action. This Agreement has been duly executed and delivered by each Loan Party and constitutes a legal, valid and binding obligation of each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8"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(i) such as have been obtained or made and are in full force and effect, (ii) any filings with the Securities and Exchange Commission or (iii) as would not be reasonably likely to have a Material Adverse Effect and (b) will not violate, or constitute a default under, any provision of applicable law or regulation or the charter, by-laws or other organizational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68" w:name="page69"/>
    <w:bookmarkEnd w:id="68"/>
    <w:p>
      <w:pPr>
        <w:jc w:val="both"/>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of the Borrower or any of the Restricted Subsidiaries or any order of any Governmental Authority or any indenture, agreement, instrument, judgment or order to which the Borrower or any Restricted Subsidiary is a party or by which it or any of its material assets or properties may be bound or affected if such violation or default would be reasonably likely to have a Material Adverse Effect.</w:t>
      </w:r>
    </w:p>
    <w:p>
      <w:pPr>
        <w:spacing w:after="0" w:line="16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Financial Condition; No Material Adverse Change</w:t>
      </w:r>
      <w:r>
        <w:rPr>
          <w:rFonts w:ascii="Arial" w:cs="Arial" w:eastAsia="Arial" w:hAnsi="Arial"/>
          <w:sz w:val="17"/>
          <w:szCs w:val="17"/>
          <w:color w:val="auto"/>
        </w:rPr>
        <w:t>. (a) The Borrower has heretofore made available to the Lenders its consolidated statement of financial position and statements of earnings, changes in shareholders’ equity and cash flows (i) as of and for the fiscal year ended December 31, 2021, reported on by Deloitte &amp; Touche LLP, and (ii) as of and for the fiscal quarter and the portion of the fiscal year ended June 30, 2022. Such financial statements present fairly, in all material respects, the financial position and results of operations and cash flows of the Borrower and its consolidated Subsidiaries as of such dates and for such periods in accordance with GAAP and, in the case of the statements referred to in clause (ii) above, subject to year-end audit adjustments and the absence of footnotes.</w:t>
      </w:r>
    </w:p>
    <w:p>
      <w:pPr>
        <w:spacing w:after="0" w:line="178" w:lineRule="exact"/>
        <w:rPr>
          <w:sz w:val="20"/>
          <w:szCs w:val="20"/>
          <w:color w:val="auto"/>
        </w:rPr>
      </w:pPr>
    </w:p>
    <w:p>
      <w:pPr>
        <w:jc w:val="both"/>
        <w:ind w:firstLine="987"/>
        <w:spacing w:after="0" w:line="263"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Since December 31, 2021, other than as specifically disclosed in the Borrower’s filings with the Securities and Exchange Commission, there has been no event or condition that would be reasonably likely to result in a material adverse effect on the business, assets, operations or condition, financial or otherwise, of the Borrower and the Subsidiaries taken as a whole.</w:t>
      </w:r>
    </w:p>
    <w:p>
      <w:pPr>
        <w:spacing w:after="0" w:line="184"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The Borrower and its Subsidiaries have sufficient title to, or sufficient and valid interests in, their respective properties to conduct their business as currently conducted, except where the failure to have such title or interests would not be reasonably likely to result in a Material Adverse Effect.</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 Other than as specifically disclosed in the Borrower’s filings with the Securities and Exchange Commission:</w:t>
      </w:r>
    </w:p>
    <w:p>
      <w:pPr>
        <w:spacing w:after="0" w:line="62" w:lineRule="exact"/>
        <w:rPr>
          <w:sz w:val="20"/>
          <w:szCs w:val="20"/>
          <w:color w:val="auto"/>
        </w:rPr>
      </w:pPr>
    </w:p>
    <w:p>
      <w:pPr>
        <w:ind w:left="440" w:firstLine="419"/>
        <w:spacing w:after="0" w:line="259" w:lineRule="auto"/>
        <w:tabs>
          <w:tab w:leader="none" w:pos="11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against the Borrower or any of its Restricted Subsidiaries (i) as to which there is a reasonable possibility of an adverse determination and that, if adversely determined, would be reasonably likely, individually or in the aggregate, to result in a Material Adverse Effect or (ii) that involve this Agreement or the Transactions.</w:t>
      </w:r>
    </w:p>
    <w:p>
      <w:pPr>
        <w:spacing w:after="0" w:line="78" w:lineRule="exact"/>
        <w:rPr>
          <w:rFonts w:ascii="Arial" w:cs="Arial" w:eastAsia="Arial" w:hAnsi="Arial"/>
          <w:sz w:val="18"/>
          <w:szCs w:val="18"/>
          <w:color w:val="auto"/>
        </w:rPr>
      </w:pPr>
    </w:p>
    <w:p>
      <w:pPr>
        <w:ind w:left="440" w:firstLine="419"/>
        <w:spacing w:after="0" w:line="257" w:lineRule="auto"/>
        <w:tabs>
          <w:tab w:leader="none" w:pos="1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ordinary course of business, the ongoing operations of the Borrower and its Restricted Subsidiaries are reviewed from time to time to determine compliance with applicable Environmental Laws. Based on these reviews, to the knowledge of the Borrower, ongoing operations at the principal properties of the Borrower and its Restricted Subsidiaries are currently being conducted in substantial compliance with applicable Environmental Laws, except to the extent noncompliance would not be reasonably likely, individually or in the aggregate, to result in a Material Adverse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69" w:name="page70"/>
    <w:bookmarkEnd w:id="69"/>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Arial" w:cs="Arial" w:eastAsia="Arial" w:hAnsi="Arial"/>
          <w:sz w:val="18"/>
          <w:szCs w:val="18"/>
          <w:u w:val="single" w:color="auto"/>
          <w:color w:val="auto"/>
        </w:rPr>
        <w:t>Investment and Holding Company Status</w:t>
      </w:r>
      <w:r>
        <w:rPr>
          <w:rFonts w:ascii="Arial" w:cs="Arial" w:eastAsia="Arial" w:hAnsi="Arial"/>
          <w:sz w:val="18"/>
          <w:szCs w:val="18"/>
          <w:color w:val="auto"/>
        </w:rPr>
        <w:t>. Neither the Borrower nor the Guarantor is an “investment company” as defined in, or subject to regulation under, the Investment Company Act of 1940.</w:t>
      </w:r>
    </w:p>
    <w:p>
      <w:pPr>
        <w:spacing w:after="0" w:line="170"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Taxes</w:t>
      </w:r>
      <w:r>
        <w:rPr>
          <w:rFonts w:ascii="Arial" w:cs="Arial" w:eastAsia="Arial" w:hAnsi="Arial"/>
          <w:sz w:val="16"/>
          <w:szCs w:val="16"/>
          <w:color w:val="auto"/>
        </w:rPr>
        <w:t>. The Borrower and each Subsidiary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in accordance with GAAP or (b) to the extent that the failure to do so would not be reasonably likely to result in a Material Adverse Effect.</w:t>
      </w:r>
    </w:p>
    <w:p>
      <w:pPr>
        <w:spacing w:after="0" w:line="157"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ERISA</w:t>
      </w:r>
      <w:r>
        <w:rPr>
          <w:rFonts w:ascii="Arial" w:cs="Arial" w:eastAsia="Arial" w:hAnsi="Arial"/>
          <w:sz w:val="18"/>
          <w:szCs w:val="18"/>
          <w:color w:val="auto"/>
        </w:rPr>
        <w:t>. Each member of the ERISA Group has fulfilled its obligations under the minimum funding standards of ERISA and the Code with respect to each Plan and is in substantial compliance in all material respects with the presently applicable material provisions of ERISA and the Code with respect to each Plan. No member of the ERISA Group has (a) sought a waiver of the minimum funding standard under Section 412 of the Code in respect of any Plan, (b) failed to make any contribution or payment to any Plan or Multiemployer Plan or made any amendment to any Plan which, in either case, has resulted or could result in the imposition of a material Lien or the posting of a material bond or other material security under ERISA or the Code or (c) incurred any material liability under Title IV of ERISA other than a liability to the PBGC for premiums under Section 4007 of ERISA.</w:t>
      </w:r>
    </w:p>
    <w:p>
      <w:pPr>
        <w:spacing w:after="0" w:line="195" w:lineRule="exact"/>
        <w:rPr>
          <w:sz w:val="20"/>
          <w:szCs w:val="20"/>
          <w:color w:val="auto"/>
        </w:rPr>
      </w:pPr>
    </w:p>
    <w:p>
      <w:pPr>
        <w:ind w:right="80" w:firstLine="991"/>
        <w:spacing w:after="0" w:line="28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None of the information furnished to the Administrative Agent and the Lenders in writing prior to the date hereof in connection with the Transactions (including any formal presentation slides, but excluding projections, forward-looking statements and information of a general economic or industry specific nature), when taken as a whole and in each case as modified or supplemented by other information furnished to the Administrative Agent or the Lenders, contains any misstatement of material fact or omits to state any material fact necessary to make the statements therein,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by it to be reasonable at the time made (it being understood that such projections are as to future events and are not to be viewed as facts, such projections are subject to significant uncertainties and contingencies, many of which are beyond the control of the Borrower, no assurance can be given that any particular projection will be realized, actual results during the period or periods covered by any such projections may differ significantly from the projected results and such differences may be material and such projections are not a guarantee of future financial performance).</w:t>
      </w:r>
    </w:p>
    <w:p>
      <w:pPr>
        <w:spacing w:after="0" w:line="168" w:lineRule="exact"/>
        <w:rPr>
          <w:sz w:val="20"/>
          <w:szCs w:val="20"/>
          <w:color w:val="auto"/>
        </w:rPr>
      </w:pPr>
    </w:p>
    <w:p>
      <w:pPr>
        <w:ind w:right="420" w:firstLine="991"/>
        <w:spacing w:after="0" w:line="311"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 will use the proceeds of the Loans and the Letters of Credit (a) to refinance amounts outstanding under the Existing Credit Agreement and (b) for other general corporate purposes of the Borrower and the Subsidiaries, including the repayment of debt, repurchase or redemption of the Borrower’s common stock, working capital needs, capital expenditures and acquisitions.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0" w:name="page71"/>
    <w:bookmarkEnd w:id="70"/>
    <w:p>
      <w:pPr>
        <w:ind w:right="5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3.12. </w:t>
      </w:r>
      <w:r>
        <w:rPr>
          <w:rFonts w:ascii="Arial" w:cs="Arial" w:eastAsia="Arial" w:hAnsi="Arial"/>
          <w:sz w:val="18"/>
          <w:szCs w:val="18"/>
          <w:u w:val="single" w:color="auto"/>
          <w:color w:val="auto"/>
        </w:rPr>
        <w:t>Margin Stock</w:t>
      </w:r>
      <w:r>
        <w:rPr>
          <w:rFonts w:ascii="Arial" w:cs="Arial" w:eastAsia="Arial" w:hAnsi="Arial"/>
          <w:sz w:val="18"/>
          <w:szCs w:val="18"/>
          <w:color w:val="auto"/>
        </w:rPr>
        <w:t>. Neither the proceeds of any Loan nor any Letter of Credit will be used in a manner that violates any provision of Regulation U or X of the Board of Governors.</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has implemented and maintains in effect policies and procedures designed to promote compliance by the Borrower, its Subsidiaries and their respective directors, officers, employees and agents with Anti-Corruption Laws and applicable Sanctions. None of the Borrower, any Subsidiary or, to the knowledge of any Responsible Officer, any of their respective directors or officers, is a Sanctioned Person.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effectiveness of this Agreement and the obligations of the Lenders to make Loans and of the Issuing Banks to issue Letters of Credit hereunder shall not become effective until the date on which each of the following conditions shall be satisfied (or waived in accordance with Section 10.02):</w:t>
      </w:r>
    </w:p>
    <w:p>
      <w:pPr>
        <w:spacing w:after="0" w:line="76" w:lineRule="exact"/>
        <w:rPr>
          <w:sz w:val="20"/>
          <w:szCs w:val="20"/>
          <w:color w:val="auto"/>
        </w:rPr>
      </w:pPr>
    </w:p>
    <w:p>
      <w:pPr>
        <w:ind w:left="440" w:right="40" w:firstLine="419"/>
        <w:spacing w:after="0" w:line="342" w:lineRule="auto"/>
        <w:tabs>
          <w:tab w:leader="none" w:pos="11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each party hereto either (i) a counterpart of this Agreement signed on behalf of such party or (ii) written evidence satisfactory to the Administrative Agent that such party has signed a counterpart of this Agreement.</w:t>
      </w:r>
    </w:p>
    <w:p>
      <w:pPr>
        <w:spacing w:after="0" w:line="15" w:lineRule="exact"/>
        <w:rPr>
          <w:rFonts w:ascii="Arial" w:cs="Arial" w:eastAsia="Arial" w:hAnsi="Arial"/>
          <w:sz w:val="16"/>
          <w:szCs w:val="16"/>
          <w:color w:val="auto"/>
        </w:rPr>
      </w:pPr>
    </w:p>
    <w:p>
      <w:pPr>
        <w:ind w:left="440" w:right="260" w:firstLine="419"/>
        <w:spacing w:after="0" w:line="259"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Administrative Agent shall have received favorable written opinions (addressed to the Administrative Agent and the Lenders and dated the Effective Date) of (i) Cravath, Swaine &amp; Moore LLP, counsel for the Borrower, and (ii) Jennifer C. McGarey Esq., Corporate Vice President and Secretary, in each case in form and substance reasonably satisfactory to the Administrative Agent and its counsel. The Borrower hereby requests such counsel to deliver such opinions.</w:t>
      </w:r>
    </w:p>
    <w:p>
      <w:pPr>
        <w:spacing w:after="0" w:line="78" w:lineRule="exact"/>
        <w:rPr>
          <w:rFonts w:ascii="Arial" w:cs="Arial" w:eastAsia="Arial" w:hAnsi="Arial"/>
          <w:sz w:val="18"/>
          <w:szCs w:val="18"/>
          <w:color w:val="auto"/>
        </w:rPr>
      </w:pPr>
    </w:p>
    <w:p>
      <w:pPr>
        <w:ind w:left="440" w:firstLine="419"/>
        <w:spacing w:after="0" w:line="259" w:lineRule="auto"/>
        <w:tabs>
          <w:tab w:leader="none" w:pos="11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each Loan Party, the authorization of the Transactions by each Loan Party and any other legal matters relating to the Loan Parties, this Agreement or the Transactions, all in form and substance reasonably satisfactory to the Administrative Agent and its counsel.</w:t>
      </w:r>
    </w:p>
    <w:p>
      <w:pPr>
        <w:spacing w:after="0" w:line="78"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Administrative Agent shall have receive a certificate, dated the Effective Date and executed by a Financial Officer of the Borrower, certifying as of the Effective Date that (i) the representations and warranties of the Borrower set forth in Article III are true and correct in all material respects and (ii) no Default has occurred and is continuing.</w:t>
      </w:r>
    </w:p>
    <w:p>
      <w:pPr>
        <w:spacing w:after="0" w:line="75" w:lineRule="exact"/>
        <w:rPr>
          <w:rFonts w:ascii="Arial" w:cs="Arial" w:eastAsia="Arial" w:hAnsi="Arial"/>
          <w:sz w:val="18"/>
          <w:szCs w:val="18"/>
          <w:color w:val="auto"/>
        </w:rPr>
      </w:pPr>
    </w:p>
    <w:p>
      <w:pPr>
        <w:ind w:left="440" w:right="160" w:firstLine="419"/>
        <w:spacing w:after="0" w:line="286" w:lineRule="auto"/>
        <w:tabs>
          <w:tab w:leader="none" w:pos="11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Administrative Agent shall have received all fees and other amounts due and payable on or prior to the Effective Date to the Administrative Agent, the Arrangers or the Lenders pursuant to the written agreements separately entered into by the Borrower, including, to the extent invoiced, reimbursement of all out-of-pocket expenses required to be reimbursed by the Borrower 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1" w:name="page72"/>
    <w:bookmarkEnd w:id="71"/>
    <w:p>
      <w:pPr>
        <w:ind w:left="440" w:right="60" w:firstLine="419"/>
        <w:spacing w:after="0" w:line="257"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Existing Credit Agreement Refinancing shall have been consummated substantially concurrently with the effectiveness of this Agreement. Each Lender party hereto that was a “Lender” immediately prior to the Effective Date under the Existing Credit Agreement hereby waives the requirement for advance notice of the termination of “Commitments” (as defined in the Existing Credit Agreement) and prepayment of any “Loans” (as defined in the Existing Credit Agreement) outstanding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notice of termination and prepayment is delivered on the Effective Date.</w:t>
      </w:r>
    </w:p>
    <w:p>
      <w:pPr>
        <w:spacing w:after="0" w:line="79"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Lenders shall have received all documentation and other information required by bank regulatory authorities under applicable “know your customer”, and anti-money laundering rules and regulations, including the USA PATRIOT Act, to the extent requested at least five Business Days prior to the Effective Date.</w:t>
      </w:r>
    </w:p>
    <w:p>
      <w:pPr>
        <w:spacing w:after="0" w:line="18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Administrative Agent shall notify the Borrower and the Lenders of the Effective Date, and such notice shall be conclusive and binding upon all parties hereto and following such notice, none of the conditions set forth in this Section 4.01 shall be of further application.</w:t>
      </w:r>
    </w:p>
    <w:p>
      <w:pPr>
        <w:spacing w:after="0" w:line="146" w:lineRule="exact"/>
        <w:rPr>
          <w:sz w:val="20"/>
          <w:szCs w:val="20"/>
          <w:color w:val="auto"/>
        </w:rPr>
      </w:pPr>
    </w:p>
    <w:p>
      <w:pPr>
        <w:ind w:right="460" w:firstLine="991"/>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Each Credit Event</w:t>
      </w:r>
      <w:r>
        <w:rPr>
          <w:rFonts w:ascii="Arial" w:cs="Arial" w:eastAsia="Arial" w:hAnsi="Arial"/>
          <w:sz w:val="17"/>
          <w:szCs w:val="17"/>
          <w:color w:val="auto"/>
        </w:rPr>
        <w:t>. The obligation of each Lender to make a Loan on the occasion of any Borrowing (other than any conversion or continuation of any Loan and other than any ABR Revolving Loan that pursuant to Section 2.05(e) is expressly excluded from this Section), and of each Issuing Bank to issue, amend to increase the amount thereof or extend (other than an automatic extension permitted under Section 2.05(c)) any Letter of Credit, is subject to the satisfaction of the following conditions:</w:t>
      </w:r>
    </w:p>
    <w:p>
      <w:pPr>
        <w:spacing w:after="0" w:line="63" w:lineRule="exact"/>
        <w:rPr>
          <w:sz w:val="20"/>
          <w:szCs w:val="20"/>
          <w:color w:val="auto"/>
        </w:rPr>
      </w:pPr>
    </w:p>
    <w:p>
      <w:pPr>
        <w:jc w:val="both"/>
        <w:ind w:left="440" w:right="60" w:firstLine="419"/>
        <w:spacing w:after="0" w:line="279" w:lineRule="auto"/>
        <w:tabs>
          <w:tab w:leader="none" w:pos="110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Article III (other than Sections 3.04(b), 3.06, 3.08 and 3.09) shall be true and correct in all material respects on and as of the date of such Borrowing or the date of such issuance, amendment or extension of such Letter of Credit, as applicable, except in the case of any such representation and warranty that expressly relates to a prior date, in which case such representation and warranty shall be true and correct in all material respects on and as of such prior date.</w:t>
      </w:r>
    </w:p>
    <w:p>
      <w:pPr>
        <w:spacing w:after="0" w:line="63" w:lineRule="exact"/>
        <w:rPr>
          <w:rFonts w:ascii="Arial" w:cs="Arial" w:eastAsia="Arial" w:hAnsi="Arial"/>
          <w:sz w:val="17"/>
          <w:szCs w:val="17"/>
          <w:color w:val="auto"/>
        </w:rPr>
      </w:pPr>
    </w:p>
    <w:p>
      <w:pPr>
        <w:ind w:left="440" w:right="80" w:firstLine="419"/>
        <w:spacing w:after="0" w:line="277"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such issuance, amendment or extension of such Letter of Credit, as applicable, no Default shall have occurred and be continuing.</w:t>
      </w:r>
    </w:p>
    <w:p>
      <w:pPr>
        <w:spacing w:after="0" w:line="170"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Each Borrowing (other than any conversion or continuation of any Loan and other than any ABR Revolving Loan that pursuant to Section 2.05(e) is expressly excluded from this Section) and each issuance, amendment to increase the amount thereof or extension (other than an automatic extension permitted under Section 2.05(c)) of a Letter of Credit shall be deemed to constitute a representation and warranty by the Borrower on the date thereof that the conditions specified in paragraphs (a) and (b) of this Section have been satisfied.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have been paid in full and all Letters of Credit have expired or terminated and all LC Disbursements have been reimbursed, the Borrower covenants and agrees with the Lenders that: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for distribution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each Lender:</w:t>
      </w:r>
    </w:p>
    <w:p>
      <w:pPr>
        <w:spacing w:after="0" w:line="103" w:lineRule="exact"/>
        <w:rPr>
          <w:sz w:val="20"/>
          <w:szCs w:val="20"/>
          <w:color w:val="auto"/>
        </w:rPr>
      </w:pPr>
    </w:p>
    <w:p>
      <w:pPr>
        <w:ind w:left="440" w:right="200" w:firstLine="419"/>
        <w:spacing w:after="0" w:line="259" w:lineRule="auto"/>
        <w:tabs>
          <w:tab w:leader="none" w:pos="11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the Borrower, its audited consolidated statement of financial position and related statements of earnings, changes in shareholders’ equity and cash flows as of the end of and for such year, accompanied by an opinion of Deloitte &amp; Touche LLP or other independent registered public accounting firm of recognized national standing as to such consolidated financial statements;</w:t>
      </w:r>
    </w:p>
    <w:p>
      <w:pPr>
        <w:spacing w:after="0" w:line="78"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of the Borrower, its consolidated statement of financial position and related statements of earnings, changes in shareholders’ equity and cash flows as of the end of and for such fiscal quarter (in the case of the consolidated statement of earnings) and the then elapsed portion of the fiscal year;</w:t>
      </w:r>
    </w:p>
    <w:p>
      <w:pPr>
        <w:spacing w:after="0" w:line="75" w:lineRule="exact"/>
        <w:rPr>
          <w:rFonts w:ascii="Arial" w:cs="Arial" w:eastAsia="Arial" w:hAnsi="Arial"/>
          <w:sz w:val="18"/>
          <w:szCs w:val="18"/>
          <w:color w:val="auto"/>
        </w:rPr>
      </w:pPr>
    </w:p>
    <w:p>
      <w:pPr>
        <w:ind w:left="440" w:right="160" w:firstLine="419"/>
        <w:spacing w:after="0" w:line="273" w:lineRule="auto"/>
        <w:tabs>
          <w:tab w:leader="none" w:pos="1108"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within 105 days following the end of each fiscal year of the Borrower, and within 60 days following the end of each of the first three fiscal quarters of each fiscal year of the Borrower, a certificate of a Financial Officer of the Borrower (i) certifying as to whether a Default has occurred and is continuing, (ii) setting forth reasonably detailed calculations demonstrating compliance with Section 6.03 as of the date of the most recent consolidated statement of financial position of the Borrower included in such financial statements and (iii) setting forth a reasonably detailed calculation of the aggregate combined assets of all Unrestricted Subsidiaries as of the date of the most recent consolidated statement of financial position of the Borrower included in such financial statements;</w:t>
      </w:r>
    </w:p>
    <w:p>
      <w:pPr>
        <w:spacing w:after="0" w:line="69" w:lineRule="exact"/>
        <w:rPr>
          <w:rFonts w:ascii="Arial" w:cs="Arial" w:eastAsia="Arial" w:hAnsi="Arial"/>
          <w:sz w:val="17"/>
          <w:szCs w:val="17"/>
          <w:color w:val="auto"/>
        </w:rPr>
      </w:pPr>
    </w:p>
    <w:p>
      <w:pPr>
        <w:ind w:left="440" w:firstLine="419"/>
        <w:spacing w:after="0" w:line="263"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and proxy statements filed by the Borrower or any Subsidiary with the Securities and Exchange Commission or any Governmental Authority succeeding to any or all of the functions of said Commission or distributed by the Borrower to its shareholders generally, as the case may be;</w:t>
      </w:r>
    </w:p>
    <w:p>
      <w:pPr>
        <w:spacing w:after="0" w:line="75" w:lineRule="exact"/>
        <w:rPr>
          <w:rFonts w:ascii="Arial" w:cs="Arial" w:eastAsia="Arial" w:hAnsi="Arial"/>
          <w:sz w:val="18"/>
          <w:szCs w:val="18"/>
          <w:color w:val="auto"/>
        </w:rPr>
      </w:pPr>
    </w:p>
    <w:p>
      <w:pPr>
        <w:ind w:left="440" w:right="300" w:firstLine="419"/>
        <w:spacing w:after="0" w:line="263" w:lineRule="auto"/>
        <w:tabs>
          <w:tab w:leader="none" w:pos="11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promptly following receipt thereof, copies of any documents described in Sections 101(k) or 101(l) of ERISA that any ERISA Group member may request with respect to any Multiemployer Plan and with respect to which the Administrative Agent shall have requested the Borrower that such request by such ERISA Group member be made;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3" w:name="page74"/>
    <w:bookmarkEnd w:id="73"/>
    <w:p>
      <w:pPr>
        <w:ind w:left="440" w:right="140" w:firstLine="419"/>
        <w:spacing w:after="0" w:line="275" w:lineRule="auto"/>
        <w:tabs>
          <w:tab w:leader="none" w:pos="1088"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following any request therefor, such other existing information regarding the business and financial condition of the Borrower and its Subsidiaries as any Lender may reasonably request through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provide any such information to the extent that the provision thereof would, in the Borrower’s good faith judgment, violate any work product or attorney-client privilege (or result in the loss thereof) or violate any law, rule or regulation applicable to the Borrower or any Subsidiary or any obligation of confidentiality to a third party binding on the Borrower or any Subsidiary.</w:t>
      </w:r>
    </w:p>
    <w:p>
      <w:pPr>
        <w:spacing w:after="0" w:line="17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Information required to be delivered pursuant to paragraphs (a), (b) or (d) of this Section shall be deemed to have been delivered to the Administrative Agent and each Lender on the date on which the Borrower posts such reports on the Borrower’s website at http://www.northropgrumman.com or when such report or other document is posted on the website of the Securities and Exchange Commission at http://www.sec.gov. Information required to be delivered pursuant to this Section may also be delivered by electronic communications pursuant to procedures approved by the Administrative Agent.</w:t>
      </w:r>
    </w:p>
    <w:p>
      <w:pPr>
        <w:spacing w:after="0" w:line="157"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Default</w:t>
      </w:r>
      <w:r>
        <w:rPr>
          <w:rFonts w:ascii="Arial" w:cs="Arial" w:eastAsia="Arial" w:hAnsi="Arial"/>
          <w:sz w:val="18"/>
          <w:szCs w:val="18"/>
          <w:color w:val="auto"/>
        </w:rPr>
        <w:t>. Upon a Financial Officer of the Borrower obtaining knowledge of the occurrence of any Default, the Borrower will furnish to the Administrative Agent and each Lender prompt written notice thereof. 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Existence; Conduct of Business</w:t>
      </w:r>
      <w:r>
        <w:rPr>
          <w:rFonts w:ascii="Arial" w:cs="Arial" w:eastAsia="Arial" w:hAnsi="Arial"/>
          <w:sz w:val="17"/>
          <w:szCs w:val="17"/>
          <w:color w:val="auto"/>
        </w:rPr>
        <w:t xml:space="preserve">. The Borrower will, and will cause each of the Restricted Subsidiaries to, do or cause to be done all things necessary to preserve, renew and keep in full force and effect its legal existence and the rights, licenses, permits, privileges and franchises material to the conduct of its business, except (other than, in the case of maintenance of the legal existence of the Borrower), where the failure to do so would not reasonably be reasonably likely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in any event, (a) prohibit or restrict any merger, consolidation, liquidation or dissolution permitted under Section 6.02 or (b) prohibit or restrict the termination of the business or existence of any Subsidiary which in the judgment of the Borrower is no longer necessary or desirable, a merger or consolidation of a Subsidiary into or with the Borrower or any Restricted Subsidiary, the sale or other disposition of any Subsidiary if in the judgment of the Borrower such sale is in the interest of the Borrower, or any merger, consolidation or transfer of assets not prohibited by Section 6.02, so long as immediately after giving effect to any such transaction, no Default shall have occurred and be continuing.</w:t>
      </w:r>
    </w:p>
    <w:p>
      <w:pPr>
        <w:spacing w:after="0" w:line="18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The Borrower will pay and discharge, and will cause each Restricted Subsidiary to pay and discharge, all material Taxes imposed upon it or upon its income or profits, or upon any property belonging to it, prior to the date on which penalties attach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Borrower nor any Restricted Subsidiary shall be required to pay any such Tax (i) the payment of which is being contested in good faith and by appropriate proceedings and for which the Borrower or such Restricted Subsidiary, as applicable, has set aside on its books adequate reserves in accordance with GAAP, (ii) not yet delinquent or (iii) the non-payment of which, if taken in the aggregate, would not be reasonably likely to result in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4" w:name="page75"/>
    <w:bookmarkEnd w:id="74"/>
    <w:p>
      <w:pPr>
        <w:jc w:val="both"/>
        <w:ind w:right="16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Arial" w:cs="Arial" w:eastAsia="Arial" w:hAnsi="Arial"/>
          <w:sz w:val="17"/>
          <w:szCs w:val="17"/>
          <w:u w:val="single" w:color="auto"/>
          <w:color w:val="auto"/>
        </w:rPr>
        <w:t>Insurance</w:t>
      </w:r>
      <w:r>
        <w:rPr>
          <w:rFonts w:ascii="Arial" w:cs="Arial" w:eastAsia="Arial" w:hAnsi="Arial"/>
          <w:sz w:val="17"/>
          <w:szCs w:val="17"/>
          <w:color w:val="auto"/>
        </w:rPr>
        <w:t>. The Borrower will, and will cause each of the Restricted Subsidiaries to maintain, with financially sound and reputable insurance companies, insurance in such amounts and against such risks as are customarily maintained by companies engaged in the same or similar businesses operating in the same or similar locations or, to the customary extent, self-insurance.</w:t>
      </w:r>
    </w:p>
    <w:p>
      <w:pPr>
        <w:spacing w:after="0" w:line="16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Inspection Rights</w:t>
      </w:r>
      <w:r>
        <w:rPr>
          <w:rFonts w:ascii="Arial" w:cs="Arial" w:eastAsia="Arial" w:hAnsi="Arial"/>
          <w:sz w:val="18"/>
          <w:szCs w:val="18"/>
          <w:color w:val="auto"/>
        </w:rPr>
        <w:t xml:space="preserve">. The Borrower will, and will cause each of the Subsidiaries to, permit any representatives designated by the Administrative Agent, upon reasonable prior notice and during normal business hours and only if an Event of Default shall have occurred and is continuing, to visit and inspect its major properties and to examine its books and records, all at such reasonable times and as often as reasonably requested;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exercise of rights under this Section shall not unreasonably interfere with the business of the Borrower and its Subsidiaries and (b) neither the Borrower nor any Subsidiary shall be required to permit any of the foregoing to the extent that such visit, inspection or examination would, in the Borrower’s good faith judgment, violate any work product or attorney-client privilege (or result in the loss thereof) or violate any law, rule or regulation applicable to the Borrower or any Subsidiary or any obligation of confidentiality to a third party binding on the Borrower or any Subsidiary.</w:t>
      </w:r>
    </w:p>
    <w:p>
      <w:pPr>
        <w:spacing w:after="0" w:line="192"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the Restricted Subsidiaries to, (a) comply with all laws, rules, regulations and lawful orders of any Governmental Authority applicable to it or its property, except where the failure to do so, individually or in the aggregate, would not be reasonably likely to result in a Material Adverse Effect and (b) maintain in effect and enforce policies and procedures designed to promote compliance by the Borrower, its Subsidiaries and their respective directors, officers, employees and agents with Anti-Corruption Laws and applicable Sanctions.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have been paid in full and all Letters of Credit have expired or terminated and all LC Disbursements have been reimbursed, the Borrower covenants and agrees with the Lenders that:</w:t>
      </w:r>
    </w:p>
    <w:p>
      <w:pPr>
        <w:spacing w:after="0" w:line="184"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and will not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76" w:lineRule="exact"/>
        <w:rPr>
          <w:sz w:val="20"/>
          <w:szCs w:val="20"/>
          <w:color w:val="auto"/>
        </w:rPr>
      </w:pPr>
    </w:p>
    <w:p>
      <w:pPr>
        <w:ind w:left="1100" w:hanging="241"/>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left="5420" w:right="2200" w:hanging="4561"/>
        <w:spacing w:after="0" w:line="449" w:lineRule="auto"/>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Lien on any property or asset of the Borrower or any Restricted Subsidiary existing on the date hereof; 68</w:t>
      </w:r>
    </w:p>
    <w:p>
      <w:pPr>
        <w:sectPr>
          <w:pgSz w:w="11900" w:h="16838" w:orient="portrait"/>
          <w:cols w:equalWidth="0" w:num="1">
            <w:col w:w="11000"/>
          </w:cols>
          <w:pgMar w:left="440" w:top="274" w:right="459" w:bottom="1440" w:gutter="0" w:footer="0" w:header="0"/>
        </w:sectPr>
      </w:pPr>
    </w:p>
    <w:bookmarkStart w:id="75" w:name="page76"/>
    <w:bookmarkEnd w:id="75"/>
    <w:p>
      <w:pPr>
        <w:jc w:val="both"/>
        <w:ind w:firstLine="419"/>
        <w:spacing w:after="0" w:line="259" w:lineRule="auto"/>
        <w:tabs>
          <w:tab w:leader="none" w:pos="668"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existing on any property or asset of any Person that becomes a Subsidiary (or of any Person not previously a Subsidiary that is merged, consolidated or amalgamated with or into the Borrower or any Subsidiary) after the date hereof prior to the time such Person becomes a Subsidiary (or is so merged, consolidated or amalgamated), whether or not any Indebtedness secured by such Liens is assumed by the Borrower or any Restricted Subsidiary;</w:t>
      </w:r>
    </w:p>
    <w:p>
      <w:pPr>
        <w:spacing w:after="0" w:line="78" w:lineRule="exact"/>
        <w:rPr>
          <w:rFonts w:ascii="Arial" w:cs="Arial" w:eastAsia="Arial" w:hAnsi="Arial"/>
          <w:sz w:val="18"/>
          <w:szCs w:val="18"/>
          <w:color w:val="auto"/>
        </w:rPr>
      </w:pPr>
    </w:p>
    <w:p>
      <w:pPr>
        <w:ind w:left="680" w:hanging="26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securing Indebtedness of a Restricted Subsidiary owing to the Borrower or another Restricted Subsidiary;</w:t>
      </w:r>
    </w:p>
    <w:p>
      <w:pPr>
        <w:spacing w:after="0" w:line="117" w:lineRule="exact"/>
        <w:rPr>
          <w:rFonts w:ascii="Arial" w:cs="Arial" w:eastAsia="Arial" w:hAnsi="Arial"/>
          <w:sz w:val="18"/>
          <w:szCs w:val="18"/>
          <w:color w:val="auto"/>
        </w:rPr>
      </w:pPr>
    </w:p>
    <w:p>
      <w:pPr>
        <w:ind w:right="20" w:firstLine="419"/>
        <w:spacing w:after="0" w:line="288" w:lineRule="auto"/>
        <w:tabs>
          <w:tab w:leader="none" w:pos="6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Liens on assets existing at the time of acquisition of such assets by the Borrower or a Restricted Subsidiary, or Liens to secure the payment of all or any part of the purchase price of assets upon the acquisition of such assets by the Borrower or a Restricted Subsidiary or to secure any Indebtedness (and obligations relating thereto not constituting Indebtedness) incurred or guaranteed by the Borrower or a Restricted Subsidiary prior to, at the time of, or within one year after the later of the acquisition, completion of construction (including any improvements on an existing asset) or commencement of full operation of such asset, which Indebtedness is incurred or guaranteed for the purpose of financing all or any part of the purchase price thereof or construction or improvements thereon, and which Indebtedness may be in the form of obligations incurred in connection with industrial revenue bonds or similar financings, capital leases and letters of credit, bank guarantees, surety bonds or similar contingent liability instruments issued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such acquisition, construction or improvement, such Liens shall not apply to any asset theretofore owned by the Borrower or a Restricted Subsidiary, other than, in the case of any such construction or improvement, any assets subject thereto (and any ancillary rights) or on which any assets subject thereto are located;</w:t>
      </w:r>
    </w:p>
    <w:p>
      <w:pPr>
        <w:spacing w:after="0" w:line="60" w:lineRule="exact"/>
        <w:rPr>
          <w:rFonts w:ascii="Arial" w:cs="Arial" w:eastAsia="Arial" w:hAnsi="Arial"/>
          <w:sz w:val="16"/>
          <w:szCs w:val="16"/>
          <w:color w:val="auto"/>
        </w:rPr>
      </w:pPr>
    </w:p>
    <w:p>
      <w:pPr>
        <w:ind w:right="60" w:firstLine="419"/>
        <w:spacing w:after="0" w:line="277" w:lineRule="auto"/>
        <w:tabs>
          <w:tab w:leader="none" w:pos="6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created in favor of the United States of America or any department or agency thereof or any other contracting party or customer in connection with advance or progress payments or similar forms of vendor financing or incentive arrangements;</w:t>
      </w:r>
    </w:p>
    <w:p>
      <w:pPr>
        <w:spacing w:after="0" w:line="62" w:lineRule="exact"/>
        <w:rPr>
          <w:rFonts w:ascii="Arial" w:cs="Arial" w:eastAsia="Arial" w:hAnsi="Arial"/>
          <w:sz w:val="18"/>
          <w:szCs w:val="18"/>
          <w:color w:val="auto"/>
        </w:rPr>
      </w:pPr>
    </w:p>
    <w:p>
      <w:pPr>
        <w:ind w:right="40" w:firstLine="419"/>
        <w:spacing w:after="0" w:line="308" w:lineRule="auto"/>
        <w:tabs>
          <w:tab w:leader="none" w:pos="678" w:val="left"/>
        </w:tabs>
        <w:numPr>
          <w:ilvl w:val="0"/>
          <w:numId w:val="70"/>
        </w:numPr>
        <w:rPr>
          <w:rFonts w:ascii="Arial" w:cs="Arial" w:eastAsia="Arial" w:hAnsi="Arial"/>
          <w:sz w:val="17"/>
          <w:szCs w:val="17"/>
          <w:color w:val="auto"/>
        </w:rPr>
      </w:pPr>
      <w:r>
        <w:rPr>
          <w:rFonts w:ascii="Arial" w:cs="Arial" w:eastAsia="Arial" w:hAnsi="Arial"/>
          <w:sz w:val="17"/>
          <w:szCs w:val="17"/>
          <w:color w:val="auto"/>
        </w:rPr>
        <w:t>Liens arising by operation of law in favor of any lender to the Borrower or any Restricted Subsidiary constituting a banker’s lien or right of offset in moneys of the Borrower or a Restricted Subsidiary deposited with such lender in the ordinary course of business;</w:t>
      </w:r>
    </w:p>
    <w:p>
      <w:pPr>
        <w:spacing w:after="0" w:line="38" w:lineRule="exact"/>
        <w:rPr>
          <w:rFonts w:ascii="Arial" w:cs="Arial" w:eastAsia="Arial" w:hAnsi="Arial"/>
          <w:sz w:val="17"/>
          <w:szCs w:val="17"/>
          <w:color w:val="auto"/>
        </w:rPr>
      </w:pPr>
    </w:p>
    <w:p>
      <w:pPr>
        <w:ind w:right="100" w:firstLine="419"/>
        <w:spacing w:after="0" w:line="263" w:lineRule="auto"/>
        <w:tabs>
          <w:tab w:leader="none" w:pos="6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on cash, cash equivalents or certificates of deposit or other bank obligations in an amount substantially equal in value (at the time such Liens are created) to, and securing, obligations in respect of letters of credit, bank guarantees, surety bonds or similar contingent liability instruments, incurred in the ordinary course of business;</w:t>
      </w:r>
    </w:p>
    <w:p>
      <w:pPr>
        <w:spacing w:after="0" w:line="75" w:lineRule="exact"/>
        <w:rPr>
          <w:rFonts w:ascii="Arial" w:cs="Arial" w:eastAsia="Arial" w:hAnsi="Arial"/>
          <w:sz w:val="18"/>
          <w:szCs w:val="18"/>
          <w:color w:val="auto"/>
        </w:rPr>
      </w:pPr>
    </w:p>
    <w:p>
      <w:pPr>
        <w:ind w:right="60" w:firstLine="419"/>
        <w:spacing w:after="0" w:line="277" w:lineRule="auto"/>
        <w:tabs>
          <w:tab w:leader="none" w:pos="6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securing the Obligations and Liens securing the Obligations and any other Indebtedness (or obligations relating thereto and arising therefrom) of the Borrower and its Subsidiaries on an equal and ratable basis;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40"/>
          </w:cols>
          <w:pgMar w:left="880" w:top="274" w:right="479" w:bottom="1440" w:gutter="0" w:footer="0" w:header="0"/>
        </w:sectPr>
      </w:pPr>
    </w:p>
    <w:bookmarkStart w:id="76" w:name="page77"/>
    <w:bookmarkEnd w:id="76"/>
    <w:p>
      <w:pPr>
        <w:ind w:firstLine="419"/>
        <w:spacing w:after="0" w:line="257" w:lineRule="auto"/>
        <w:tabs>
          <w:tab w:leader="none" w:pos="638"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extension, renewal or replacement (or successive extensions, renewals or replacements) in whole or in part of any Lien referred to in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principal amount of Indebtedness secured thereby shall not exceed the principal amount of Indebtedness so secured at the time of such extension, renewal or replacement, and that such extension, renewal or replacement shall be limited to all or part of the assets which were the subject of the Lien so extended, renewed or replaced (plus proceeds and products of, and improvements and construction on, such assets);</w:t>
      </w:r>
    </w:p>
    <w:p>
      <w:pPr>
        <w:spacing w:after="0" w:line="79" w:lineRule="exact"/>
        <w:rPr>
          <w:rFonts w:ascii="Arial" w:cs="Arial" w:eastAsia="Arial" w:hAnsi="Arial"/>
          <w:sz w:val="18"/>
          <w:szCs w:val="18"/>
          <w:color w:val="auto"/>
        </w:rPr>
      </w:pPr>
    </w:p>
    <w:p>
      <w:pPr>
        <w:ind w:right="120" w:firstLine="419"/>
        <w:spacing w:after="0" w:line="259" w:lineRule="auto"/>
        <w:tabs>
          <w:tab w:leader="none" w:pos="6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 assignments or sales of accounts receivables and related assets pursuant to any factoring or similar arrangements and any Liens created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not apply to any assets of the Borrower or any of its Restricted Subsidiaries other than accounts receivable and related assets, and (ii) any assignment or sale of accounts receivable and related assets in the ordinary course of business;</w:t>
      </w:r>
    </w:p>
    <w:p>
      <w:pPr>
        <w:spacing w:after="0" w:line="78" w:lineRule="exact"/>
        <w:rPr>
          <w:rFonts w:ascii="Arial" w:cs="Arial" w:eastAsia="Arial" w:hAnsi="Arial"/>
          <w:sz w:val="18"/>
          <w:szCs w:val="18"/>
          <w:color w:val="auto"/>
        </w:rPr>
      </w:pPr>
    </w:p>
    <w:p>
      <w:pPr>
        <w:ind w:right="360" w:firstLine="419"/>
        <w:spacing w:after="0" w:line="311" w:lineRule="auto"/>
        <w:tabs>
          <w:tab w:leader="none" w:pos="638"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assignments or sales of accounts receivable and related assets under a Permitted Receivables Program and any Liens created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shall not apply to any assets of the Borrower or any of its Restricted Subsidiaries other than accounts receivable and related assets (including any Equity Interests in any special-purpose Subsidiary established in connection therewith);</w:t>
      </w:r>
    </w:p>
    <w:p>
      <w:pPr>
        <w:spacing w:after="0" w:line="40" w:lineRule="exact"/>
        <w:rPr>
          <w:rFonts w:ascii="Arial" w:cs="Arial" w:eastAsia="Arial" w:hAnsi="Arial"/>
          <w:sz w:val="16"/>
          <w:szCs w:val="16"/>
          <w:color w:val="auto"/>
        </w:rPr>
      </w:pPr>
    </w:p>
    <w:p>
      <w:pPr>
        <w:jc w:val="both"/>
        <w:ind w:right="200" w:firstLine="419"/>
        <w:spacing w:after="0" w:line="263" w:lineRule="auto"/>
        <w:tabs>
          <w:tab w:leader="none" w:pos="7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granted in the ordinary course of business to financial institutions on deposit accounts and securities accounts maintained with such financial institutions to secure obligations to such financial institutions in respect of overdrafts, funds credited in anticipation of collection and similar liabilities, in each case in respect of such accounts;</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connection with any sale, transfer or other disposition of any Equity Interests or other assets in a transaction permitted under</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6.02, customary rights and restrictions contained in agreements relating to such sale, transfer or other disposition pending the completion thereof;</w:t>
      </w:r>
    </w:p>
    <w:p>
      <w:pPr>
        <w:spacing w:after="0" w:line="77" w:lineRule="exact"/>
        <w:rPr>
          <w:sz w:val="20"/>
          <w:szCs w:val="20"/>
          <w:color w:val="auto"/>
        </w:rPr>
      </w:pPr>
    </w:p>
    <w:p>
      <w:pPr>
        <w:ind w:right="60" w:firstLine="419"/>
        <w:spacing w:after="0" w:line="257" w:lineRule="auto"/>
        <w:tabs>
          <w:tab w:leader="none" w:pos="6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(i) any Subsidiary that is not a wholly-owned Subsidiary or (ii) the Equity Interests in any Person that is not a Restricted Subsidiary, (A)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 and (B) any Lien on Equity Interests of such Subsidiary or such other Person securing capital contributions to or obligations of such Subsidiary or such other Person;</w:t>
      </w:r>
    </w:p>
    <w:p>
      <w:pPr>
        <w:spacing w:after="0" w:line="79" w:lineRule="exact"/>
        <w:rPr>
          <w:rFonts w:ascii="Arial" w:cs="Arial" w:eastAsia="Arial" w:hAnsi="Arial"/>
          <w:sz w:val="18"/>
          <w:szCs w:val="18"/>
          <w:color w:val="auto"/>
        </w:rPr>
      </w:pPr>
    </w:p>
    <w:p>
      <w:pPr>
        <w:ind w:right="60" w:firstLine="419"/>
        <w:spacing w:after="0" w:line="263" w:lineRule="auto"/>
        <w:tabs>
          <w:tab w:leader="none" w:pos="6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solely on any cash earnest money deposits, escrow arrangements or similar arrangements made by the Borrower or any Restricted Subsidiary in connection with any letter of intent or purchase agreement for any acquisition, a disposition or other transaction permitted hereunder;</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520"/>
          </w:cols>
          <w:pgMar w:left="880" w:top="274" w:right="499" w:bottom="1440" w:gutter="0" w:footer="0" w:header="0"/>
        </w:sectPr>
      </w:pPr>
    </w:p>
    <w:bookmarkStart w:id="77" w:name="page78"/>
    <w:bookmarkEnd w:id="77"/>
    <w:p>
      <w:pPr>
        <w:ind w:left="440" w:firstLine="419"/>
        <w:spacing w:after="0" w:line="277" w:lineRule="auto"/>
        <w:tabs>
          <w:tab w:leader="none" w:pos="1118"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deposits made in the ordinary course of business to secure obligations to insurance carriers and (ii) Liens on insurance policies and the proceeds thereof securing the financing of the premiums with respect thereto;</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0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deposited to defease or to satisfy and discharge any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defeasance or satisfaction and discharge is permitted hereunder;</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0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the net cash proceeds of any Acquisition Indebtedness held in escrow by a third party escrow agent prior to the release thereof from escrow;</w:t>
      </w:r>
    </w:p>
    <w:p>
      <w:pPr>
        <w:spacing w:after="0" w:line="62" w:lineRule="exact"/>
        <w:rPr>
          <w:rFonts w:ascii="Arial" w:cs="Arial" w:eastAsia="Arial" w:hAnsi="Arial"/>
          <w:sz w:val="18"/>
          <w:szCs w:val="18"/>
          <w:color w:val="auto"/>
        </w:rPr>
      </w:pPr>
    </w:p>
    <w:p>
      <w:pPr>
        <w:ind w:left="440" w:right="20" w:firstLine="419"/>
        <w:spacing w:after="0" w:line="257" w:lineRule="auto"/>
        <w:tabs>
          <w:tab w:leader="none" w:pos="10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other Liens securing Indebtedness or other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creation, incurrence or assumption of any such Lien (and after giving pro forma effect to all related transactions), the aggregate principal amount of all Indebtedness or any such other obligations of the Borrower and the Restricted Subsidiaries that is secured by Liens permitted by this clause (t) shall not exceed the greater of (i) 15% of Consolidated Net Tangible Assets as of the end of the then most recently completed fiscal quarter and (ii) $1,000,000,000; and</w:t>
      </w:r>
    </w:p>
    <w:p>
      <w:pPr>
        <w:spacing w:after="0" w:line="79" w:lineRule="exact"/>
        <w:rPr>
          <w:rFonts w:ascii="Arial" w:cs="Arial" w:eastAsia="Arial" w:hAnsi="Arial"/>
          <w:sz w:val="18"/>
          <w:szCs w:val="18"/>
          <w:color w:val="auto"/>
        </w:rPr>
      </w:pPr>
    </w:p>
    <w:p>
      <w:pPr>
        <w:ind w:left="440" w:right="60" w:firstLine="419"/>
        <w:spacing w:after="0" w:line="275" w:lineRule="auto"/>
        <w:tabs>
          <w:tab w:leader="none" w:pos="1118"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Liens created pursuant to any contract with a customer of the Borrower or any Restricted Subsidiary in favor of such customer,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shall extend only to (i) work in progress and other property that is the subject of such contract and associated property, including equipment, inventory, goods, materials, general intangibles (including rights under subcontracts and general intangibles entered into by the Borrower or its Restricted Subsidiaries in connection with the performance of such contract), intellectual property, computer programs, computer software, source code, insurance rights, documents and records, and (ii) proceeds of any of the foregoing.</w:t>
      </w:r>
    </w:p>
    <w:p>
      <w:pPr>
        <w:spacing w:after="0" w:line="176" w:lineRule="exact"/>
        <w:rPr>
          <w:sz w:val="20"/>
          <w:szCs w:val="20"/>
          <w:color w:val="auto"/>
        </w:rPr>
      </w:pPr>
    </w:p>
    <w:p>
      <w:pPr>
        <w:ind w:right="60" w:firstLine="991"/>
        <w:spacing w:after="0" w:line="28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The Borrower will not consolidate with or merge into any other Person, or convey or transfer its consolidated properties and assets substantially as an entirety to any Person, unless: (i) the Borrower or another Person that is organized under the laws of the United States, any State thereof or the District of Columbia is the surviving Person of any such consolidation or merger or is the Person that acquires by conveyance or transfer the consolidated properties and assets of the Borrower substantially as an entirety; (ii) if a Person other than the Borrower is the surviving Person as described in clause (i) above or is the Person that acquires the consolidated properties and assets of the Borrower substantially as an entirety, it shall expressly assume the performance of every obligation and covenant of this Agreement on the part of the Borrower to be performed or observed; (iii) immediately after giving effect to such transaction, no Default shall have occurred and be continuing; and (iv) if the Borrower is not the surviving or acquiring Person, the Borrower shall deliver to the Administrative Agent (and, in the case of clause (C) below, each requesting Lender), (A) a certificate of a Financial Officer stating that such transaction complies with this Section and that all conditions precedent set forth in this Section for such transaction have been complied with, (B) evidence of authority and legal opinions in respect of the surviving or acquiring Person comparable to those delivered under Section 4.01(b) and reasonably satisfactory to the Administrative Agent, and (C) all documentation and other information in respect of the surviving or acquiring Person required by bank regulatory authorities under applicable “know your customer” and anti-money laundering rules and regulations, including the USA PATRIOT 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78" w:name="page79"/>
    <w:bookmarkEnd w:id="78"/>
    <w:p>
      <w:pPr>
        <w:ind w:right="100" w:firstLine="987"/>
        <w:spacing w:after="0" w:line="255" w:lineRule="auto"/>
        <w:tabs>
          <w:tab w:leader="none" w:pos="1246"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consolidation by the Borrower with, or merger by the Borrower into, any Person described in Section 6.02(a)(i) or any conveyance or transfer of the consolidated properties and assets of the Borrower substantially as an entirety to any Person described in Section 6.02(a) (i), such Person into which the Borrower is merged or consolidated or to which such conveyance or transfer is made shall succeed to, and be substituted for, and may exercise every right and power of the Borrower under this Agreement with the same effect as if such Person had been named as the Borrower herein, and thereafter, in the case of a transfer or conveyance permitted by Section 6.02(a), the Borrower shall be relieved of all obligations and covenants under this Agreement.</w:t>
      </w:r>
    </w:p>
    <w:p>
      <w:pPr>
        <w:spacing w:after="0" w:line="192"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Consolidated Debt to Capitalization Ratio</w:t>
      </w:r>
      <w:r>
        <w:rPr>
          <w:rFonts w:ascii="Arial" w:cs="Arial" w:eastAsia="Arial" w:hAnsi="Arial"/>
          <w:sz w:val="18"/>
          <w:szCs w:val="18"/>
          <w:color w:val="auto"/>
        </w:rPr>
        <w:t>. The Borrower will not permit the ratio of (a) Consolidated Debt to (b) the sum of Consolidated Debt and Shareholders’ Equity, in each case, as of the last day of any fiscal quarter for which the financial statements of the Borrower have been (or are required to be) delivered pursuant to Section 5.01(a) or 5.01(b), to exceed 65.0%.</w:t>
      </w:r>
    </w:p>
    <w:p>
      <w:pPr>
        <w:spacing w:after="0" w:line="184"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 will not, and will not permit any Subsidiary to, directly or, to the knowledge of any Responsible Officer, indirectly, use the proceeds of any Borrowing or Letter of Credit in any manner that will result in a violation by the Borrower, any Subsidiary, any Arranger, the Administrative Agent, any Lender or any Issuing Bank of any Sanctions. The Borrower will not use directly or, to the knowledge of any Responsible Officer, indirectly, the proceeds of any Borrowing in any manner that will result in a violation of Anti-Corruption Laws.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117" w:lineRule="exact"/>
        <w:rPr>
          <w:sz w:val="20"/>
          <w:szCs w:val="20"/>
          <w:color w:val="auto"/>
        </w:rPr>
      </w:pPr>
    </w:p>
    <w:p>
      <w:pPr>
        <w:ind w:left="440" w:firstLine="419"/>
        <w:spacing w:after="0" w:line="308" w:lineRule="auto"/>
        <w:tabs>
          <w:tab w:leader="none" w:pos="110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38" w:lineRule="exact"/>
        <w:rPr>
          <w:rFonts w:ascii="Arial" w:cs="Arial" w:eastAsia="Arial" w:hAnsi="Arial"/>
          <w:sz w:val="17"/>
          <w:szCs w:val="17"/>
          <w:color w:val="auto"/>
        </w:rPr>
      </w:pPr>
    </w:p>
    <w:p>
      <w:pPr>
        <w:ind w:left="440" w:right="40" w:firstLine="419"/>
        <w:spacing w:after="0" w:line="263" w:lineRule="auto"/>
        <w:tabs>
          <w:tab w:leader="none" w:pos="11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payable under this Agreement, when and as the same shall become due and payable, and such failure shall continue unremedied for a period of 5 days after written notice thereof shall have been given to the Borrower by the Administrative Agent;</w:t>
      </w:r>
    </w:p>
    <w:p>
      <w:pPr>
        <w:spacing w:after="0" w:line="75" w:lineRule="exact"/>
        <w:rPr>
          <w:rFonts w:ascii="Arial" w:cs="Arial" w:eastAsia="Arial" w:hAnsi="Arial"/>
          <w:sz w:val="18"/>
          <w:szCs w:val="18"/>
          <w:color w:val="auto"/>
        </w:rPr>
      </w:pPr>
    </w:p>
    <w:p>
      <w:pPr>
        <w:ind w:left="440" w:right="240" w:firstLine="419"/>
        <w:spacing w:after="0" w:line="308" w:lineRule="auto"/>
        <w:tabs>
          <w:tab w:leader="none" w:pos="110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Borrower shall fail to pay within 30 days after written request for payment by any Lender acting through the Administrative Agent any other amount (other than an amount referred to in clause (a) or (b) of this Article) payable under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79" w:name="page80"/>
    <w:bookmarkEnd w:id="79"/>
    <w:p>
      <w:pPr>
        <w:ind w:firstLine="419"/>
        <w:spacing w:after="0" w:line="259" w:lineRule="auto"/>
        <w:tabs>
          <w:tab w:leader="none" w:pos="678"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representation or warranty made by the Borrower or the Guarantor in Article III of this Agreement or any certificate or writing furnished pursuant to this Agreement shall prove to have been incorrect in any material respect when made and the facts and circumstances giving rise to such deficiency shall remain unremedied for 5 days after written notice thereof shall have been given to the Borrower by the Administrative Agent at the request of the Required Lenders;</w:t>
      </w:r>
    </w:p>
    <w:p>
      <w:pPr>
        <w:spacing w:after="0" w:line="78" w:lineRule="exact"/>
        <w:rPr>
          <w:rFonts w:ascii="Arial" w:cs="Arial" w:eastAsia="Arial" w:hAnsi="Arial"/>
          <w:sz w:val="18"/>
          <w:szCs w:val="18"/>
          <w:color w:val="auto"/>
        </w:rPr>
      </w:pPr>
    </w:p>
    <w:p>
      <w:pPr>
        <w:ind w:left="660" w:hanging="241"/>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or agreement contained in Section 1.06 or Article VI;</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40" w:firstLine="419"/>
        <w:spacing w:after="0" w:line="286" w:lineRule="auto"/>
        <w:tabs>
          <w:tab w:leader="none" w:pos="678"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Loan Party shall fail to observe or perform any covenant or agreement contained in this Agreement (other than those specified in clause (a), (b), (c), (e) or (f) of this Article), and such failure shall continue unremedied for a period of 30 days after written notice thereof from the Administrative Agent to the Borrower (which notice will be given at the request of the Required Lenders);</w:t>
      </w:r>
    </w:p>
    <w:p>
      <w:pPr>
        <w:spacing w:after="0" w:line="57" w:lineRule="exact"/>
        <w:rPr>
          <w:rFonts w:ascii="Arial" w:cs="Arial" w:eastAsia="Arial" w:hAnsi="Arial"/>
          <w:sz w:val="17"/>
          <w:szCs w:val="17"/>
          <w:color w:val="auto"/>
        </w:rPr>
      </w:pPr>
    </w:p>
    <w:p>
      <w:pPr>
        <w:ind w:right="20" w:firstLine="419"/>
        <w:spacing w:after="0" w:line="257" w:lineRule="auto"/>
        <w:tabs>
          <w:tab w:leader="none" w:pos="6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Funded Debt in an aggregate principal amount which is in excess of $250,000,000 shall become due before its stated maturity by the acceleration of the maturity thereof by reason of default, or Funded Debt in an aggregate principal amount which is in excess of $250,000,000 shall become due by its terms and shall not be paid when due and, in any case aforesaid in this clause (h), corrective action satisfactory to the Required Lenders shall not be taken within 5 days after written notice of the situation shall have been given to the Borrower by the Administrative Agent at the request of the Required Lenders;</w:t>
      </w:r>
    </w:p>
    <w:p>
      <w:pPr>
        <w:spacing w:after="0" w:line="79" w:lineRule="exact"/>
        <w:rPr>
          <w:rFonts w:ascii="Arial" w:cs="Arial" w:eastAsia="Arial" w:hAnsi="Arial"/>
          <w:sz w:val="18"/>
          <w:szCs w:val="18"/>
          <w:color w:val="auto"/>
        </w:rPr>
      </w:pPr>
    </w:p>
    <w:p>
      <w:pPr>
        <w:ind w:right="40" w:firstLine="419"/>
        <w:spacing w:after="0" w:line="296" w:lineRule="auto"/>
        <w:tabs>
          <w:tab w:leader="none" w:pos="63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 involuntary case or other proceeding shall be commenced against the Borrower or any Significant Subsidiary seeking liquidation, reorganization or other relief with respect to its debts under any Federal, state or foreign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90 days, or an order for relief shall be entered against the Borrower or any Significant Subsidiary under any such bankruptcy laws as now or hereafter in effect;</w:t>
      </w:r>
    </w:p>
    <w:p>
      <w:pPr>
        <w:spacing w:after="0" w:line="53" w:lineRule="exact"/>
        <w:rPr>
          <w:rFonts w:ascii="Arial" w:cs="Arial" w:eastAsia="Arial" w:hAnsi="Arial"/>
          <w:sz w:val="16"/>
          <w:szCs w:val="16"/>
          <w:color w:val="auto"/>
        </w:rPr>
      </w:pPr>
    </w:p>
    <w:p>
      <w:pPr>
        <w:ind w:right="40" w:firstLine="419"/>
        <w:spacing w:after="0" w:line="272" w:lineRule="auto"/>
        <w:tabs>
          <w:tab w:leader="none" w:pos="63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Borrower or any Significant Subsidiary shall (i) voluntarily commence any proceeding or file any petition seeking liquidation (other than, in the case of any Significant Subsidiary, any solvent liquidation as part of a corporate reorganization), reorganization or other relief under any Federal, state or foreign bankruptcy, insolvency, receivership or similar law now or hereafter in effect, (ii) consent to the institution of, or fail to contest in a timely and appropriate manner, any case or other proceeding described in clause (i) of this Article, (iii) apply for or consent to the appointment of a receiver, trustee, custodian, sequestrator, conservator or similar official for the Borrower or any Significant Subsidiary or for a substantial part of its assets, (iv) admit in writing its inability to pay its debts as they become due, (v) make a general assignment for the benefit of creditors or (vi) take any corporate action to authorize any of the foregoing;</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60"/>
          </w:cols>
          <w:pgMar w:left="880" w:top="274" w:right="459" w:bottom="1440" w:gutter="0" w:footer="0" w:header="0"/>
        </w:sectPr>
      </w:pPr>
    </w:p>
    <w:bookmarkStart w:id="80" w:name="page81"/>
    <w:bookmarkEnd w:id="80"/>
    <w:p>
      <w:pPr>
        <w:ind w:left="444" w:right="140" w:firstLine="419"/>
        <w:spacing w:after="0" w:line="291" w:lineRule="auto"/>
        <w:tabs>
          <w:tab w:leader="none" w:pos="1122"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 final judgment for the payment of money in excess of $250,000,000, excluding (A) any amounts covered by insurance as to which the insurance company shall not have denied coverage so long as such insurance company is not a captive insurance subsidiary of the Borrower and (B) the amount of any judgment against a Significant Subsidiary that exceeds the fair value of the assets of such Significant Subsidiary (but only if neither the Borrower nor any other Significant Subsidiary is directly or contingently liable therefor), shall have been entered against the Borrower or any Significant Subsidiary and (ii) the Borrower or such Significant Subsidiary shall not satisfy the same within 60 days, or cause execution thereon to be stayed within 60 days, and such failure to satisfy or stay such judgment shall remain unremedied for 5 days after notice thereof shall be given to the Borrower by the Administrative Agent at the request of the Required Lenders;</w:t>
      </w:r>
    </w:p>
    <w:p>
      <w:pPr>
        <w:spacing w:after="0" w:line="58" w:lineRule="exact"/>
        <w:rPr>
          <w:rFonts w:ascii="Arial" w:cs="Arial" w:eastAsia="Arial" w:hAnsi="Arial"/>
          <w:sz w:val="16"/>
          <w:szCs w:val="16"/>
          <w:color w:val="auto"/>
        </w:rPr>
      </w:pPr>
    </w:p>
    <w:p>
      <w:pPr>
        <w:ind w:left="444" w:right="40" w:firstLine="419"/>
        <w:spacing w:after="0" w:line="275" w:lineRule="auto"/>
        <w:tabs>
          <w:tab w:leader="none" w:pos="1082"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the termination of, or the imposition of liability (other than for premiums under Section 4007 of ERISA) under Title IV of ERISA in respect of, or the appointment of a trustee under Title IV of ERISA to administer, any Plan or Plans having Unfunded Liabilities or (ii) the imposition of Withdrawal Liability to a Multiemployer Plan, which, in either case, individually or in the aggregate, would reasonably be expected to result in a Material Adverse Effect which has not been satisfied within 60 days and such failure to satisfy is unremedied for 5 days after notice thereof shall have been given to the Borrower by the Administrative Agent at the request of the Required Lenders;</w:t>
      </w:r>
    </w:p>
    <w:p>
      <w:pPr>
        <w:spacing w:after="0" w:line="68" w:lineRule="exact"/>
        <w:rPr>
          <w:rFonts w:ascii="Arial" w:cs="Arial" w:eastAsia="Arial" w:hAnsi="Arial"/>
          <w:sz w:val="17"/>
          <w:szCs w:val="17"/>
          <w:color w:val="auto"/>
        </w:rPr>
      </w:pPr>
    </w:p>
    <w:p>
      <w:pPr>
        <w:ind w:left="444" w:right="120" w:firstLine="419"/>
        <w:spacing w:after="0" w:line="277" w:lineRule="auto"/>
        <w:tabs>
          <w:tab w:leader="none" w:pos="11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guarantee of the Guarantor under Article IX shall not be (or shall be asserted by any Loan Party not to be) valid or in full force and effect except in connection with a termination of such guarantee in accordance with Section 9.02; or</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then, and in every such event (other than an event with respect to the Borrower described in clause (i) or (j) of this Article), and at any time thereafter during the continuance of such event, the Administrative Agent shall, if requested by the Required Lenders, by notice to the Borrower, take any or all of the following actions, at the same or different times: (i) terminate the Commitments, and thereupon the Commitments shall terminate immediately,</w:t>
      </w:r>
    </w:p>
    <w:p>
      <w:pPr>
        <w:spacing w:after="0" w:line="2" w:lineRule="exact"/>
        <w:rPr>
          <w:sz w:val="20"/>
          <w:szCs w:val="20"/>
          <w:color w:val="auto"/>
        </w:rPr>
      </w:pPr>
    </w:p>
    <w:p>
      <w:pPr>
        <w:ind w:left="4" w:hanging="4"/>
        <w:spacing w:after="0" w:line="268" w:lineRule="auto"/>
        <w:tabs>
          <w:tab w:leader="none" w:pos="269" w:val="left"/>
        </w:tabs>
        <w:numPr>
          <w:ilvl w:val="0"/>
          <w:numId w:val="78"/>
        </w:numPr>
        <w:rPr>
          <w:rFonts w:ascii="Arial" w:cs="Arial" w:eastAsia="Arial" w:hAnsi="Arial"/>
          <w:sz w:val="17"/>
          <w:szCs w:val="17"/>
          <w:color w:val="auto"/>
        </w:rPr>
      </w:pPr>
      <w:r>
        <w:rPr>
          <w:rFonts w:ascii="Arial" w:cs="Arial" w:eastAsia="Arial" w:hAnsi="Arial"/>
          <w:sz w:val="17"/>
          <w:szCs w:val="17"/>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and (iii) require the deposit of cash collateral in respect of LC Exposure as provided in Section 2.05(k), in each case without presentment, demand, protest or other notice of any kind, all of which are hereby waived by the Borrower; and in case of any event with respect to the Borrower described in clause (i) or (j) of this Article, the Commitments shall automatically terminate, the principal of the Loans then outstanding, together with accrued interest thereon and all fees and other obligations of the Borrower accrued hereunder, shall automatically become due and payable, and the deposit of such cash collateral in respect of LC Exposure shall immediately and automatically become due, in each case without presentment, demand, protest or other notice of any kind, all of which are hereby waived by the Borrower. Nothing in this Agreement shall constitute a waiver of any rights or remedies the Lenders may otherwise have, including setoff rights.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74" w:right="4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Each of the Lenders and each of the Issuing Banks hereby irrevocably appoints the Administrative Agent (and its successors)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or Issuing Bank as any other Lender or Issuing Bank and may exercise the same as though it were not the Administrative Agent, and such bank and its Affiliates may accept deposits from, lend money to, act as the financial advisor or in any other advisory capacity for and generally engage in any kind of business with the Borrower or any Subsidiary or other Affiliate thereof as if it were not the Administrative Agent hereunder and without any duty to account therefor to the Lenders or Issuing Banks.</w:t>
      </w:r>
    </w:p>
    <w:p>
      <w:pPr>
        <w:spacing w:after="0" w:line="188"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(and it is understood and agreed that the use of the term “agent” herein or in any other Loan Document (or any other similar term) with reference to the Administrative Agent is not intended to connote any fiduciary or other implied (or express) obligations arising under agency doctrine of any applicable law, and that such term is used as a matter of market custom and is intended to create or reflect only an administrative relationship between the contracting parties); and, each Lender and Issuing Bank agrees that it will not assert any claim against the Administrative Agent based on an alleged breach of fiduciary duty by the Administrative Agent in connection with this Agreement and/or the transactions contemplated hereby,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at the direction of the Required Lenders that, in its opinion, could expose the Administrative Agent to liability or be contrary to this Agreement or any applicable law, rule or regulation, and (c) except as expressly set forth herein, the Administrative Agent shall not have any duty to disclose, and shall not be liable for the failure to disclose, any information relating to the Borrower or any of its Subsidiaries or other Affiliates thereof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10.02) or in the absence of its own gross negligence, willful misconduct or bad faith as determined by a court of competent jurisdiction in a final non-appealable judgment. The Administrative Agent shall be deemed not to have knowledge of any Default unless and until written notice thereof is given to the Administrative Agent by the Borrower or a Lender, and the Administrative Agent shall not be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2" w:name="page83"/>
    <w:bookmarkEnd w:id="8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responsible for or have any duty to ascertain or inquire into (i) any statement, warranty or representation made in or in connection with this Agreement,</w:t>
      </w:r>
    </w:p>
    <w:p>
      <w:pPr>
        <w:spacing w:after="0" w:line="46" w:lineRule="exact"/>
        <w:rPr>
          <w:sz w:val="20"/>
          <w:szCs w:val="20"/>
          <w:color w:val="auto"/>
        </w:rPr>
      </w:pPr>
    </w:p>
    <w:p>
      <w:pPr>
        <w:ind w:left="4" w:right="20" w:hanging="4"/>
        <w:spacing w:after="0" w:line="295" w:lineRule="auto"/>
        <w:tabs>
          <w:tab w:leader="none" w:pos="26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contents of any certificate, report or other document delivered hereunder or in connection herewith, (iii) the performance or observance of any of the covenants, agreements or other terms or conditions set forth herein or the occurrence of any Default, (iv) the sufficiency,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Administrative Agent.</w:t>
      </w:r>
    </w:p>
    <w:p>
      <w:pPr>
        <w:spacing w:after="0" w:line="161" w:lineRule="exact"/>
        <w:rPr>
          <w:sz w:val="20"/>
          <w:szCs w:val="20"/>
          <w:color w:val="auto"/>
        </w:rPr>
      </w:pPr>
    </w:p>
    <w:p>
      <w:pPr>
        <w:ind w:left="4" w:right="160" w:firstLine="991"/>
        <w:spacing w:after="0" w:line="290"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(whether or not such Person in fact meets the requirements set forth herein for being the signatory or sender thereof). The Administrative Agent also may rely, and shall not incur any liability for relying, upon any statement made to it orally or by telephone and believed by it to be made by the proper Person (whether or not such Person in fact meets the requirements set forth herein for being the signatory or sender thereof), and may act upon any such statement prior to receipt of written confirmation thereof.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5" w:lineRule="exact"/>
        <w:rPr>
          <w:sz w:val="20"/>
          <w:szCs w:val="20"/>
          <w:color w:val="auto"/>
        </w:rPr>
      </w:pPr>
    </w:p>
    <w:p>
      <w:pPr>
        <w:ind w:left="4" w:right="60" w:firstLine="991"/>
        <w:spacing w:after="0" w:line="275" w:lineRule="auto"/>
        <w:rPr>
          <w:sz w:val="20"/>
          <w:szCs w:val="20"/>
          <w:color w:val="auto"/>
        </w:rPr>
      </w:pPr>
      <w:r>
        <w:rPr>
          <w:rFonts w:ascii="Arial" w:cs="Arial" w:eastAsia="Arial" w:hAnsi="Arial"/>
          <w:sz w:val="17"/>
          <w:szCs w:val="17"/>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176"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subject to the consent of the Borrower (other than during the existence of an Event of Default under clause (a), (b), (i) or (j) of Article VII), which consent of the Borrower shall not be unreasonably withheld, delayed, or conditioned, to appoint a successor. If no successor shall have been so appointed by the Required Lenders and shall have accepted such appointment within 30 days after the retiring Administrative Agent gives notice of its resignation, then the retiring Administrative Agent may (in consultation with, and (unless an Event of Default of the types described in paragraph (i) or</w:t>
      </w:r>
    </w:p>
    <w:p>
      <w:pPr>
        <w:spacing w:after="0" w:line="4" w:lineRule="exact"/>
        <w:rPr>
          <w:sz w:val="20"/>
          <w:szCs w:val="20"/>
          <w:color w:val="auto"/>
        </w:rPr>
      </w:pPr>
    </w:p>
    <w:p>
      <w:pPr>
        <w:ind w:left="4" w:hanging="4"/>
        <w:spacing w:after="0" w:line="253" w:lineRule="auto"/>
        <w:tabs>
          <w:tab w:leader="none" w:pos="219" w:val="left"/>
        </w:tabs>
        <w:numPr>
          <w:ilvl w:val="0"/>
          <w:numId w:val="80"/>
        </w:numPr>
        <w:rPr>
          <w:rFonts w:ascii="Arial" w:cs="Arial" w:eastAsia="Arial" w:hAnsi="Arial"/>
          <w:sz w:val="18"/>
          <w:szCs w:val="18"/>
          <w:color w:val="auto"/>
        </w:rPr>
      </w:pPr>
      <w:r>
        <w:rPr>
          <w:rFonts w:ascii="Arial" w:cs="Arial" w:eastAsia="Arial" w:hAnsi="Arial"/>
          <w:sz w:val="18"/>
          <w:szCs w:val="18"/>
          <w:color w:val="auto"/>
        </w:rPr>
        <w:t>of Article VII with respect to the Borrower has occurred and is continuing) with the consent of the Borrower, which consent may not be unreasonably withheld),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4"/>
          </w:cols>
          <w:pgMar w:left="436" w:top="274" w:right="479" w:bottom="1440" w:gutter="0" w:footer="0" w:header="0"/>
        </w:sectPr>
      </w:pPr>
    </w:p>
    <w:bookmarkStart w:id="83" w:name="page84"/>
    <w:bookmarkEnd w:id="83"/>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10.03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76"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Each Lender and Issuing Bank acknowledges that it has, independently and without reliance upon the Administrative Agent or any other Lender or Issuing Bank and based on such documents and information as it has deemed appropriate, made its own credit analysis and decision to enter into this Agreement. Each Lender and Issuing Bank also acknowledges that it will, independently and without reliance upon the Administrative Agent or any other Lender, or any of the Related Parties of any of the foregoing,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92"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Each Lender and Issuing Bank, by delivering its signature page to this Agreement, or to an Assignment and Assumption or any other document pursuant to which it shall become a Lender or an Issuing Bank hereunder, shall be deemed to have acknowledged receipt of and consented to each document delivered to, or required to be approved by or satisfactory to, the Administrative Agent or the Lenders on or prior to the date on which such Lender or Issuing Bank becomes a Lender or an Issuing Bank.</w:t>
      </w:r>
    </w:p>
    <w:p>
      <w:pPr>
        <w:spacing w:after="0" w:line="187"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Each Lender (x) represents and warrants, as of the date such Person became a Lender party hereto, and (y) covenants, from the date such Person became a Lender party hereto to the date such Person ceases being a Lender party hereto, for the benefit of the Administrative Agent, its Affiliates, and not, for the avoidance of doubt, to or for the benefit of the Borrower or any other Loan Party, that at least one of the following is and will be true: (i) such Lender is not using “plan assets” (within the meaning of the Plan Asset Regulations) of one or more Benefit Plans in connection with the Loans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4" w:name="page85"/>
    <w:bookmarkEnd w:id="84"/>
    <w:p>
      <w:pPr>
        <w:ind w:left="4" w:right="320" w:hanging="4"/>
        <w:spacing w:after="0" w:line="311" w:lineRule="auto"/>
        <w:tabs>
          <w:tab w:leader="none" w:pos="259"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Part I of PTE 84-14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and such Lender.</w:t>
      </w:r>
    </w:p>
    <w:p>
      <w:pPr>
        <w:spacing w:after="0" w:line="149" w:lineRule="exact"/>
        <w:rPr>
          <w:sz w:val="20"/>
          <w:szCs w:val="20"/>
          <w:color w:val="auto"/>
        </w:rPr>
      </w:pPr>
    </w:p>
    <w:p>
      <w:pPr>
        <w:ind w:left="4" w:right="360" w:firstLine="991"/>
        <w:spacing w:after="0" w:line="291" w:lineRule="auto"/>
        <w:rPr>
          <w:sz w:val="20"/>
          <w:szCs w:val="20"/>
          <w:color w:val="auto"/>
        </w:rPr>
      </w:pPr>
      <w:r>
        <w:rPr>
          <w:rFonts w:ascii="Arial" w:cs="Arial" w:eastAsia="Arial" w:hAnsi="Arial"/>
          <w:sz w:val="16"/>
          <w:szCs w:val="16"/>
          <w:color w:val="auto"/>
        </w:rPr>
        <w:t>In addition, unless either (1) clause (i) in the immediately preceding paragraph is true with respect to a Lender or (2) a Lender has provided another representation, warranty and covenant in accordance with clause (iv) in the immediately preceding paragraph, such Lender further</w:t>
      </w:r>
    </w:p>
    <w:p>
      <w:pPr>
        <w:ind w:left="4" w:right="80" w:hanging="4"/>
        <w:spacing w:after="0" w:line="270" w:lineRule="auto"/>
        <w:tabs>
          <w:tab w:leader="none" w:pos="259"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other Arranger and their respective Affiliates, and not, for the avoidance of doubt, to or for the benefit of the Borrower or any other Loan Party, that none of the Administrative Agent or any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78"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6" w:lineRule="exact"/>
        <w:rPr>
          <w:sz w:val="20"/>
          <w:szCs w:val="20"/>
          <w:color w:val="auto"/>
        </w:rPr>
      </w:pPr>
    </w:p>
    <w:p>
      <w:pPr>
        <w:ind w:left="4" w:right="180" w:firstLine="991"/>
        <w:spacing w:after="0" w:line="270" w:lineRule="auto"/>
        <w:rPr>
          <w:sz w:val="20"/>
          <w:szCs w:val="20"/>
          <w:color w:val="auto"/>
        </w:rPr>
      </w:pPr>
      <w:r>
        <w:rPr>
          <w:rFonts w:ascii="Arial" w:cs="Arial" w:eastAsia="Arial" w:hAnsi="Arial"/>
          <w:sz w:val="17"/>
          <w:szCs w:val="17"/>
          <w:color w:val="auto"/>
        </w:rPr>
        <w:t>Each Lender and Issuing Bank hereby agrees that (a)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“Payment”) were erroneously transmitted to such Lender or Issuing Bank (whether or not known to such Lender or Issuing Bank), and demands the return of such Payment (or a portion thereof), such Lender or Issuing Bank, as the case may be,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4" w:right="459" w:bottom="1440" w:gutter="0" w:footer="0" w:header="0"/>
        </w:sectPr>
      </w:pPr>
    </w:p>
    <w:bookmarkStart w:id="85" w:name="page86"/>
    <w:bookmarkEnd w:id="85"/>
    <w:p>
      <w:pPr>
        <w:ind w:left="4" w:right="3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from time to time in effect, and (b)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paragraph shall be conclusive, absent manifest error.</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Each Lender and Issuing Bank hereby further agrees that if it receives a Payment from the Administrative Agent or any of its Affiliates</w:t>
      </w:r>
    </w:p>
    <w:p>
      <w:pPr>
        <w:spacing w:after="0" w:line="35" w:lineRule="exact"/>
        <w:rPr>
          <w:sz w:val="20"/>
          <w:szCs w:val="20"/>
          <w:color w:val="auto"/>
        </w:rPr>
      </w:pPr>
    </w:p>
    <w:p>
      <w:pPr>
        <w:ind w:left="4" w:right="160" w:hanging="4"/>
        <w:spacing w:after="0" w:line="286" w:lineRule="auto"/>
        <w:tabs>
          <w:tab w:leader="none" w:pos="2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is in a different amount than, or on a different date from, that specified in a notice of payment sent by the Administrative Agent (or any of its Affiliates) with respect to such Payment (a “Payment Notice”) or (b)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as the case may be,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2"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6"/>
          <w:szCs w:val="16"/>
          <w:color w:val="auto"/>
        </w:rPr>
        <w:t>Each Loan Party hereby agrees that (a) in the event an erroneous Payment (or portion thereof) are not recovered from any Lender or Issuing Bank that has received such Payment (or portion thereof) for any reason, the Administrative Agent shall be subrogated to all the rights of such Lender or Issuing Bank with respect to such amount and (b) an erroneous Payment shall not pay, prepay, repay, discharge or otherwise satisfy any obligations owed by any Loan Party under any Loan Document; provided that (i) this paragraph shall not be interpreted to increase (or accelerate the due date for), or have the effect of increasing (or accelerating the due date for), any of the obligations of any Loan Party under any Loan Document relative to the amount (and/or timing for payment) of the obligations of any Loan Party that would have been payable had such erroneous Payment not been made and (ii) the immediately preceding clauses (a) and (b) shall not apply to the extent any such Payment is, and solely with respect to the amount of such Payment that is, comprised of funds received by the Administrative Agent from any Loan Party for the purpose of paying, prepaying, repaying, discharging or otherwise satisfying any obligations of the Loan Parties under this Agreement or the other Loan Documents.</w:t>
      </w:r>
    </w:p>
    <w:p>
      <w:pPr>
        <w:spacing w:after="0" w:line="166"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Each party’s obligations under the immediately preceding three paragraphs shall survive the resignation or replacement of the Administrative Agent or any transfer of rights or obligations by, or the replacement of, a Lender or an Issuing Bank, the termination of the Commitments or the repayment, satisfaction or discharge of all Obligations under any Loan Document.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4"/>
          </w:cols>
          <w:pgMar w:left="436" w:top="274" w:right="439" w:bottom="1440" w:gutter="0" w:footer="0" w:header="0"/>
        </w:sectPr>
      </w:pPr>
    </w:p>
    <w:bookmarkStart w:id="86" w:name="page87"/>
    <w:bookmarkEnd w:id="86"/>
    <w:p>
      <w:pPr>
        <w:jc w:val="both"/>
        <w:ind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agreed that the Syndication Agents and Arrangers shall, in their capacities as such, have no duties or responsibilities under or liability in connection with this Agreement, but all such Persons shall have the benefit of the indemnities provided hereunder. None of the Administrative Agent, the Syndication Agents or the Arrangers, in their capacities as such, shall have or be deemed to have any fiduciary relationship with any Lender.</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Guarantee</w:t>
      </w:r>
      <w:r>
        <w:rPr>
          <w:rFonts w:ascii="Arial" w:cs="Arial" w:eastAsia="Arial" w:hAnsi="Arial"/>
          <w:sz w:val="16"/>
          <w:szCs w:val="16"/>
          <w:color w:val="auto"/>
        </w:rPr>
        <w:t>. In order to induce the Lenders to extend credit to the Borrower hereunder, the Guarantor hereby irrevocably and unconditionally guarantees the due and punctual payment of the Obligations. The Guarantor further agrees that the Obligations may be extended or renewed, in whole or in part, without notice to or further assent from it, and that it will remain bound upon its guarantee hereunder notwithstanding any such extension or renewal of any Obligation. This guarantee is subject to release in the manner described in Section 9.02.</w:t>
      </w:r>
    </w:p>
    <w:p>
      <w:pPr>
        <w:spacing w:after="0" w:line="157"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The Guarantor waives presentment to, demand of payment from and protest to the Borrower of any of the Obligations, and also waives notice of acceptance of its obligations and notice of protest for nonpayment. The obligations of the Guarantor hereunder shall not be affected by (a) the failure of any Lender to assert any claim or demand or to enforce any right or remedy against the Borrower under the provisions of this Agreement or otherwise; (b) any extension or renewal of any of the Obligations; (c) any rescission, waiver, amendment or modification of, or release from, the Obligations or any of the terms or provisions of this Agreement; (d) the failure or delay of any Lender to exercise any right or remedy against any other guarantor of the Obligations; (e) the failure of any Lender to assert any claim or demand or to enforce any remedy under this Agreement or any other agreement or instrument; (f) any default, failure or delay, willful or otherwise, in the performance of the Obligations; or (g) any other act, omission or delay to do any other act which may or might in any manner or to any extent vary the risk of the Guarantor or otherwise operate as a discharge of the Guarantor as a matter of law or equity or which would impair or eliminate any right of the Guarantor to subrogation.</w:t>
      </w:r>
    </w:p>
    <w:p>
      <w:pPr>
        <w:spacing w:after="0" w:line="166"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The Guarantor further agrees that its guarantee hereunder constitutes a promise of payment when due, subject to applicable periods of grace (whether or not any bankruptcy or similar proceeding shall have stayed the accrual or collection of any of the Obligations or operated as a discharge thereof) and not merely of collection, and waives any right to require that any resort be had by any Lender, the Administrative Agent or any Issuing Bank to any balance of any deposit account or credit on the books of any Lender, the Administrative Agent or any Issuing Bank in favor of the Borrower or any Subsidiary or any other Person.</w:t>
      </w:r>
    </w:p>
    <w:p>
      <w:pPr>
        <w:spacing w:after="0" w:line="18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obligations of the Guarantor hereunder shall not be subject to any reduction, limitation, impairment or termination for any reason, and shall not be subject to any defense or setoff, counterclaim, recoupment or termination whatsoever, by reason of the invalidity, illegality or unenforceability of the Obligations, any impossibility in the performance of the Obligations or otherwise.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274" w:right="499" w:bottom="1440" w:gutter="0" w:footer="0" w:header="0"/>
        </w:sectPr>
      </w:pPr>
    </w:p>
    <w:bookmarkStart w:id="87" w:name="page88"/>
    <w:bookmarkEnd w:id="87"/>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Guarantor further agrees that its obligations hereunder shall continue to be effective or be reinstated, as the case may be, if at any time payment, or any part thereof, of any Obligation is rescinded or must otherwise be restored by any Lender upon the bankruptcy or reorganization of the Borrower or otherwise.</w:t>
      </w:r>
    </w:p>
    <w:p>
      <w:pPr>
        <w:spacing w:after="0" w:line="184"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In furtherance of the foregoing and not in limitation of any other right which any Lender, the Administrative Agent or any Issuing Bank may have at law or in equity against the Guarantor by virtue hereof, upon the failure of the Borrower to pay any Obligation when and as the same shall become due, whether at maturity, by acceleration, after notice of prepayment or otherwise, the Guarantor hereby promises to and will, upon receipt of written demand by the Administrative Agent, forthwith pay, or cause to be paid, to the Administrative Agent, for distribution to the Lenders, the Administrative Agent or the Issuing Banks, as appropriate, in cash an amount equal to the unpaid principal amount of such Obligation.</w:t>
      </w:r>
    </w:p>
    <w:p>
      <w:pPr>
        <w:spacing w:after="0" w:line="161"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Upon payment in full by the Guarantor of any Obligation of the Borrower, each Lender shall, in a reasonable manner, assign to the Guarantor, as applicable, the amount of such Obligation owed to such Lender and so paid, such assignment to be pro tanto to the extent to which the Obligation in question was discharged by the Guarantor or make such disposition thereof as the Guarantor shall direct (all without recourse to any Lender and without any representation or warranty by any Lender). Upon payment by the Guarantor of any sums as provided above, all rights of the Guarantor against the Borrower arising as a result thereof by way of right of subrogation or otherwise shall in all respects be subordinated and junior in right of payment to the prior indefeasible payment in full of all the Obligations owed by the Borrower to the Lenders.</w:t>
      </w:r>
    </w:p>
    <w:p>
      <w:pPr>
        <w:spacing w:after="0" w:line="164"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Release of Guarantee</w:t>
      </w:r>
      <w:r>
        <w:rPr>
          <w:rFonts w:ascii="Arial" w:cs="Arial" w:eastAsia="Arial" w:hAnsi="Arial"/>
          <w:sz w:val="16"/>
          <w:szCs w:val="16"/>
          <w:color w:val="auto"/>
        </w:rPr>
        <w:t>. Notwithstanding anything in this Agreement to the contrary, in the event that (a) all of the capital stock in the Guarantor is disposed to a Person other than the Borrower or a Subsidiary in a transaction not prohibited by any covenant contained in this Agreement (other than any such disposition that constitutes or occurs as part of a transfer or conveyance of the consolidated assets of the Borrower substantially as an entirety) or (b) at any time the Guarantor ceases to be an obligor (either directly or as a guarantor) in respect of any Capital Markets Debt, then, in each case, the guarantee of the Guarantor set forth in Section 9.01 shall be automatically released (it being understood that such release will not require any Lender or Issuing Bank consent and may occur concurrently with any repayment of Capital Markets Debt or release of a guarantee of other Capital Markets Debt). Subject to Section 10.05, the guarantee of the Guarantor set forth in Section 9.01 shall also be automatically released on the first date on which no principal of or any accrued interest on any Loan or any fee payable under this Agreement shall be outstanding and unpaid, all Letters of Credit shall have expired or been canceled, all LC Disbursements shall have been reimbursed and all Commitments shall have terminated. Any release of the Guarantor pursuant to this Section shall be irrevocable. The Administrative Agent shall, promptly upon the request of the Borrower, confirm in writing any release of the Guarantor pursuant to this Section.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40" w:top="274" w:right="49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email, as follows:</w:t>
      </w:r>
    </w:p>
    <w:p>
      <w:pPr>
        <w:spacing w:after="0" w:line="76" w:lineRule="exact"/>
        <w:rPr>
          <w:sz w:val="20"/>
          <w:szCs w:val="20"/>
          <w:color w:val="auto"/>
        </w:rPr>
      </w:pPr>
    </w:p>
    <w:p>
      <w:pPr>
        <w:ind w:left="980" w:firstLine="408"/>
        <w:spacing w:after="0" w:line="277" w:lineRule="auto"/>
        <w:tabs>
          <w:tab w:leader="none" w:pos="1596"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to the Borrower, to Northrop Grumman Corporation, 2980 Fairview Park Drive, Falls Church, VA 22042, Attention of Assistant Treasurer (email: Corporate.Treasury@ngc.com);</w:t>
      </w:r>
    </w:p>
    <w:p>
      <w:pPr>
        <w:spacing w:after="0" w:line="62" w:lineRule="exact"/>
        <w:rPr>
          <w:rFonts w:ascii="Arial" w:cs="Arial" w:eastAsia="Arial" w:hAnsi="Arial"/>
          <w:sz w:val="18"/>
          <w:szCs w:val="18"/>
          <w:color w:val="auto"/>
        </w:rPr>
      </w:pPr>
    </w:p>
    <w:p>
      <w:pPr>
        <w:ind w:left="980" w:right="40" w:firstLine="408"/>
        <w:spacing w:after="0" w:line="263" w:lineRule="auto"/>
        <w:tabs>
          <w:tab w:leader="none" w:pos="16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to the Administrative Agent, to JPMorgan Chase Bank, N.A., Loan and Agency Services Group, 500 Stanton-Christiana Road, NCC5 / 1st Floor, Newark, DE 19713, United States, Attention of Wasiris Vasquez (telephone no.: 312-325-4008; email: wasiris.vasquez@chase.com); and</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to any other Lender or Issuing Bank, to it at its address (or email) set forth in its Administrative Questionnaire.</w:t>
      </w:r>
    </w:p>
    <w:p>
      <w:pPr>
        <w:spacing w:after="0" w:line="117" w:lineRule="exact"/>
        <w:rPr>
          <w:rFonts w:ascii="Arial" w:cs="Arial" w:eastAsia="Arial" w:hAnsi="Arial"/>
          <w:sz w:val="18"/>
          <w:szCs w:val="18"/>
          <w:color w:val="auto"/>
        </w:rPr>
      </w:pPr>
    </w:p>
    <w:p>
      <w:pPr>
        <w:ind w:right="40" w:firstLine="987"/>
        <w:spacing w:after="0" w:line="272" w:lineRule="auto"/>
        <w:tabs>
          <w:tab w:leader="none" w:pos="12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Lenders and the Issuing Banks hereunder may, in addition to email, be delivered or furnished by other electronic communications pursuant to procedures approved by the Administrative Agent or the applicable Issuing Bank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under Article II to any Lender or Issuing Bank if such Lender or Issuing Bank, as applicable, has notified the Administrative Agent that it is incapable of receiving notices under such Article by such electronic communication. Notices and other communications to the Administrative Agent may, in addition to email, be delivered or furnished by other electronic communications pursuant to procedures approved by the Administrative Agent prior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or rescinded by the Administrative Agent by notice to the Borrower and the Lenders.</w:t>
      </w:r>
    </w:p>
    <w:p>
      <w:pPr>
        <w:spacing w:after="0" w:line="69" w:lineRule="exact"/>
        <w:rPr>
          <w:rFonts w:ascii="Arial" w:cs="Arial" w:eastAsia="Arial" w:hAnsi="Arial"/>
          <w:sz w:val="17"/>
          <w:szCs w:val="17"/>
          <w:color w:val="auto"/>
        </w:rPr>
      </w:pPr>
    </w:p>
    <w:p>
      <w:pPr>
        <w:ind w:firstLine="987"/>
        <w:spacing w:after="0" w:line="270" w:lineRule="auto"/>
        <w:tabs>
          <w:tab w:leader="none" w:pos="12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Any party hereto may change its address or email for notices and other communications hereunder by notice to the other parties hereto (or, in the case of any Lender or Issuing Bank, by notice to the Borrower and the Administrative Agent). Notices sent by hand or overnight courier service, or mailed by certified or registered mail, shall be deemed to have been given when received; notices sent by email shall be deemed to have been given when sent (except that, if not given during normal business hours for the recipient, shall be deemed to have been given at the opening of business on the next business day for the recipient); and, unless the Administrative Agent otherwise prescribes (and, as to any notices or other communications to or by any Loan Party, the Borrower agrees thereto),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89" w:name="page90"/>
    <w:bookmarkEnd w:id="89"/>
    <w:p>
      <w:pPr>
        <w:ind w:left="4"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57" w:lineRule="exact"/>
        <w:rPr>
          <w:sz w:val="20"/>
          <w:szCs w:val="20"/>
          <w:color w:val="auto"/>
        </w:rPr>
      </w:pPr>
    </w:p>
    <w:p>
      <w:pPr>
        <w:ind w:left="4" w:right="840" w:firstLine="987"/>
        <w:spacing w:after="0" w:line="277" w:lineRule="auto"/>
        <w:tabs>
          <w:tab w:leader="none" w:pos="12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Lender and Issuing Bank is responsible for providing prompt notice to the Administrative Agent of any changes to the information set forth in its Administrative Questionnaire.</w:t>
      </w:r>
    </w:p>
    <w:p>
      <w:pPr>
        <w:spacing w:after="0" w:line="170" w:lineRule="exact"/>
        <w:rPr>
          <w:sz w:val="20"/>
          <w:szCs w:val="20"/>
          <w:color w:val="auto"/>
        </w:rPr>
      </w:pPr>
    </w:p>
    <w:p>
      <w:pPr>
        <w:ind w:left="4" w:right="40" w:firstLine="991"/>
        <w:spacing w:after="0" w:line="270"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73" w:lineRule="exact"/>
        <w:rPr>
          <w:sz w:val="20"/>
          <w:szCs w:val="20"/>
          <w:color w:val="auto"/>
        </w:rPr>
      </w:pPr>
    </w:p>
    <w:p>
      <w:pPr>
        <w:ind w:left="4" w:firstLine="987"/>
        <w:spacing w:after="0" w:line="286" w:lineRule="auto"/>
        <w:tabs>
          <w:tab w:leader="none" w:pos="1250"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Except as set forth in paragraphs (c) and (d) below or in Section 2.08(d), 2.13(b) or 2.20, neither this Agreement nor any provision hereof may be waived, amended or modified except pursuant to an agreement or agreements in writing entered into by the Borrower (and, in the case of any waiver, amendment or modification of Article IX hereof prior to the release of the guarantee of the Guarantor created thereunder, the Guarantor)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w:t>
      </w:r>
    </w:p>
    <w:p>
      <w:pPr>
        <w:spacing w:after="0" w:line="1" w:lineRule="exact"/>
        <w:rPr>
          <w:rFonts w:ascii="Arial" w:cs="Arial" w:eastAsia="Arial" w:hAnsi="Arial"/>
          <w:sz w:val="16"/>
          <w:szCs w:val="16"/>
          <w:color w:val="auto"/>
        </w:rPr>
      </w:pPr>
    </w:p>
    <w:p>
      <w:pPr>
        <w:ind w:left="4" w:hanging="4"/>
        <w:spacing w:after="0" w:line="281" w:lineRule="auto"/>
        <w:tabs>
          <w:tab w:leader="none" w:pos="2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increase the Commitment of any Lender without the written consent of such Lender (it being understood that a waiver, amendment or modification of any condition precedent set forth in Section 4.02 or of any representation, covenant or Default shall not constitute an increase of any Commitment of any Lender), (ii) reduce the principal amount of any Loan or LC Disbursement or reduce the rate of interest thereon, or reduce any fees payable hereunder, without the written consent of each Lender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interest at the default rate or change the amount of the default rate specified in Section 2.12(e),</w:t>
      </w:r>
    </w:p>
    <w:p>
      <w:pPr>
        <w:spacing w:after="0" w:line="2" w:lineRule="exact"/>
        <w:rPr>
          <w:rFonts w:ascii="Arial" w:cs="Arial" w:eastAsia="Arial" w:hAnsi="Arial"/>
          <w:sz w:val="16"/>
          <w:szCs w:val="16"/>
          <w:color w:val="auto"/>
        </w:rPr>
      </w:pPr>
    </w:p>
    <w:p>
      <w:pPr>
        <w:ind w:left="4" w:hanging="4"/>
        <w:spacing w:after="0" w:line="292" w:lineRule="auto"/>
        <w:tabs>
          <w:tab w:leader="none" w:pos="31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adversely affected thereby (it being understood that the waiver of any Default shall not constitute a postponement, reduction, waiver or excuse of any payment of principal, interest, fees or other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interest at the default rate or change the amount of the default rate specified in Section 2.12(e),</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4"/>
          </w:cols>
          <w:pgMar w:left="436" w:top="274" w:right="459" w:bottom="1440" w:gutter="0" w:footer="0" w:header="0"/>
        </w:sectPr>
      </w:pPr>
    </w:p>
    <w:bookmarkStart w:id="90" w:name="page91"/>
    <w:bookmarkEnd w:id="90"/>
    <w:p>
      <w:pPr>
        <w:ind w:left="4" w:hanging="4"/>
        <w:spacing w:after="0" w:line="270" w:lineRule="auto"/>
        <w:tabs>
          <w:tab w:leader="none" w:pos="309"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change Section 2.17(b) or 2.17(c) in a manner that would alter the pro rata sharing of payments required thereby, without the written consent of each Lender, (v) change any of the provisions of this paragraph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the consent of the Required Lenders, the provisions of this paragraph and the definition of the term “Required Lenders” may be amended to include references to any new class of loans or commitments permitted to be created under this Agreement (or to lenders extending such loans or commitments), or (vi) release the Guarantor from its obligations under Article IX (other than as provided for in Section 9.02), without the written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or any Issuing Bank hereunder without the prior written consent of the Administrative Agent or such Issuing Bank, as the case may be.</w:t>
      </w:r>
    </w:p>
    <w:p>
      <w:pPr>
        <w:spacing w:after="0" w:line="180" w:lineRule="exact"/>
        <w:rPr>
          <w:rFonts w:ascii="Arial" w:cs="Arial" w:eastAsia="Arial" w:hAnsi="Arial"/>
          <w:sz w:val="17"/>
          <w:szCs w:val="17"/>
          <w:color w:val="auto"/>
        </w:rPr>
      </w:pPr>
    </w:p>
    <w:p>
      <w:pPr>
        <w:ind w:left="4" w:right="160" w:firstLine="987"/>
        <w:spacing w:after="0" w:line="257" w:lineRule="auto"/>
        <w:tabs>
          <w:tab w:leader="none" w:pos="12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connection with any proposed amendment, modification, waiver or termination (a “</w:t>
      </w:r>
      <w:r>
        <w:rPr>
          <w:rFonts w:ascii="Arial" w:cs="Arial" w:eastAsia="Arial" w:hAnsi="Arial"/>
          <w:sz w:val="18"/>
          <w:szCs w:val="18"/>
          <w:u w:val="single" w:color="auto"/>
          <w:color w:val="auto"/>
        </w:rPr>
        <w:t>Proposed Change</w:t>
      </w:r>
      <w:r>
        <w:rPr>
          <w:rFonts w:ascii="Arial" w:cs="Arial" w:eastAsia="Arial" w:hAnsi="Arial"/>
          <w:sz w:val="18"/>
          <w:szCs w:val="18"/>
          <w:color w:val="auto"/>
        </w:rPr>
        <w:t>”) requiring the consent of all the Lenders or all the affected Lenders, if the consent of Lenders representing the Required Lenders to such Proposed Change is obtained, but the consent of any other Lender is not obtained (any such Lender whose consent is not obtained as described in this paragraph being referred to as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then the Borrower shall have the right, but shall not be obligated, to replace such Non-Consenting Lender in accordance with the procedures set forth in Section 2.18(b).</w:t>
      </w:r>
    </w:p>
    <w:p>
      <w:pPr>
        <w:spacing w:after="0" w:line="187" w:lineRule="exact"/>
        <w:rPr>
          <w:rFonts w:ascii="Arial" w:cs="Arial" w:eastAsia="Arial" w:hAnsi="Arial"/>
          <w:sz w:val="18"/>
          <w:szCs w:val="18"/>
          <w:color w:val="auto"/>
        </w:rPr>
      </w:pPr>
    </w:p>
    <w:p>
      <w:pPr>
        <w:ind w:left="1244" w:hanging="253"/>
        <w:spacing w:after="0"/>
        <w:tabs>
          <w:tab w:leader="none" w:pos="12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Notwithstanding any other provision hereof to the contrary:</w:t>
      </w:r>
    </w:p>
    <w:p>
      <w:pPr>
        <w:spacing w:after="0" w:line="117" w:lineRule="exact"/>
        <w:rPr>
          <w:rFonts w:ascii="Arial" w:cs="Arial" w:eastAsia="Arial" w:hAnsi="Arial"/>
          <w:sz w:val="18"/>
          <w:szCs w:val="18"/>
          <w:color w:val="auto"/>
        </w:rPr>
      </w:pPr>
    </w:p>
    <w:p>
      <w:pPr>
        <w:ind w:left="984" w:right="20" w:firstLine="408"/>
        <w:spacing w:after="0" w:line="257" w:lineRule="auto"/>
        <w:tabs>
          <w:tab w:leader="none" w:pos="16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any provision of this Agreement may be amended by an agreement in writing entered into by the Borrower and the Administrative Agent, without the need of consent of any other Person, to cure any obvious error or any ambiguity, omission, defect or inconsistency so long as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79" w:lineRule="exact"/>
        <w:rPr>
          <w:rFonts w:ascii="Arial" w:cs="Arial" w:eastAsia="Arial" w:hAnsi="Arial"/>
          <w:sz w:val="18"/>
          <w:szCs w:val="18"/>
          <w:color w:val="auto"/>
        </w:rPr>
      </w:pPr>
    </w:p>
    <w:p>
      <w:pPr>
        <w:ind w:left="984" w:right="320" w:firstLine="408"/>
        <w:spacing w:after="0" w:line="277" w:lineRule="auto"/>
        <w:tabs>
          <w:tab w:leader="none" w:pos="165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LC Commitment of any Issuing Bank may be amended by an agreement in writing entered into by the Borrower and such Issuing Bank, without the need of consent of any other Person; and</w:t>
      </w:r>
    </w:p>
    <w:p>
      <w:pPr>
        <w:spacing w:after="0" w:line="62" w:lineRule="exact"/>
        <w:rPr>
          <w:rFonts w:ascii="Arial" w:cs="Arial" w:eastAsia="Arial" w:hAnsi="Arial"/>
          <w:sz w:val="18"/>
          <w:szCs w:val="18"/>
          <w:color w:val="auto"/>
        </w:rPr>
      </w:pPr>
    </w:p>
    <w:p>
      <w:pPr>
        <w:ind w:left="984" w:right="220" w:firstLine="408"/>
        <w:spacing w:after="0" w:line="263" w:lineRule="auto"/>
        <w:tabs>
          <w:tab w:leader="none" w:pos="17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 amendment to Annex I to this Agreement contemplated by the last sentence of the definition of the term “Applicable Rate” set forth on Annex I may be made pursuant to an agreement or agreements in writing entered into by the Borrower, the Administrative Agent and the Required Lenders; and</w:t>
      </w:r>
    </w:p>
    <w:p>
      <w:pPr>
        <w:spacing w:after="0" w:line="75" w:lineRule="exact"/>
        <w:rPr>
          <w:rFonts w:ascii="Arial" w:cs="Arial" w:eastAsia="Arial" w:hAnsi="Arial"/>
          <w:sz w:val="18"/>
          <w:szCs w:val="18"/>
          <w:color w:val="auto"/>
        </w:rPr>
      </w:pPr>
    </w:p>
    <w:p>
      <w:pPr>
        <w:jc w:val="both"/>
        <w:ind w:left="984" w:right="20" w:firstLine="408"/>
        <w:spacing w:after="0" w:line="291" w:lineRule="auto"/>
        <w:tabs>
          <w:tab w:leader="none" w:pos="1690" w:val="left"/>
        </w:tabs>
        <w:numPr>
          <w:ilvl w:val="2"/>
          <w:numId w:val="90"/>
        </w:numPr>
        <w:rPr>
          <w:rFonts w:ascii="Arial" w:cs="Arial" w:eastAsia="Arial" w:hAnsi="Arial"/>
          <w:sz w:val="16"/>
          <w:szCs w:val="16"/>
          <w:color w:val="auto"/>
        </w:rPr>
      </w:pPr>
      <w:r>
        <w:rPr>
          <w:rFonts w:ascii="Arial" w:cs="Arial" w:eastAsia="Arial" w:hAnsi="Arial"/>
          <w:sz w:val="16"/>
          <w:szCs w:val="16"/>
          <w:color w:val="auto"/>
        </w:rPr>
        <w:t>no consent with respect to any amendment, waiver or other modification of this Agreement or any other Loan Document shall be required of (A) any Defaulting Lender, except with respect to any amendment, waiver or other modification referred to in clause (i), (ii) or</w:t>
      </w:r>
    </w:p>
    <w:p>
      <w:pPr>
        <w:ind w:left="1304" w:hanging="313"/>
        <w:spacing w:after="0"/>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of paragraph (b) above and then only in the event such Defaulting Lender shall be affected by such amendment,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91" w:name="page92"/>
    <w:bookmarkEnd w:id="91"/>
    <w:p>
      <w:pPr>
        <w:ind w:left="980"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or other modification, or (B) in the case of any amendment, waiver or other modification referred to in paragraph (b) above, any Lender that receives payment in full of the principal of and interest accrued on each Loan made by, and all other amounts owing to, such Lender or accrued for the account of such Lender under this Agreement at the time such amendment, waiver or other modification becomes effective and whose Commitment terminates by the terms and upon the effectiveness of such amendment, waiver or other modification.</w:t>
      </w:r>
    </w:p>
    <w:p>
      <w:pPr>
        <w:spacing w:after="0" w:line="80" w:lineRule="exact"/>
        <w:rPr>
          <w:sz w:val="20"/>
          <w:szCs w:val="20"/>
          <w:color w:val="auto"/>
        </w:rPr>
      </w:pPr>
    </w:p>
    <w:p>
      <w:pPr>
        <w:jc w:val="both"/>
        <w:ind w:right="140" w:firstLine="987"/>
        <w:spacing w:after="0" w:line="286" w:lineRule="auto"/>
        <w:tabs>
          <w:tab w:leader="none" w:pos="123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Administrative Agent may, but shall have no obligation to, with the concurrence of any Lender, execute amendments, waivers or other modifications on behalf of such Lender. Any amendment, waiver or other modification effected in accordance with this Section shall be binding upon each Person that is at the time thereof a Lender and each Person that subsequently becomes a Lender.</w:t>
      </w:r>
    </w:p>
    <w:p>
      <w:pPr>
        <w:spacing w:after="0" w:line="16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xml:space="preserve">. (a) The Borrower shall reimburse (i) all reasonable and documented out-of-pocket expenses incurred by the Administrative Agent and its Affiliates, including the reasonable and documented fees, charges and disbursements of counsel for the Administrative Agent, in connection with the administration of this Agreement and any amendments, modifications or waivers of the provisions hereof, in each case whether or not the Transactions are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will not be liable for the fees, charges and disbursements of more than one firm of counsel (and, if reasonably deemed necessary by the Administrative Agent, one firm of local counsel in each relevant jurisdiction), (ii) all reasonable and documented out-of-pocket expenses incurred by any Issuing Bank in connection with the issuance, amendment or extension of any Letter of Credit or any demand for payment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will not be liable for the fees, charges and disbursements of more than one firm of counsel (and, if reasonably deemed necessary by the relevant Issuing Bank, one firm of local counsel in each relevant jurisdiction), and (iii) all reasonable and documented out-of-pocket expenses incurred by the Administrative Agent, any Issuing Bank or any Lender, including the fees, charges and disbursements of any counsel for the Administrative Agent, any Issuing Bank or any Lender, in connection with the enforcement or protection of its rights under or in connection with this Agreement, including its rights under this Section, or in connection with the Loans made or Letters of Credit issued hereunder, including all such reasonable out-of-pocket expenses incurred during any workout, restructuring or negotiations in respect of such Loans or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will not be liable for the fees, charges and disbursements of more than one firm of counsel (and, if reasonably deemed necessary by the Administrative Agent, one firm of local counsel in each relevant jurisdiction) for the Administrative Agent, the Issuing Banks and the Lenders taken as a whole, except that, in the case of an actual or perceived conflict of interest where the Person affected by such conflict informs the Borrower of such conflict, the Borrower will be responsible for the reasonable and documented out-of-pocket fees, charges and disbursements of one additional firm of counsel (and, if reasonably deemed necessary by such Persons, one additional firm of such local counsel in each other relevant jurisdiction) for each group of affected Persons that are similarly situated.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440" w:top="274" w:right="499" w:bottom="1440" w:gutter="0" w:footer="0" w:header="0"/>
        </w:sectPr>
      </w:pPr>
    </w:p>
    <w:bookmarkStart w:id="92" w:name="page93"/>
    <w:bookmarkEnd w:id="92"/>
    <w:p>
      <w:pPr>
        <w:ind w:firstLine="987"/>
        <w:spacing w:after="0" w:line="284" w:lineRule="auto"/>
        <w:tabs>
          <w:tab w:leader="none" w:pos="1246"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indemnify the Administrative Agent, each Issuing Bank and each Lender, and each Related Party (including each Arranger)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and documented fees, charges and disbursements of any counsel for any Indemnitee, incurred by or asserted against any Indemnitee arising out of, in connection with, or as a result of (i) the arrangement and the syndication of the credit facilities provided for herein, the execution and delivery of this Agreement or any agreement or instrument contemplated hereby, the performance by the parties hereto of their respective obligations hereunder or the consummation of the Transactions,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or any Affiliate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shall have resulted from (A) the gross negligence, willful misconduct or bad faith of such Indemnitee or any of its Related Parties, as determined by a court of competent jurisdiction in a final non-appealable judgment, (B) a material breach by such Indemnitee or any of its Related Parties of this Agreement, or (C) claims of one or more Indemnitee against another Indemnitee (other than claims against the Administrative Agent, other named agents or the Arrangers in their capacities as such) and not involving any act or omission of the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will not be liable for the fees, charges and disbursements of more than one firm of counsel for the Indemnitees as a whole (and, if reasonably deemed necessary by the Indemnitees, one firm of local counsel in each other relevant jurisdiction for the Indemnitees as a whole), except that, in the case of an actual or perceived conflict of interest where any Indemnitee affected by such conflict informs the Borrower of such conflict, the Borrower will be responsible for the reasonable and documented fees, charges and disbursements of one additional firm of counsel (and, if reasonably deemed necessary by such Indemnitees, one additional firm of such local counsel in each other relevant jurisdiction) for each group of affected Indemnitees that are similarly situated. Each Indemnitee shall be obligated to refund and return promptly any and all amounts actually paid by the Borrower to such Indemnitee under this paragraph for any losses, claims, damages, penalties, liabilities or expenses to the extent such Indemnitee is subsequently determined, by a court of competent jurisdiction by final and nonappealable judgment, to not be entitled to payment of such amounts in accordance with the terms of this paragraph. This paragraph shall not apply with respect to Taxes other than any Taxes that represent losses, claims or damages arising from any non-Tax claim.</w:t>
      </w:r>
    </w:p>
    <w:p>
      <w:pPr>
        <w:spacing w:after="0" w:line="282" w:lineRule="exact"/>
        <w:rPr>
          <w:rFonts w:ascii="Arial" w:cs="Arial" w:eastAsia="Arial" w:hAnsi="Arial"/>
          <w:sz w:val="16"/>
          <w:szCs w:val="16"/>
          <w:color w:val="auto"/>
        </w:rPr>
      </w:pPr>
    </w:p>
    <w:p>
      <w:pPr>
        <w:ind w:right="20" w:firstLine="987"/>
        <w:spacing w:after="0" w:line="296" w:lineRule="auto"/>
        <w:tabs>
          <w:tab w:leader="none" w:pos="1236"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To the extent that the Borrower fails to pay any amount required to be paid by it to the Administrative Agent or any Issuing Bank under paragraph (a) or (b) of this Section, each Lender severally agrees to pay to the Administrative Agent, such Issuing Bank,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shall have been incurred by or asserted against the Administrative Agent or such Issuing Bank in its capacity as such.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3" w:name="page94"/>
    <w:bookmarkEnd w:id="93"/>
    <w:p>
      <w:pPr>
        <w:ind w:firstLine="987"/>
        <w:spacing w:after="0" w:line="257" w:lineRule="auto"/>
        <w:tabs>
          <w:tab w:leader="none" w:pos="1246"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permitted by applicable law, the Borrower and each Indemnitee shall not assert, and each hereby waives, any claim against any Indemnitee or the Borrower or any of its Subsidiaries, as applicable,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paragraph shall affect the obligations of the Borrower under paragraph (b) above.</w:t>
      </w:r>
    </w:p>
    <w:p>
      <w:pPr>
        <w:spacing w:after="0" w:line="79" w:lineRule="exact"/>
        <w:rPr>
          <w:rFonts w:ascii="Arial" w:cs="Arial" w:eastAsia="Arial" w:hAnsi="Arial"/>
          <w:sz w:val="18"/>
          <w:szCs w:val="18"/>
          <w:color w:val="auto"/>
        </w:rPr>
      </w:pPr>
    </w:p>
    <w:p>
      <w:pPr>
        <w:ind w:right="540" w:firstLine="987"/>
        <w:spacing w:after="0" w:line="277"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 together with reasonable detail and supporting documentation.</w:t>
      </w:r>
    </w:p>
    <w:p>
      <w:pPr>
        <w:spacing w:after="0" w:line="170"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except in accordance with Section 6.02, the Borrower may not assign or otherwise transfer any of its rights or obligations hereunder without the prior written consent of each Lender and (ii) no Lender may assign or otherwise transfer its rights or obligations hereunder except in accordance with this Section (and any attempted assignment or transfer not in compliance with the terms of this Section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(but only to the extent expressly provided for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58" w:lineRule="exact"/>
        <w:rPr>
          <w:sz w:val="20"/>
          <w:szCs w:val="20"/>
          <w:color w:val="auto"/>
        </w:rPr>
      </w:pPr>
    </w:p>
    <w:p>
      <w:pPr>
        <w:ind w:right="40" w:firstLine="987"/>
        <w:spacing w:after="0" w:line="259" w:lineRule="auto"/>
        <w:tabs>
          <w:tab w:leader="none" w:pos="12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(other than a natural person (or a holding company, investment vehicle or trust for, or owned and operated for the primary benefit of, a natural person) or a Defaulting Lender) all or a portion of its rights and obligations under this Agreement (including all or a portion of its Commitment and the Loans at the time owing to it) with the prior written consent (such consent not to be unreasonably withheld) of:</w:t>
      </w:r>
    </w:p>
    <w:p>
      <w:pPr>
        <w:spacing w:after="0" w:line="78" w:lineRule="exact"/>
        <w:rPr>
          <w:rFonts w:ascii="Arial" w:cs="Arial" w:eastAsia="Arial" w:hAnsi="Arial"/>
          <w:sz w:val="18"/>
          <w:szCs w:val="18"/>
          <w:color w:val="auto"/>
        </w:rPr>
      </w:pPr>
    </w:p>
    <w:p>
      <w:pPr>
        <w:ind w:left="1420" w:right="40" w:firstLine="391"/>
        <w:spacing w:after="0" w:line="273" w:lineRule="auto"/>
        <w:tabs>
          <w:tab w:leader="none" w:pos="2098"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shall be required for an assignment to a Lender, an Affiliate of a Lender or an Approved Fund, or, if an Event of Default described in clause (a), (b), (c) or, with respect to the Borrower, (i) or (j) of Article VII has occurred and is continuing, any other assignee;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in determining whether to give such consent, may reasonably consider, without limitation, the financial capability, the financial rating and location of a proposed assignee and any prior business relationships between the Borrower and a proposed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determination shall be made by the Borrower in good faith and after consideration of all relevant factors; and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4" w:right="479" w:bottom="1440" w:gutter="0" w:footer="0" w:header="0"/>
        </w:sectPr>
      </w:pPr>
    </w:p>
    <w:bookmarkStart w:id="94" w:name="page95"/>
    <w:bookmarkEnd w:id="94"/>
    <w:p>
      <w:pPr>
        <w:ind w:left="420" w:right="140" w:firstLine="391"/>
        <w:spacing w:after="0" w:line="286" w:lineRule="auto"/>
        <w:tabs>
          <w:tab w:leader="none" w:pos="1088" w:val="left"/>
        </w:tabs>
        <w:numPr>
          <w:ilvl w:val="1"/>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and each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no consent of the Administrative Agent shall be required for an assignment of a Commitment to an assignee that is a Lender with a Commitment immediately prior to giving effect to such assignment and (y) no consent of any Issuing Bank shall be required for an assignment of a Competitive Loan.</w:t>
      </w:r>
    </w:p>
    <w:p>
      <w:pPr>
        <w:spacing w:after="0" w:line="57" w:lineRule="exact"/>
        <w:rPr>
          <w:rFonts w:ascii="Arial" w:cs="Arial" w:eastAsia="Arial" w:hAnsi="Arial"/>
          <w:sz w:val="17"/>
          <w:szCs w:val="17"/>
          <w:color w:val="auto"/>
        </w:rPr>
      </w:pPr>
    </w:p>
    <w:p>
      <w:pPr>
        <w:ind w:left="660" w:hanging="27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Assignment and Assumption shall be subject to the following additional conditions:</w:t>
      </w:r>
    </w:p>
    <w:p>
      <w:pPr>
        <w:spacing w:after="0" w:line="117" w:lineRule="exact"/>
        <w:rPr>
          <w:rFonts w:ascii="Arial" w:cs="Arial" w:eastAsia="Arial" w:hAnsi="Arial"/>
          <w:sz w:val="18"/>
          <w:szCs w:val="18"/>
          <w:color w:val="auto"/>
        </w:rPr>
      </w:pPr>
    </w:p>
    <w:p>
      <w:pPr>
        <w:ind w:left="420" w:firstLine="391"/>
        <w:spacing w:after="0" w:line="273" w:lineRule="auto"/>
        <w:tabs>
          <w:tab w:leader="none" w:pos="1098" w:val="left"/>
        </w:tabs>
        <w:numPr>
          <w:ilvl w:val="1"/>
          <w:numId w:val="97"/>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described in clause (a), (b), (c) or, with respect to the Borrower, (i) or (j) of Article VII has occurred and is continuing;</w:t>
      </w:r>
    </w:p>
    <w:p>
      <w:pPr>
        <w:spacing w:after="0" w:line="69" w:lineRule="exact"/>
        <w:rPr>
          <w:rFonts w:ascii="Arial" w:cs="Arial" w:eastAsia="Arial" w:hAnsi="Arial"/>
          <w:sz w:val="17"/>
          <w:szCs w:val="17"/>
          <w:color w:val="auto"/>
        </w:rPr>
      </w:pPr>
    </w:p>
    <w:p>
      <w:pPr>
        <w:ind w:left="420" w:right="260" w:firstLine="391"/>
        <w:spacing w:after="0" w:line="342" w:lineRule="auto"/>
        <w:tabs>
          <w:tab w:leader="none" w:pos="1088"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shall not apply to rights in respect of outstanding Competitive Loans;</w:t>
      </w:r>
    </w:p>
    <w:p>
      <w:pPr>
        <w:spacing w:after="0" w:line="15" w:lineRule="exact"/>
        <w:rPr>
          <w:rFonts w:ascii="Arial" w:cs="Arial" w:eastAsia="Arial" w:hAnsi="Arial"/>
          <w:sz w:val="16"/>
          <w:szCs w:val="16"/>
          <w:color w:val="auto"/>
        </w:rPr>
      </w:pPr>
    </w:p>
    <w:p>
      <w:pPr>
        <w:ind w:left="420" w:right="460" w:firstLine="391"/>
        <w:spacing w:after="0" w:line="277" w:lineRule="auto"/>
        <w:tabs>
          <w:tab w:leader="none" w:pos="1088"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62" w:lineRule="exact"/>
        <w:rPr>
          <w:rFonts w:ascii="Arial" w:cs="Arial" w:eastAsia="Arial" w:hAnsi="Arial"/>
          <w:sz w:val="18"/>
          <w:szCs w:val="18"/>
          <w:color w:val="auto"/>
        </w:rPr>
      </w:pPr>
    </w:p>
    <w:p>
      <w:pPr>
        <w:ind w:left="420" w:right="100" w:firstLine="391"/>
        <w:spacing w:after="0" w:line="257" w:lineRule="auto"/>
        <w:tabs>
          <w:tab w:leader="none" w:pos="1098"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assignee, if it is not already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 and such assignee shall maintain the confidentiality of any Information it receives in accordance with Section 10.12; and</w:t>
      </w:r>
    </w:p>
    <w:p>
      <w:pPr>
        <w:spacing w:after="0" w:line="79" w:lineRule="exact"/>
        <w:rPr>
          <w:rFonts w:ascii="Arial" w:cs="Arial" w:eastAsia="Arial" w:hAnsi="Arial"/>
          <w:sz w:val="18"/>
          <w:szCs w:val="18"/>
          <w:color w:val="auto"/>
        </w:rPr>
      </w:pPr>
    </w:p>
    <w:p>
      <w:pPr>
        <w:ind w:left="420" w:right="740" w:firstLine="391"/>
        <w:spacing w:after="0" w:line="277" w:lineRule="auto"/>
        <w:tabs>
          <w:tab w:leader="none" w:pos="1078"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assignee shall have executed and delivered to the Administrative Agent and to the Borrower a Confidentiality Agreement.</w:t>
      </w:r>
    </w:p>
    <w:p>
      <w:pPr>
        <w:spacing w:after="0" w:line="62" w:lineRule="exact"/>
        <w:rPr>
          <w:rFonts w:ascii="Arial" w:cs="Arial" w:eastAsia="Arial" w:hAnsi="Arial"/>
          <w:sz w:val="18"/>
          <w:szCs w:val="18"/>
          <w:color w:val="auto"/>
        </w:rPr>
      </w:pPr>
    </w:p>
    <w:p>
      <w:pPr>
        <w:ind w:left="-20" w:right="60" w:firstLine="408"/>
        <w:spacing w:after="0" w:line="275" w:lineRule="auto"/>
        <w:tabs>
          <w:tab w:leader="none" w:pos="696"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w:t>
      </w:r>
    </w:p>
    <w:p>
      <w:pPr>
        <w:spacing w:after="0" w:line="1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9980"/>
          </w:cols>
          <w:pgMar w:left="1440" w:top="274" w:right="479" w:bottom="1440" w:gutter="0" w:footer="0" w:header="0"/>
        </w:sectPr>
      </w:pPr>
    </w:p>
    <w:bookmarkStart w:id="95" w:name="page96"/>
    <w:bookmarkEnd w:id="95"/>
    <w:p>
      <w:pPr>
        <w:ind w:left="98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under this Agreement, such Lender shall cease to be a party hereto but shall continue to be entitled to the benefits of Sections 2.14, 2.15, 2.16 and 10.03). Any assignment or transfer by a Lender of rights or obligations under this Agreement that does not comply with this Section 10.04 shall be treated for purposes of this Agreement as a sale by such Lender of a participation in such rights and obligations in accordance with paragraph (c) of this Section.</w:t>
      </w:r>
    </w:p>
    <w:p>
      <w:pPr>
        <w:spacing w:after="0" w:line="79" w:lineRule="exact"/>
        <w:rPr>
          <w:sz w:val="20"/>
          <w:szCs w:val="20"/>
          <w:color w:val="auto"/>
        </w:rPr>
      </w:pPr>
    </w:p>
    <w:p>
      <w:pPr>
        <w:ind w:left="980" w:firstLine="408"/>
        <w:spacing w:after="0" w:line="254" w:lineRule="auto"/>
        <w:tabs>
          <w:tab w:leader="none" w:pos="1686"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 shall maintain at one of its offices a copy of each Assignment and Assumption and Confidentiality Agreement delivered to it and records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83" w:lineRule="exact"/>
        <w:rPr>
          <w:rFonts w:ascii="Arial" w:cs="Arial" w:eastAsia="Arial" w:hAnsi="Arial"/>
          <w:sz w:val="18"/>
          <w:szCs w:val="18"/>
          <w:color w:val="auto"/>
        </w:rPr>
      </w:pPr>
    </w:p>
    <w:p>
      <w:pPr>
        <w:ind w:left="980" w:right="80" w:firstLine="408"/>
        <w:spacing w:after="0" w:line="255" w:lineRule="auto"/>
        <w:tabs>
          <w:tab w:leader="none" w:pos="1636" w:val="left"/>
        </w:tabs>
        <w:numPr>
          <w:ilvl w:val="1"/>
          <w:numId w:val="98"/>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Lender and an assignee, (unless the assignee is already a Lender) the assignee’s completed Administrative Questionnaire and a Confidentiality Agreement,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92" w:lineRule="exact"/>
        <w:rPr>
          <w:rFonts w:ascii="Arial" w:cs="Arial" w:eastAsia="Arial" w:hAnsi="Arial"/>
          <w:sz w:val="18"/>
          <w:szCs w:val="18"/>
          <w:color w:val="auto"/>
        </w:rPr>
      </w:pPr>
    </w:p>
    <w:p>
      <w:pPr>
        <w:ind w:right="20" w:firstLine="987"/>
        <w:spacing w:after="0" w:line="269" w:lineRule="auto"/>
        <w:tabs>
          <w:tab w:leader="none" w:pos="12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(i) Any Lender may, without the consent of the Borrower, the Administrative Agent or any Issuing Bank, sell participations to one or more banks or other entities (other than a natural person (or a holding company, investment vehicle or trust for, or owned and operated for the primary benefit of, a natural person) or a Defaulting Lender)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 and the Loans owing to it) in compliance with this Section 10.04;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(C) the Borrower, the Administrative Agent, the Issuing Banks and the other Lenders shall continue to deal solely and directly with such Lender in connection with such Lender’s rights and obligations under this Agreement and (D) such Lender shall not provide any information to the Participant concerning the Borrower and its Subsidiaries, the disclosure of which would be prohibited by Section 10.12, unless the Participant has executed a Confidentiality Agreement and delivered a copy thereof to the Borrower and the Administrative Agent and the Borrower has expressly consented to the delivery of confidential information to such Participant. Any agreement or instrument pursuant to which a Lender sells such a participation shall provide that such Lender shall retain the sole right to enforce this Agreement and to approve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6" w:name="page97"/>
    <w:bookmarkEnd w:id="9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the first proviso to Section 10.02(b) that directly affects such Participant. Subject to paragraph (c)(ii) of this Section, the Borrower agrees that each Lender shall be entitled to make a claim against the Borrower on behalf of any Participant to whom it has sold participations for the benefits of Sections 2.14, 2.15 and 2.16 (subject to the requirements and limitations therein, including the requirements under Section 2.16(f) (it being understood that the documentation required under Section 2.16(f) shall be delivered to the participating Lender)). Each Lender that sells a participation agrees, at the Borrower’s request and expense, to use reasonable efforts to cooperate with the Borrower to effectuate the provisions of Section 2.18(b)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except to the extent that such disclosure is necessary to establish that such Commitment, Loan, Letter of Credit or other obligation is in registered form under Treasury Regulation Section 5f.103-1(c).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74" w:lineRule="exact"/>
        <w:rPr>
          <w:sz w:val="20"/>
          <w:szCs w:val="20"/>
          <w:color w:val="auto"/>
        </w:rPr>
      </w:pPr>
    </w:p>
    <w:p>
      <w:pPr>
        <w:ind w:left="980" w:firstLine="408"/>
        <w:spacing w:after="0" w:line="275" w:lineRule="auto"/>
        <w:tabs>
          <w:tab w:leader="none" w:pos="164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2.16(f) as though it were a Lender.</w:t>
      </w:r>
    </w:p>
    <w:p>
      <w:pPr>
        <w:spacing w:after="0" w:line="176" w:lineRule="exact"/>
        <w:rPr>
          <w:rFonts w:ascii="Arial" w:cs="Arial" w:eastAsia="Arial" w:hAnsi="Arial"/>
          <w:sz w:val="17"/>
          <w:szCs w:val="17"/>
          <w:color w:val="auto"/>
        </w:rPr>
      </w:pPr>
    </w:p>
    <w:p>
      <w:pPr>
        <w:ind w:right="180" w:firstLine="987"/>
        <w:spacing w:after="0" w:line="279" w:lineRule="auto"/>
        <w:tabs>
          <w:tab w:leader="none" w:pos="124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71" w:lineRule="exact"/>
        <w:rPr>
          <w:sz w:val="20"/>
          <w:szCs w:val="20"/>
          <w:color w:val="auto"/>
        </w:rPr>
      </w:pPr>
    </w:p>
    <w:p>
      <w:pPr>
        <w:ind w:right="280" w:firstLine="991"/>
        <w:spacing w:after="0" w:line="27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97" w:name="page98"/>
    <w:bookmarkEnd w:id="9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or warranty at the time any credit is extended hereunder, and shall continue in full force and effect as long as the principal of or any accrued interest on any Loan, any fee or any LC Disbursement payable under this Agreement is outstanding and unpaid or any Letter of Credit is outstanding and so long as the Commitments have not expired or terminated. Notwithstanding the foregoing or anything else to the contrary set forth in this Agreement, in the event that, in connection with the refinancing or repayment in full of the credit facility provided for herein, an Issuing Bank shall have provided to the Administrative Agent a written consent to the release of the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(including for purposes of determining whether the Borrower is required to comply with Articles V and VI hereof, but excluding Sections 2.14, 2.15, 2.16, 10.03, 10.14 and 10.16, any expense reimbursement or indemnity provisions set forth in any other Loan Document and any other provisions of this Agreement that expressly survive the termination hereof), and the Lenders shall be deemed to have no participations in such Letter of Credit, and no obligations with respect thereto, under Section 2.05(d) or 2.05(e). In addition, notwithstanding anything to the contrary set forth in this Agreement or any other Loan Document, in the event that on the Maturity Date any Letter of Credit shall be a Backstopped Letter of Credit, then, unless on such date any unreimbursed LC Disbursement shall have been outstanding thereunder, such Letter of Credit shall cease to be a “Letter of Credit” outstanding hereunder for all purposes of this Agreement and the other Loan Documents (including for purposes of determining whether the Borrower is required to comply with Articles V and VI hereof, but excluding Sections 2.14, 2.15, 2.16, 10.03, 10.14, 10.16 and any expense reimbursement or indemnity provisions set forth in any other Loan Document and any other provisions of this Agreement that expressly survive the termination hereof), and the Lenders shall be deemed to have no participations in such Letter of Credit, and no obligations with respect thereto, under Section 2.05(d) or 2.05(e). The provisions of Sections 2.14, 2.15, 2.16, 10.03, 10.14 and 10.16 and Article VIII shall survive and remain in full force and effect regardless of the consummation of the Transactions, the repayment of the Loans, the expiration or termination of the Letters of Credit and the Commitments or the termination of this Agreement or any provision hereof.</w:t>
      </w:r>
    </w:p>
    <w:p>
      <w:pPr>
        <w:spacing w:after="0" w:line="180"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hereto relating to the subject matter hereof and supersede any and all previous agreements and understandings, oral or written, relating to the subject matter hereof, including the commitments of the Lenders and, if applicable, their Affiliates under any commitment letter entered into in connection with the credit facilities established hereunder and any commitment advices submitted in connection therewith.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40"/>
          </w:cols>
          <w:pgMar w:left="440" w:top="274" w:right="519" w:bottom="1440" w:gutter="0" w:footer="0" w:header="0"/>
        </w:sectPr>
      </w:pPr>
    </w:p>
    <w:bookmarkStart w:id="98" w:name="page99"/>
    <w:bookmarkEnd w:id="98"/>
    <w:p>
      <w:pPr>
        <w:ind w:left="4" w:firstLine="987"/>
        <w:spacing w:after="0" w:line="282" w:lineRule="auto"/>
        <w:tabs>
          <w:tab w:leader="none" w:pos="1250"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an executed counterpart of a signature page of this Agreement, any other Loan Document and/or any document, amendment, approval, consent, information, notice (including, for the avoidance of doubt, any notice delivered pursuant to Section 10.01), certificate, request, statement, disclosure or authorization related to this Agreement, any other Loan Document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xml:space="preserve">”)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or any Loan Party to accept Electronic Signatures in any form or format without its prior written consent and pursuant to procedures approved by it (and for the avoidance of doubt, nothing herein shall require any Loan Party to deliver an executed counterpart of a signature page of this Agreement, any other Loan Document or any Ancillary Document that is an Electronic Signature);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(i) to the extent the Administrative Agent and the Borrower have agreed to accept any Electronic Signature, the Administrative Agent, the Loan Parties, the Lenders and the Issuing Banks shall be entitled to rely on such Electronic Signature purportedly given by or on behalf of any party hereto without further verification thereof and without any obligation to review the appearance or form of any such Electronic Signature and (ii) upon the request of the Administrative Agent, the Borrower or any Lender, any Electronic Signature shall be promptly followed by a manually executed counterpart.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the Issuing Banks and the Loan Parties, Electronic Signatures transmitted by emailed .pdf or any other electronic means that reproduces an image of an actual executed signature page and/or any electronic images of this Agreement, any other Loan Document and/or any Ancillary Document (in each case, including with respect to any signature pages thereto) shall have the same legal effect, validity and enforceability as any paper original, (B) agrees that each of the Administrative Agent, the Loan Parties, the Lenders and the Issuing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w:t>
      </w:r>
    </w:p>
    <w:p>
      <w:pPr>
        <w:spacing w:after="0" w:line="9" w:lineRule="exact"/>
        <w:rPr>
          <w:rFonts w:ascii="Arial" w:cs="Arial" w:eastAsia="Arial" w:hAnsi="Arial"/>
          <w:sz w:val="16"/>
          <w:szCs w:val="16"/>
          <w:color w:val="auto"/>
        </w:rPr>
      </w:pPr>
    </w:p>
    <w:p>
      <w:pPr>
        <w:ind w:left="304" w:hanging="304"/>
        <w:spacing w:after="0"/>
        <w:tabs>
          <w:tab w:leader="none" w:pos="3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waives any claim</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99" w:name="page100"/>
    <w:bookmarkEnd w:id="9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against the Administrative Agent, any Loan Party, any Lender and any Issuing Bank for any losses, claims, damages or liabilities arising solely from the Administrative Agent’s, any Loan Party’s, any Lender’s or any Issuing Bank’s reliance on or use of Electronic Signatures and/or transmissions by emailed .pdf or any other electronic means that reproduces an image of an actual executed signature page, including any losses, claims, damages or liabilities arising as a result of the failure of any of the parties hereto to use any available security measures in connection with the execution, delivery or transmission of any Electronic Signature;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paragraph shall affect the obligations of the Borrower under Section 10.03(b).</w:t>
      </w:r>
    </w:p>
    <w:p>
      <w:pPr>
        <w:spacing w:after="0" w:line="161"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No Reliance on Margin Stock</w:t>
      </w:r>
      <w:r>
        <w:rPr>
          <w:rFonts w:ascii="Arial" w:cs="Arial" w:eastAsia="Arial" w:hAnsi="Arial"/>
          <w:sz w:val="16"/>
          <w:szCs w:val="16"/>
          <w:color w:val="auto"/>
        </w:rPr>
        <w:t>. Each of the Lenders represents to the Administrative Agent and the other Lenders that it in good faith is not relying upon any Margin Stock as collateral in the extension or maintenance of the credit provided for in this Agreement.</w:t>
      </w:r>
    </w:p>
    <w:p>
      <w:pPr>
        <w:spacing w:after="0" w:line="12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shall be construed in accordance with and governed by the law of the State of New York.</w:t>
      </w:r>
    </w:p>
    <w:p>
      <w:pPr>
        <w:spacing w:after="0" w:line="170" w:lineRule="exact"/>
        <w:rPr>
          <w:sz w:val="20"/>
          <w:szCs w:val="20"/>
          <w:color w:val="auto"/>
        </w:rPr>
      </w:pPr>
    </w:p>
    <w:p>
      <w:pPr>
        <w:ind w:right="180" w:firstLine="987"/>
        <w:spacing w:after="0" w:line="291" w:lineRule="auto"/>
        <w:tabs>
          <w:tab w:leader="none" w:pos="12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of the parties to this Agreement hereby irrevocably and unconditionally submits, for itself and its property, to the exclusive jurisdiction of the United States District Court of the Southern District of New York and of the Supreme Court of the State of New York sitting in New York County,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shall be heard and determined exclusively in such United States District Court or, if that court does not have subject matter jurisdiction, such Supreme Court. Each of the parties hereto agrees that a final judgment in any such action or proceeding shall be conclusive and may be enforced in other jurisdictions by suit on the judgment or in any other manner provided by law.</w:t>
      </w:r>
    </w:p>
    <w:p>
      <w:pPr>
        <w:spacing w:after="0" w:line="166" w:lineRule="exact"/>
        <w:rPr>
          <w:rFonts w:ascii="Arial" w:cs="Arial" w:eastAsia="Arial" w:hAnsi="Arial"/>
          <w:sz w:val="16"/>
          <w:szCs w:val="16"/>
          <w:color w:val="auto"/>
        </w:rPr>
      </w:pPr>
    </w:p>
    <w:p>
      <w:pPr>
        <w:ind w:right="60" w:firstLine="987"/>
        <w:spacing w:after="0" w:line="279" w:lineRule="auto"/>
        <w:tabs>
          <w:tab w:leader="none" w:pos="123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of the parties to this Agreement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7"/>
          <w:szCs w:val="17"/>
          <w:color w:val="auto"/>
        </w:rPr>
      </w:pPr>
    </w:p>
    <w:p>
      <w:pPr>
        <w:ind w:firstLine="987"/>
        <w:spacing w:after="0" w:line="277"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10.01. Nothing in this Agreement will affect the right of any party to this Agreement to serve process in any other manner permitted by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4" w:right="439" w:bottom="1440" w:gutter="0" w:footer="0" w:header="0"/>
        </w:sectPr>
      </w:pPr>
    </w:p>
    <w:bookmarkStart w:id="100" w:name="page101"/>
    <w:bookmarkEnd w:id="100"/>
    <w:p>
      <w:pPr>
        <w:ind w:left="4" w:right="1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left="4" w:right="80" w:firstLine="991"/>
        <w:spacing w:after="0" w:line="308"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members, partners, trustees, officers, employees and agents, including accountants, legal counsel and other advisors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on a need to know basis (it being agreed that any Representative to whom such disclosure is made will be informed of the confidential nature of such Information and instructed to keep such Information confidential in accordance with the terms of this Section), (b) to the extent requested by any regulatory authority (including (i) any self-regulatory authority, such as the National Association of Insurance Commissioners and (ii) in connection with a pledge or assignment permitted under Section 10.04(d)), (c) to the extent required by applicable laws or regulations or by any subpoena or similar legal process,</w:t>
      </w:r>
    </w:p>
    <w:p>
      <w:pPr>
        <w:spacing w:after="0" w:line="2" w:lineRule="exact"/>
        <w:rPr>
          <w:sz w:val="20"/>
          <w:szCs w:val="20"/>
          <w:color w:val="auto"/>
        </w:rPr>
      </w:pPr>
    </w:p>
    <w:p>
      <w:pPr>
        <w:ind w:left="4" w:hanging="4"/>
        <w:spacing w:after="0" w:line="267" w:lineRule="auto"/>
        <w:tabs>
          <w:tab w:leader="none" w:pos="25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to any other party to this Agreement, (e) in connection with the exercise of any remedies hereunder or any suit, action or proceeding relating to this Agreement or the enforcement of rights hereunder, (f) to (i) any assignee of or Participant in, or any prospective assignee of or Participant in, any of its rights or obligations under this Agreement, (ii) any actual or prospective counterparty (or its advisors) designated by the Loan Parties to any swap or derivative transaction relating to the Borrower and its obligations or (iii) any credit insurance provider relating to the Borrower and its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actual or prospective assignee, Participant, counterparty or credit insurance provider first executes and delivers to the Borrower a Confidentiality Agreement, (g) with the written consent of the Borrower acting through a Financial Officer or (h) to the extent such Information (i) becomes publicly available other than as a result of a breach of this Section or (ii) becomes available to the Administrative Agent, any Issuing Bank or any Lender on a nonconfidential basis from a source other than the Borrower, any of its Subsidiaries or their respective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source of such information was not known by the Administrative Agent or the applicable Issuing Bank or Lender, as the case may be, to be bound by a confidentiality agreement with or other contractual, legal or fiduciary obligation of confidentiality to the Borrower or any of its Subsidiaries with respect to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the applicable Lender or the applicable Issuing Bank shall, in connection with any disclosure pursuant to clause (b) or (c) above (other than disclosure made in the course of a bank examination or any regulatory or self-regulatory</w:t>
      </w:r>
    </w:p>
    <w:p>
      <w:pPr>
        <w:spacing w:after="0" w:line="11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4" w:right="459" w:bottom="1440" w:gutter="0" w:footer="0" w:header="0"/>
        </w:sectPr>
      </w:pPr>
    </w:p>
    <w:bookmarkStart w:id="101" w:name="page102"/>
    <w:bookmarkEnd w:id="10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examinations), give to the Borrower any notice that it is not prohibited from providing of the requirement of such disclosure. Each of the Administrative Agent, the Issuing Banks and the Lenders agrees that it shall be responsible for any breach of this Section that results from the actions or omissions of its Representatives.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or on behalf of the Borrower, any of its Subsidiaries or their respective Representatives relating to the Borrower, its Subsidiaries or their respective businesses, other than any such information that is available to the Administrative Agent, any Issuing Bank or any Lender on a nonconfidential basis prior to disclosure by the Borrower, any of its Subsidiaries or their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source of such information was not known by the Administrative Agent, such Issuing Bank or such Lender, as the case may be, to be bound by a confidentiality agreement with or other contractual, legal or fiduciary obligation of confidentiality to the Borrower or any of its Subsidiaries with respect to such information.</w:t>
      </w:r>
    </w:p>
    <w:p>
      <w:pPr>
        <w:spacing w:after="0" w:line="17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78" w:lineRule="exact"/>
        <w:rPr>
          <w:sz w:val="20"/>
          <w:szCs w:val="20"/>
          <w:color w:val="auto"/>
        </w:rPr>
      </w:pPr>
    </w:p>
    <w:p>
      <w:pPr>
        <w:ind w:right="320" w:firstLine="991"/>
        <w:spacing w:after="0" w:line="279"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1" w:lineRule="exact"/>
        <w:rPr>
          <w:sz w:val="20"/>
          <w:szCs w:val="20"/>
          <w:color w:val="auto"/>
        </w:rPr>
      </w:pPr>
    </w:p>
    <w:p>
      <w:pPr>
        <w:ind w:right="40" w:firstLine="987"/>
        <w:spacing w:after="0" w:line="271" w:lineRule="auto"/>
        <w:tabs>
          <w:tab w:leader="none" w:pos="12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the obligations owing hereunder (the “</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shall survive the termination of this Agreement and the payment of all other amounts owing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2" w:name="page103"/>
    <w:bookmarkEnd w:id="102"/>
    <w:p>
      <w:pPr>
        <w:ind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10.15.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and the Administrative Agent (for itself and not on behalf of any Lender) hereby notifies the Borrower and the Guarantor that pursuant to the requirements of the USA PATRIOT Act, it is required to obtain, verify and record information that identifies the Borrower and the Guarantor, which information includes the name and address of the Borrower and the Guarantor and other information that will allow such Lender or the Administrative Agent, as applicable, to identify the Borrower and the Guarantor in accordance with the USA PATRIOT Act.</w:t>
      </w:r>
    </w:p>
    <w:p>
      <w:pPr>
        <w:spacing w:after="0" w:line="188" w:lineRule="exact"/>
        <w:rPr>
          <w:sz w:val="20"/>
          <w:szCs w:val="20"/>
          <w:color w:val="auto"/>
        </w:rPr>
      </w:pPr>
    </w:p>
    <w:p>
      <w:pPr>
        <w:ind w:right="120" w:firstLine="991"/>
        <w:spacing w:after="0" w:line="289" w:lineRule="auto"/>
        <w:rPr>
          <w:sz w:val="20"/>
          <w:szCs w:val="20"/>
          <w:color w:val="auto"/>
        </w:rPr>
      </w:pPr>
      <w:r>
        <w:rPr>
          <w:rFonts w:ascii="Arial" w:cs="Arial" w:eastAsia="Arial" w:hAnsi="Arial"/>
          <w:sz w:val="16"/>
          <w:szCs w:val="16"/>
          <w:color w:val="auto"/>
        </w:rPr>
        <w:t xml:space="preserve">SECTION 10.16.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Borrower acknowledges and agrees, and acknowledges its Subsidiaries’ understanding, that no Lender Party will have any obligations except those obligations expressly set forth herein and in the other Loan Documents and each Lender Party is acting solely in the capacity of an arm’s length contractual counterparty to the Loan Parties with respect to the Loan Documents and the transaction contemplated therein and not as a financial advisor or a fiduciary to, or an agent of, any Loan Party or any other Person. The Borrower agrees that it will not assert any claim against any Lender Party based on an alleged breach of fiduciary duty by such Lender Party in connection with this Agreement and the transactions contemplated hereby. Additionally, the Borrower acknowledges and agrees that no Lender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hereby, and the Lender Parties shall have no responsibility or liability to the Borrower with respect thereto.</w:t>
      </w:r>
    </w:p>
    <w:p>
      <w:pPr>
        <w:spacing w:after="0" w:line="166"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The Borrower further acknowledges and agrees, and acknowledges its Subsidiaries’ understanding, that each Lender Party, together with its Affiliates, is a full service securities or banking firm engaged in securities trading and brokerage activities as well as providing investment banking and other financial services. In the ordinary course of business, any Lender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Lender Party or any of its customers, all rights in respect of such securities and financial instruments, including any voting rights, will be exercised by the holder of the rights, in its sole discretion.</w:t>
      </w:r>
    </w:p>
    <w:p>
      <w:pPr>
        <w:spacing w:after="0" w:line="177"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In addition, the Borrower acknowledges and agrees, and acknowledges its Subsidiaries’ understanding, that each Lender Party and its Affiliates may be providing debt financing, equity capital or other services (including financial advisory services) to other companies in respect of which the Borrower and its Subsidiaries may have conflicting interests regarding the transactions described herein and otherwise. No Lender Party will use confidential information obtained from the Borrower, any of its Subsidiaries or any of their respective Related Parties by virtue of the transactions contemplated by the Loan Documents or its other relationships with the Borrower in connection with the performance by such Lender Party of services for other companies, and no Lender Party will furnish any such information to other companies. The Borrower also acknowledges that no Lender Party has any obligation to use in connection with the transactions contemplated by the Loan Documents, or to furnish to the Borrower, confidential information obtained from other companies.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4" w:right="439" w:bottom="1440" w:gutter="0" w:footer="0" w:header="0"/>
        </w:sectPr>
      </w:pPr>
    </w:p>
    <w:bookmarkStart w:id="103" w:name="page104"/>
    <w:bookmarkEnd w:id="103"/>
    <w:p>
      <w:pPr>
        <w:ind w:left="4" w:right="22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10.17.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MNPI. Each Lender represents to the Borrower and the Administrative Agent that</w:t>
      </w:r>
    </w:p>
    <w:p>
      <w:pPr>
        <w:spacing w:after="0" w:line="2" w:lineRule="exact"/>
        <w:rPr>
          <w:sz w:val="20"/>
          <w:szCs w:val="20"/>
          <w:color w:val="auto"/>
        </w:rPr>
      </w:pPr>
    </w:p>
    <w:p>
      <w:pPr>
        <w:ind w:left="4" w:right="100" w:hanging="4"/>
        <w:spacing w:after="0" w:line="273" w:lineRule="auto"/>
        <w:tabs>
          <w:tab w:leader="none" w:pos="24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it has developed compliance procedures regarding the use of MNPI and that it will handle MNPI in accordance with such procedures and applicable law, including Federal, state and foreign securities laws, (b) it has identified in its Administrative Questionnaire a credit contact who may receive information that may contain MNPI in accordance with its compliance procedures and applicable law, including Federal, state and foreign securities laws and (c) it will maintain the confidentiality of any MNPI it receives in accordance with Section 10.12.</w:t>
      </w:r>
    </w:p>
    <w:p>
      <w:pPr>
        <w:spacing w:after="0" w:line="176"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the parties hereto,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80" w:lineRule="exact"/>
        <w:rPr>
          <w:sz w:val="20"/>
          <w:szCs w:val="20"/>
          <w:color w:val="auto"/>
        </w:rPr>
      </w:pPr>
    </w:p>
    <w:p>
      <w:pPr>
        <w:ind w:left="444" w:right="680" w:firstLine="419"/>
        <w:spacing w:after="0" w:line="308" w:lineRule="auto"/>
        <w:tabs>
          <w:tab w:leader="none" w:pos="111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Lender party hereto that is an Affected Financial Institution; and</w:t>
      </w:r>
    </w:p>
    <w:p>
      <w:pPr>
        <w:spacing w:after="0" w:line="38" w:lineRule="exact"/>
        <w:rPr>
          <w:rFonts w:ascii="Arial" w:cs="Arial" w:eastAsia="Arial" w:hAnsi="Arial"/>
          <w:sz w:val="17"/>
          <w:szCs w:val="17"/>
          <w:color w:val="auto"/>
        </w:rPr>
      </w:pPr>
    </w:p>
    <w:p>
      <w:pPr>
        <w:ind w:left="1124" w:hanging="261"/>
        <w:spacing w:after="0"/>
        <w:tabs>
          <w:tab w:leader="none" w:pos="11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04" w:hanging="212"/>
        <w:spacing w:after="0"/>
        <w:tabs>
          <w:tab w:leader="none" w:pos="160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984" w:right="20" w:firstLine="408"/>
        <w:spacing w:after="0" w:line="259" w:lineRule="auto"/>
        <w:tabs>
          <w:tab w:leader="none" w:pos="165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984" w:right="400" w:firstLine="408"/>
        <w:spacing w:after="0" w:line="277" w:lineRule="auto"/>
        <w:tabs>
          <w:tab w:leader="none" w:pos="17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[The remainder of this page has been left blank intentionally]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4" w:right="459" w:bottom="1440" w:gutter="0" w:footer="0" w:header="0"/>
        </w:sectPr>
      </w:pPr>
    </w:p>
    <w:bookmarkStart w:id="104" w:name="page105"/>
    <w:bookmarkEnd w:id="10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B.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Todd B. Ernst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Corporate Vice President and Treasuer</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NORTHROP GRUMMAN SYSTEMS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B.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Todd B. Ernst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President and Treasurer</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0900"/>
          </w:cols>
          <w:pgMar w:left="440" w:top="274" w:right="559" w:bottom="1440" w:gutter="0" w:footer="0" w:header="0"/>
        </w:sectPr>
      </w:pPr>
    </w:p>
    <w:bookmarkStart w:id="105" w:name="page106"/>
    <w:bookmarkEnd w:id="10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individually and as an Issuing Bank, a Lender and the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Peter S. Predun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Executive Director</w:t>
      </w: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9480"/>
          </w:cols>
          <w:pgMar w:left="1440" w:top="274" w:right="97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Name of Institution (with each Institution that is a Lender and an Issuing Bank executing both in its capacity as a Lender and an Issuing Bank):</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Adam Spreyer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Adam Spreyer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274"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MIZUHO BANK, LTD.</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Donna DeMagistris</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Donna DeMagistris</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Executive Director</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Name of Institution:</w:t>
            </w:r>
          </w:p>
        </w:tc>
        <w:tc>
          <w:tcPr>
            <w:tcW w:w="1920" w:type="dxa"/>
            <w:vAlign w:val="bottom"/>
            <w:gridSpan w:val="2"/>
          </w:tcPr>
          <w:p>
            <w:pPr>
              <w:ind w:left="700"/>
              <w:spacing w:after="0"/>
              <w:rPr>
                <w:sz w:val="20"/>
                <w:szCs w:val="20"/>
                <w:color w:val="auto"/>
              </w:rPr>
            </w:pPr>
            <w:r>
              <w:rPr>
                <w:rFonts w:ascii="Arial" w:cs="Arial" w:eastAsia="Arial" w:hAnsi="Arial"/>
                <w:sz w:val="18"/>
                <w:szCs w:val="18"/>
                <w:color w:val="auto"/>
              </w:rPr>
              <w:t>BNP Paribas</w:t>
            </w:r>
          </w:p>
        </w:tc>
        <w:tc>
          <w:tcPr>
            <w:tcW w:w="4600" w:type="dxa"/>
            <w:vAlign w:val="bottom"/>
          </w:tcPr>
          <w:p>
            <w:pPr>
              <w:spacing w:after="0"/>
              <w:rPr>
                <w:sz w:val="20"/>
                <w:szCs w:val="20"/>
                <w:color w:val="auto"/>
              </w:rPr>
            </w:pPr>
          </w:p>
        </w:tc>
      </w:tr>
      <w:tr>
        <w:trPr>
          <w:trHeight w:val="432"/>
        </w:trPr>
        <w:tc>
          <w:tcPr>
            <w:tcW w:w="45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Tony Baratta</w:t>
            </w:r>
          </w:p>
        </w:tc>
      </w:tr>
      <w:tr>
        <w:trPr>
          <w:trHeight w:val="209"/>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ind w:left="80"/>
              <w:spacing w:after="0"/>
              <w:rPr>
                <w:sz w:val="20"/>
                <w:szCs w:val="20"/>
                <w:color w:val="auto"/>
              </w:rPr>
            </w:pPr>
            <w:r>
              <w:rPr>
                <w:rFonts w:ascii="Arial" w:cs="Arial" w:eastAsia="Arial" w:hAnsi="Arial"/>
                <w:sz w:val="18"/>
                <w:szCs w:val="18"/>
                <w:color w:val="auto"/>
              </w:rPr>
              <w:t>Tony Baratta</w:t>
            </w:r>
          </w:p>
        </w:tc>
      </w:tr>
      <w:tr>
        <w:trPr>
          <w:trHeight w:val="230"/>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Managing Director</w:t>
            </w: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For any Institution requiring a second signature line:</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Hoffman</w:t>
            </w:r>
          </w:p>
        </w:tc>
      </w:tr>
      <w:tr>
        <w:trPr>
          <w:trHeight w:val="209"/>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ind w:left="80"/>
              <w:spacing w:after="0"/>
              <w:rPr>
                <w:sz w:val="20"/>
                <w:szCs w:val="20"/>
                <w:color w:val="auto"/>
              </w:rPr>
            </w:pPr>
            <w:r>
              <w:rPr>
                <w:rFonts w:ascii="Arial" w:cs="Arial" w:eastAsia="Arial" w:hAnsi="Arial"/>
                <w:sz w:val="18"/>
                <w:szCs w:val="18"/>
                <w:color w:val="auto"/>
              </w:rPr>
              <w:t>Michael Hoffman</w:t>
            </w:r>
          </w:p>
        </w:tc>
      </w:tr>
      <w:tr>
        <w:trPr>
          <w:trHeight w:val="230"/>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Credit Suisse AG, New York Branch</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Komal Shah</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Komal Shah</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Authorized Signatory</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Wing Yee Lee-Cember</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Wing Yee Lee-Cember</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jc w:val="center"/>
              <w:ind w:right="1350"/>
              <w:spacing w:after="0"/>
              <w:rPr>
                <w:sz w:val="20"/>
                <w:szCs w:val="20"/>
                <w:color w:val="auto"/>
              </w:rPr>
            </w:pPr>
            <w:r>
              <w:rPr>
                <w:rFonts w:ascii="Arial" w:cs="Arial" w:eastAsia="Arial" w:hAnsi="Arial"/>
                <w:sz w:val="18"/>
                <w:szCs w:val="18"/>
                <w:color w:val="auto"/>
                <w:w w:val="99"/>
              </w:rPr>
              <w:t>GOLDMAN SACHS BANK USA</w:t>
            </w:r>
          </w:p>
        </w:tc>
      </w:tr>
      <w:tr>
        <w:trPr>
          <w:trHeight w:val="432"/>
        </w:trPr>
        <w:tc>
          <w:tcPr>
            <w:tcW w:w="3340" w:type="dxa"/>
            <w:vAlign w:val="bottom"/>
          </w:tcPr>
          <w:p>
            <w:pPr>
              <w:spacing w:after="0"/>
              <w:rPr>
                <w:sz w:val="24"/>
                <w:szCs w:val="24"/>
                <w:color w:val="auto"/>
              </w:rPr>
            </w:pPr>
          </w:p>
        </w:tc>
        <w:tc>
          <w:tcPr>
            <w:tcW w:w="7680" w:type="dxa"/>
            <w:vAlign w:val="bottom"/>
            <w:gridSpan w:val="3"/>
          </w:tcPr>
          <w:p>
            <w:pPr>
              <w:jc w:val="center"/>
              <w:ind w:right="1390"/>
              <w:spacing w:after="0"/>
              <w:rPr>
                <w:sz w:val="20"/>
                <w:szCs w:val="20"/>
                <w:color w:val="auto"/>
              </w:rPr>
            </w:pPr>
            <w:r>
              <w:rPr>
                <w:rFonts w:ascii="Arial" w:cs="Arial" w:eastAsia="Arial" w:hAnsi="Arial"/>
                <w:sz w:val="18"/>
                <w:szCs w:val="18"/>
                <w:color w:val="auto"/>
                <w:w w:val="97"/>
              </w:rPr>
              <w:t>by  /s/ Jonathan Dworkin</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Jonathan Dworkin</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SUMITOMO MITSUI BANKING CORPORATION</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Minxiao Tian</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Minxiao Tian</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The Toronto-Dominion Bank, New York Branch</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Maria Macchiaroli</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Maria Macchiaroli</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Steven L. Sawyer</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Steven L. Sawyer</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Bank of America, N.A., as a Lender</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Prathamesh Kshirsagar</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Prathamesh Kshirsagar</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Morgan Stanley Bank, N.A.</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Michael King</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Michael King</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MUFG Bank, Ltd.</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Victor Pierzchalski</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Victor Pierzchalski</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Australia and New Zealand Banking Group Limited</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Robert Grillo</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Robert Grillo</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Executive Director</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State Street Bank and Trust Company</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Kimberly Costa</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Kimberly Costa</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The Bank of New York Mellon</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Tak Cheng</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Tak Cheng</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Name of Institution:</w:t>
            </w:r>
          </w:p>
        </w:tc>
        <w:tc>
          <w:tcPr>
            <w:tcW w:w="7680" w:type="dxa"/>
            <w:vAlign w:val="bottom"/>
            <w:gridSpan w:val="3"/>
          </w:tcPr>
          <w:p>
            <w:pPr>
              <w:ind w:left="1860"/>
              <w:spacing w:after="0"/>
              <w:rPr>
                <w:sz w:val="20"/>
                <w:szCs w:val="20"/>
                <w:color w:val="auto"/>
              </w:rPr>
            </w:pPr>
            <w:r>
              <w:rPr>
                <w:rFonts w:ascii="Arial" w:cs="Arial" w:eastAsia="Arial" w:hAnsi="Arial"/>
                <w:sz w:val="18"/>
                <w:szCs w:val="18"/>
                <w:color w:val="auto"/>
              </w:rPr>
              <w:t>THE BANK OF NOVA SCOTIA</w:t>
            </w:r>
          </w:p>
        </w:tc>
      </w:tr>
      <w:tr>
        <w:trPr>
          <w:trHeight w:val="432"/>
        </w:trPr>
        <w:tc>
          <w:tcPr>
            <w:tcW w:w="3340" w:type="dxa"/>
            <w:vAlign w:val="bottom"/>
          </w:tcPr>
          <w:p>
            <w:pPr>
              <w:spacing w:after="0"/>
              <w:rPr>
                <w:sz w:val="24"/>
                <w:szCs w:val="24"/>
                <w:color w:val="auto"/>
              </w:rPr>
            </w:pPr>
          </w:p>
        </w:tc>
        <w:tc>
          <w:tcPr>
            <w:tcW w:w="7680" w:type="dxa"/>
            <w:vAlign w:val="bottom"/>
            <w:gridSpan w:val="3"/>
          </w:tcPr>
          <w:p>
            <w:pPr>
              <w:ind w:left="2140"/>
              <w:spacing w:after="0"/>
              <w:rPr>
                <w:sz w:val="20"/>
                <w:szCs w:val="20"/>
                <w:color w:val="auto"/>
              </w:rPr>
            </w:pPr>
            <w:r>
              <w:rPr>
                <w:rFonts w:ascii="Arial" w:cs="Arial" w:eastAsia="Arial" w:hAnsi="Arial"/>
                <w:sz w:val="18"/>
                <w:szCs w:val="18"/>
                <w:color w:val="auto"/>
              </w:rPr>
              <w:t>by  /s/ Catherine Jones</w:t>
            </w:r>
          </w:p>
        </w:tc>
      </w:tr>
      <w:tr>
        <w:trPr>
          <w:trHeight w:val="209"/>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Catherine Jones</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any Institution requiring a second signature line: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14605</wp:posOffset>
            </wp:positionV>
            <wp:extent cx="32746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UniCredit Bank AG, New York Branch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 Gilda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26314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 Gilda Andrews</w:t>
      </w:r>
    </w:p>
    <w:p>
      <w:pPr>
        <w:spacing w:after="0" w:line="23" w:lineRule="exact"/>
        <w:rPr>
          <w:sz w:val="20"/>
          <w:szCs w:val="20"/>
          <w:color w:val="auto"/>
        </w:rPr>
      </w:pPr>
    </w:p>
    <w:p>
      <w:pPr>
        <w:ind w:left="5860"/>
        <w:spacing w:after="0"/>
        <w:tabs>
          <w:tab w:leader="none" w:pos="6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26314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Peter Daugavietis</w:t>
      </w:r>
    </w:p>
    <w:p>
      <w:pPr>
        <w:spacing w:after="0" w:line="23" w:lineRule="exact"/>
        <w:rPr>
          <w:sz w:val="20"/>
          <w:szCs w:val="20"/>
          <w:color w:val="auto"/>
        </w:rPr>
      </w:pPr>
    </w:p>
    <w:p>
      <w:pPr>
        <w:ind w:left="5860"/>
        <w:spacing w:after="0"/>
        <w:tabs>
          <w:tab w:leader="none" w:pos="64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 OF</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THE NORTHROP GRUMMAN CORPORATION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Name of Institution:</w:t>
            </w:r>
          </w:p>
        </w:tc>
        <w:tc>
          <w:tcPr>
            <w:tcW w:w="6520" w:type="dxa"/>
            <w:vAlign w:val="bottom"/>
            <w:gridSpan w:val="3"/>
          </w:tcPr>
          <w:p>
            <w:pPr>
              <w:ind w:left="700"/>
              <w:spacing w:after="0"/>
              <w:rPr>
                <w:sz w:val="20"/>
                <w:szCs w:val="20"/>
                <w:color w:val="auto"/>
              </w:rPr>
            </w:pPr>
            <w:r>
              <w:rPr>
                <w:rFonts w:ascii="Arial" w:cs="Arial" w:eastAsia="Arial" w:hAnsi="Arial"/>
                <w:sz w:val="18"/>
                <w:szCs w:val="18"/>
                <w:color w:val="auto"/>
              </w:rPr>
              <w:t>First Abu Dhabi Bank USA N.V.</w:t>
            </w:r>
          </w:p>
        </w:tc>
      </w:tr>
      <w:tr>
        <w:trPr>
          <w:trHeight w:val="432"/>
        </w:trPr>
        <w:tc>
          <w:tcPr>
            <w:tcW w:w="45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Pamela Sigda</w:t>
            </w:r>
          </w:p>
        </w:tc>
      </w:tr>
      <w:tr>
        <w:trPr>
          <w:trHeight w:val="209"/>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ind w:left="80"/>
              <w:spacing w:after="0"/>
              <w:rPr>
                <w:sz w:val="20"/>
                <w:szCs w:val="20"/>
                <w:color w:val="auto"/>
              </w:rPr>
            </w:pPr>
            <w:r>
              <w:rPr>
                <w:rFonts w:ascii="Arial" w:cs="Arial" w:eastAsia="Arial" w:hAnsi="Arial"/>
                <w:sz w:val="18"/>
                <w:szCs w:val="18"/>
                <w:color w:val="auto"/>
              </w:rPr>
              <w:t>Pamela Sigda</w:t>
            </w:r>
          </w:p>
        </w:tc>
      </w:tr>
      <w:tr>
        <w:trPr>
          <w:trHeight w:val="230"/>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Country CFO</w:t>
            </w: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For any Institution requiring a second signature line:</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Young</w:t>
            </w:r>
          </w:p>
        </w:tc>
      </w:tr>
      <w:tr>
        <w:trPr>
          <w:trHeight w:val="209"/>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ind w:left="80"/>
              <w:spacing w:after="0"/>
              <w:rPr>
                <w:sz w:val="20"/>
                <w:szCs w:val="20"/>
                <w:color w:val="auto"/>
              </w:rPr>
            </w:pPr>
            <w:r>
              <w:rPr>
                <w:rFonts w:ascii="Arial" w:cs="Arial" w:eastAsia="Arial" w:hAnsi="Arial"/>
                <w:sz w:val="18"/>
                <w:szCs w:val="18"/>
                <w:color w:val="auto"/>
              </w:rPr>
              <w:t>David Young</w:t>
            </w:r>
          </w:p>
        </w:tc>
      </w:tr>
      <w:tr>
        <w:trPr>
          <w:trHeight w:val="230"/>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Head of Americas Structured Finance</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 of Northrop Grumman Corporation</w:t>
      </w:r>
      <w:r>
        <w:rPr>
          <w:rFonts w:ascii="Arial" w:cs="Arial" w:eastAsia="Arial" w:hAnsi="Arial"/>
          <w:sz w:val="18"/>
          <w:szCs w:val="18"/>
          <w:color w:val="auto"/>
        </w:rPr>
        <w: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1)"/>
      <w:numFmt w:val="lowerLetter"/>
      <w:start w:val="4"/>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1)"/>
      <w:numFmt w:val="decimal"/>
      <w:start w:val="3"/>
    </w:lvl>
  </w:abstractNum>
  <w:abstractNum w:abstractNumId="5">
    <w:nsid w:val="1CF10FD8"/>
    <w:multiLevelType w:val="hybridMultilevel"/>
    <w:lvl w:ilvl="0">
      <w:lvlJc w:val="left"/>
      <w:lvlText w:val="(%1)"/>
      <w:numFmt w:val="lowerLetter"/>
      <w:start w:val="1"/>
    </w:lvl>
  </w:abstractNum>
  <w:abstractNum w:abstractNumId="6">
    <w:nsid w:val="180115BE"/>
    <w:multiLevelType w:val="hybridMultilevel"/>
    <w:lvl w:ilvl="0">
      <w:lvlJc w:val="left"/>
      <w:lvlText w:val="(%1)"/>
      <w:numFmt w:val="lowerLetter"/>
      <w:start w:val="3"/>
    </w:lvl>
  </w:abstractNum>
  <w:abstractNum w:abstractNumId="7">
    <w:nsid w:val="235BA861"/>
    <w:multiLevelType w:val="hybridMultilevel"/>
    <w:lvl w:ilvl="0">
      <w:lvlJc w:val="left"/>
      <w:lvlText w:val="%1"/>
      <w:numFmt w:val="lowerLetter"/>
      <w:start w:val="1"/>
    </w:lvl>
    <w:lvl w:ilvl="1">
      <w:lvlJc w:val="left"/>
      <w:lvlText w:val="(%2)"/>
      <w:numFmt w:val="lowerLetter"/>
      <w:start w:val="11"/>
    </w:lvl>
  </w:abstractNum>
  <w:abstractNum w:abstractNumId="8">
    <w:nsid w:val="47398C89"/>
    <w:multiLevelType w:val="hybridMultilevel"/>
    <w:lvl w:ilvl="0">
      <w:lvlJc w:val="left"/>
      <w:lvlText w:val="(%1)"/>
      <w:numFmt w:val="lowerLetter"/>
      <w:start w:val="24"/>
    </w:lvl>
    <w:lvl w:ilvl="1">
      <w:lvlJc w:val="left"/>
      <w:lvlText w:val="(%2)"/>
      <w:numFmt w:val="lowerLetter"/>
      <w:start w:val="12"/>
    </w:lvl>
  </w:abstractNum>
  <w:abstractNum w:abstractNumId="9">
    <w:nsid w:val="354FE9F9"/>
    <w:multiLevelType w:val="hybridMultilevel"/>
    <w:lvl w:ilvl="0">
      <w:lvlJc w:val="left"/>
      <w:lvlText w:val="(%1)"/>
      <w:numFmt w:val="lowerLetter"/>
      <w:start w:val="2"/>
    </w:lvl>
  </w:abstractNum>
  <w:abstractNum w:abstractNumId="10">
    <w:nsid w:val="15B5AF5C"/>
    <w:multiLevelType w:val="hybridMultilevel"/>
    <w:lvl w:ilvl="0">
      <w:lvlJc w:val="left"/>
      <w:lvlText w:val="(%1)"/>
      <w:numFmt w:val="lowerLetter"/>
      <w:start w:val="2"/>
    </w:lvl>
  </w:abstractNum>
  <w:abstractNum w:abstractNumId="11">
    <w:nsid w:val="741226BB"/>
    <w:multiLevelType w:val="hybridMultilevel"/>
    <w:lvl w:ilvl="0">
      <w:lvlJc w:val="left"/>
      <w:lvlText w:val="(%1)"/>
      <w:numFmt w:val="lowerLetter"/>
      <w:start w:val="4"/>
    </w:lvl>
  </w:abstractNum>
  <w:abstractNum w:abstractNumId="12">
    <w:nsid w:val="D34B6A8"/>
    <w:multiLevelType w:val="hybridMultilevel"/>
    <w:lvl w:ilvl="0">
      <w:lvlJc w:val="left"/>
      <w:lvlText w:val="(%1)"/>
      <w:numFmt w:val="lowerRoman"/>
      <w:start w:val="1"/>
    </w:lvl>
  </w:abstractNum>
  <w:abstractNum w:abstractNumId="13">
    <w:nsid w:val="10233C99"/>
    <w:multiLevelType w:val="hybridMultilevel"/>
    <w:lvl w:ilvl="0">
      <w:lvlJc w:val="left"/>
      <w:lvlText w:val="(%1)"/>
      <w:numFmt w:val="lowerRoman"/>
      <w:start w:val="1"/>
    </w:lvl>
  </w:abstractNum>
  <w:abstractNum w:abstractNumId="14">
    <w:nsid w:val="3F6AB60F"/>
    <w:multiLevelType w:val="hybridMultilevel"/>
    <w:lvl w:ilvl="0">
      <w:lvlJc w:val="left"/>
      <w:lvlText w:val="(%1)"/>
      <w:numFmt w:val="lowerLetter"/>
      <w:start w:val="2"/>
    </w:lvl>
  </w:abstractNum>
  <w:abstractNum w:abstractNumId="15">
    <w:nsid w:val="61574095"/>
    <w:multiLevelType w:val="hybridMultilevel"/>
    <w:lvl w:ilvl="0">
      <w:lvlJc w:val="left"/>
      <w:lvlText w:val="%1"/>
      <w:numFmt w:val="lowerLetter"/>
      <w:start w:val="1"/>
    </w:lvl>
    <w:lvl w:ilvl="1">
      <w:lvlJc w:val="left"/>
      <w:lvlText w:val="(%2)"/>
      <w:numFmt w:val="lowerLetter"/>
      <w:start w:val="3"/>
    </w:lvl>
  </w:abstractNum>
  <w:abstractNum w:abstractNumId="16">
    <w:nsid w:val="7E0C57B1"/>
    <w:multiLevelType w:val="hybridMultilevel"/>
    <w:lvl w:ilvl="0">
      <w:lvlJc w:val="left"/>
      <w:lvlText w:val="(%1)"/>
      <w:numFmt w:val="lowerLetter"/>
      <w:start w:val="35"/>
    </w:lvl>
    <w:lvl w:ilvl="1">
      <w:lvlJc w:val="left"/>
      <w:lvlText w:val="(%2)"/>
      <w:numFmt w:val="lowerLetter"/>
      <w:start w:val="5"/>
    </w:lvl>
  </w:abstractNum>
  <w:abstractNum w:abstractNumId="17">
    <w:nsid w:val="77AE35EB"/>
    <w:multiLevelType w:val="hybridMultilevel"/>
    <w:lvl w:ilvl="0">
      <w:lvlJc w:val="left"/>
      <w:lvlText w:val="(%1)"/>
      <w:numFmt w:val="lowerLetter"/>
      <w:start w:val="35"/>
    </w:lvl>
    <w:lvl w:ilvl="1">
      <w:lvlJc w:val="left"/>
      <w:lvlText w:val="(%2)"/>
      <w:numFmt w:val="lowerLetter"/>
      <w:start w:val="2"/>
    </w:lvl>
  </w:abstractNum>
  <w:abstractNum w:abstractNumId="18">
    <w:nsid w:val="579BE4F1"/>
    <w:multiLevelType w:val="hybridMultilevel"/>
    <w:lvl w:ilvl="0">
      <w:lvlJc w:val="left"/>
      <w:lvlText w:val="(%1)"/>
      <w:numFmt w:val="lowerLetter"/>
      <w:start w:val="3"/>
    </w:lvl>
  </w:abstractNum>
  <w:abstractNum w:abstractNumId="19">
    <w:nsid w:val="310C50B3"/>
    <w:multiLevelType w:val="hybridMultilevel"/>
    <w:lvl w:ilvl="0">
      <w:lvlJc w:val="left"/>
      <w:lvlText w:val="(%1)"/>
      <w:numFmt w:val="lowerLetter"/>
      <w:start w:val="5"/>
    </w:lvl>
    <w:lvl w:ilvl="1">
      <w:lvlJc w:val="left"/>
      <w:lvlText w:val="(%2)"/>
      <w:numFmt w:val="lowerRoman"/>
      <w:start w:val="1"/>
    </w:lvl>
  </w:abstractNum>
  <w:abstractNum w:abstractNumId="20">
    <w:nsid w:val="5FF87E05"/>
    <w:multiLevelType w:val="hybridMultilevel"/>
    <w:lvl w:ilvl="0">
      <w:lvlJc w:val="left"/>
      <w:lvlText w:val="%1"/>
      <w:numFmt w:val="lowerLetter"/>
      <w:start w:val="1"/>
    </w:lvl>
    <w:lvl w:ilvl="1">
      <w:lvlJc w:val="left"/>
      <w:lvlText w:val="(%2)"/>
      <w:numFmt w:val="lowerLetter"/>
      <w:start w:val="6"/>
    </w:lvl>
  </w:abstractNum>
  <w:abstractNum w:abstractNumId="21">
    <w:nsid w:val="2F305DEF"/>
    <w:multiLevelType w:val="hybridMultilevel"/>
    <w:lvl w:ilvl="0">
      <w:lvlJc w:val="left"/>
      <w:lvlText w:val="(%1)"/>
      <w:numFmt w:val="lowerLetter"/>
      <w:start w:val="35"/>
    </w:lvl>
    <w:lvl w:ilvl="1">
      <w:lvlJc w:val="left"/>
      <w:lvlText w:val="%2"/>
      <w:numFmt w:val="lowerLetter"/>
      <w:start w:val="1"/>
    </w:lvl>
  </w:abstractNum>
  <w:abstractNum w:abstractNumId="22">
    <w:nsid w:val="25A70BF7"/>
    <w:multiLevelType w:val="hybridMultilevel"/>
    <w:lvl w:ilvl="0">
      <w:lvlJc w:val="left"/>
      <w:lvlText w:val="(%1)"/>
      <w:numFmt w:val="lowerLetter"/>
      <w:start w:val="7"/>
    </w:lvl>
  </w:abstractNum>
  <w:abstractNum w:abstractNumId="23">
    <w:nsid w:val="1DBABF00"/>
    <w:multiLevelType w:val="hybridMultilevel"/>
    <w:lvl w:ilvl="0">
      <w:lvlJc w:val="left"/>
      <w:lvlText w:val="(%1)"/>
      <w:numFmt w:val="lowerLetter"/>
      <w:start w:val="10"/>
    </w:lvl>
  </w:abstractNum>
  <w:abstractNum w:abstractNumId="24">
    <w:nsid w:val="4AD084E9"/>
    <w:multiLevelType w:val="hybridMultilevel"/>
    <w:lvl w:ilvl="0">
      <w:lvlJc w:val="left"/>
      <w:lvlText w:val="(%1)"/>
      <w:numFmt w:val="lowerLetter"/>
      <w:start w:val="12"/>
    </w:lvl>
  </w:abstractNum>
  <w:abstractNum w:abstractNumId="25">
    <w:nsid w:val="1F48EAA1"/>
    <w:multiLevelType w:val="hybridMultilevel"/>
    <w:lvl w:ilvl="0">
      <w:lvlJc w:val="left"/>
      <w:lvlText w:val="%1"/>
      <w:numFmt w:val="upperLetter"/>
      <w:start w:val="1"/>
    </w:lvl>
    <w:lvl w:ilvl="1">
      <w:lvlJc w:val="left"/>
      <w:lvlText w:val="(%2)"/>
      <w:numFmt w:val="lowerLetter"/>
      <w:start w:val="2"/>
    </w:lvl>
  </w:abstractNum>
  <w:abstractNum w:abstractNumId="26">
    <w:nsid w:val="1381823A"/>
    <w:multiLevelType w:val="hybridMultilevel"/>
    <w:lvl w:ilvl="0">
      <w:lvlJc w:val="left"/>
      <w:lvlText w:val="(%1)"/>
      <w:numFmt w:val="upperLetter"/>
      <w:start w:val="2"/>
    </w:lvl>
    <w:lvl w:ilvl="1">
      <w:lvlJc w:val="left"/>
      <w:lvlText w:val="%2"/>
      <w:numFmt w:val="lowerLetter"/>
      <w:start w:val="1"/>
    </w:lvl>
  </w:abstractNum>
  <w:abstractNum w:abstractNumId="27">
    <w:nsid w:val="5DB70AE5"/>
    <w:multiLevelType w:val="hybridMultilevel"/>
    <w:lvl w:ilvl="0">
      <w:lvlJc w:val="left"/>
      <w:lvlText w:val="(%1)"/>
      <w:numFmt w:val="lowerLetter"/>
      <w:start w:val="2"/>
    </w:lvl>
    <w:lvl w:ilvl="1">
      <w:lvlJc w:val="left"/>
      <w:lvlText w:val="(%2)"/>
      <w:numFmt w:val="lowerRoman"/>
      <w:start w:val="1"/>
    </w:lvl>
  </w:abstractNum>
  <w:abstractNum w:abstractNumId="28">
    <w:nsid w:val="100F8FCA"/>
    <w:multiLevelType w:val="hybridMultilevel"/>
    <w:lvl w:ilvl="0">
      <w:lvlJc w:val="left"/>
      <w:lvlText w:val="(%1)"/>
      <w:numFmt w:val="lowerLetter"/>
      <w:start w:val="4"/>
    </w:lvl>
  </w:abstractNum>
  <w:abstractNum w:abstractNumId="29">
    <w:nsid w:val="6590700B"/>
    <w:multiLevelType w:val="hybridMultilevel"/>
    <w:lvl w:ilvl="0">
      <w:lvlJc w:val="left"/>
      <w:lvlText w:val="(%1)"/>
      <w:numFmt w:val="lowerLetter"/>
      <w:start w:val="5"/>
    </w:lvl>
  </w:abstractNum>
  <w:abstractNum w:abstractNumId="30">
    <w:nsid w:val="15014ACB"/>
    <w:multiLevelType w:val="hybridMultilevel"/>
    <w:lvl w:ilvl="0">
      <w:lvlJc w:val="left"/>
      <w:lvlText w:val="(%1)"/>
      <w:numFmt w:val="lowerLetter"/>
      <w:start w:val="2"/>
    </w:lvl>
  </w:abstractNum>
  <w:abstractNum w:abstractNumId="31">
    <w:nsid w:val="5F5E7FD0"/>
    <w:multiLevelType w:val="hybridMultilevel"/>
    <w:lvl w:ilvl="0">
      <w:lvlJc w:val="left"/>
      <w:lvlText w:val="(%1)"/>
      <w:numFmt w:val="upperLetter"/>
      <w:start w:val="4"/>
    </w:lvl>
  </w:abstractNum>
  <w:abstractNum w:abstractNumId="32">
    <w:nsid w:val="98A3148"/>
    <w:multiLevelType w:val="hybridMultilevel"/>
    <w:lvl w:ilvl="0">
      <w:lvlJc w:val="left"/>
      <w:lvlText w:val="(%1)"/>
      <w:numFmt w:val="lowerLetter"/>
      <w:start w:val="2"/>
    </w:lvl>
  </w:abstractNum>
  <w:abstractNum w:abstractNumId="33">
    <w:nsid w:val="799D0247"/>
    <w:multiLevelType w:val="hybridMultilevel"/>
    <w:lvl w:ilvl="0">
      <w:lvlJc w:val="left"/>
      <w:lvlText w:val="(%1)"/>
      <w:numFmt w:val="lowerLetter"/>
      <w:start w:val="2"/>
    </w:lvl>
  </w:abstractNum>
  <w:abstractNum w:abstractNumId="34">
    <w:nsid w:val="6B94764"/>
    <w:multiLevelType w:val="hybridMultilevel"/>
    <w:lvl w:ilvl="0">
      <w:lvlJc w:val="left"/>
      <w:lvlText w:val="(%1)"/>
      <w:numFmt w:val="lowerLetter"/>
      <w:start w:val="3"/>
    </w:lvl>
  </w:abstractNum>
  <w:abstractNum w:abstractNumId="35">
    <w:nsid w:val="42C296BD"/>
    <w:multiLevelType w:val="hybridMultilevel"/>
    <w:lvl w:ilvl="0">
      <w:lvlJc w:val="left"/>
      <w:lvlText w:val="(%1)"/>
      <w:numFmt w:val="lowerLetter"/>
      <w:start w:val="2"/>
    </w:lvl>
  </w:abstractNum>
  <w:abstractNum w:abstractNumId="36">
    <w:nsid w:val="168E121F"/>
    <w:multiLevelType w:val="hybridMultilevel"/>
    <w:lvl w:ilvl="0">
      <w:lvlJc w:val="left"/>
      <w:lvlText w:val="(%1)"/>
      <w:numFmt w:val="lowerLetter"/>
      <w:start w:val="3"/>
    </w:lvl>
  </w:abstractNum>
  <w:abstractNum w:abstractNumId="37">
    <w:nsid w:val="1EBA5D23"/>
    <w:multiLevelType w:val="hybridMultilevel"/>
    <w:lvl w:ilvl="0">
      <w:lvlJc w:val="left"/>
      <w:lvlText w:val="(%1)"/>
      <w:numFmt w:val="lowerLetter"/>
      <w:start w:val="2"/>
    </w:lvl>
  </w:abstractNum>
  <w:abstractNum w:abstractNumId="38">
    <w:nsid w:val="661E3F1E"/>
    <w:multiLevelType w:val="hybridMultilevel"/>
    <w:lvl w:ilvl="0">
      <w:lvlJc w:val="left"/>
      <w:lvlText w:val="%1"/>
      <w:numFmt w:val="lowerLetter"/>
      <w:start w:val="1"/>
    </w:lvl>
    <w:lvl w:ilvl="1">
      <w:lvlJc w:val="left"/>
      <w:lvlText w:val="(%2)"/>
      <w:numFmt w:val="lowerLetter"/>
      <w:start w:val="4"/>
    </w:lvl>
  </w:abstractNum>
  <w:abstractNum w:abstractNumId="39">
    <w:nsid w:val="5DC79EA8"/>
    <w:multiLevelType w:val="hybridMultilevel"/>
    <w:lvl w:ilvl="0">
      <w:lvlJc w:val="left"/>
      <w:lvlText w:val="(%1)"/>
      <w:numFmt w:val="lowerLetter"/>
      <w:start w:val="35"/>
    </w:lvl>
    <w:lvl w:ilvl="1">
      <w:lvlJc w:val="left"/>
      <w:lvlText w:val="(%2)"/>
      <w:numFmt w:val="lowerLetter"/>
      <w:start w:val="6"/>
    </w:lvl>
  </w:abstractNum>
  <w:abstractNum w:abstractNumId="40">
    <w:nsid w:val="540A471C"/>
    <w:multiLevelType w:val="hybridMultilevel"/>
    <w:lvl w:ilvl="0">
      <w:lvlJc w:val="left"/>
      <w:lvlText w:val="(%1)"/>
      <w:numFmt w:val="lowerLetter"/>
      <w:start w:val="35"/>
    </w:lvl>
    <w:lvl w:ilvl="1">
      <w:lvlJc w:val="left"/>
      <w:lvlText w:val="(%2)"/>
      <w:numFmt w:val="lowerLetter"/>
      <w:start w:val="7"/>
    </w:lvl>
  </w:abstractNum>
  <w:abstractNum w:abstractNumId="41">
    <w:nsid w:val="7BD3EE7B"/>
    <w:multiLevelType w:val="hybridMultilevel"/>
    <w:lvl w:ilvl="0">
      <w:lvlJc w:val="left"/>
      <w:lvlText w:val="(%1)"/>
      <w:numFmt w:val="lowerLetter"/>
      <w:start w:val="1"/>
    </w:lvl>
    <w:lvl w:ilvl="1">
      <w:lvlJc w:val="left"/>
      <w:lvlText w:val="(%2)"/>
      <w:numFmt w:val="lowerRoman"/>
      <w:start w:val="1"/>
    </w:lvl>
  </w:abstractNum>
  <w:abstractNum w:abstractNumId="42">
    <w:nsid w:val="51D9C564"/>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35"/>
    </w:lvl>
  </w:abstractNum>
  <w:abstractNum w:abstractNumId="43">
    <w:nsid w:val="613EFDC5"/>
    <w:multiLevelType w:val="hybridMultilevel"/>
    <w:lvl w:ilvl="0">
      <w:lvlJc w:val="left"/>
      <w:lvlText w:val="(%1)"/>
      <w:numFmt w:val="lowerRoman"/>
      <w:start w:val="3"/>
    </w:lvl>
  </w:abstractNum>
  <w:abstractNum w:abstractNumId="44">
    <w:nsid w:val="BF72B14"/>
    <w:multiLevelType w:val="hybridMultilevel"/>
    <w:lvl w:ilvl="0">
      <w:lvlJc w:val="left"/>
      <w:lvlText w:val="(%1)"/>
      <w:numFmt w:val="lowerRoman"/>
      <w:start w:val="1"/>
    </w:lvl>
  </w:abstractNum>
  <w:abstractNum w:abstractNumId="45">
    <w:nsid w:val="11447B73"/>
    <w:multiLevelType w:val="hybridMultilevel"/>
    <w:lvl w:ilvl="0">
      <w:lvlJc w:val="left"/>
      <w:lvlText w:val="(%1)"/>
      <w:numFmt w:val="lowerLetter"/>
      <w:start w:val="2"/>
    </w:lvl>
  </w:abstractNum>
  <w:abstractNum w:abstractNumId="46">
    <w:nsid w:val="42963E5A"/>
    <w:multiLevelType w:val="hybridMultilevel"/>
    <w:lvl w:ilvl="0">
      <w:lvlJc w:val="left"/>
      <w:lvlText w:val="(%1)"/>
      <w:numFmt w:val="lowerLetter"/>
      <w:start w:val="3"/>
    </w:lvl>
  </w:abstractNum>
  <w:abstractNum w:abstractNumId="47">
    <w:nsid w:val="A0382C5"/>
    <w:multiLevelType w:val="hybridMultilevel"/>
    <w:lvl w:ilvl="0">
      <w:lvlJc w:val="left"/>
      <w:lvlText w:val="(%1)"/>
      <w:numFmt w:val="lowerLetter"/>
      <w:start w:val="3"/>
    </w:lvl>
  </w:abstractNum>
  <w:abstractNum w:abstractNumId="48">
    <w:nsid w:val="8F2B15E"/>
    <w:multiLevelType w:val="hybridMultilevel"/>
    <w:lvl w:ilvl="0">
      <w:lvlJc w:val="left"/>
      <w:lvlText w:val="(%1)"/>
      <w:numFmt w:val="lowerLetter"/>
      <w:start w:val="5"/>
    </w:lvl>
    <w:lvl w:ilvl="1">
      <w:lvlJc w:val="left"/>
      <w:lvlText w:val="(%2)"/>
      <w:numFmt w:val="lowerLetter"/>
      <w:start w:val="35"/>
    </w:lvl>
  </w:abstractNum>
  <w:abstractNum w:abstractNumId="49">
    <w:nsid w:val="1A32234B"/>
    <w:multiLevelType w:val="hybridMultilevel"/>
    <w:lvl w:ilvl="0">
      <w:lvlJc w:val="left"/>
      <w:lvlText w:val="(%1)"/>
      <w:numFmt w:val="upperLetter"/>
      <w:start w:val="1"/>
    </w:lvl>
  </w:abstractNum>
  <w:abstractNum w:abstractNumId="50">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51">
    <w:nsid w:val="68EB2F6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2">
    <w:nsid w:val="4962813B"/>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53">
    <w:nsid w:val="60B6DF70"/>
    <w:multiLevelType w:val="hybridMultilevel"/>
    <w:lvl w:ilvl="0">
      <w:lvlJc w:val="left"/>
      <w:lvlText w:val="(%1)"/>
      <w:numFmt w:val="lowerLetter"/>
      <w:start w:val="2"/>
    </w:lvl>
  </w:abstractNum>
  <w:abstractNum w:abstractNumId="54">
    <w:nsid w:val="6A5EE64"/>
    <w:multiLevelType w:val="hybridMultilevel"/>
    <w:lvl w:ilvl="0">
      <w:lvlJc w:val="left"/>
      <w:lvlText w:val="(%1)"/>
      <w:numFmt w:val="lowerLetter"/>
      <w:start w:val="5"/>
    </w:lvl>
  </w:abstractNum>
  <w:abstractNum w:abstractNumId="55">
    <w:nsid w:val="14330624"/>
    <w:multiLevelType w:val="hybridMultilevel"/>
    <w:lvl w:ilvl="0">
      <w:lvlJc w:val="left"/>
      <w:lvlText w:val="(%1)"/>
      <w:numFmt w:val="lowerLetter"/>
      <w:start w:val="35"/>
    </w:lvl>
    <w:lvl w:ilvl="1">
      <w:lvlJc w:val="left"/>
      <w:lvlText w:val="(%2)"/>
      <w:numFmt w:val="lowerLetter"/>
      <w:start w:val="2"/>
    </w:lvl>
  </w:abstractNum>
  <w:abstractNum w:abstractNumId="56">
    <w:nsid w:val="7FFFCA11"/>
    <w:multiLevelType w:val="hybridMultilevel"/>
    <w:lvl w:ilvl="0">
      <w:lvlJc w:val="left"/>
      <w:lvlText w:val="(%1)"/>
      <w:numFmt w:val="lowerRoman"/>
      <w:start w:val="1"/>
    </w:lvl>
    <w:lvl w:ilvl="1">
      <w:lvlJc w:val="left"/>
      <w:lvlText w:val="(%2)"/>
      <w:numFmt w:val="upperLetter"/>
      <w:start w:val="1"/>
    </w:lvl>
  </w:abstractNum>
  <w:abstractNum w:abstractNumId="57">
    <w:nsid w:val="1A27709E"/>
    <w:multiLevelType w:val="hybridMultilevel"/>
    <w:lvl w:ilvl="0">
      <w:lvlJc w:val="left"/>
      <w:lvlText w:val="%1"/>
      <w:numFmt w:val="lowerLetter"/>
      <w:start w:val="1"/>
    </w:lvl>
    <w:lvl w:ilvl="1">
      <w:lvlJc w:val="left"/>
      <w:lvlText w:val="(%2)"/>
      <w:numFmt w:val="upperLetter"/>
      <w:start w:val="3"/>
    </w:lvl>
  </w:abstractNum>
  <w:abstractNum w:abstractNumId="58">
    <w:nsid w:val="71EA1109"/>
    <w:multiLevelType w:val="hybridMultilevel"/>
    <w:lvl w:ilvl="0">
      <w:lvlJc w:val="left"/>
      <w:lvlText w:val="(%1)"/>
      <w:numFmt w:val="lowerLetter"/>
      <w:start w:val="2"/>
    </w:lvl>
    <w:lvl w:ilvl="1">
      <w:lvlJc w:val="left"/>
      <w:lvlText w:val="%2"/>
      <w:numFmt w:val="upperLetter"/>
      <w:start w:val="1"/>
    </w:lvl>
  </w:abstractNum>
  <w:abstractNum w:abstractNumId="59">
    <w:nsid w:val="100F59DC"/>
    <w:multiLevelType w:val="hybridMultilevel"/>
    <w:lvl w:ilvl="0">
      <w:lvlJc w:val="left"/>
      <w:lvlText w:val="(%1)"/>
      <w:numFmt w:val="lowerLetter"/>
      <w:start w:val="2"/>
    </w:lvl>
  </w:abstractNum>
  <w:abstractNum w:abstractNumId="60">
    <w:nsid w:val="7FB7E0AA"/>
    <w:multiLevelType w:val="hybridMultilevel"/>
    <w:lvl w:ilvl="0">
      <w:lvlJc w:val="left"/>
      <w:lvlText w:val="(%1)"/>
      <w:numFmt w:val="lowerLetter"/>
      <w:start w:val="6"/>
    </w:lvl>
  </w:abstractNum>
  <w:abstractNum w:abstractNumId="61">
    <w:nsid w:val="6EB5BD4"/>
    <w:multiLevelType w:val="hybridMultilevel"/>
    <w:lvl w:ilvl="0">
      <w:lvlJc w:val="left"/>
      <w:lvlText w:val="(%1)"/>
      <w:numFmt w:val="lowerLetter"/>
      <w:start w:val="2"/>
    </w:lvl>
  </w:abstractNum>
  <w:abstractNum w:abstractNumId="62">
    <w:nsid w:val="6F6DD9AC"/>
    <w:multiLevelType w:val="hybridMultilevel"/>
    <w:lvl w:ilvl="0">
      <w:lvlJc w:val="left"/>
      <w:lvlText w:val="(%1)"/>
      <w:numFmt w:val="lowerLetter"/>
      <w:start w:val="1"/>
    </w:lvl>
  </w:abstractNum>
  <w:abstractNum w:abstractNumId="63">
    <w:nsid w:val="94211F2"/>
    <w:multiLevelType w:val="hybridMultilevel"/>
    <w:lvl w:ilvl="0">
      <w:lvlJc w:val="left"/>
      <w:lvlText w:val="(%1)"/>
      <w:numFmt w:val="lowerLetter"/>
      <w:start w:val="1"/>
    </w:lvl>
  </w:abstractNum>
  <w:abstractNum w:abstractNumId="64">
    <w:nsid w:val="885E1B"/>
    <w:multiLevelType w:val="hybridMultilevel"/>
    <w:lvl w:ilvl="0">
      <w:lvlJc w:val="left"/>
      <w:lvlText w:val="(%1)"/>
      <w:numFmt w:val="lowerLetter"/>
      <w:start w:val="6"/>
    </w:lvl>
  </w:abstractNum>
  <w:abstractNum w:abstractNumId="65">
    <w:nsid w:val="76272110"/>
    <w:multiLevelType w:val="hybridMultilevel"/>
    <w:lvl w:ilvl="0">
      <w:lvlJc w:val="left"/>
      <w:lvlText w:val="(%1)"/>
      <w:numFmt w:val="lowerLetter"/>
      <w:start w:val="1"/>
    </w:lvl>
  </w:abstractNum>
  <w:abstractNum w:abstractNumId="66">
    <w:nsid w:val="4C04A8AF"/>
    <w:multiLevelType w:val="hybridMultilevel"/>
    <w:lvl w:ilvl="0">
      <w:lvlJc w:val="left"/>
      <w:lvlText w:val="(%1)"/>
      <w:numFmt w:val="lowerLetter"/>
      <w:start w:val="1"/>
    </w:lvl>
  </w:abstractNum>
  <w:abstractNum w:abstractNumId="67">
    <w:nsid w:val="1716703B"/>
    <w:multiLevelType w:val="hybridMultilevel"/>
    <w:lvl w:ilvl="0">
      <w:lvlJc w:val="left"/>
      <w:lvlText w:val="(%1)"/>
      <w:numFmt w:val="lowerLetter"/>
      <w:start w:val="6"/>
    </w:lvl>
  </w:abstractNum>
  <w:abstractNum w:abstractNumId="68">
    <w:nsid w:val="14E17E33"/>
    <w:multiLevelType w:val="hybridMultilevel"/>
    <w:lvl w:ilvl="0">
      <w:lvlJc w:val="left"/>
      <w:lvlText w:val="(%1)"/>
      <w:numFmt w:val="lowerLetter"/>
      <w:start w:val="1"/>
    </w:lvl>
  </w:abstractNum>
  <w:abstractNum w:abstractNumId="69">
    <w:nsid w:val="3222E7CD"/>
    <w:multiLevelType w:val="hybridMultilevel"/>
    <w:lvl w:ilvl="0">
      <w:lvlJc w:val="left"/>
      <w:lvlText w:val="(%1)"/>
      <w:numFmt w:val="lowerLetter"/>
      <w:start w:val="3"/>
    </w:lvl>
  </w:abstractNum>
  <w:abstractNum w:abstractNumId="70">
    <w:nsid w:val="74DE0EE3"/>
    <w:multiLevelType w:val="hybridMultilevel"/>
    <w:lvl w:ilvl="0">
      <w:lvlJc w:val="left"/>
      <w:lvlText w:val="(%1)"/>
      <w:numFmt w:val="lowerLetter"/>
      <w:start w:val="10"/>
    </w:lvl>
  </w:abstractNum>
  <w:abstractNum w:abstractNumId="71">
    <w:nsid w:val="68EBC550"/>
    <w:multiLevelType w:val="hybridMultilevel"/>
    <w:lvl w:ilvl="0">
      <w:lvlJc w:val="left"/>
      <w:lvlText w:val="(%1)"/>
      <w:numFmt w:val="lowerLetter"/>
      <w:start w:val="15"/>
    </w:lvl>
  </w:abstractNum>
  <w:abstractNum w:abstractNumId="72">
    <w:nsid w:val="2DF6D648"/>
    <w:multiLevelType w:val="hybridMultilevel"/>
    <w:lvl w:ilvl="0">
      <w:lvlJc w:val="left"/>
      <w:lvlText w:val="(%1)"/>
      <w:numFmt w:val="lowerLetter"/>
      <w:start w:val="17"/>
    </w:lvl>
  </w:abstractNum>
  <w:abstractNum w:abstractNumId="73">
    <w:nsid w:val="46B7D447"/>
    <w:multiLevelType w:val="hybridMultilevel"/>
    <w:lvl w:ilvl="0">
      <w:lvlJc w:val="left"/>
      <w:lvlText w:val="(%1)"/>
      <w:numFmt w:val="lowerLetter"/>
      <w:start w:val="2"/>
    </w:lvl>
  </w:abstractNum>
  <w:abstractNum w:abstractNumId="74">
    <w:nsid w:val="4A2AC315"/>
    <w:multiLevelType w:val="hybridMultilevel"/>
    <w:lvl w:ilvl="0">
      <w:lvlJc w:val="left"/>
      <w:lvlText w:val="(%1)"/>
      <w:numFmt w:val="lowerLetter"/>
      <w:start w:val="1"/>
    </w:lvl>
  </w:abstractNum>
  <w:abstractNum w:abstractNumId="75">
    <w:nsid w:val="39EE015C"/>
    <w:multiLevelType w:val="hybridMultilevel"/>
    <w:lvl w:ilvl="0">
      <w:lvlJc w:val="left"/>
      <w:lvlText w:val="(%1)"/>
      <w:numFmt w:val="lowerLetter"/>
      <w:start w:val="4"/>
    </w:lvl>
  </w:abstractNum>
  <w:abstractNum w:abstractNumId="76">
    <w:nsid w:val="57FC4FBB"/>
    <w:multiLevelType w:val="hybridMultilevel"/>
    <w:lvl w:ilvl="0">
      <w:lvlJc w:val="left"/>
      <w:lvlText w:val="(%1)"/>
      <w:numFmt w:val="lowerLetter"/>
      <w:start w:val="11"/>
    </w:lvl>
  </w:abstractNum>
  <w:abstractNum w:abstractNumId="77">
    <w:nsid w:val="CC1016F"/>
    <w:multiLevelType w:val="hybridMultilevel"/>
    <w:lvl w:ilvl="0">
      <w:lvlJc w:val="left"/>
      <w:lvlText w:val="(%1)"/>
      <w:numFmt w:val="lowerRoman"/>
      <w:start w:val="2"/>
    </w:lvl>
  </w:abstractNum>
  <w:abstractNum w:abstractNumId="78">
    <w:nsid w:val="43F18422"/>
    <w:multiLevelType w:val="hybridMultilevel"/>
    <w:lvl w:ilvl="0">
      <w:lvlJc w:val="left"/>
      <w:lvlText w:val="(%1)"/>
      <w:numFmt w:val="lowerRoman"/>
      <w:start w:val="2"/>
    </w:lvl>
  </w:abstractNum>
  <w:abstractNum w:abstractNumId="79">
    <w:nsid w:val="60EF0119"/>
    <w:multiLevelType w:val="hybridMultilevel"/>
    <w:lvl w:ilvl="0">
      <w:lvlJc w:val="left"/>
      <w:lvlText w:val="(%1)"/>
      <w:numFmt w:val="lowerLetter"/>
      <w:start w:val="10"/>
    </w:lvl>
  </w:abstractNum>
  <w:abstractNum w:abstractNumId="80">
    <w:nsid w:val="26F324BA"/>
    <w:multiLevelType w:val="hybridMultilevel"/>
    <w:lvl w:ilvl="0">
      <w:lvlJc w:val="left"/>
      <w:lvlText w:val="(%1)"/>
      <w:numFmt w:val="lowerLetter"/>
      <w:start w:val="7"/>
    </w:lvl>
  </w:abstractNum>
  <w:abstractNum w:abstractNumId="81">
    <w:nsid w:val="7F01579B"/>
    <w:multiLevelType w:val="hybridMultilevel"/>
    <w:lvl w:ilvl="0">
      <w:lvlJc w:val="left"/>
      <w:lvlText w:val="(%1)"/>
      <w:numFmt w:val="lowerRoman"/>
      <w:start w:val="10"/>
    </w:lvl>
  </w:abstractNum>
  <w:abstractNum w:abstractNumId="82">
    <w:nsid w:val="49DA307D"/>
    <w:multiLevelType w:val="hybridMultilevel"/>
    <w:lvl w:ilvl="0">
      <w:lvlJc w:val="left"/>
      <w:lvlText w:val="(%1)"/>
      <w:numFmt w:val="lowerLetter"/>
      <w:start w:val="1"/>
    </w:lvl>
  </w:abstractNum>
  <w:abstractNum w:abstractNumId="83">
    <w:nsid w:val="7055A5F5"/>
    <w:multiLevelType w:val="hybridMultilevel"/>
    <w:lvl w:ilvl="0">
      <w:lvlJc w:val="left"/>
      <w:lvlText w:val="%1"/>
      <w:numFmt w:val="lowerLetter"/>
      <w:start w:val="1"/>
    </w:lvl>
    <w:lvl w:ilvl="1">
      <w:lvlJc w:val="left"/>
      <w:lvlText w:val="(%2)"/>
      <w:numFmt w:val="lowerRoman"/>
      <w:start w:val="1"/>
    </w:lvl>
  </w:abstractNum>
  <w:abstractNum w:abstractNumId="84">
    <w:nsid w:val="5FB8370B"/>
    <w:multiLevelType w:val="hybridMultilevel"/>
    <w:lvl w:ilvl="0">
      <w:lvlJc w:val="left"/>
      <w:lvlText w:val="(%1)"/>
      <w:numFmt w:val="lowerLetter"/>
      <w:start w:val="2"/>
    </w:lvl>
    <w:lvl w:ilvl="1">
      <w:lvlJc w:val="left"/>
      <w:lvlText w:val="%2"/>
      <w:numFmt w:val="lowerRoman"/>
      <w:start w:val="1"/>
    </w:lvl>
  </w:abstractNum>
  <w:abstractNum w:abstractNumId="85">
    <w:nsid w:val="50801EE1"/>
    <w:multiLevelType w:val="hybridMultilevel"/>
    <w:lvl w:ilvl="0">
      <w:lvlJc w:val="left"/>
      <w:lvlText w:val="(%1)"/>
      <w:numFmt w:val="lowerLetter"/>
      <w:start w:val="4"/>
    </w:lvl>
  </w:abstractNum>
  <w:abstractNum w:abstractNumId="86">
    <w:nsid w:val="488AC1A"/>
    <w:multiLevelType w:val="hybridMultilevel"/>
    <w:lvl w:ilvl="0">
      <w:lvlJc w:val="left"/>
      <w:lvlText w:val="%1"/>
      <w:numFmt w:val="lowerLetter"/>
      <w:start w:val="1"/>
    </w:lvl>
    <w:lvl w:ilvl="1">
      <w:lvlJc w:val="left"/>
      <w:lvlText w:val="(%2)"/>
      <w:numFmt w:val="lowerLetter"/>
      <w:start w:val="2"/>
    </w:lvl>
  </w:abstractNum>
  <w:abstractNum w:abstractNumId="87">
    <w:nsid w:val="5FB8011C"/>
    <w:multiLevelType w:val="hybridMultilevel"/>
    <w:lvl w:ilvl="0">
      <w:lvlJc w:val="left"/>
      <w:lvlText w:val="(%1)"/>
      <w:numFmt w:val="lowerLetter"/>
      <w:start w:val="9"/>
    </w:lvl>
    <w:lvl w:ilvl="1">
      <w:lvlJc w:val="left"/>
      <w:lvlText w:val="%2"/>
      <w:numFmt w:val="lowerLetter"/>
      <w:start w:val="1"/>
    </w:lvl>
  </w:abstractNum>
  <w:abstractNum w:abstractNumId="88">
    <w:nsid w:val="6AA78F7F"/>
    <w:multiLevelType w:val="hybridMultilevel"/>
    <w:lvl w:ilvl="0">
      <w:lvlJc w:val="left"/>
      <w:lvlText w:val="(%1)"/>
      <w:numFmt w:val="lowerLetter"/>
      <w:start w:val="61"/>
    </w:lvl>
    <w:lvl w:ilvl="1">
      <w:lvlJc w:val="left"/>
      <w:lvlText w:val="%2"/>
      <w:numFmt w:val="lowerLetter"/>
      <w:start w:val="1"/>
    </w:lvl>
  </w:abstractNum>
  <w:abstractNum w:abstractNumId="89">
    <w:nsid w:val="7672BD23"/>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90">
    <w:nsid w:val="6FC75AF8"/>
    <w:multiLevelType w:val="hybridMultilevel"/>
    <w:lvl w:ilvl="0">
      <w:lvlJc w:val="left"/>
      <w:lvlText w:val="%1"/>
      <w:numFmt w:val="lowerRoman"/>
      <w:start w:val="1"/>
    </w:lvl>
    <w:lvl w:ilvl="1">
      <w:lvlJc w:val="left"/>
      <w:lvlText w:val="(%2)"/>
      <w:numFmt w:val="lowerLetter"/>
      <w:start w:val="61"/>
    </w:lvl>
    <w:lvl w:ilvl="2">
      <w:lvlJc w:val="left"/>
      <w:lvlText w:val="%3"/>
      <w:numFmt w:val="lowerRoman"/>
      <w:start w:val="1"/>
    </w:lvl>
  </w:abstractNum>
  <w:abstractNum w:abstractNumId="91">
    <w:nsid w:val="6A5F7029"/>
    <w:multiLevelType w:val="hybridMultilevel"/>
    <w:lvl w:ilvl="0">
      <w:lvlJc w:val="left"/>
      <w:lvlText w:val="(%1)"/>
      <w:numFmt w:val="lowerLetter"/>
      <w:start w:val="5"/>
    </w:lvl>
  </w:abstractNum>
  <w:abstractNum w:abstractNumId="92">
    <w:nsid w:val="7D5E18F8"/>
    <w:multiLevelType w:val="hybridMultilevel"/>
    <w:lvl w:ilvl="0">
      <w:lvlJc w:val="left"/>
      <w:lvlText w:val="(%1)"/>
      <w:numFmt w:val="lowerLetter"/>
      <w:start w:val="2"/>
    </w:lvl>
  </w:abstractNum>
  <w:abstractNum w:abstractNumId="93">
    <w:nsid w:val="5F3534A4"/>
    <w:multiLevelType w:val="hybridMultilevel"/>
    <w:lvl w:ilvl="0">
      <w:lvlJc w:val="left"/>
      <w:lvlText w:val="(%1)"/>
      <w:numFmt w:val="lowerLetter"/>
      <w:start w:val="4"/>
    </w:lvl>
  </w:abstractNum>
  <w:abstractNum w:abstractNumId="94">
    <w:nsid w:val="73A1821B"/>
    <w:multiLevelType w:val="hybridMultilevel"/>
    <w:lvl w:ilvl="0">
      <w:lvlJc w:val="left"/>
      <w:lvlText w:val="(%1)"/>
      <w:numFmt w:val="lowerLetter"/>
      <w:start w:val="2"/>
    </w:lvl>
    <w:lvl w:ilvl="1">
      <w:lvlJc w:val="left"/>
      <w:lvlText w:val="(%2)"/>
      <w:numFmt w:val="upperLetter"/>
      <w:start w:val="1"/>
    </w:lvl>
  </w:abstractNum>
  <w:abstractNum w:abstractNumId="95">
    <w:nsid w:val="7DE67713"/>
    <w:multiLevelType w:val="hybridMultilevel"/>
    <w:lvl w:ilvl="0">
      <w:lvlJc w:val="left"/>
      <w:lvlText w:val="%1"/>
      <w:numFmt w:val="lowerRoman"/>
      <w:start w:val="1"/>
    </w:lvl>
    <w:lvl w:ilvl="1">
      <w:lvlJc w:val="left"/>
      <w:lvlText w:val="(%2)"/>
      <w:numFmt w:val="upperLetter"/>
      <w:start w:val="2"/>
    </w:lvl>
  </w:abstractNum>
  <w:abstractNum w:abstractNumId="96">
    <w:nsid w:val="555C55B5"/>
    <w:multiLevelType w:val="hybridMultilevel"/>
    <w:lvl w:ilvl="0">
      <w:lvlJc w:val="left"/>
      <w:lvlText w:val="(%1)"/>
      <w:numFmt w:val="lowerRoman"/>
      <w:start w:val="2"/>
    </w:lvl>
    <w:lvl w:ilvl="1">
      <w:lvlJc w:val="left"/>
      <w:lvlText w:val="(%2)"/>
      <w:numFmt w:val="upperLetter"/>
      <w:start w:val="1"/>
    </w:lvl>
  </w:abstractNum>
  <w:abstractNum w:abstractNumId="97">
    <w:nsid w:val="3FA62ACA"/>
    <w:multiLevelType w:val="hybridMultilevel"/>
    <w:lvl w:ilvl="0">
      <w:lvlJc w:val="left"/>
      <w:lvlText w:val="%1"/>
      <w:numFmt w:val="lowerLetter"/>
      <w:start w:val="1"/>
    </w:lvl>
    <w:lvl w:ilvl="1">
      <w:lvlJc w:val="left"/>
      <w:lvlText w:val="(%2)"/>
      <w:numFmt w:val="lowerRoman"/>
      <w:start w:val="4"/>
    </w:lvl>
  </w:abstractNum>
  <w:abstractNum w:abstractNumId="98">
    <w:nsid w:val="14FCE74E"/>
    <w:multiLevelType w:val="hybridMultilevel"/>
    <w:lvl w:ilvl="0">
      <w:lvlJc w:val="left"/>
      <w:lvlText w:val="(%1)"/>
      <w:numFmt w:val="lowerLetter"/>
      <w:start w:val="3"/>
    </w:lvl>
    <w:lvl w:ilvl="1">
      <w:lvlJc w:val="left"/>
      <w:lvlText w:val="%2"/>
      <w:numFmt w:val="lowerRoman"/>
      <w:start w:val="1"/>
    </w:lvl>
  </w:abstractNum>
  <w:abstractNum w:abstractNumId="99">
    <w:nsid w:val="6A3DD3E8"/>
    <w:multiLevelType w:val="hybridMultilevel"/>
    <w:lvl w:ilvl="0">
      <w:lvlJc w:val="left"/>
      <w:lvlText w:val="%1"/>
      <w:numFmt w:val="lowerLetter"/>
      <w:start w:val="1"/>
    </w:lvl>
    <w:lvl w:ilvl="1">
      <w:lvlJc w:val="left"/>
      <w:lvlText w:val="(%2)"/>
      <w:numFmt w:val="lowerLetter"/>
      <w:start w:val="35"/>
    </w:lvl>
  </w:abstractNum>
  <w:abstractNum w:abstractNumId="100">
    <w:nsid w:val="71C91298"/>
    <w:multiLevelType w:val="hybridMultilevel"/>
    <w:lvl w:ilvl="0">
      <w:lvlJc w:val="left"/>
      <w:lvlText w:val="(%1)"/>
      <w:numFmt w:val="lowerLetter"/>
      <w:start w:val="4"/>
    </w:lvl>
    <w:lvl w:ilvl="1">
      <w:lvlJc w:val="left"/>
      <w:lvlText w:val="%2"/>
      <w:numFmt w:val="lowerLetter"/>
      <w:start w:val="1"/>
    </w:lvl>
  </w:abstractNum>
  <w:abstractNum w:abstractNumId="101">
    <w:nsid w:val="9DAF632"/>
    <w:multiLevelType w:val="hybridMultilevel"/>
    <w:lvl w:ilvl="0">
      <w:lvlJc w:val="left"/>
      <w:lvlText w:val="%1"/>
      <w:numFmt w:val="upperLetter"/>
      <w:start w:val="1"/>
    </w:lvl>
    <w:lvl w:ilvl="1">
      <w:lvlJc w:val="left"/>
      <w:lvlText w:val="(%2)"/>
      <w:numFmt w:val="lowerLetter"/>
      <w:start w:val="2"/>
    </w:lvl>
  </w:abstractNum>
  <w:abstractNum w:abstractNumId="102">
    <w:nsid w:val="53299938"/>
    <w:multiLevelType w:val="hybridMultilevel"/>
    <w:lvl w:ilvl="0">
      <w:lvlJc w:val="left"/>
      <w:lvlText w:val="(%1)"/>
      <w:numFmt w:val="upperLetter"/>
      <w:start w:val="4"/>
    </w:lvl>
    <w:lvl w:ilvl="1">
      <w:lvlJc w:val="left"/>
      <w:lvlText w:val="%2"/>
      <w:numFmt w:val="lowerLetter"/>
      <w:start w:val="1"/>
    </w:lvl>
  </w:abstractNum>
  <w:abstractNum w:abstractNumId="103">
    <w:nsid w:val="1FBFE8E0"/>
    <w:multiLevelType w:val="hybridMultilevel"/>
    <w:lvl w:ilvl="0">
      <w:lvlJc w:val="left"/>
      <w:lvlText w:val="(%1)"/>
      <w:numFmt w:val="lowerLetter"/>
      <w:start w:val="2"/>
    </w:lvl>
  </w:abstractNum>
  <w:abstractNum w:abstractNumId="104">
    <w:nsid w:val="5092CA79"/>
    <w:multiLevelType w:val="hybridMultilevel"/>
    <w:lvl w:ilvl="0">
      <w:lvlJc w:val="left"/>
      <w:lvlText w:val="(%1)"/>
      <w:numFmt w:val="lowerLetter"/>
      <w:start w:val="4"/>
    </w:lvl>
  </w:abstractNum>
  <w:abstractNum w:abstractNumId="105">
    <w:nsid w:val="1D545C4D"/>
    <w:multiLevelType w:val="hybridMultilevel"/>
    <w:lvl w:ilvl="0">
      <w:lvlJc w:val="left"/>
      <w:lvlText w:val="(%1)"/>
      <w:numFmt w:val="lowerLetter"/>
      <w:start w:val="2"/>
    </w:lvl>
  </w:abstractNum>
  <w:abstractNum w:abstractNumId="106">
    <w:nsid w:val="59ADEA3D"/>
    <w:multiLevelType w:val="hybridMultilevel"/>
    <w:lvl w:ilvl="0">
      <w:lvlJc w:val="left"/>
      <w:lvlText w:val="(%1)"/>
      <w:numFmt w:val="lowerLetter"/>
      <w:start w:val="1"/>
    </w:lvl>
  </w:abstractNum>
  <w:abstractNum w:abstractNumId="107">
    <w:nsid w:val="288F1A3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2022-08-23T15:29:34Z</dcterms:created>
  <dcterms:modified xsi:type="dcterms:W3CDTF">2022-08-23T15:29:34Z</dcterms:modified>
</cp:coreProperties>
</file>