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w:t>
      </w:r>
    </w:p>
    <w:p>
      <w:pPr>
        <w:spacing w:after="0" w:line="7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9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11-K/A</w:t>
      </w:r>
    </w:p>
    <w:p>
      <w:pPr>
        <w:spacing w:after="0" w:line="1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9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33" w:lineRule="exact"/>
        <w:rPr>
          <w:sz w:val="24"/>
          <w:szCs w:val="24"/>
          <w:color w:val="auto"/>
        </w:rPr>
      </w:pPr>
    </w:p>
    <w:p>
      <w:pPr>
        <w:ind w:left="680" w:hanging="47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6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880" w:hanging="674"/>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104"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837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1-16411</w:t>
      </w:r>
    </w:p>
    <w:p>
      <w:pPr>
        <w:spacing w:after="0" w:line="337"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8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NORTHROP GRUMMAN FINANCIAL</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SECURITY AND SAVINGS PROGRAM</w:t>
      </w:r>
    </w:p>
    <w:p>
      <w:pPr>
        <w:spacing w:after="0" w:line="315" w:lineRule="exact"/>
        <w:rPr>
          <w:sz w:val="24"/>
          <w:szCs w:val="24"/>
          <w:color w:val="auto"/>
        </w:rPr>
      </w:pPr>
    </w:p>
    <w:p>
      <w:pPr>
        <w:ind w:left="680" w:hanging="65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19"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Amendment No. 1 to the Annual Report on Form 11-K (this “Amendment”) is being filed solely to include the conformed signature of the independent registered public accounting firm, which had been inadvertently omitted from the original Form 11-K, as filed with the U.S. Securities and Exchange Commission on June 11, 2026 (the “Original Form 11-K”). Except as described above, this Amendment does not amend, update or change any other information in the Original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ind w:right="4499"/>
        <w:spacing w:after="0" w:line="288" w:lineRule="auto"/>
        <w:rPr>
          <w:sz w:val="20"/>
          <w:szCs w:val="20"/>
          <w:color w:val="auto"/>
        </w:rPr>
      </w:pPr>
      <w:r>
        <w:rPr>
          <w:rFonts w:ascii="Times New Roman" w:cs="Times New Roman" w:eastAsia="Times New Roman" w:hAnsi="Times New Roman"/>
          <w:sz w:val="43"/>
          <w:szCs w:val="43"/>
          <w:b w:val="1"/>
          <w:bCs w:val="1"/>
          <w:color w:val="auto"/>
        </w:rPr>
        <w:t>Northrop Grumman Financial Security and Savings Program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 as of December 31, 2025 and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for the Year Ended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Schedule as of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REPORT OF INDEPENDENT REGISTERED PUBLIC ACCOUNTING FIRM</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vMerge w:val="continue"/>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6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1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3320" w:type="dxa"/>
            <w:vAlign w:val="bottom"/>
            <w:gridSpan w:val="4"/>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20" w:type="dxa"/>
            <w:vAlign w:val="bottom"/>
            <w:gridSpan w:val="3"/>
          </w:tcPr>
          <w:p>
            <w:pPr>
              <w:spacing w:after="0"/>
              <w:rPr>
                <w:sz w:val="18"/>
                <w:szCs w:val="18"/>
                <w:color w:val="auto"/>
              </w:rPr>
            </w:pP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Form 5500, Schedule H, Part IV, Line 4i, Schedule of Assets (Held at End of Year) as of December 31, 2025</w:t>
            </w: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2"/>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Financial Security and Savings Program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Northrop Grumman Financial Security and Savings Program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20" w:right="4160"/>
        <w:spacing w:after="0" w:line="456" w:lineRule="auto"/>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 STATEMENTS OF NET ASSETS AVAILABLE FOR BENEFITS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December 31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Savings Account</w:t>
            </w:r>
          </w:p>
        </w:tc>
        <w:tc>
          <w:tcPr>
            <w:tcW w:w="320" w:type="dxa"/>
            <w:vAlign w:val="bottom"/>
          </w:tcPr>
          <w:p>
            <w:pPr>
              <w:spacing w:after="0"/>
              <w:rPr>
                <w:sz w:val="24"/>
                <w:szCs w:val="24"/>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Retirement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500" w:type="dxa"/>
            <w:vAlign w:val="bottom"/>
            <w:tcBorders>
              <w:bottom w:val="single" w:sz="8" w:color="auto"/>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Account</w:t>
            </w: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Savings Account</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Plan interest in Northrop</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Grumman Defined Contribution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325,318</w:t>
            </w: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499,692</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Master Trust (Note 3)</w:t>
            </w:r>
          </w:p>
        </w:tc>
        <w:tc>
          <w:tcPr>
            <w:tcW w:w="1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314,506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485,181</w:t>
            </w:r>
          </w:p>
        </w:tc>
        <w:tc>
          <w:tcPr>
            <w:tcW w:w="0" w:type="dxa"/>
            <w:vAlign w:val="bottom"/>
          </w:tcPr>
          <w:p>
            <w:pPr>
              <w:spacing w:after="0"/>
              <w:rPr>
                <w:sz w:val="1"/>
                <w:szCs w:val="1"/>
                <w:color w:val="auto"/>
              </w:rPr>
            </w:pPr>
          </w:p>
        </w:tc>
      </w:tr>
      <w:tr>
        <w:trPr>
          <w:trHeight w:val="175"/>
        </w:trPr>
        <w:tc>
          <w:tcPr>
            <w:tcW w:w="2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Short-term investment fund-at</w:t>
            </w:r>
          </w:p>
        </w:tc>
        <w:tc>
          <w:tcPr>
            <w:tcW w:w="180" w:type="dxa"/>
            <w:vAlign w:val="bottom"/>
          </w:tcPr>
          <w:p>
            <w:pPr>
              <w:spacing w:after="0"/>
              <w:rPr>
                <w:sz w:val="15"/>
                <w:szCs w:val="15"/>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2,109</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325,403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499,777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487,290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427</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325,830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500,204</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316,997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487,672</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325,811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170,666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316,978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487,644</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5" w:name="page6"/>
    <w:bookmarkEnd w:id="5"/>
    <w:p>
      <w:pPr>
        <w:ind w:left="20" w:right="4220"/>
        <w:spacing w:after="0" w:line="433" w:lineRule="auto"/>
        <w:rPr>
          <w:sz w:val="20"/>
          <w:szCs w:val="20"/>
          <w:color w:val="auto"/>
        </w:rPr>
      </w:pPr>
      <w:r>
        <w:rPr>
          <w:rFonts w:ascii="Times New Roman" w:cs="Times New Roman" w:eastAsia="Times New Roman" w:hAnsi="Times New Roman"/>
          <w:sz w:val="19"/>
          <w:szCs w:val="19"/>
          <w:b w:val="1"/>
          <w:bCs w:val="1"/>
          <w:color w:val="auto"/>
        </w:rPr>
        <w:t>NORTHROP GRUMMAN FINANCIAL SECURITY AND SAVINGS PROGRAM STATEMENT OF CHANGES IN NET ASSETS AVAILABLE FOR BENEFITS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200" w:type="dxa"/>
            <w:vAlign w:val="bottom"/>
          </w:tcPr>
          <w:p>
            <w:pPr>
              <w:spacing w:after="0"/>
              <w:rPr>
                <w:sz w:val="24"/>
                <w:szCs w:val="24"/>
                <w:color w:val="auto"/>
              </w:rPr>
            </w:pPr>
          </w:p>
        </w:tc>
        <w:tc>
          <w:tcPr>
            <w:tcW w:w="1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Savings Account</w:t>
            </w:r>
          </w:p>
        </w:tc>
        <w:tc>
          <w:tcPr>
            <w:tcW w:w="540" w:type="dxa"/>
            <w:vAlign w:val="bottom"/>
          </w:tcPr>
          <w:p>
            <w:pPr>
              <w:spacing w:after="0"/>
              <w:rPr>
                <w:sz w:val="24"/>
                <w:szCs w:val="24"/>
                <w:color w:val="auto"/>
              </w:rPr>
            </w:pPr>
          </w:p>
        </w:tc>
        <w:tc>
          <w:tcPr>
            <w:tcW w:w="11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Plan interest in the Northrop Grumman Defined Contribution Plans Master</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46,122</w:t>
            </w:r>
          </w:p>
        </w:tc>
        <w:tc>
          <w:tcPr>
            <w:tcW w:w="5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73,900</w:t>
            </w: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Trust</w:t>
            </w:r>
          </w:p>
        </w:tc>
        <w:tc>
          <w:tcPr>
            <w:tcW w:w="22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Interest income from short-term investment fund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46,193</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73,971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46,224</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74,002</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16,603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37,228</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16,702</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37,391</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54,093</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before transfers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11,076</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8,833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19,909</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Northrop Grumman Retirement Plan “B”</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(7,376)</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(7,376)</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after transfers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3,700</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8,833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12,533</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170,666</w:t>
            </w:r>
          </w:p>
        </w:tc>
        <w:tc>
          <w:tcPr>
            <w:tcW w:w="2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316,978</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487,644</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174,366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325,811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Northrop Grumman Financial Security and Savings Program (the “Plan” or “FSSP”) provides only 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Plan is a qualified defined contribution plan established for the benefit of certain employees of Northrop Grumman Corporation (the “Company” or “Plan sponsor”) acquired as part of the Company's acquisition of Litton Industries, Inc. The Plan is closed to new participants and no further contributions are permitted.</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Plan's Benefit Plans Administrative and Investment Committees control and manage the operation of the Plan. State Street Bank and Trust Company (“State Street” or the “Trustee”) serves as the Trustee of the Plan. The Plan is subject to the provisions of the Employee Retirement Income Security Act of 1974, as amended (“ERISA”).</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holds an interest in the Northrop Grumman Defined Contribution Plans Master Trust (the “DC Master Trust”) through the non-participant directed retirement account (“FSSP Retirement Account”) and the participant directed savings account (“FSSP Savings Account”). It also holds investments in a short-term investment fund at the Trustee.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an allocation of any Plan earnings from the DC Master Trust. Each participant account is charged with withdrawals and an allocation of any Plan losses and administrative expenses. Allocations are based on participant units. Participants are generally entitled to the net of contributions, withdrawals and allocations.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are fully vested in the balance of their accounts.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When participants were eligible to contribute to the Plan, participants could deposit up to 4 percent of eligible compensation into their FSSP Retirement Account which was used as the basis for calculating pension benefits. Contributions into this account are invested in the Balanced Fund within the DC Master Trust.</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Participant contributions in excess of 4 percent of eligible compensation were deposited into their FSSP Savings Account and could be invested in one or more of the FSSP Savings Account investment options described below. The investment funds are managed by a professional investment manager appointed by Plan management.</w:t>
      </w:r>
    </w:p>
    <w:p>
      <w:pPr>
        <w:spacing w:after="0" w:line="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Participants may generally change their investment elections in the FSSP Savings Accounts daily. Existing account balances can also be transferred daily, subject to certain restrictions.</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Amounts deposited into each investment fund are used to purchase units of that fund based on unit values that are updated daily prior to any Plan transactions, including withdrawals, distributions, and transfers. The value of each participant's account is dependent upon the number of units purchased to date and the current value of each unit.</w:t>
      </w:r>
    </w:p>
    <w:p>
      <w:pPr>
        <w:spacing w:after="0" w:line="39"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Equity Fund </w:t>
      </w:r>
      <w:r>
        <w:rPr>
          <w:rFonts w:ascii="Times New Roman" w:cs="Times New Roman" w:eastAsia="Times New Roman" w:hAnsi="Times New Roman"/>
          <w:sz w:val="18"/>
          <w:szCs w:val="18"/>
          <w:color w:val="auto"/>
        </w:rPr>
        <w:t>—The U.S. Equity Fund primarily consists of holdings in large and medium-sized U.S. company stocks. The fund’s objective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 high total return through long-term growth of capital and the reinvestment of current income.</w:t>
      </w:r>
    </w:p>
    <w:p>
      <w:pPr>
        <w:spacing w:after="0" w:line="3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Fixed-Income Fund </w:t>
      </w:r>
      <w:r>
        <w:rPr>
          <w:rFonts w:ascii="Times New Roman" w:cs="Times New Roman" w:eastAsia="Times New Roman" w:hAnsi="Times New Roman"/>
          <w:sz w:val="18"/>
          <w:szCs w:val="18"/>
          <w:color w:val="auto"/>
        </w:rPr>
        <w:t>— The U.S. Fixed-Income Fund primarily consists of holdings in marketable, fixed-income securities rated within the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w:t>
      </w:r>
    </w:p>
    <w:p>
      <w:pPr>
        <w:spacing w:after="0" w:line="5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Stable Value Account </w:t>
      </w:r>
      <w:r>
        <w:rPr>
          <w:rFonts w:ascii="Times New Roman" w:cs="Times New Roman" w:eastAsia="Times New Roman" w:hAnsi="Times New Roman"/>
          <w:sz w:val="18"/>
          <w:szCs w:val="18"/>
          <w:color w:val="auto"/>
        </w:rPr>
        <w:t>— Investments in the Stable Value Account primarily include synthetic guaranteed investment contracts (“synthetic GICs”),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See Note 5 for further information on synthetic GICs.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Northrop Grumman Fund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NG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NG Stock Fund invests primarily in Northrop Grumman Corporation common stock.</w:t>
      </w:r>
    </w:p>
    <w:p>
      <w:pPr>
        <w:spacing w:after="0" w:line="171"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Balanced Fund </w:t>
      </w:r>
      <w:r>
        <w:rPr>
          <w:rFonts w:ascii="Times New Roman" w:cs="Times New Roman" w:eastAsia="Times New Roman" w:hAnsi="Times New Roman"/>
          <w:sz w:val="18"/>
          <w:szCs w:val="18"/>
          <w:color w:val="auto"/>
        </w:rPr>
        <w:t>— The Balanced Fund is designed to provide investors with a diversified portfolio consisting of targeted proportions of fixed-income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(35 percent), U.S. equities (45 percent), and international equities (20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percent). The fund seeks to exceed the return of the bond market and approach the return of the stock market, but with less risk than an investment solely in equities.</w:t>
      </w:r>
    </w:p>
    <w:p>
      <w:pPr>
        <w:spacing w:after="0" w:line="3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Equity Fund </w:t>
      </w:r>
      <w:r>
        <w:rPr>
          <w:rFonts w:ascii="Times New Roman" w:cs="Times New Roman" w:eastAsia="Times New Roman" w:hAnsi="Times New Roman"/>
          <w:sz w:val="18"/>
          <w:szCs w:val="18"/>
          <w:color w:val="auto"/>
        </w:rPr>
        <w:t>— The International Equity Fund consists of stocks of a diversified group of companies in developed countries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fund’s objectives are capital appreciation over the long term, along with current income (dividends).</w:t>
      </w:r>
    </w:p>
    <w:p>
      <w:pPr>
        <w:spacing w:after="0" w:line="2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Cap Fund </w:t>
      </w:r>
      <w:r>
        <w:rPr>
          <w:rFonts w:ascii="Times New Roman" w:cs="Times New Roman" w:eastAsia="Times New Roman" w:hAnsi="Times New Roman"/>
          <w:sz w:val="18"/>
          <w:szCs w:val="18"/>
          <w:color w:val="auto"/>
        </w:rPr>
        <w:t>— The Small Cap Fund consists of a diversified group of U.S. companies with lower market capitalization and higher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than the large, well-established companies that make up the S&amp;P 500 Index. The fund seeks to provide capital appreciation over the long term, rather than current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Emerging Markets Fund </w:t>
      </w:r>
      <w:r>
        <w:rPr>
          <w:rFonts w:ascii="Times New Roman" w:cs="Times New Roman" w:eastAsia="Times New Roman" w:hAnsi="Times New Roman"/>
          <w:sz w:val="18"/>
          <w:szCs w:val="18"/>
          <w:color w:val="auto"/>
        </w:rPr>
        <w:t>— The Emerging Markets Fund consists of a diversified portfolio of stocks issued by companies based in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objective is capital appreciation over the long term.</w:t>
      </w:r>
    </w:p>
    <w:p>
      <w:pPr>
        <w:spacing w:after="0" w:line="83"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Path Portfolios </w:t>
      </w:r>
      <w:r>
        <w:rPr>
          <w:rFonts w:ascii="Times New Roman" w:cs="Times New Roman" w:eastAsia="Times New Roman" w:hAnsi="Times New Roman"/>
          <w:sz w:val="18"/>
          <w:szCs w:val="18"/>
          <w:color w:val="auto"/>
        </w:rPr>
        <w:t>— Each retirement path is a broadly diversified portfolio of funds consisting of equities, fixed-income securities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tailored to the participants' investment time horizons. The name of each portfolio reflects the year when the participants expect to retire or draw interest and/or principal out of their accounts. The portfolio consists of eleven Retirement Path funds spanning to 2070.</w:t>
      </w:r>
    </w:p>
    <w:p>
      <w:pPr>
        <w:spacing w:after="0" w:line="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Apart from the Stable Value Account and NG Stock Fund, the large majority of the other funds are included in common/collective trust (“CCT”) funds. These funds manage pooled trust accounts, which group assets together to develop generally larger and more diversified portfolios. These funds may also include a short-term investment fund.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Participants may borrow from their FSSP Savings Account in accordance with the Plan document, with loans from a minimum of $1,000, up to a maximum equal to the lesser of 1) $50,000, reduced by the highest outstanding loan balance over the past 12 months, or 2) 50 percent of their vested account balances. Loans are secured by the balance in the participant's FSSP Savings Account and are issued at an interest rate set at the prime rate plus one percent. Repayments are made from payroll deductions (for active employees) or other forms of payment (for former employees or employees on a leave of absence). As of December 31, 2025, outstanding participant loans had maturities through 2030 and interest rates ranging from 4.25 percent to 9.5 percent. As of December 31, 2024, outstanding participant loans had maturities through 2029 and interest rates ranging from 4.25 percent to 9.5 percent.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Upon termination of employment with the Company (including termination due to death, disability, or retirement), participants may receive a lump-sum payment of their entire FSSP Retirement and/or Savings Account balances, installment payments, or the total account balance as an annuity, net of any outstanding loan balances. In addition, participants have the option to take the total distribution as an annuity subject to Plan terms. At retirement, participants may also elect a rollover of their FSSP Retirement Account to another Company pension plan. Otherwise, distributions generally begin on a participant's mandatory commencement date. Participants may roll over account balances to individual retirement accounts or another employer's qualified retirement plan.</w:t>
      </w:r>
    </w:p>
    <w:p>
      <w:pPr>
        <w:spacing w:after="0" w:line="55" w:lineRule="exact"/>
        <w:rPr>
          <w:sz w:val="20"/>
          <w:szCs w:val="20"/>
          <w:color w:val="auto"/>
        </w:rPr>
      </w:pPr>
    </w:p>
    <w:p>
      <w:pPr>
        <w:ind w:right="1780"/>
        <w:spacing w:after="0" w:line="315" w:lineRule="auto"/>
        <w:rPr>
          <w:sz w:val="20"/>
          <w:szCs w:val="20"/>
          <w:color w:val="auto"/>
        </w:rPr>
      </w:pPr>
      <w:r>
        <w:rPr>
          <w:rFonts w:ascii="Times New Roman" w:cs="Times New Roman" w:eastAsia="Times New Roman" w:hAnsi="Times New Roman"/>
          <w:sz w:val="18"/>
          <w:szCs w:val="18"/>
          <w:color w:val="auto"/>
        </w:rPr>
        <w:t xml:space="preserve">Distributions from the NG Stock Fund will be paid in cash, stock, or a combination thereof, depending on the participant's election. </w:t>
      </w:r>
      <w:r>
        <w:rPr>
          <w:rFonts w:ascii="Times New Roman" w:cs="Times New Roman" w:eastAsia="Times New Roman" w:hAnsi="Times New Roman"/>
          <w:sz w:val="18"/>
          <w:szCs w:val="18"/>
          <w:b w:val="1"/>
          <w:bCs w:val="1"/>
          <w:color w:val="auto"/>
        </w:rPr>
        <w:t>Withdrawals</w:t>
      </w:r>
    </w:p>
    <w:p>
      <w:pPr>
        <w:spacing w:after="0" w:line="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Participants may withdraw all or a portion of their vested account balance in accordance with the Plan document, which provides for different rules for withdrawals based on whether or not the participant has reached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Plan provides various investment options to its participants. Investment securities are exposed to various risks, including interest rate and credit risk, overall market volatility, market risks including global events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pandemics or international conflicts, and risks related to U.S. and foreign government instability.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Plan and the DC Master Trust measure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4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investments held by the Plan and the DC Master Trust are stated at fair value with the exception of synthetic GICs in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synthetic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and DC Master Trust investments is determined as follows: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Investments in U.S. equities, which include common stocks, are valued at the last reported sales price on the active market on which the securities are traded on the last business day of the plan year. Investments in CCT funds are valued based on the net asset value (“NAV”) derived by investment managers, as a practical expedient. The short-term investment fund is not an exchange-traded fund, however, the price per unit is published and represents the actual price at which the units held in the fund can be bought or sold. Fixed-income securities are valued based on broker quotes or model-derived valuations.</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 securities and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Trustee, in performing any required valuations or calculations, relies on the prices provided by pricing sources, the investment managers, Plan management or the participant’s broker as a certification as to the value.</w:t>
      </w:r>
    </w:p>
    <w:p>
      <w:pPr>
        <w:spacing w:after="0" w:line="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are measured at their unpaid principal balance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Plan expenses are paid by the Plan or the Plan sponsor as provided in the Plan document. Fees incurred by the Plan for investment management services of $48 thousand are presented as a reduction to investment income in the Statement of Changes in Net Assets Available for Benefits for the year ended December 31,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participants who have elected to withdraw funds from the Plan but have not yet been paid were $35 thousand and $75 thousand at December 31, 2025 and 2024,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A participant may elect to transfer their vested FSSP Retirement Account balance to the Northrop Grumman Retirement Plan “B” pension plan as permitted by the Plan. The total amount transferred from the Plan to the Northrop Grumman Retirement Plan “B” pension plan was $7.4 million for the year ended December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total divided interest represents 1 percent of total net assets reported by the Trustee of the DC Master Trust as of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interest in the investments held by the DC Master Trust belongs to the Northrop Grumman Savings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of the DC Master Trust and the Plan's interest in Master Trust balances as of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Master Trust Balances</w:t>
            </w:r>
          </w:p>
        </w:tc>
        <w:tc>
          <w:tcPr>
            <w:tcW w:w="5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 Interest in Master Trust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Balances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fair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3,594,037</w:t>
            </w:r>
          </w:p>
        </w:tc>
        <w:tc>
          <w:tcPr>
            <w:tcW w:w="2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17,388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32,627,651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28,679,632</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434,208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417,269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2,129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36,953,901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33,060,233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454,901</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444,478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contract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46,984</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48,669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contract value</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46,984</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48,669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interest, taxes and other receivables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40,006,269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36,221,998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501,888</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493,150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 and other payables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4,516</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2,129</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204,580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696,301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2,196</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7,969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of the DC Master Trust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39,801,689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35,525,697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499,692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the DC Master Trust for the plan year ended December 31, 2025, is as follows: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value of investments</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5,867,005</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95,113</w:t>
            </w:r>
          </w:p>
        </w:tc>
      </w:tr>
      <w:tr>
        <w:trPr>
          <w:trHeight w:val="23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65,793</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r>
      <w:tr>
        <w:trPr>
          <w:trHeight w:val="229"/>
        </w:trPr>
        <w:tc>
          <w:tcPr>
            <w:tcW w:w="8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manager fees</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(3,597)</w:t>
            </w:r>
          </w:p>
        </w:tc>
      </w:tr>
      <w:tr>
        <w:trPr>
          <w:trHeight w:val="230"/>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6,026,569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2025 and 2024, there were no investments expected to be sold at a value materially different than NAV.</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2025:</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78,177</w:t>
            </w:r>
          </w:p>
        </w:tc>
      </w:tr>
      <w:tr>
        <w:trPr>
          <w:trHeight w:val="22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equities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4,048,009</w:t>
            </w:r>
          </w:p>
        </w:tc>
      </w:tr>
      <w:tr>
        <w:trPr>
          <w:trHeight w:val="23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200,064</w:t>
            </w:r>
          </w:p>
        </w:tc>
      </w:tr>
      <w:tr>
        <w:trPr>
          <w:trHeight w:val="230"/>
        </w:trPr>
        <w:tc>
          <w:tcPr>
            <w:tcW w:w="5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Common/collective trust funds valued using NAV as a practical expedient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32,627,651</w:t>
            </w:r>
          </w:p>
        </w:tc>
      </w:tr>
      <w:tr>
        <w:trPr>
          <w:trHeight w:val="230"/>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278,241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36,953,901</w:t>
            </w:r>
          </w:p>
        </w:tc>
      </w:tr>
    </w:tbl>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sets forth the fair value of the short-term investment fund, by level, measured on a recurring basis, and held by the Plan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bl>
    <w:p>
      <w:pPr>
        <w:spacing w:after="0" w:line="157"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93,059</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3,594,037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3,594,037</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693,505</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693,505</w:t>
            </w:r>
          </w:p>
        </w:tc>
      </w:tr>
      <w:tr>
        <w:trPr>
          <w:trHeight w:val="175"/>
        </w:trPr>
        <w:tc>
          <w:tcPr>
            <w:tcW w:w="5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expedient</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28,679,632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3,594,055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786,546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33,060,233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short-term investment fund, by level, measured on a recurring basis, and held by the Plan as of December 31, 2024:</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Level 1</w:t>
            </w:r>
          </w:p>
        </w:tc>
        <w:tc>
          <w:tcPr>
            <w:tcW w:w="14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Level 2</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IN SYNTHETIC GUARANTEED INVESTMENT CONTRACTS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Synthetic 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held in synthetic guaranteed investment contracts (at contract value) totaled $3.1 billion and $3.2 billion as of December 31, 2025 and 2024, respectively.</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THIRD PARTY BORROWINGS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DC Master Trust participates in a securities lending program with State Street through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securities of synthetic guaranteed investment contracts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195,889</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679,519</w:t>
            </w:r>
          </w:p>
        </w:tc>
      </w:tr>
    </w:tbl>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2025, cash and non-cash collateral associated with securities on loan totaled $167 million and $33 million, respectively. As of December 31, 2024, cash and non-cash collateral associated with securities on loan totaled $603 million and $91 million, respectively. Cash collateral primarily consists of short-term investment funds. Non-cash collateral consists of fixed-income securities. All of the securities on loan are collateralized at more than 102 percent.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EXEMPT PARTY-IN-INTEREST TRANSACTIONS</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Party-in-interest transactions through the DC Master Trust include the purchase and sale of investments managed by affiliates of the Plan's Trustee and transactions involving Northrop Grumman Corporation common stock. The NG Stock Fund within the DC Master Trust held 7.1 million and 7.7 million shares of common stock of the Company with a fair value of $$4.0 billion and $$3.6 billion at December 31, 2025 and 2024, respectively. The Plan’s interest in the net assets of the NG Stock Fund was approximately 0.4 percent and 0.5 percent at December 31,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right="300"/>
        <w:spacing w:after="0" w:line="282" w:lineRule="auto"/>
        <w:rPr>
          <w:sz w:val="20"/>
          <w:szCs w:val="20"/>
          <w:color w:val="auto"/>
        </w:rPr>
      </w:pPr>
      <w:r>
        <w:rPr>
          <w:rFonts w:ascii="Times New Roman" w:cs="Times New Roman" w:eastAsia="Times New Roman" w:hAnsi="Times New Roman"/>
          <w:sz w:val="18"/>
          <w:szCs w:val="18"/>
          <w:color w:val="auto"/>
        </w:rPr>
        <w:t>2024, respectively. During 2025, the NG Stock Fund earned dividends of $$66 million from its investment in Northrop Grumman Corporation common stock.</w:t>
      </w:r>
    </w:p>
    <w:p>
      <w:pPr>
        <w:spacing w:after="0" w:line="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State Street affiliates managed $0.1 million and $2.1 million of Plan assets held in the short-term investment fund as of December 31, 2025 and 2024, respectively. The Plan paid $5 thousand to the Trustee in fees during the year ended December 31, 2025.</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 The Plan also issues loans to participants, which are secured by the vested balances in the participants' accounts.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to terminate the Plan subject to ERISA provisions. In the event of a Plan termination, Plan participants would continue to be fully vested in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FEDERAL INCOME TAX STATUS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obtained its latest determination letter dated December 16, 2015,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RECONCILIATION OF FINANCIAL STATEMENTS TO FORM 5500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assets available for benefits per the financial statements to Form 5500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487,644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per Form 5500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500,142</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487,569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benefits paid to participants per the financial statements to Form 5500 for the year ended December 31, 2025,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27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53,831</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amounts allocated to withdrawing participants at December 31, 2025</w:t>
            </w:r>
          </w:p>
        </w:tc>
        <w:tc>
          <w:tcPr>
            <w:tcW w:w="27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30"/>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 at December 31, 2024</w:t>
            </w:r>
          </w:p>
        </w:tc>
        <w:tc>
          <w:tcPr>
            <w:tcW w:w="2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paid to participants per Form 5500</w:t>
            </w:r>
          </w:p>
        </w:tc>
        <w:tc>
          <w:tcPr>
            <w:tcW w:w="2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53,791</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Form 5500 for benefit claims that have been processed and approved for payment prior to December 31, 2025 and 2024, but not yet paid as of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NORTHROP GRUMMAN FINANCIAL SECURITY AND SAVINGS PROGRAM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spacing w:after="0"/>
              <w:rPr>
                <w:sz w:val="14"/>
                <w:szCs w:val="14"/>
                <w:color w:val="auto"/>
              </w:rPr>
            </w:pPr>
          </w:p>
        </w:tc>
        <w:tc>
          <w:tcPr>
            <w:tcW w:w="4520" w:type="dxa"/>
            <w:vAlign w:val="bottom"/>
            <w:tcBorders>
              <w:top w:val="single" w:sz="8" w:color="auto"/>
            </w:tcBorders>
          </w:tcPr>
          <w:p>
            <w:pPr>
              <w:jc w:val="center"/>
              <w:ind w:left="110"/>
              <w:spacing w:after="0" w:line="169" w:lineRule="exact"/>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5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7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Identity of Issuer, Borrower,</w:t>
            </w:r>
          </w:p>
        </w:tc>
        <w:tc>
          <w:tcPr>
            <w:tcW w:w="45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Including Maturity Date, Rate of</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45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Collateral, and Par or</w:t>
            </w:r>
          </w:p>
        </w:tc>
        <w:tc>
          <w:tcPr>
            <w:tcW w:w="540" w:type="dxa"/>
            <w:vAlign w:val="bottom"/>
          </w:tcPr>
          <w:p>
            <w:pPr>
              <w:spacing w:after="0"/>
              <w:rPr>
                <w:sz w:val="15"/>
                <w:szCs w:val="15"/>
                <w:color w:val="auto"/>
              </w:rPr>
            </w:pPr>
          </w:p>
        </w:tc>
        <w:tc>
          <w:tcPr>
            <w:tcW w:w="13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5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5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Northrop Grumman Defined</w:t>
            </w:r>
          </w:p>
        </w:tc>
        <w:tc>
          <w:tcPr>
            <w:tcW w:w="452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5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47,686</w:t>
            </w:r>
          </w:p>
        </w:tc>
        <w:tc>
          <w:tcPr>
            <w:tcW w:w="3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2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5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 Master Trust Retirement Account</w:t>
            </w:r>
          </w:p>
        </w:tc>
        <w:tc>
          <w:tcPr>
            <w:tcW w:w="54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0" w:type="dxa"/>
            <w:vAlign w:val="bottom"/>
            <w:shd w:val="clear" w:color="auto" w:fill="CCEEFF"/>
          </w:tcPr>
          <w:p>
            <w:pPr>
              <w:spacing w:after="0"/>
              <w:rPr>
                <w:sz w:val="8"/>
                <w:szCs w:val="8"/>
                <w:color w:val="auto"/>
              </w:rPr>
            </w:pPr>
          </w:p>
        </w:tc>
        <w:tc>
          <w:tcPr>
            <w:tcW w:w="2780" w:type="dxa"/>
            <w:vAlign w:val="bottom"/>
            <w:vMerge w:val="continue"/>
            <w:shd w:val="clear" w:color="auto" w:fill="CCEEFF"/>
          </w:tcPr>
          <w:p>
            <w:pPr>
              <w:spacing w:after="0"/>
              <w:rPr>
                <w:sz w:val="8"/>
                <w:szCs w:val="8"/>
                <w:color w:val="auto"/>
              </w:rPr>
            </w:pPr>
          </w:p>
        </w:tc>
        <w:tc>
          <w:tcPr>
            <w:tcW w:w="452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Northrop Grumman Defined</w:t>
            </w:r>
          </w:p>
        </w:tc>
        <w:tc>
          <w:tcPr>
            <w:tcW w:w="45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325,318</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5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Plans Master Trust Savings Account</w:t>
            </w:r>
          </w:p>
        </w:tc>
        <w:tc>
          <w:tcPr>
            <w:tcW w:w="5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4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jc w:val="right"/>
              <w:ind w:right="110"/>
              <w:spacing w:after="0" w:line="180"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rPr>
              <w:t>State Street Bank and Trust</w:t>
            </w:r>
          </w:p>
        </w:tc>
        <w:tc>
          <w:tcPr>
            <w:tcW w:w="452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8"/>
                <w:szCs w:val="18"/>
                <w:color w:val="auto"/>
              </w:rPr>
              <w:t>State Street Bank and Trust Company short-term</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2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4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fund</w:t>
            </w:r>
          </w:p>
        </w:tc>
        <w:tc>
          <w:tcPr>
            <w:tcW w:w="54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0" w:type="dxa"/>
            <w:vAlign w:val="bottom"/>
            <w:shd w:val="clear" w:color="auto" w:fill="CCEEFF"/>
          </w:tcPr>
          <w:p>
            <w:pPr>
              <w:spacing w:after="0"/>
              <w:rPr>
                <w:sz w:val="8"/>
                <w:szCs w:val="8"/>
                <w:color w:val="auto"/>
              </w:rPr>
            </w:pPr>
          </w:p>
        </w:tc>
        <w:tc>
          <w:tcPr>
            <w:tcW w:w="2780" w:type="dxa"/>
            <w:vAlign w:val="bottom"/>
            <w:vMerge w:val="continue"/>
            <w:shd w:val="clear" w:color="auto" w:fill="CCEEFF"/>
          </w:tcPr>
          <w:p>
            <w:pPr>
              <w:spacing w:after="0"/>
              <w:rPr>
                <w:sz w:val="8"/>
                <w:szCs w:val="8"/>
                <w:color w:val="auto"/>
              </w:rPr>
            </w:pPr>
          </w:p>
        </w:tc>
        <w:tc>
          <w:tcPr>
            <w:tcW w:w="452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Plan Participants</w:t>
            </w:r>
          </w:p>
        </w:tc>
        <w:tc>
          <w:tcPr>
            <w:tcW w:w="45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Participant loans (maturing from 2026 to 2030 at interest</w:t>
            </w:r>
          </w:p>
        </w:tc>
        <w:tc>
          <w:tcPr>
            <w:tcW w:w="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427</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45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rates ranging from 4.25 percent to 9.5 percent)</w:t>
            </w:r>
          </w:p>
        </w:tc>
        <w:tc>
          <w:tcPr>
            <w:tcW w:w="5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shd w:val="clear" w:color="auto" w:fill="CCEEFF"/>
          </w:tcPr>
          <w:p>
            <w:pPr>
              <w:spacing w:after="0"/>
              <w:rPr>
                <w:sz w:val="20"/>
                <w:szCs w:val="20"/>
                <w:color w:val="auto"/>
              </w:rPr>
            </w:pPr>
          </w:p>
        </w:tc>
        <w:tc>
          <w:tcPr>
            <w:tcW w:w="2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47,686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940" w:hanging="91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940" w:hanging="91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loans,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NORTHROP GRUMMAN FINANCIAL SECURITY AND SAVINGS PROGRAM</w:t>
      </w:r>
    </w:p>
    <w:p>
      <w:pPr>
        <w:spacing w:after="0" w:line="289" w:lineRule="exact"/>
        <w:rPr>
          <w:sz w:val="20"/>
          <w:szCs w:val="20"/>
          <w:color w:val="auto"/>
        </w:rPr>
      </w:pPr>
    </w:p>
    <w:p>
      <w:pPr>
        <w:ind w:left="380"/>
        <w:spacing w:after="0"/>
        <w:tabs>
          <w:tab w:leader="none" w:pos="6060" w:val="left"/>
          <w:tab w:leader="none" w:pos="8380" w:val="left"/>
        </w:tabs>
        <w:rPr>
          <w:sz w:val="20"/>
          <w:szCs w:val="20"/>
          <w:color w:val="auto"/>
        </w:rPr>
      </w:pPr>
      <w:r>
        <w:rPr>
          <w:rFonts w:ascii="Times New Roman" w:cs="Times New Roman" w:eastAsia="Times New Roman" w:hAnsi="Times New Roman"/>
          <w:sz w:val="18"/>
          <w:szCs w:val="18"/>
          <w:color w:val="auto"/>
        </w:rPr>
        <w:t>Dated: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19685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Michael A. Hardesty</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Chair, Audit Subcommittee of the Benefit Plans Administrative</w:t>
      </w:r>
    </w:p>
    <w:p>
      <w:pPr>
        <w:ind w:left="9000"/>
        <w:spacing w:after="0"/>
        <w:rPr>
          <w:sz w:val="20"/>
          <w:szCs w:val="20"/>
          <w:color w:val="auto"/>
        </w:rPr>
      </w:pPr>
      <w:r>
        <w:rPr>
          <w:rFonts w:ascii="Times New Roman" w:cs="Times New Roman" w:eastAsia="Times New Roman" w:hAnsi="Times New Roman"/>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93" w:lineRule="exact"/>
        <w:rPr>
          <w:sz w:val="20"/>
          <w:szCs w:val="20"/>
          <w:color w:val="auto"/>
        </w:rPr>
      </w:pPr>
    </w:p>
    <w:p>
      <w:pPr>
        <w:ind w:left="800" w:hanging="77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39"/>
          </w:cols>
          <w:pgMar w:left="320" w:top="1251"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333-100179 and 333-273482 on Form S-8 of our report dated June 11, 2026 relating to the financial statements and supplemental schedule of Northrop Grumman Financial Security and Savings Program, appearing in this Annual Report on Form 11-K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2026-06-11T12:14:35Z</dcterms:created>
  <dcterms:modified xsi:type="dcterms:W3CDTF">2026-06-11T12:14:35Z</dcterms:modified>
</cp:coreProperties>
</file>