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24130</wp:posOffset>
            </wp:positionV>
            <wp:extent cx="2940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-224155</wp:posOffset>
            </wp:positionV>
            <wp:extent cx="29400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jc w:val="center"/>
        <w:spacing w:after="0" w:line="204" w:lineRule="auto"/>
        <w:rPr>
          <w:sz w:val="20"/>
          <w:szCs w:val="20"/>
          <w:color w:val="auto"/>
        </w:rPr>
      </w:pPr>
      <w:r>
        <w:rPr>
          <w:rFonts w:ascii="Arial" w:cs="Arial" w:eastAsia="Arial" w:hAnsi="Arial"/>
          <w:sz w:val="22"/>
          <w:szCs w:val="22"/>
          <w:b w:val="1"/>
          <w:bCs w:val="1"/>
          <w:color w:val="auto"/>
        </w:rPr>
        <w:t>Pursuant to Section 13 or 15(d) of the</w:t>
      </w:r>
    </w:p>
    <w:p>
      <w:pPr>
        <w:jc w:val="center"/>
        <w:spacing w:after="0" w:line="21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2105025</wp:posOffset>
            </wp:positionH>
            <wp:positionV relativeFrom="paragraph">
              <wp:posOffset>14605</wp:posOffset>
            </wp:positionV>
            <wp:extent cx="294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NORTHROP GRUMMAN CORPORATION</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68580</wp:posOffset>
            </wp:positionV>
            <wp:extent cx="292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3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420"/>
        <w:spacing w:after="0"/>
        <w:rPr>
          <w:sz w:val="20"/>
          <w:szCs w:val="20"/>
          <w:color w:val="auto"/>
        </w:rPr>
      </w:pPr>
      <w:r>
        <w:rPr>
          <w:rFonts w:ascii="Arial" w:cs="Arial" w:eastAsia="Arial" w:hAnsi="Arial"/>
          <w:sz w:val="16"/>
          <w:szCs w:val="16"/>
          <w:b w:val="1"/>
          <w:bCs w:val="1"/>
          <w:color w:val="auto"/>
        </w:rPr>
        <w:t>1-16411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80-0640649</w:t>
      </w:r>
    </w:p>
    <w:p>
      <w:pPr>
        <w:spacing w:after="0" w:line="50" w:lineRule="exact"/>
        <w:rPr>
          <w:sz w:val="24"/>
          <w:szCs w:val="24"/>
          <w:color w:val="auto"/>
        </w:rPr>
      </w:pPr>
    </w:p>
    <w:p>
      <w:pPr>
        <w:sectPr>
          <w:pgSz w:w="11900" w:h="16838" w:orient="portrait"/>
          <w:cols w:equalWidth="0" w:num="3">
            <w:col w:w="4560" w:space="720"/>
            <w:col w:w="3020" w:space="720"/>
            <w:col w:w="2220"/>
          </w:cols>
          <w:pgMar w:left="320" w:top="1035" w:right="339" w:bottom="1440" w:gutter="0" w:footer="0" w:header="0"/>
          <w:type w:val="continuous"/>
        </w:sectPr>
      </w:pPr>
    </w:p>
    <w:p>
      <w:pPr>
        <w:jc w:val="center"/>
        <w:ind w:right="540"/>
        <w:spacing w:after="0"/>
        <w:rPr>
          <w:sz w:val="20"/>
          <w:szCs w:val="20"/>
          <w:color w:val="auto"/>
        </w:rPr>
      </w:pPr>
      <w:r>
        <w:rPr>
          <w:rFonts w:ascii="Arial" w:cs="Arial" w:eastAsia="Arial" w:hAnsi="Arial"/>
          <w:sz w:val="14"/>
          <w:szCs w:val="14"/>
          <w:b w:val="1"/>
          <w:bCs w:val="1"/>
          <w:color w:val="auto"/>
        </w:rPr>
        <w:t>(State or Other Jurisdiction</w:t>
      </w:r>
    </w:p>
    <w:p>
      <w:pPr>
        <w:spacing w:after="0" w:line="19" w:lineRule="exact"/>
        <w:rPr>
          <w:sz w:val="24"/>
          <w:szCs w:val="24"/>
          <w:color w:val="auto"/>
        </w:rPr>
      </w:pPr>
    </w:p>
    <w:p>
      <w:pPr>
        <w:jc w:val="center"/>
        <w:ind w:right="5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3">
            <w:col w:w="4020" w:space="720"/>
            <w:col w:w="3280" w:space="720"/>
            <w:col w:w="2500"/>
          </w:cols>
          <w:pgMar w:left="320" w:top="1035" w:right="339" w:bottom="1440" w:gutter="0" w:footer="0" w:header="0"/>
          <w:type w:val="continuous"/>
        </w:sectPr>
      </w:pPr>
    </w:p>
    <w:p>
      <w:pPr>
        <w:spacing w:after="0" w:line="222"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2980 Fairview Park Drive, Falls Church, VA 22042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280-2900</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035" w:right="339" w:bottom="1440" w:gutter="0" w:footer="0" w:header="0"/>
          <w:type w:val="continuous"/>
        </w:sectPr>
      </w:pPr>
    </w:p>
    <w:p>
      <w:pPr>
        <w:spacing w:after="0" w:line="304" w:lineRule="exact"/>
        <w:rPr>
          <w:sz w:val="24"/>
          <w:szCs w:val="24"/>
          <w:color w:val="auto"/>
        </w:rPr>
      </w:pPr>
    </w:p>
    <w:p>
      <w:pPr>
        <w:ind w:right="68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1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3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NOC</w:t>
            </w:r>
          </w:p>
        </w:tc>
        <w:tc>
          <w:tcPr>
            <w:tcW w:w="4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00" w:lineRule="exact"/>
        <w:rPr>
          <w:sz w:val="24"/>
          <w:szCs w:val="24"/>
          <w:color w:val="auto"/>
        </w:rPr>
      </w:pPr>
    </w:p>
    <w:p>
      <w:pPr>
        <w:spacing w:after="0" w:line="3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October 26, 2023, Northrop Grumman Corporation issued an earnings release announcing its financial results for the quarter ended September 30, 2023, under the heading “Northrop Grumman Reports Third Quarter 2023 Financial Results.” The earnings release is furnished as Exhibit 99.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20" w:hanging="1094"/>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1"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32385</wp:posOffset>
            </wp:positionV>
            <wp:extent cx="45002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25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Exhibit 99 — Earnings Release dated 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31" w:right="77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2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163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(Signature)</w:t>
      </w:r>
    </w:p>
    <w:p>
      <w:pPr>
        <w:ind w:left="6320"/>
        <w:spacing w:after="0" w:line="203" w:lineRule="auto"/>
        <w:rPr>
          <w:sz w:val="20"/>
          <w:szCs w:val="20"/>
          <w:color w:val="auto"/>
        </w:rPr>
      </w:pPr>
      <w:r>
        <w:rPr>
          <w:rFonts w:ascii="Arial" w:cs="Arial" w:eastAsia="Arial" w:hAnsi="Arial"/>
          <w:sz w:val="18"/>
          <w:szCs w:val="18"/>
          <w:color w:val="auto"/>
        </w:rPr>
        <w:t>Jennifer C. McGarey</w:t>
      </w:r>
    </w:p>
    <w:p>
      <w:pPr>
        <w:ind w:left="6320"/>
        <w:spacing w:after="0"/>
        <w:rPr>
          <w:sz w:val="20"/>
          <w:szCs w:val="20"/>
          <w:color w:val="auto"/>
        </w:rPr>
      </w:pPr>
      <w:r>
        <w:rPr>
          <w:rFonts w:ascii="Arial" w:cs="Arial" w:eastAsia="Arial" w:hAnsi="Arial"/>
          <w:sz w:val="18"/>
          <w:szCs w:val="18"/>
          <w:color w:val="auto"/>
        </w:rPr>
        <w:t>Corporate Vice President and Secretary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931" w:right="97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No.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99 Furnished — Earnings Release dated October 26, 2023</w:t>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Exhibit 101 — Northrop Grumman Corporation Current Report on Form 8-K dated October 26, 2023, formatted as inline XBRL (Extensible Business Reporting Language): Cover Page. The instance document does not appear in the Interactive Data File because its XBRL tags are embedded within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Inline XBRL document.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Exhibit 104 — Cover Page Interactive Data File (formatted as Inline XBRL and contained in Exhibit 101)</w:t>
      </w:r>
    </w:p>
    <w:p>
      <w:pPr>
        <w:sectPr>
          <w:pgSz w:w="11900" w:h="16838" w:orient="portrait"/>
          <w:cols w:equalWidth="0" w:num="1">
            <w:col w:w="10880"/>
          </w:cols>
          <w:pgMar w:left="340" w:top="931" w:right="679" w:bottom="1440" w:gutter="0" w:footer="0" w:header="0"/>
        </w:sectPr>
      </w:pPr>
    </w:p>
    <w:bookmarkStart w:id="4" w:name="page5"/>
    <w:bookmarkEnd w:id="4"/>
    <w:p>
      <w:pPr>
        <w:spacing w:after="0" w:line="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83185</wp:posOffset>
            </wp:positionV>
            <wp:extent cx="174879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auto"/>
        </w:rPr>
        <w:t>News Release</w:t>
      </w:r>
    </w:p>
    <w:p>
      <w:pPr>
        <w:spacing w:after="0" w:line="292" w:lineRule="exact"/>
        <w:rPr>
          <w:sz w:val="20"/>
          <w:szCs w:val="20"/>
          <w:color w:val="auto"/>
        </w:rPr>
      </w:pPr>
    </w:p>
    <w:tbl>
      <w:tblPr>
        <w:tblLayout w:type="fixed"/>
        <w:tblInd w:w="6800" w:type="dxa"/>
        <w:tblCellMar>
          <w:top w:w="0" w:type="dxa"/>
          <w:left w:w="0" w:type="dxa"/>
          <w:bottom w:w="0" w:type="dxa"/>
          <w:right w:w="0" w:type="dxa"/>
        </w:tblCellMar>
      </w:tblPr>
      <w:tr>
        <w:trPr>
          <w:trHeight w:val="251"/>
        </w:trPr>
        <w:tc>
          <w:tcPr>
            <w:tcW w:w="1380" w:type="dxa"/>
            <w:vAlign w:val="bottom"/>
          </w:tcPr>
          <w:p>
            <w:pPr>
              <w:spacing w:after="0"/>
              <w:rPr>
                <w:sz w:val="20"/>
                <w:szCs w:val="20"/>
                <w:color w:val="auto"/>
              </w:rPr>
            </w:pPr>
            <w:r>
              <w:rPr>
                <w:rFonts w:ascii="Arial" w:cs="Arial" w:eastAsia="Arial" w:hAnsi="Arial"/>
                <w:sz w:val="20"/>
                <w:szCs w:val="20"/>
                <w:color w:val="auto"/>
              </w:rPr>
              <w:t>Contact:</w:t>
            </w:r>
          </w:p>
        </w:tc>
        <w:tc>
          <w:tcPr>
            <w:tcW w:w="1940" w:type="dxa"/>
            <w:vAlign w:val="bottom"/>
            <w:gridSpan w:val="3"/>
          </w:tcPr>
          <w:p>
            <w:pPr>
              <w:spacing w:after="0"/>
              <w:rPr>
                <w:sz w:val="20"/>
                <w:szCs w:val="20"/>
                <w:color w:val="auto"/>
              </w:rPr>
            </w:pPr>
            <w:r>
              <w:rPr>
                <w:rFonts w:ascii="Arial" w:cs="Arial" w:eastAsia="Arial" w:hAnsi="Arial"/>
                <w:sz w:val="20"/>
                <w:szCs w:val="20"/>
                <w:color w:val="auto"/>
              </w:rPr>
              <w:t>Vic Beck (Media)</w:t>
            </w:r>
          </w:p>
        </w:tc>
      </w:tr>
      <w:tr>
        <w:trPr>
          <w:trHeight w:val="257"/>
        </w:trPr>
        <w:tc>
          <w:tcPr>
            <w:tcW w:w="1380" w:type="dxa"/>
            <w:vAlign w:val="bottom"/>
          </w:tcPr>
          <w:p>
            <w:pPr>
              <w:spacing w:after="0"/>
              <w:rPr>
                <w:sz w:val="22"/>
                <w:szCs w:val="22"/>
                <w:color w:val="auto"/>
              </w:rPr>
            </w:pPr>
          </w:p>
        </w:tc>
        <w:tc>
          <w:tcPr>
            <w:tcW w:w="1940" w:type="dxa"/>
            <w:vAlign w:val="bottom"/>
            <w:gridSpan w:val="3"/>
          </w:tcPr>
          <w:p>
            <w:pPr>
              <w:spacing w:after="0"/>
              <w:rPr>
                <w:sz w:val="20"/>
                <w:szCs w:val="20"/>
                <w:color w:val="auto"/>
              </w:rPr>
            </w:pPr>
            <w:r>
              <w:rPr>
                <w:rFonts w:ascii="Arial" w:cs="Arial" w:eastAsia="Arial" w:hAnsi="Arial"/>
                <w:sz w:val="20"/>
                <w:szCs w:val="20"/>
                <w:color w:val="auto"/>
              </w:rPr>
              <w:t>703-280-4456 (office)</w:t>
            </w:r>
          </w:p>
        </w:tc>
      </w:tr>
      <w:tr>
        <w:trPr>
          <w:trHeight w:val="212"/>
        </w:trPr>
        <w:tc>
          <w:tcPr>
            <w:tcW w:w="1380" w:type="dxa"/>
            <w:vAlign w:val="bottom"/>
          </w:tcPr>
          <w:p>
            <w:pPr>
              <w:spacing w:after="0"/>
              <w:rPr>
                <w:sz w:val="18"/>
                <w:szCs w:val="18"/>
                <w:color w:val="auto"/>
              </w:rPr>
            </w:pPr>
          </w:p>
        </w:tc>
        <w:tc>
          <w:tcPr>
            <w:tcW w:w="1940" w:type="dxa"/>
            <w:vAlign w:val="bottom"/>
            <w:gridSpan w:val="3"/>
          </w:tcPr>
          <w:p>
            <w:pPr>
              <w:spacing w:after="0" w:line="212" w:lineRule="exact"/>
              <w:rPr>
                <w:sz w:val="20"/>
                <w:szCs w:val="20"/>
                <w:color w:val="auto"/>
              </w:rPr>
            </w:pPr>
            <w:r>
              <w:rPr>
                <w:rFonts w:ascii="Arial" w:cs="Arial" w:eastAsia="Arial" w:hAnsi="Arial"/>
                <w:sz w:val="20"/>
                <w:szCs w:val="20"/>
                <w:color w:val="auto"/>
              </w:rPr>
              <w:t>vic.beck@ngc.com</w:t>
            </w:r>
          </w:p>
        </w:tc>
      </w:tr>
      <w:tr>
        <w:trPr>
          <w:trHeight w:val="20"/>
        </w:trPr>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38"/>
        </w:trPr>
        <w:tc>
          <w:tcPr>
            <w:tcW w:w="1380" w:type="dxa"/>
            <w:vAlign w:val="bottom"/>
          </w:tcPr>
          <w:p>
            <w:pPr>
              <w:spacing w:after="0"/>
              <w:rPr>
                <w:sz w:val="24"/>
                <w:szCs w:val="24"/>
                <w:color w:val="auto"/>
              </w:rPr>
            </w:pPr>
          </w:p>
        </w:tc>
        <w:tc>
          <w:tcPr>
            <w:tcW w:w="1940" w:type="dxa"/>
            <w:vAlign w:val="bottom"/>
            <w:gridSpan w:val="3"/>
          </w:tcPr>
          <w:p>
            <w:pPr>
              <w:spacing w:after="0"/>
              <w:rPr>
                <w:sz w:val="20"/>
                <w:szCs w:val="20"/>
                <w:color w:val="auto"/>
              </w:rPr>
            </w:pPr>
            <w:r>
              <w:rPr>
                <w:rFonts w:ascii="Arial" w:cs="Arial" w:eastAsia="Arial" w:hAnsi="Arial"/>
                <w:sz w:val="20"/>
                <w:szCs w:val="20"/>
                <w:color w:val="auto"/>
                <w:w w:val="97"/>
              </w:rPr>
              <w:t>Todd Ernst (Investors)</w:t>
            </w:r>
          </w:p>
        </w:tc>
      </w:tr>
      <w:tr>
        <w:trPr>
          <w:trHeight w:val="257"/>
        </w:trPr>
        <w:tc>
          <w:tcPr>
            <w:tcW w:w="1380" w:type="dxa"/>
            <w:vAlign w:val="bottom"/>
          </w:tcPr>
          <w:p>
            <w:pPr>
              <w:spacing w:after="0"/>
              <w:rPr>
                <w:sz w:val="22"/>
                <w:szCs w:val="22"/>
                <w:color w:val="auto"/>
              </w:rPr>
            </w:pPr>
          </w:p>
        </w:tc>
        <w:tc>
          <w:tcPr>
            <w:tcW w:w="1940" w:type="dxa"/>
            <w:vAlign w:val="bottom"/>
            <w:gridSpan w:val="3"/>
          </w:tcPr>
          <w:p>
            <w:pPr>
              <w:spacing w:after="0"/>
              <w:rPr>
                <w:sz w:val="20"/>
                <w:szCs w:val="20"/>
                <w:color w:val="auto"/>
              </w:rPr>
            </w:pPr>
            <w:r>
              <w:rPr>
                <w:rFonts w:ascii="Arial" w:cs="Arial" w:eastAsia="Arial" w:hAnsi="Arial"/>
                <w:sz w:val="20"/>
                <w:szCs w:val="20"/>
                <w:color w:val="auto"/>
              </w:rPr>
              <w:t>703-280-4535 (office)</w:t>
            </w:r>
          </w:p>
        </w:tc>
      </w:tr>
      <w:tr>
        <w:trPr>
          <w:trHeight w:val="212"/>
        </w:trPr>
        <w:tc>
          <w:tcPr>
            <w:tcW w:w="1380" w:type="dxa"/>
            <w:vAlign w:val="bottom"/>
          </w:tcPr>
          <w:p>
            <w:pPr>
              <w:spacing w:after="0"/>
              <w:rPr>
                <w:sz w:val="18"/>
                <w:szCs w:val="18"/>
                <w:color w:val="auto"/>
              </w:rPr>
            </w:pPr>
          </w:p>
        </w:tc>
        <w:tc>
          <w:tcPr>
            <w:tcW w:w="1940" w:type="dxa"/>
            <w:vAlign w:val="bottom"/>
            <w:gridSpan w:val="3"/>
          </w:tcPr>
          <w:p>
            <w:pPr>
              <w:spacing w:after="0" w:line="212" w:lineRule="exact"/>
              <w:rPr>
                <w:sz w:val="20"/>
                <w:szCs w:val="20"/>
                <w:color w:val="auto"/>
              </w:rPr>
            </w:pPr>
            <w:r>
              <w:rPr>
                <w:rFonts w:ascii="Arial" w:cs="Arial" w:eastAsia="Arial" w:hAnsi="Arial"/>
                <w:sz w:val="20"/>
                <w:szCs w:val="20"/>
                <w:color w:val="auto"/>
              </w:rPr>
              <w:t>todd.ernst@ngc.com</w:t>
            </w:r>
          </w:p>
        </w:tc>
      </w:tr>
      <w:tr>
        <w:trPr>
          <w:trHeight w:val="20"/>
        </w:trPr>
        <w:tc>
          <w:tcPr>
            <w:tcW w:w="1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Northrop Grumman Reports Third Quarter 2023 Financial Results</w:t>
      </w:r>
    </w:p>
    <w:p>
      <w:pPr>
        <w:spacing w:after="0" w:line="12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awards of $15 billion; book to bill of 1.53</w:t>
      </w:r>
    </w:p>
    <w:p>
      <w:pPr>
        <w:spacing w:after="0" w:line="19"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Total backlog rises to record $84 billion</w:t>
      </w:r>
    </w:p>
    <w:p>
      <w:pPr>
        <w:spacing w:after="0" w:line="3"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Sales increased 9 percent to $9.8 billion</w:t>
      </w:r>
    </w:p>
    <w:p>
      <w:pPr>
        <w:spacing w:after="0" w:line="3" w:lineRule="exact"/>
        <w:rPr>
          <w:rFonts w:ascii="Arial" w:cs="Arial" w:eastAsia="Arial" w:hAnsi="Arial"/>
          <w:sz w:val="22"/>
          <w:szCs w:val="22"/>
          <w:color w:val="auto"/>
        </w:rPr>
      </w:pPr>
    </w:p>
    <w:p>
      <w:pPr>
        <w:ind w:left="320" w:hanging="312"/>
        <w:spacing w:after="0" w:line="191" w:lineRule="auto"/>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Operating income increased 20 percent; segment operating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increased 8 percent</w:t>
      </w: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Diluted earnings per share of $6.18</w:t>
      </w:r>
    </w:p>
    <w:p>
      <w:pPr>
        <w:spacing w:after="0" w:line="6"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Operating cash flow of $1.2 billion</w:t>
      </w:r>
    </w:p>
    <w:p>
      <w:pPr>
        <w:ind w:left="320" w:hanging="312"/>
        <w:spacing w:after="0" w:line="230" w:lineRule="auto"/>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Company increases 2023 sales guidance by $400 million to ~$39 billion</w:t>
      </w: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Company reaffirms diluted EPS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guidance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FALLS CHURCH, Va. – October 26, 2023 – Northrop Grumman Corporation (NYSE: NOC) reported third quarter</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2023 sales increased 9 percent to $9.8 billion, as compared with $9.0 billion in the third quarter of 2022. Third quarter</w:t>
      </w:r>
    </w:p>
    <w:p>
      <w:pPr>
        <w:spacing w:after="0" w:line="18" w:lineRule="exact"/>
        <w:rPr>
          <w:sz w:val="20"/>
          <w:szCs w:val="20"/>
          <w:color w:val="auto"/>
        </w:rPr>
      </w:pPr>
    </w:p>
    <w:p>
      <w:pPr>
        <w:spacing w:after="0"/>
        <w:rPr>
          <w:sz w:val="20"/>
          <w:szCs w:val="20"/>
          <w:color w:val="auto"/>
        </w:rPr>
      </w:pPr>
      <w:r>
        <w:rPr>
          <w:rFonts w:ascii="Arial" w:cs="Arial" w:eastAsia="Arial" w:hAnsi="Arial"/>
          <w:sz w:val="22"/>
          <w:szCs w:val="22"/>
          <w:color w:val="auto"/>
        </w:rPr>
        <w:t>2023 sales reflect continued strong demand for our products and services. Third quarter 2023 net earnings totaled</w:t>
      </w:r>
    </w:p>
    <w:p>
      <w:pPr>
        <w:spacing w:after="0" w:line="14" w:lineRule="exact"/>
        <w:rPr>
          <w:sz w:val="20"/>
          <w:szCs w:val="20"/>
          <w:color w:val="auto"/>
        </w:rPr>
      </w:pPr>
    </w:p>
    <w:p>
      <w:pPr>
        <w:spacing w:after="0"/>
        <w:rPr>
          <w:sz w:val="20"/>
          <w:szCs w:val="20"/>
          <w:color w:val="auto"/>
        </w:rPr>
      </w:pPr>
      <w:r>
        <w:rPr>
          <w:rFonts w:ascii="Arial" w:cs="Arial" w:eastAsia="Arial" w:hAnsi="Arial"/>
          <w:sz w:val="21"/>
          <w:szCs w:val="21"/>
          <w:color w:val="auto"/>
        </w:rPr>
        <w:t>$937 million, or $6.18 per diluted share, as compared with $915 million, or $5.89 per diluted share, in the third quarter</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of 2022. Net earnings were reduced by $156 million, or $1.00 per diluted share, as a result of lower net FAS/CAS</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pension income, and net earnings were increased by $67 million, or $0.44 per diluted share, as a result of the sale of</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 minority interest in an Australian business.</w:t>
      </w:r>
    </w:p>
    <w:p>
      <w:pPr>
        <w:spacing w:after="0" w:line="82" w:lineRule="exact"/>
        <w:rPr>
          <w:sz w:val="20"/>
          <w:szCs w:val="20"/>
          <w:color w:val="auto"/>
        </w:rPr>
      </w:pPr>
    </w:p>
    <w:p>
      <w:pPr>
        <w:ind w:right="220" w:firstLine="324"/>
        <w:spacing w:after="0" w:line="251" w:lineRule="auto"/>
        <w:rPr>
          <w:sz w:val="20"/>
          <w:szCs w:val="20"/>
          <w:color w:val="auto"/>
        </w:rPr>
      </w:pPr>
      <w:r>
        <w:rPr>
          <w:rFonts w:ascii="Arial" w:cs="Arial" w:eastAsia="Arial" w:hAnsi="Arial"/>
          <w:sz w:val="22"/>
          <w:szCs w:val="22"/>
          <w:color w:val="auto"/>
        </w:rPr>
        <w:t>“We had another strong quarter with solid performance on our programs, a new record backlog, and growth across all four of our businesses,” said Kathy Warden, chair, chief executive officer and president. “Based on our year-to-date results and increasing demand for our products, we are raising our 2023 sales guidance. We are also providing an initial 2024 outlook that reflects our expectation for solid revenue, operating income and free cash flow growth.”</w:t>
      </w:r>
    </w:p>
    <w:p>
      <w:pPr>
        <w:spacing w:after="0" w:line="200" w:lineRule="exact"/>
        <w:rPr>
          <w:sz w:val="20"/>
          <w:szCs w:val="20"/>
          <w:color w:val="auto"/>
        </w:rPr>
      </w:pPr>
    </w:p>
    <w:p>
      <w:pPr>
        <w:spacing w:after="0" w:line="290" w:lineRule="exact"/>
        <w:rPr>
          <w:sz w:val="20"/>
          <w:szCs w:val="20"/>
          <w:color w:val="auto"/>
        </w:rPr>
      </w:pPr>
    </w:p>
    <w:p>
      <w:pPr>
        <w:ind w:left="120" w:hanging="94"/>
        <w:spacing w:after="0"/>
        <w:tabs>
          <w:tab w:leader="none" w:pos="120" w:val="left"/>
        </w:tabs>
        <w:numPr>
          <w:ilvl w:val="0"/>
          <w:numId w:val="4"/>
        </w:numPr>
        <w:rPr>
          <w:rFonts w:ascii="Arial" w:cs="Arial" w:eastAsia="Arial" w:hAnsi="Arial"/>
          <w:sz w:val="9"/>
          <w:szCs w:val="9"/>
          <w:color w:val="auto"/>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1440"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380" w:type="dxa"/>
            <w:vAlign w:val="bottom"/>
            <w:gridSpan w:val="7"/>
          </w:tcPr>
          <w:p>
            <w:pPr>
              <w:spacing w:after="0"/>
              <w:rPr>
                <w:sz w:val="20"/>
                <w:szCs w:val="20"/>
                <w:color w:val="auto"/>
              </w:rPr>
            </w:pPr>
            <w:r>
              <w:rPr>
                <w:rFonts w:ascii="Arial" w:cs="Arial" w:eastAsia="Arial" w:hAnsi="Arial"/>
                <w:sz w:val="20"/>
                <w:szCs w:val="20"/>
                <w:color w:val="auto"/>
              </w:rPr>
              <w:t>Northrop Grumman Reports Third Quarter 2023 Financial Results</w:t>
            </w: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5200" w:type="dxa"/>
            <w:vAlign w:val="bottom"/>
            <w:gridSpan w:val="5"/>
          </w:tcPr>
          <w:p>
            <w:pPr>
              <w:spacing w:after="0"/>
              <w:rPr>
                <w:sz w:val="20"/>
                <w:szCs w:val="20"/>
                <w:color w:val="auto"/>
              </w:rPr>
            </w:pPr>
            <w:r>
              <w:rPr>
                <w:rFonts w:ascii="Arial" w:cs="Arial" w:eastAsia="Arial" w:hAnsi="Arial"/>
                <w:sz w:val="22"/>
                <w:szCs w:val="22"/>
                <w:b w:val="1"/>
                <w:bCs w:val="1"/>
                <w:color w:val="auto"/>
              </w:rPr>
              <w:t>Consolidated Operating Results and Cash Flows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5"/>
          </w:tcPr>
          <w:p>
            <w:pPr>
              <w:jc w:val="right"/>
              <w:ind w:right="360"/>
              <w:spacing w:after="0"/>
              <w:rPr>
                <w:sz w:val="20"/>
                <w:szCs w:val="20"/>
                <w:color w:val="auto"/>
              </w:rPr>
            </w:pPr>
            <w:r>
              <w:rPr>
                <w:rFonts w:ascii="Arial" w:cs="Arial" w:eastAsia="Arial" w:hAnsi="Arial"/>
                <w:sz w:val="18"/>
                <w:szCs w:val="18"/>
                <w:color w:val="auto"/>
              </w:rPr>
              <w:t>Three Months Ended</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3"/>
          </w:tcPr>
          <w:p>
            <w:pPr>
              <w:jc w:val="right"/>
              <w:ind w:right="331"/>
              <w:spacing w:after="0"/>
              <w:rPr>
                <w:sz w:val="20"/>
                <w:szCs w:val="20"/>
                <w:color w:val="auto"/>
              </w:rPr>
            </w:pPr>
            <w:r>
              <w:rPr>
                <w:rFonts w:ascii="Arial" w:cs="Arial" w:eastAsia="Arial" w:hAnsi="Arial"/>
                <w:sz w:val="18"/>
                <w:szCs w:val="18"/>
                <w:color w:val="auto"/>
              </w:rPr>
              <w:t>Nine Months Ended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color w:val="auto"/>
              </w:rPr>
              <w:t>September 30</w:t>
            </w:r>
          </w:p>
        </w:tc>
        <w:tc>
          <w:tcPr>
            <w:tcW w:w="1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Arial" w:cs="Arial" w:eastAsia="Arial" w:hAnsi="Arial"/>
                <w:sz w:val="18"/>
                <w:szCs w:val="18"/>
                <w:color w:val="auto"/>
              </w:rPr>
              <w:t>September 30</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2022</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Aeronautics Systems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2,766</w:t>
            </w:r>
          </w:p>
        </w:tc>
        <w:tc>
          <w:tcPr>
            <w:tcW w:w="200" w:type="dxa"/>
            <w:vAlign w:val="bottom"/>
          </w:tcPr>
          <w:p>
            <w:pPr>
              <w:spacing w:after="0"/>
              <w:rPr>
                <w:sz w:val="19"/>
                <w:szCs w:val="19"/>
                <w:color w:val="auto"/>
              </w:rPr>
            </w:pP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7,876</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7,774</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Defense Systems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4,217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3,922</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Mission Systems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2,628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2,456</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26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7,832</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7,469</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Space Systems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3,163</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10,344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8,997</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(530)</w:t>
            </w:r>
          </w:p>
        </w:tc>
        <w:tc>
          <w:tcPr>
            <w:tcW w:w="1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(1,617)</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(1,593)</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sales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9,775</w:t>
            </w:r>
          </w:p>
        </w:tc>
        <w:tc>
          <w:tcPr>
            <w:tcW w:w="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8,971</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28,652</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26,569</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Aeronautics Systems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798</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827</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4"/>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Defense Systems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15%</w:t>
            </w:r>
          </w:p>
        </w:tc>
        <w:tc>
          <w:tcPr>
            <w:tcW w:w="26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508</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481</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Mission Systems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1,147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1,166</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4"/>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Space Systems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26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908</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861</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(218)</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(218)</w:t>
            </w:r>
          </w:p>
        </w:tc>
        <w:tc>
          <w:tcPr>
            <w:tcW w:w="12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line="223" w:lineRule="exact"/>
              <w:rPr>
                <w:sz w:val="20"/>
                <w:szCs w:val="20"/>
                <w:color w:val="auto"/>
              </w:rPr>
            </w:pPr>
            <w:r>
              <w:rPr>
                <w:rFonts w:ascii="Arial" w:cs="Arial" w:eastAsia="Arial" w:hAnsi="Arial"/>
                <w:sz w:val="18"/>
                <w:szCs w:val="18"/>
                <w:color w:val="auto"/>
              </w:rPr>
              <w:t>Segment operating income</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1,089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1,007</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8%</w:t>
            </w:r>
          </w:p>
        </w:tc>
        <w:tc>
          <w:tcPr>
            <w:tcW w:w="26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3,143</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3,117</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Arial" w:cs="Arial" w:eastAsia="Arial" w:hAnsi="Arial"/>
                <w:sz w:val="16"/>
                <w:szCs w:val="16"/>
                <w:i w:val="1"/>
                <w:iCs w:val="1"/>
                <w:color w:val="auto"/>
              </w:rPr>
              <w:t>Segment operating margin rate</w:t>
            </w:r>
            <w:r>
              <w:rPr>
                <w:rFonts w:ascii="Arial" w:cs="Arial" w:eastAsia="Arial" w:hAnsi="Arial"/>
                <w:sz w:val="21"/>
                <w:szCs w:val="21"/>
                <w:i w:val="1"/>
                <w:iCs w:val="1"/>
                <w:color w:val="auto"/>
                <w:vertAlign w:val="superscript"/>
              </w:rPr>
              <w:t>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i w:val="1"/>
                <w:iCs w:val="1"/>
                <w:color w:val="auto"/>
              </w:rPr>
              <w:t>11.1 %</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11.2 %</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rPr>
              <w:t>(10) bps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11.0 %</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11.7 %</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6"/>
                <w:szCs w:val="16"/>
                <w:b w:val="1"/>
                <w:bCs w:val="1"/>
                <w:i w:val="1"/>
                <w:iCs w:val="1"/>
                <w:color w:val="auto"/>
              </w:rPr>
              <w:t>(70) 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FAS/CAS operating adjustment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(64%)</w:t>
            </w:r>
          </w:p>
        </w:tc>
        <w:tc>
          <w:tcPr>
            <w:tcW w:w="26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(152)</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Unallocated corporate expense: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Pr>
          <w:p>
            <w:pPr>
              <w:ind w:left="340"/>
              <w:spacing w:after="0" w:line="176" w:lineRule="exact"/>
              <w:rPr>
                <w:sz w:val="20"/>
                <w:szCs w:val="20"/>
                <w:color w:val="auto"/>
              </w:rPr>
            </w:pPr>
            <w:r>
              <w:rPr>
                <w:rFonts w:ascii="Arial" w:cs="Arial" w:eastAsia="Arial" w:hAnsi="Arial"/>
                <w:sz w:val="18"/>
                <w:szCs w:val="18"/>
                <w:color w:val="auto"/>
                <w:w w:val="99"/>
              </w:rPr>
              <w:t>Intangible asset amortization and PP&amp;E step-</w:t>
            </w:r>
          </w:p>
        </w:tc>
        <w:tc>
          <w:tcPr>
            <w:tcW w:w="2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(48%)</w:t>
            </w:r>
          </w:p>
        </w:tc>
        <w:tc>
          <w:tcPr>
            <w:tcW w:w="260" w:type="dxa"/>
            <w:vAlign w:val="bottom"/>
          </w:tcPr>
          <w:p>
            <w:pPr>
              <w:spacing w:after="0"/>
              <w:rPr>
                <w:sz w:val="15"/>
                <w:szCs w:val="15"/>
                <w:color w:val="auto"/>
              </w:rPr>
            </w:pPr>
          </w:p>
        </w:tc>
        <w:tc>
          <w:tcPr>
            <w:tcW w:w="96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9"/>
              </w:rPr>
              <w:t>(49%)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up depreciation</w:t>
            </w:r>
          </w:p>
        </w:tc>
        <w:tc>
          <w:tcPr>
            <w:tcW w:w="2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2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(181)</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Other unallocated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(54%)</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(59)</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(89)</w:t>
            </w:r>
          </w:p>
        </w:tc>
        <w:tc>
          <w:tcPr>
            <w:tcW w:w="12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(34%)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Unallocated corporate expense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(108)</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(151)</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(270)</w:t>
            </w:r>
          </w:p>
        </w:tc>
        <w:tc>
          <w:tcPr>
            <w:tcW w:w="12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2,930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2,695</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6"/>
                <w:szCs w:val="16"/>
                <w:i w:val="1"/>
                <w:iCs w:val="1"/>
                <w:color w:val="auto"/>
              </w:rPr>
              <w:t>Operating margin rate</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b w:val="1"/>
                <w:bCs w:val="1"/>
                <w:i w:val="1"/>
                <w:iCs w:val="1"/>
                <w:color w:val="auto"/>
              </w:rPr>
              <w:t>10.4 %</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9.4 %</w:t>
            </w:r>
          </w:p>
        </w:tc>
        <w:tc>
          <w:tcPr>
            <w:tcW w:w="1200" w:type="dxa"/>
            <w:vAlign w:val="bottom"/>
          </w:tcPr>
          <w:p>
            <w:pPr>
              <w:jc w:val="center"/>
              <w:spacing w:after="0"/>
              <w:rPr>
                <w:sz w:val="20"/>
                <w:szCs w:val="20"/>
                <w:color w:val="auto"/>
              </w:rPr>
            </w:pPr>
            <w:r>
              <w:rPr>
                <w:rFonts w:ascii="Arial" w:cs="Arial" w:eastAsia="Arial" w:hAnsi="Arial"/>
                <w:sz w:val="16"/>
                <w:szCs w:val="16"/>
                <w:b w:val="1"/>
                <w:bCs w:val="1"/>
                <w:i w:val="1"/>
                <w:iCs w:val="1"/>
                <w:color w:val="auto"/>
              </w:rPr>
              <w:t>100 bps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10.2 %</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i w:val="1"/>
                <w:iCs w:val="1"/>
                <w:color w:val="auto"/>
              </w:rPr>
              <w:t>10.1 %</w:t>
            </w:r>
          </w:p>
        </w:tc>
        <w:tc>
          <w:tcPr>
            <w:tcW w:w="1220" w:type="dxa"/>
            <w:vAlign w:val="bottom"/>
          </w:tcPr>
          <w:p>
            <w:pPr>
              <w:jc w:val="center"/>
              <w:ind w:left="10"/>
              <w:spacing w:after="0"/>
              <w:rPr>
                <w:sz w:val="20"/>
                <w:szCs w:val="20"/>
                <w:color w:val="auto"/>
              </w:rPr>
            </w:pPr>
            <w:r>
              <w:rPr>
                <w:rFonts w:ascii="Arial" w:cs="Arial" w:eastAsia="Arial" w:hAnsi="Arial"/>
                <w:sz w:val="16"/>
                <w:szCs w:val="16"/>
                <w:b w:val="1"/>
                <w:bCs w:val="1"/>
                <w:i w:val="1"/>
                <w:iCs w:val="1"/>
                <w:color w:val="auto"/>
              </w:rPr>
              <w:t>10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16%</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(417)</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Non-operating FAS pension benefit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376</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(65%)</w:t>
            </w:r>
          </w:p>
        </w:tc>
        <w:tc>
          <w:tcPr>
            <w:tcW w:w="26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397</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1,129</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(65%)</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NM</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193</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(54)</w:t>
            </w:r>
          </w:p>
        </w:tc>
        <w:tc>
          <w:tcPr>
            <w:tcW w:w="122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1,118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1,090</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26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3,103</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3,384</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Federal and foreign income tax expense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512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568</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9"/>
              </w:rPr>
              <w:t>(10%)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Effective income tax rate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i w:val="1"/>
                <w:iCs w:val="1"/>
                <w:color w:val="auto"/>
              </w:rPr>
              <w:t>16.2 %</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i w:val="1"/>
                <w:iCs w:val="1"/>
                <w:color w:val="auto"/>
              </w:rPr>
              <w:t>16.1 %</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rPr>
              <w:t>10 bps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i w:val="1"/>
                <w:iCs w:val="1"/>
                <w:color w:val="auto"/>
              </w:rPr>
              <w:t>16.5 %</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rPr>
              <w:t>16.8 %</w:t>
            </w:r>
          </w:p>
        </w:tc>
        <w:tc>
          <w:tcPr>
            <w:tcW w:w="1220" w:type="dxa"/>
            <w:vAlign w:val="bottom"/>
            <w:tcBorders>
              <w:bottom w:val="single" w:sz="8" w:color="auto"/>
            </w:tcBorders>
          </w:tcPr>
          <w:p>
            <w:pPr>
              <w:jc w:val="center"/>
              <w:ind w:left="10"/>
              <w:spacing w:after="0"/>
              <w:rPr>
                <w:sz w:val="20"/>
                <w:szCs w:val="20"/>
                <w:color w:val="auto"/>
              </w:rPr>
            </w:pPr>
            <w:r>
              <w:rPr>
                <w:rFonts w:ascii="Arial" w:cs="Arial" w:eastAsia="Arial" w:hAnsi="Arial"/>
                <w:sz w:val="16"/>
                <w:szCs w:val="16"/>
                <w:b w:val="1"/>
                <w:bCs w:val="1"/>
                <w:i w:val="1"/>
                <w:iCs w:val="1"/>
                <w:color w:val="auto"/>
              </w:rPr>
              <w:t>(30) bps</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2,591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2,816</w:t>
            </w:r>
          </w:p>
        </w:tc>
        <w:tc>
          <w:tcPr>
            <w:tcW w:w="1220" w:type="dxa"/>
            <w:vAlign w:val="bottom"/>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4"/>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6.18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5.89</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26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8"/>
                <w:szCs w:val="18"/>
                <w:b w:val="1"/>
                <w:bCs w:val="1"/>
                <w:color w:val="auto"/>
              </w:rPr>
              <w:t>17.00</w:t>
            </w:r>
          </w:p>
        </w:tc>
        <w:tc>
          <w:tcPr>
            <w:tcW w:w="28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18.06</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(6%)</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Weighted-average diluted shares outstanding, in</w:t>
            </w:r>
          </w:p>
        </w:tc>
        <w:tc>
          <w:tcPr>
            <w:tcW w:w="2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151.7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155.3</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w:t>
            </w: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152.4</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155.9</w:t>
            </w:r>
          </w:p>
        </w:tc>
        <w:tc>
          <w:tcPr>
            <w:tcW w:w="12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b w:val="1"/>
                <w:bCs w:val="1"/>
                <w:color w:val="auto"/>
                <w:w w:val="94"/>
              </w:rPr>
              <w:t>(2%)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3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millions</w:t>
            </w:r>
          </w:p>
        </w:tc>
        <w:tc>
          <w:tcPr>
            <w:tcW w:w="2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auto"/>
            </w:tcBorders>
            <w:shd w:val="clear" w:color="auto" w:fill="CCEEFF"/>
          </w:tcPr>
          <w:p>
            <w:pPr>
              <w:spacing w:after="0"/>
              <w:rPr>
                <w:sz w:val="6"/>
                <w:szCs w:val="6"/>
                <w:color w:val="auto"/>
              </w:rPr>
            </w:pPr>
          </w:p>
        </w:tc>
        <w:tc>
          <w:tcPr>
            <w:tcW w:w="398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1,445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9"/>
              </w:rPr>
              <w:t>21%</w:t>
            </w:r>
          </w:p>
        </w:tc>
        <w:tc>
          <w:tcPr>
            <w:tcW w:w="26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b w:val="1"/>
                <w:bCs w:val="1"/>
                <w:color w:val="auto"/>
              </w:rPr>
              <w:t>(972)</w:t>
            </w:r>
          </w:p>
        </w:tc>
        <w:tc>
          <w:tcPr>
            <w:tcW w:w="280" w:type="dxa"/>
            <w:vAlign w:val="bottom"/>
          </w:tcPr>
          <w:p>
            <w:pPr>
              <w:spacing w:after="0"/>
              <w:rPr>
                <w:sz w:val="19"/>
                <w:szCs w:val="19"/>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(803)</w:t>
            </w:r>
          </w:p>
        </w:tc>
        <w:tc>
          <w:tcPr>
            <w:tcW w:w="122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21%</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sale of equipment to a customer</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100</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spacing w:after="0" w:line="223" w:lineRule="exact"/>
              <w:rPr>
                <w:sz w:val="20"/>
                <w:szCs w:val="20"/>
                <w:color w:val="auto"/>
              </w:rPr>
            </w:pPr>
            <w:r>
              <w:rPr>
                <w:rFonts w:ascii="Arial" w:cs="Arial" w:eastAsia="Arial" w:hAnsi="Arial"/>
                <w:sz w:val="18"/>
                <w:szCs w:val="18"/>
                <w:b w:val="1"/>
                <w:bCs w:val="1"/>
                <w:color w:val="auto"/>
              </w:rPr>
              <w:t>Adjusted free cash flow</w:t>
            </w:r>
            <w:r>
              <w:rPr>
                <w:rFonts w:ascii="Arial" w:cs="Arial" w:eastAsia="Arial" w:hAnsi="Arial"/>
                <w:sz w:val="23"/>
                <w:szCs w:val="23"/>
                <w:b w:val="1"/>
                <w:bCs w:val="1"/>
                <w:color w:val="auto"/>
                <w:vertAlign w:val="superscript"/>
              </w:rPr>
              <w:t>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w:t>
            </w: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1,139</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473</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(53)</w:t>
            </w:r>
          </w:p>
        </w:tc>
        <w:tc>
          <w:tcPr>
            <w:tcW w:w="12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hanging="94"/>
        <w:spacing w:after="0"/>
        <w:tabs>
          <w:tab w:leader="none" w:pos="1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43" w:lineRule="exact"/>
        <w:rPr>
          <w:sz w:val="20"/>
          <w:szCs w:val="20"/>
          <w:color w:val="auto"/>
        </w:rPr>
      </w:pPr>
    </w:p>
    <w:p>
      <w:pPr>
        <w:ind w:right="60" w:firstLine="324"/>
        <w:spacing w:after="0" w:line="249" w:lineRule="auto"/>
        <w:rPr>
          <w:sz w:val="20"/>
          <w:szCs w:val="20"/>
          <w:color w:val="auto"/>
        </w:rPr>
      </w:pPr>
      <w:r>
        <w:rPr>
          <w:rFonts w:ascii="Arial" w:cs="Arial" w:eastAsia="Arial" w:hAnsi="Arial"/>
          <w:sz w:val="22"/>
          <w:szCs w:val="22"/>
          <w:color w:val="auto"/>
        </w:rPr>
        <w:t>Third quarter 2023 sales increased $804 million, or 9 percent, due to higher sales at all four sectors. Third quarter 2023 sales reflect continued strong demand for our products and services.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 and Margin Rate</w:t>
      </w:r>
    </w:p>
    <w:p>
      <w:pPr>
        <w:spacing w:after="0" w:line="30" w:lineRule="exact"/>
        <w:rPr>
          <w:sz w:val="20"/>
          <w:szCs w:val="20"/>
          <w:color w:val="auto"/>
        </w:rPr>
      </w:pPr>
    </w:p>
    <w:p>
      <w:pPr>
        <w:ind w:right="80" w:firstLine="324"/>
        <w:spacing w:after="0" w:line="245" w:lineRule="auto"/>
        <w:rPr>
          <w:sz w:val="20"/>
          <w:szCs w:val="20"/>
          <w:color w:val="auto"/>
        </w:rPr>
      </w:pPr>
      <w:r>
        <w:rPr>
          <w:rFonts w:ascii="Arial" w:cs="Arial" w:eastAsia="Arial" w:hAnsi="Arial"/>
          <w:sz w:val="22"/>
          <w:szCs w:val="22"/>
          <w:color w:val="auto"/>
        </w:rPr>
        <w:t>Third quarter 2023 operating income increased $172 million, or 20 percent, due to higher segment operating income, lower unallocated corporate expense and a reduction in the FAS/CAS operating adjustment. Third quarter 2023 operating margin rate increased to 10.4 percent principally due to the lower unallocated corporate expense and FAS/CAS operating adjustment.</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Income and Margin Rate</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Third quarter 2023 segment operating income increased $82 million, or 8 percent, primarily due to higher sales.</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Third quarter 2023 segment operating margin rate was comparable with the prior year period.</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Federal and Foreign Income Taxes</w:t>
      </w:r>
    </w:p>
    <w:p>
      <w:pPr>
        <w:spacing w:after="0" w:line="43" w:lineRule="exact"/>
        <w:rPr>
          <w:sz w:val="20"/>
          <w:szCs w:val="20"/>
          <w:color w:val="auto"/>
        </w:rPr>
      </w:pPr>
    </w:p>
    <w:p>
      <w:pPr>
        <w:ind w:right="100" w:firstLine="324"/>
        <w:spacing w:after="0" w:line="249" w:lineRule="auto"/>
        <w:rPr>
          <w:sz w:val="20"/>
          <w:szCs w:val="20"/>
          <w:color w:val="auto"/>
        </w:rPr>
      </w:pPr>
      <w:r>
        <w:rPr>
          <w:rFonts w:ascii="Arial" w:cs="Arial" w:eastAsia="Arial" w:hAnsi="Arial"/>
          <w:sz w:val="22"/>
          <w:szCs w:val="22"/>
          <w:color w:val="auto"/>
        </w:rPr>
        <w:t>The third quarter 2023 ETR of 16.2 percent was comparable with the prior year period and reflects an increase in research credits, partially offset by higher interest expense on unrecognized tax benefits.</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Earnings and Diluted EPS</w:t>
      </w:r>
    </w:p>
    <w:p>
      <w:pPr>
        <w:spacing w:after="0" w:line="30" w:lineRule="exact"/>
        <w:rPr>
          <w:sz w:val="20"/>
          <w:szCs w:val="20"/>
          <w:color w:val="auto"/>
        </w:rPr>
      </w:pPr>
    </w:p>
    <w:p>
      <w:pPr>
        <w:ind w:right="400" w:firstLine="324"/>
        <w:spacing w:after="0" w:line="248" w:lineRule="auto"/>
        <w:rPr>
          <w:sz w:val="20"/>
          <w:szCs w:val="20"/>
          <w:color w:val="auto"/>
        </w:rPr>
      </w:pPr>
      <w:r>
        <w:rPr>
          <w:rFonts w:ascii="Arial" w:cs="Arial" w:eastAsia="Arial" w:hAnsi="Arial"/>
          <w:sz w:val="22"/>
          <w:szCs w:val="22"/>
          <w:color w:val="auto"/>
        </w:rPr>
        <w:t>Third quarter 2023 net earnings increased $22 million, or 2 percent, primarily due to $172 million of higher operating income and a $97 million gain recognized upon the sale of our minority investment in an Australian business, partially offset by a $244 million reduction in the non-operating FAS pension benefit. Third quarter 2023 diluted earnings per share increased 5 percent, reflecting a 2 percent increase in net earnings and a 2 percent reduction in weighted-average diluted shares outstanding.</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43" w:lineRule="exact"/>
        <w:rPr>
          <w:sz w:val="20"/>
          <w:szCs w:val="20"/>
          <w:color w:val="auto"/>
        </w:rPr>
      </w:pPr>
    </w:p>
    <w:p>
      <w:pPr>
        <w:ind w:right="260" w:firstLine="324"/>
        <w:spacing w:after="0" w:line="260" w:lineRule="auto"/>
        <w:rPr>
          <w:sz w:val="20"/>
          <w:szCs w:val="20"/>
          <w:color w:val="auto"/>
        </w:rPr>
      </w:pPr>
      <w:r>
        <w:rPr>
          <w:rFonts w:ascii="Arial" w:cs="Arial" w:eastAsia="Arial" w:hAnsi="Arial"/>
          <w:sz w:val="21"/>
          <w:szCs w:val="21"/>
          <w:color w:val="auto"/>
        </w:rPr>
        <w:t>Third quarter 2023 net cash provided by operating activities decreased $107 million principally due to increased cash collections in the prior year period resulting from billing delays at the end of the second quarter of 2022. Third quarter 2023 adjusted free cash flow decreased $270 million due to lower cash provided by operating activities, a reduction in proceeds from the sale of equipment to a customer and higher capital expenditures.</w:t>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and Backlog</w:t>
      </w:r>
    </w:p>
    <w:p>
      <w:pPr>
        <w:spacing w:after="0" w:line="30" w:lineRule="exact"/>
        <w:rPr>
          <w:sz w:val="20"/>
          <w:szCs w:val="20"/>
          <w:color w:val="auto"/>
        </w:rPr>
      </w:pPr>
    </w:p>
    <w:p>
      <w:pPr>
        <w:ind w:firstLine="324"/>
        <w:spacing w:after="0" w:line="265" w:lineRule="auto"/>
        <w:rPr>
          <w:sz w:val="20"/>
          <w:szCs w:val="20"/>
          <w:color w:val="auto"/>
        </w:rPr>
      </w:pPr>
      <w:r>
        <w:rPr>
          <w:rFonts w:ascii="Arial" w:cs="Arial" w:eastAsia="Arial" w:hAnsi="Arial"/>
          <w:sz w:val="21"/>
          <w:szCs w:val="21"/>
          <w:color w:val="auto"/>
        </w:rPr>
        <w:t>Third quarter and year to date 2023 net awards totaled $15.0 billion and $33.9 billion, respectively, and backlog totaled $83.9 billion. Significant third quarter new awards include $3.6 billion for restricted programs (primarily at Space Systems, Aeronautics Systems, and Mission Systems), $1.3 billion for E-2, $0.7 billion for Space Development Agency (SDA) Tranche 2 Transport Layer and $0.5 billion for Guided Multiple Launch Rocket System (GMLRS).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hanging="94"/>
        <w:spacing w:after="0"/>
        <w:tabs>
          <w:tab w:leader="none" w:pos="120" w:val="left"/>
        </w:tabs>
        <w:numPr>
          <w:ilvl w:val="0"/>
          <w:numId w:val="6"/>
        </w:numPr>
        <w:rPr>
          <w:rFonts w:ascii="Arial" w:cs="Arial" w:eastAsia="Arial" w:hAnsi="Arial"/>
          <w:sz w:val="9"/>
          <w:szCs w:val="9"/>
          <w:color w:val="auto"/>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3"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280" w:type="dxa"/>
            <w:vAlign w:val="bottom"/>
            <w:gridSpan w:val="7"/>
          </w:tcPr>
          <w:p>
            <w:pPr>
              <w:spacing w:after="0"/>
              <w:rPr>
                <w:sz w:val="20"/>
                <w:szCs w:val="20"/>
                <w:color w:val="auto"/>
              </w:rPr>
            </w:pPr>
            <w:r>
              <w:rPr>
                <w:rFonts w:ascii="Arial" w:cs="Arial" w:eastAsia="Arial" w:hAnsi="Arial"/>
                <w:sz w:val="20"/>
                <w:szCs w:val="20"/>
                <w:color w:val="auto"/>
              </w:rPr>
              <w:t>Northrop Grumman Reports Third Quarter 2023 Financial Results</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2"/>
                <w:szCs w:val="22"/>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920" w:type="dxa"/>
            <w:vAlign w:val="bottom"/>
            <w:gridSpan w:val="3"/>
          </w:tcPr>
          <w:p>
            <w:pPr>
              <w:spacing w:after="0"/>
              <w:rPr>
                <w:sz w:val="20"/>
                <w:szCs w:val="20"/>
                <w:color w:val="auto"/>
              </w:rPr>
            </w:pPr>
            <w:r>
              <w:rPr>
                <w:rFonts w:ascii="Arial" w:cs="Arial" w:eastAsia="Arial" w:hAnsi="Arial"/>
                <w:sz w:val="22"/>
                <w:szCs w:val="22"/>
                <w:b w:val="1"/>
                <w:bCs w:val="1"/>
                <w:color w:val="auto"/>
              </w:rPr>
              <w:t>Segment Operating Results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vMerge w:val="restart"/>
          </w:tcPr>
          <w:p>
            <w:pPr>
              <w:spacing w:after="0"/>
              <w:rPr>
                <w:sz w:val="20"/>
                <w:szCs w:val="20"/>
                <w:color w:val="auto"/>
              </w:rPr>
            </w:pPr>
            <w:r>
              <w:rPr>
                <w:rFonts w:ascii="Arial" w:cs="Arial" w:eastAsia="Arial" w:hAnsi="Arial"/>
                <w:sz w:val="22"/>
                <w:szCs w:val="22"/>
                <w:b w:val="1"/>
                <w:bCs w:val="1"/>
                <w:color w:val="auto"/>
              </w:rPr>
              <w:t>AERONAUTICS SYSTEMS</w:t>
            </w:r>
          </w:p>
        </w:tc>
        <w:tc>
          <w:tcPr>
            <w:tcW w:w="10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340"/>
              <w:spacing w:after="0"/>
              <w:rPr>
                <w:sz w:val="20"/>
                <w:szCs w:val="20"/>
                <w:color w:val="auto"/>
              </w:rPr>
            </w:pPr>
            <w:r>
              <w:rPr>
                <w:rFonts w:ascii="Arial" w:cs="Arial" w:eastAsia="Arial" w:hAnsi="Arial"/>
                <w:sz w:val="18"/>
                <w:szCs w:val="18"/>
                <w:color w:val="auto"/>
              </w:rPr>
              <w:t>Three Months Ended</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3"/>
          </w:tcPr>
          <w:p>
            <w:pPr>
              <w:jc w:val="right"/>
              <w:ind w:right="312"/>
              <w:spacing w:after="0"/>
              <w:rPr>
                <w:sz w:val="20"/>
                <w:szCs w:val="20"/>
                <w:color w:val="auto"/>
              </w:rPr>
            </w:pPr>
            <w:r>
              <w:rPr>
                <w:rFonts w:ascii="Arial" w:cs="Arial" w:eastAsia="Arial" w:hAnsi="Arial"/>
                <w:sz w:val="18"/>
                <w:szCs w:val="18"/>
                <w:color w:val="auto"/>
              </w:rPr>
              <w:t>Nine Months Ended</w:t>
            </w:r>
          </w:p>
        </w:tc>
        <w:tc>
          <w:tcPr>
            <w:tcW w:w="1220" w:type="dxa"/>
            <w:vAlign w:val="bottom"/>
            <w:vMerge w:val="restart"/>
          </w:tcPr>
          <w:p>
            <w:pPr>
              <w:jc w:val="right"/>
              <w:ind w:right="386"/>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color w:val="auto"/>
              </w:rPr>
              <w:t>September 30</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color w:val="auto"/>
              </w:rPr>
              <w:t>September 30</w:t>
            </w: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2022</w:t>
            </w:r>
          </w:p>
        </w:tc>
        <w:tc>
          <w:tcPr>
            <w:tcW w:w="1220" w:type="dxa"/>
            <w:vAlign w:val="bottom"/>
            <w:tcBorders>
              <w:bottom w:val="single" w:sz="8" w:color="auto"/>
            </w:tcBorders>
          </w:tcPr>
          <w:p>
            <w:pPr>
              <w:jc w:val="right"/>
              <w:ind w:right="146"/>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2,766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2,537</w:t>
            </w:r>
          </w:p>
        </w:tc>
        <w:tc>
          <w:tcPr>
            <w:tcW w:w="158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9 %  $</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7,876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7,774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283</w:t>
            </w:r>
          </w:p>
        </w:tc>
        <w:tc>
          <w:tcPr>
            <w:tcW w:w="2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1340" w:type="dxa"/>
            <w:vAlign w:val="bottom"/>
          </w:tcPr>
          <w:p>
            <w:pPr>
              <w:ind w:left="880"/>
              <w:spacing w:after="0"/>
              <w:rPr>
                <w:sz w:val="20"/>
                <w:szCs w:val="20"/>
                <w:color w:val="auto"/>
              </w:rPr>
            </w:pPr>
            <w:r>
              <w:rPr>
                <w:rFonts w:ascii="Arial" w:cs="Arial" w:eastAsia="Arial" w:hAnsi="Arial"/>
                <w:sz w:val="18"/>
                <w:szCs w:val="18"/>
                <w:b w:val="1"/>
                <w:bCs w:val="1"/>
                <w:color w:val="auto"/>
              </w:rPr>
              <w:t>8 %</w:t>
            </w:r>
          </w:p>
        </w:tc>
        <w:tc>
          <w:tcPr>
            <w:tcW w:w="24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798</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827</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3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i w:val="1"/>
                <w:iCs w:val="1"/>
                <w:color w:val="auto"/>
              </w:rPr>
              <w:t>Operating margin rate</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10.2 %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i w:val="1"/>
                <w:iCs w:val="1"/>
                <w:color w:val="auto"/>
              </w:rPr>
              <w:t>10.3 %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10.1 %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10.6 %</w:t>
            </w: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16" w:lineRule="exact"/>
        <w:rPr>
          <w:sz w:val="20"/>
          <w:szCs w:val="20"/>
          <w:color w:val="auto"/>
        </w:rPr>
      </w:pPr>
    </w:p>
    <w:p>
      <w:pPr>
        <w:ind w:right="40" w:firstLine="324"/>
        <w:spacing w:after="0" w:line="235" w:lineRule="auto"/>
        <w:rPr>
          <w:sz w:val="20"/>
          <w:szCs w:val="20"/>
          <w:color w:val="auto"/>
        </w:rPr>
      </w:pPr>
      <w:r>
        <w:rPr>
          <w:rFonts w:ascii="Arial" w:cs="Arial" w:eastAsia="Arial" w:hAnsi="Arial"/>
          <w:sz w:val="22"/>
          <w:szCs w:val="22"/>
          <w:color w:val="auto"/>
        </w:rPr>
        <w:t>Third quarter 2023 sales increased $229 million, or 9 percent, primarily due to higher volume in Manned Aircraft. Higher sales on restricted programs and E-2 were partially offset by lower volume on F/A-18 largely due to post Multi-Year Procurement 4 (MYP4) contract award timing.</w:t>
      </w: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43" w:lineRule="exact"/>
        <w:rPr>
          <w:sz w:val="20"/>
          <w:szCs w:val="20"/>
          <w:color w:val="auto"/>
        </w:rPr>
      </w:pPr>
    </w:p>
    <w:p>
      <w:pPr>
        <w:ind w:right="160" w:firstLine="324"/>
        <w:spacing w:after="0" w:line="249" w:lineRule="auto"/>
        <w:rPr>
          <w:sz w:val="20"/>
          <w:szCs w:val="20"/>
          <w:color w:val="auto"/>
        </w:rPr>
      </w:pPr>
      <w:r>
        <w:rPr>
          <w:rFonts w:ascii="Arial" w:cs="Arial" w:eastAsia="Arial" w:hAnsi="Arial"/>
          <w:sz w:val="22"/>
          <w:szCs w:val="22"/>
          <w:color w:val="auto"/>
        </w:rPr>
        <w:t>Third quarter 2023 operating income increased $21 million, or 8 percent, primarily due to higher sales. Operating margin rate was comparable with the prior year period.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DEFENSE SYSTEMS</w:t>
            </w:r>
          </w:p>
        </w:tc>
        <w:tc>
          <w:tcPr>
            <w:tcW w:w="220" w:type="dxa"/>
            <w:vAlign w:val="bottom"/>
          </w:tcPr>
          <w:p>
            <w:pPr>
              <w:spacing w:after="0"/>
              <w:rPr>
                <w:sz w:val="17"/>
                <w:szCs w:val="17"/>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3"/>
          </w:tcPr>
          <w:p>
            <w:pPr>
              <w:jc w:val="right"/>
              <w:ind w:right="312"/>
              <w:spacing w:after="0"/>
              <w:rPr>
                <w:sz w:val="20"/>
                <w:szCs w:val="20"/>
                <w:color w:val="auto"/>
              </w:rPr>
            </w:pPr>
            <w:r>
              <w:rPr>
                <w:rFonts w:ascii="Arial" w:cs="Arial" w:eastAsia="Arial" w:hAnsi="Arial"/>
                <w:sz w:val="18"/>
                <w:szCs w:val="18"/>
                <w:color w:val="auto"/>
              </w:rPr>
              <w:t>Nine Months Ended</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2"/>
        </w:trPr>
        <w:tc>
          <w:tcPr>
            <w:tcW w:w="390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color w:val="auto"/>
              </w:rPr>
              <w:t>September 30</w:t>
            </w:r>
          </w:p>
        </w:tc>
        <w:tc>
          <w:tcPr>
            <w:tcW w:w="13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1,421</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1,345</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6 %  $</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4,217</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182</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158</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15 %</w:t>
            </w:r>
          </w:p>
        </w:tc>
        <w:tc>
          <w:tcPr>
            <w:tcW w:w="2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508</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6 %</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12.8 %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11.7 %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12.0 %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12.3 %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Third quarter 2023 sales increased $76 million, or 6 percent, primarily due to higher volume in Battle Management</w:t>
      </w:r>
    </w:p>
    <w:p>
      <w:pPr>
        <w:spacing w:after="0" w:line="2" w:lineRule="exact"/>
        <w:rPr>
          <w:sz w:val="20"/>
          <w:szCs w:val="20"/>
          <w:color w:val="auto"/>
        </w:rPr>
      </w:pPr>
    </w:p>
    <w:p>
      <w:pPr>
        <w:ind w:right="760" w:firstLine="8"/>
        <w:spacing w:after="0" w:line="259" w:lineRule="auto"/>
        <w:tabs>
          <w:tab w:leader="none" w:pos="204" w:val="left"/>
        </w:tabs>
        <w:numPr>
          <w:ilvl w:val="0"/>
          <w:numId w:val="7"/>
        </w:numPr>
        <w:rPr>
          <w:rFonts w:ascii="Arial" w:cs="Arial" w:eastAsia="Arial" w:hAnsi="Arial"/>
          <w:sz w:val="21"/>
          <w:szCs w:val="21"/>
          <w:color w:val="auto"/>
        </w:rPr>
      </w:pPr>
      <w:r>
        <w:rPr>
          <w:rFonts w:ascii="Arial" w:cs="Arial" w:eastAsia="Arial" w:hAnsi="Arial"/>
          <w:sz w:val="21"/>
          <w:szCs w:val="21"/>
          <w:color w:val="auto"/>
        </w:rPr>
        <w:t>Missile Systems, which was driven by several programs, including Integrated Air and Missile Defense Battle Command System (IBCS), ammunition programs, GMLRS, and Hypersonic Attack Cruise Missile (HACM).</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43" w:lineRule="exact"/>
        <w:rPr>
          <w:sz w:val="20"/>
          <w:szCs w:val="20"/>
          <w:color w:val="auto"/>
        </w:rPr>
      </w:pPr>
    </w:p>
    <w:p>
      <w:pPr>
        <w:ind w:right="140" w:firstLine="324"/>
        <w:spacing w:after="0" w:line="246" w:lineRule="auto"/>
        <w:rPr>
          <w:sz w:val="20"/>
          <w:szCs w:val="20"/>
          <w:color w:val="auto"/>
        </w:rPr>
      </w:pPr>
      <w:r>
        <w:rPr>
          <w:rFonts w:ascii="Arial" w:cs="Arial" w:eastAsia="Arial" w:hAnsi="Arial"/>
          <w:sz w:val="22"/>
          <w:szCs w:val="22"/>
          <w:color w:val="auto"/>
        </w:rPr>
        <w:t>Third quarter 2023 operating income increased $24 million, or 15 percent, due to a higher operating margin rate and higher sales. Operating margin rate increased to 12.8 percent from 11.7 percent primarily due to higher net EAC adjustments at Battle Management &amp; Missile Systems.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MISSION SYSTEMS</w:t>
            </w:r>
          </w:p>
        </w:tc>
        <w:tc>
          <w:tcPr>
            <w:tcW w:w="220" w:type="dxa"/>
            <w:vAlign w:val="bottom"/>
          </w:tcPr>
          <w:p>
            <w:pPr>
              <w:spacing w:after="0"/>
              <w:rPr>
                <w:sz w:val="18"/>
                <w:szCs w:val="18"/>
                <w:color w:val="auto"/>
              </w:rPr>
            </w:pPr>
          </w:p>
        </w:tc>
        <w:tc>
          <w:tcPr>
            <w:tcW w:w="2160" w:type="dxa"/>
            <w:vAlign w:val="bottom"/>
            <w:gridSpan w:val="3"/>
          </w:tcPr>
          <w:p>
            <w:pPr>
              <w:jc w:val="right"/>
              <w:ind w:right="272"/>
              <w:spacing w:after="0"/>
              <w:rPr>
                <w:sz w:val="20"/>
                <w:szCs w:val="20"/>
                <w:color w:val="auto"/>
              </w:rPr>
            </w:pPr>
            <w:r>
              <w:rPr>
                <w:rFonts w:ascii="Arial" w:cs="Arial" w:eastAsia="Arial" w:hAnsi="Arial"/>
                <w:sz w:val="18"/>
                <w:szCs w:val="18"/>
                <w:color w:val="auto"/>
              </w:rPr>
              <w:t>Three Months Ended</w:t>
            </w:r>
          </w:p>
        </w:tc>
        <w:tc>
          <w:tcPr>
            <w:tcW w:w="13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140" w:type="dxa"/>
            <w:vAlign w:val="bottom"/>
            <w:gridSpan w:val="3"/>
          </w:tcPr>
          <w:p>
            <w:pPr>
              <w:jc w:val="right"/>
              <w:ind w:right="312"/>
              <w:spacing w:after="0"/>
              <w:rPr>
                <w:sz w:val="20"/>
                <w:szCs w:val="20"/>
                <w:color w:val="auto"/>
              </w:rPr>
            </w:pPr>
            <w:r>
              <w:rPr>
                <w:rFonts w:ascii="Arial" w:cs="Arial" w:eastAsia="Arial" w:hAnsi="Arial"/>
                <w:sz w:val="18"/>
                <w:szCs w:val="18"/>
                <w:color w:val="auto"/>
              </w:rPr>
              <w:t>Nine Months Ended</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2"/>
        </w:trPr>
        <w:tc>
          <w:tcPr>
            <w:tcW w:w="390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2,628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2,456</w:t>
            </w:r>
          </w:p>
        </w:tc>
        <w:tc>
          <w:tcPr>
            <w:tcW w:w="158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7 %  $</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7,832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7,469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386</w:t>
            </w:r>
          </w:p>
        </w:tc>
        <w:tc>
          <w:tcPr>
            <w:tcW w:w="30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368</w:t>
            </w:r>
          </w:p>
        </w:tc>
        <w:tc>
          <w:tcPr>
            <w:tcW w:w="1340" w:type="dxa"/>
            <w:vAlign w:val="bottom"/>
          </w:tcPr>
          <w:p>
            <w:pPr>
              <w:ind w:left="900"/>
              <w:spacing w:after="0"/>
              <w:rPr>
                <w:sz w:val="20"/>
                <w:szCs w:val="20"/>
                <w:color w:val="auto"/>
              </w:rPr>
            </w:pPr>
            <w:r>
              <w:rPr>
                <w:rFonts w:ascii="Arial" w:cs="Arial" w:eastAsia="Arial" w:hAnsi="Arial"/>
                <w:sz w:val="18"/>
                <w:szCs w:val="18"/>
                <w:b w:val="1"/>
                <w:bCs w:val="1"/>
                <w:color w:val="auto"/>
              </w:rPr>
              <w:t>5 %</w:t>
            </w:r>
          </w:p>
        </w:tc>
        <w:tc>
          <w:tcPr>
            <w:tcW w:w="2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1,147</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1,166</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14.7 %</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15.0 %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14.6 %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15.6 %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30" w:lineRule="exact"/>
        <w:rPr>
          <w:sz w:val="20"/>
          <w:szCs w:val="20"/>
          <w:color w:val="auto"/>
        </w:rPr>
      </w:pPr>
    </w:p>
    <w:p>
      <w:pPr>
        <w:ind w:right="520" w:firstLine="324"/>
        <w:spacing w:after="0" w:line="252" w:lineRule="auto"/>
        <w:rPr>
          <w:sz w:val="20"/>
          <w:szCs w:val="20"/>
          <w:color w:val="auto"/>
        </w:rPr>
      </w:pPr>
      <w:r>
        <w:rPr>
          <w:rFonts w:ascii="Arial" w:cs="Arial" w:eastAsia="Arial" w:hAnsi="Arial"/>
          <w:sz w:val="22"/>
          <w:szCs w:val="22"/>
          <w:color w:val="auto"/>
        </w:rPr>
        <w:t>Third quarter 2023 sales increased $172 million, or 7 percent, primarily due to higher restricted sales in the Networked Information Solutions business area, as well as higher volume on marine systems programs, partially offset by lower volume on the Ground/Air Task Oriented</w:t>
      </w:r>
    </w:p>
    <w:p>
      <w:pPr>
        <w:spacing w:after="0" w:line="200" w:lineRule="exact"/>
        <w:rPr>
          <w:sz w:val="20"/>
          <w:szCs w:val="20"/>
          <w:color w:val="auto"/>
        </w:rPr>
      </w:pPr>
    </w:p>
    <w:p>
      <w:pPr>
        <w:spacing w:after="0" w:line="345" w:lineRule="exact"/>
        <w:rPr>
          <w:sz w:val="20"/>
          <w:szCs w:val="20"/>
          <w:color w:val="auto"/>
        </w:rPr>
      </w:pPr>
    </w:p>
    <w:p>
      <w:pPr>
        <w:ind w:left="120" w:hanging="94"/>
        <w:spacing w:after="0"/>
        <w:tabs>
          <w:tab w:leader="none" w:pos="1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8" w:name="page9"/>
    <w:bookmarkEnd w:id="8"/>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5</w:t>
            </w:r>
          </w:p>
        </w:tc>
      </w:tr>
    </w:tbl>
    <w:p>
      <w:pPr>
        <w:spacing w:after="0" w:line="396" w:lineRule="exact"/>
        <w:rPr>
          <w:sz w:val="20"/>
          <w:szCs w:val="20"/>
          <w:color w:val="auto"/>
        </w:rPr>
      </w:pPr>
    </w:p>
    <w:p>
      <w:pPr>
        <w:ind w:right="240"/>
        <w:spacing w:after="0" w:line="282" w:lineRule="auto"/>
        <w:rPr>
          <w:sz w:val="20"/>
          <w:szCs w:val="20"/>
          <w:color w:val="auto"/>
        </w:rPr>
      </w:pPr>
      <w:r>
        <w:rPr>
          <w:rFonts w:ascii="Arial" w:cs="Arial" w:eastAsia="Arial" w:hAnsi="Arial"/>
          <w:sz w:val="22"/>
          <w:szCs w:val="22"/>
          <w:color w:val="auto"/>
        </w:rPr>
        <w:t xml:space="preserve">Radar (G/ATOR) program largely driven by material receipts and full-rate production (FRP) 5 contract award timing. </w:t>
      </w:r>
      <w:r>
        <w:rPr>
          <w:rFonts w:ascii="Arial" w:cs="Arial" w:eastAsia="Arial" w:hAnsi="Arial"/>
          <w:sz w:val="22"/>
          <w:szCs w:val="22"/>
          <w:b w:val="1"/>
          <w:bCs w:val="1"/>
          <w:color w:val="auto"/>
        </w:rPr>
        <w:t>Operating Income</w:t>
      </w:r>
    </w:p>
    <w:p>
      <w:pPr>
        <w:spacing w:after="0" w:line="2" w:lineRule="exact"/>
        <w:rPr>
          <w:sz w:val="20"/>
          <w:szCs w:val="20"/>
          <w:color w:val="auto"/>
        </w:rPr>
      </w:pPr>
    </w:p>
    <w:p>
      <w:pPr>
        <w:ind w:right="180" w:firstLine="324"/>
        <w:spacing w:after="0" w:line="252" w:lineRule="auto"/>
        <w:rPr>
          <w:sz w:val="20"/>
          <w:szCs w:val="20"/>
          <w:color w:val="auto"/>
        </w:rPr>
      </w:pPr>
      <w:r>
        <w:rPr>
          <w:rFonts w:ascii="Arial" w:cs="Arial" w:eastAsia="Arial" w:hAnsi="Arial"/>
          <w:sz w:val="22"/>
          <w:szCs w:val="22"/>
          <w:color w:val="auto"/>
        </w:rPr>
        <w:t>Third quarter 2023 operating income increased $18 million, or 5 percent, due to higher sales, partially offset by a lower operating margin rate. Operating margin rate decreased to 14.7 percent from 15.0 percent primarily due to changes in contract mix toward more cost-type content.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vMerge w:val="restart"/>
          </w:tcPr>
          <w:p>
            <w:pPr>
              <w:ind w:left="20"/>
              <w:spacing w:after="0"/>
              <w:rPr>
                <w:sz w:val="20"/>
                <w:szCs w:val="20"/>
                <w:color w:val="auto"/>
              </w:rPr>
            </w:pPr>
            <w:r>
              <w:rPr>
                <w:rFonts w:ascii="Arial" w:cs="Arial" w:eastAsia="Arial" w:hAnsi="Arial"/>
                <w:sz w:val="22"/>
                <w:szCs w:val="22"/>
                <w:b w:val="1"/>
                <w:bCs w:val="1"/>
                <w:color w:val="auto"/>
              </w:rPr>
              <w:t>SPACE SYSTEMS</w:t>
            </w:r>
          </w:p>
        </w:tc>
        <w:tc>
          <w:tcPr>
            <w:tcW w:w="240" w:type="dxa"/>
            <w:vAlign w:val="bottom"/>
          </w:tcPr>
          <w:p>
            <w:pPr>
              <w:spacing w:after="0"/>
              <w:rPr>
                <w:sz w:val="17"/>
                <w:szCs w:val="17"/>
                <w:color w:val="auto"/>
              </w:rPr>
            </w:pPr>
          </w:p>
        </w:tc>
        <w:tc>
          <w:tcPr>
            <w:tcW w:w="2140" w:type="dxa"/>
            <w:vAlign w:val="bottom"/>
            <w:gridSpan w:val="3"/>
          </w:tcPr>
          <w:p>
            <w:pPr>
              <w:jc w:val="right"/>
              <w:ind w:right="252"/>
              <w:spacing w:after="0"/>
              <w:rPr>
                <w:sz w:val="20"/>
                <w:szCs w:val="20"/>
                <w:color w:val="auto"/>
              </w:rPr>
            </w:pPr>
            <w:r>
              <w:rPr>
                <w:rFonts w:ascii="Arial" w:cs="Arial" w:eastAsia="Arial" w:hAnsi="Arial"/>
                <w:sz w:val="18"/>
                <w:szCs w:val="18"/>
                <w:color w:val="auto"/>
              </w:rPr>
              <w:t>Three Months Ended</w:t>
            </w:r>
          </w:p>
        </w:tc>
        <w:tc>
          <w:tcPr>
            <w:tcW w:w="134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7"/>
                <w:szCs w:val="17"/>
                <w:color w:val="auto"/>
              </w:rPr>
            </w:pPr>
          </w:p>
        </w:tc>
        <w:tc>
          <w:tcPr>
            <w:tcW w:w="2160" w:type="dxa"/>
            <w:vAlign w:val="bottom"/>
            <w:gridSpan w:val="3"/>
          </w:tcPr>
          <w:p>
            <w:pPr>
              <w:jc w:val="right"/>
              <w:ind w:right="332"/>
              <w:spacing w:after="0"/>
              <w:rPr>
                <w:sz w:val="20"/>
                <w:szCs w:val="20"/>
                <w:color w:val="auto"/>
              </w:rPr>
            </w:pPr>
            <w:r>
              <w:rPr>
                <w:rFonts w:ascii="Arial" w:cs="Arial" w:eastAsia="Arial" w:hAnsi="Arial"/>
                <w:sz w:val="18"/>
                <w:szCs w:val="18"/>
                <w:color w:val="auto"/>
              </w:rPr>
              <w:t>Nine Months Ended</w:t>
            </w:r>
          </w:p>
        </w:tc>
        <w:tc>
          <w:tcPr>
            <w:tcW w:w="12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2"/>
        </w:trPr>
        <w:tc>
          <w:tcPr>
            <w:tcW w:w="38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8"/>
                <w:szCs w:val="18"/>
                <w:color w:val="auto"/>
              </w:rPr>
              <w:t>September 30</w:t>
            </w:r>
          </w:p>
        </w:tc>
        <w:tc>
          <w:tcPr>
            <w:tcW w:w="134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color w:val="auto"/>
              </w:rPr>
              <w:t>September 30</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2022</w:t>
            </w: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2022</w:t>
            </w: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3,506</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3,163</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11 %  $</w:t>
            </w:r>
          </w:p>
        </w:tc>
        <w:tc>
          <w:tcPr>
            <w:tcW w:w="9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10,344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8,997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312</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290</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8 %</w:t>
            </w:r>
          </w:p>
        </w:tc>
        <w:tc>
          <w:tcPr>
            <w:tcW w:w="24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908</w:t>
            </w: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861</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Operating margin rate</w:t>
            </w: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8.9 %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9.2 %</w:t>
            </w:r>
          </w:p>
        </w:tc>
        <w:tc>
          <w:tcPr>
            <w:tcW w:w="1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8.8 %</w:t>
            </w: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9.6 %</w:t>
            </w: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30" w:lineRule="exact"/>
        <w:rPr>
          <w:sz w:val="20"/>
          <w:szCs w:val="20"/>
          <w:color w:val="auto"/>
        </w:rPr>
      </w:pPr>
    </w:p>
    <w:p>
      <w:pPr>
        <w:ind w:right="200" w:firstLine="324"/>
        <w:spacing w:after="0" w:line="247" w:lineRule="auto"/>
        <w:rPr>
          <w:sz w:val="20"/>
          <w:szCs w:val="20"/>
          <w:color w:val="auto"/>
        </w:rPr>
      </w:pPr>
      <w:r>
        <w:rPr>
          <w:rFonts w:ascii="Arial" w:cs="Arial" w:eastAsia="Arial" w:hAnsi="Arial"/>
          <w:sz w:val="22"/>
          <w:szCs w:val="22"/>
          <w:color w:val="auto"/>
        </w:rPr>
        <w:t>Third quarter 2023 sales increased $343 million, or 11 percent, due to higher sales in both business areas. Launch &amp; Strategic Missiles sales increased primarily due to ramp-up on development programs, including the Ground Based Strategic Deterrent (GBSD), and Next Generation Interceptor (NGI), as well as higher volume on the Space Launch System (SLS) booster program. Sales in the Space business area were driven by higher volume on restricted programs and the Next-Generation Overhead Persistent Infrared Polar (NextGen Polar) program, partially offset by lower sales on the HALO program.</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Income</w:t>
      </w:r>
    </w:p>
    <w:p>
      <w:pPr>
        <w:spacing w:after="0" w:line="30" w:lineRule="exact"/>
        <w:rPr>
          <w:sz w:val="20"/>
          <w:szCs w:val="20"/>
          <w:color w:val="auto"/>
        </w:rPr>
      </w:pPr>
    </w:p>
    <w:p>
      <w:pPr>
        <w:ind w:right="180" w:firstLine="324"/>
        <w:spacing w:after="0" w:line="249" w:lineRule="auto"/>
        <w:rPr>
          <w:sz w:val="20"/>
          <w:szCs w:val="20"/>
          <w:color w:val="auto"/>
        </w:rPr>
      </w:pPr>
      <w:r>
        <w:rPr>
          <w:rFonts w:ascii="Arial" w:cs="Arial" w:eastAsia="Arial" w:hAnsi="Arial"/>
          <w:sz w:val="22"/>
          <w:szCs w:val="22"/>
          <w:color w:val="auto"/>
        </w:rPr>
        <w:t>Third quarter 2023 operating income increased $22 million, or 8 percent, due to higher sales, partially offset by a lower operating margin rate. Operating margin rate decreased to 8.9 percent from 9.2 percent primarily due to lower net EAC adjustments, partially offset by a $16 million benefit from insurance recoveries in our commercial space business.</w:t>
      </w:r>
    </w:p>
    <w:p>
      <w:pPr>
        <w:spacing w:after="0" w:line="200" w:lineRule="exact"/>
        <w:rPr>
          <w:sz w:val="20"/>
          <w:szCs w:val="20"/>
          <w:color w:val="auto"/>
        </w:rPr>
      </w:pPr>
    </w:p>
    <w:p>
      <w:pPr>
        <w:spacing w:after="0" w:line="349" w:lineRule="exact"/>
        <w:rPr>
          <w:sz w:val="20"/>
          <w:szCs w:val="20"/>
          <w:color w:val="auto"/>
        </w:rPr>
      </w:pPr>
    </w:p>
    <w:p>
      <w:pPr>
        <w:ind w:left="120" w:hanging="94"/>
        <w:spacing w:after="0"/>
        <w:tabs>
          <w:tab w:leader="none" w:pos="1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Non-GAAP measure - see definitions at the end of this 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1"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6</w:t>
            </w:r>
          </w:p>
        </w:tc>
      </w:tr>
    </w:tbl>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Guidance</w:t>
      </w:r>
    </w:p>
    <w:p>
      <w:pPr>
        <w:spacing w:after="0" w:line="108" w:lineRule="exact"/>
        <w:rPr>
          <w:sz w:val="20"/>
          <w:szCs w:val="20"/>
          <w:color w:val="auto"/>
        </w:rPr>
      </w:pPr>
    </w:p>
    <w:p>
      <w:pPr>
        <w:ind w:firstLine="240"/>
        <w:spacing w:after="0" w:line="247" w:lineRule="auto"/>
        <w:rPr>
          <w:sz w:val="20"/>
          <w:szCs w:val="20"/>
          <w:color w:val="auto"/>
        </w:rPr>
      </w:pPr>
      <w:r>
        <w:rPr>
          <w:rFonts w:ascii="Arial" w:cs="Arial" w:eastAsia="Arial" w:hAnsi="Arial"/>
          <w:sz w:val="22"/>
          <w:szCs w:val="22"/>
          <w:color w:val="auto"/>
        </w:rPr>
        <w:t>Financial guidance, as well as outlook, trends, expectations and other forward looking statements provided by the company for 2023 and beyond, reflect the company's judgment based on the information available to the company at the time of this release. The company’s financial guidance and outlook for 2023 and beyond reflect what the company currently anticipates will be the impacts on the company from, among other factors, the global macroeconomic, health, security, and political/budget environments, including the impacts from inflationary pressures and labor and supply chain challenges; COVID-19; hostilities and changes in the threat environment; changes in government budget, appropriations and procurement priorities and processes; changes in the regulatory environment; and changes in support for our programs. We are not assuming, and the company’s financial guidance and outlook for 2023 and beyond do not reflect any impacts on the company from, a potential extended continuing resolution, a prolonged government shutdown, or application of spending limits or sequestration. However, the company cannot predict how these factors will evolve or what impacts they will have, and there can be no assurance that the company’s current expectations or underlying assumptions are correct. These factors can affect the company’s ability to achieve guidance or meet expectations.</w:t>
      </w:r>
    </w:p>
    <w:p>
      <w:pPr>
        <w:spacing w:after="0" w:line="72" w:lineRule="exact"/>
        <w:rPr>
          <w:sz w:val="20"/>
          <w:szCs w:val="20"/>
          <w:color w:val="auto"/>
        </w:rPr>
      </w:pPr>
    </w:p>
    <w:p>
      <w:pPr>
        <w:ind w:right="40" w:firstLine="324"/>
        <w:spacing w:after="0" w:line="264" w:lineRule="auto"/>
        <w:rPr>
          <w:sz w:val="20"/>
          <w:szCs w:val="20"/>
          <w:color w:val="auto"/>
        </w:rPr>
      </w:pPr>
      <w:r>
        <w:rPr>
          <w:rFonts w:ascii="Arial" w:cs="Arial" w:eastAsia="Arial" w:hAnsi="Arial"/>
          <w:sz w:val="22"/>
          <w:szCs w:val="22"/>
          <w:color w:val="auto"/>
        </w:rPr>
        <w:t>For additional factors that may impact the company’s ability to achieve guidance or meet expectations, please see the “Forward-Looking Statements” section in this release and our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53"/>
        </w:trPr>
        <w:tc>
          <w:tcPr>
            <w:tcW w:w="6540" w:type="dxa"/>
            <w:vAlign w:val="bottom"/>
            <w:gridSpan w:val="2"/>
          </w:tcPr>
          <w:p>
            <w:pPr>
              <w:ind w:left="20"/>
              <w:spacing w:after="0"/>
              <w:rPr>
                <w:sz w:val="20"/>
                <w:szCs w:val="20"/>
                <w:color w:val="auto"/>
              </w:rPr>
            </w:pPr>
            <w:r>
              <w:rPr>
                <w:rFonts w:ascii="Arial" w:cs="Arial" w:eastAsia="Arial" w:hAnsi="Arial"/>
                <w:sz w:val="20"/>
                <w:szCs w:val="20"/>
                <w:color w:val="auto"/>
              </w:rPr>
              <w:t>Northrop Grumman Reports Third Quarter 2023 Financial Results</w:t>
            </w: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425"/>
        </w:trPr>
        <w:tc>
          <w:tcPr>
            <w:tcW w:w="5760" w:type="dxa"/>
            <w:vAlign w:val="bottom"/>
            <w:tcBorders>
              <w:top w:val="single" w:sz="8" w:color="auto"/>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left w:val="single" w:sz="8" w:color="auto"/>
              <w:bottom w:val="single" w:sz="8" w:color="auto"/>
            </w:tcBorders>
            <w:gridSpan w:val="2"/>
          </w:tcPr>
          <w:p>
            <w:pPr>
              <w:ind w:left="4860"/>
              <w:spacing w:after="0"/>
              <w:rPr>
                <w:sz w:val="20"/>
                <w:szCs w:val="20"/>
                <w:color w:val="auto"/>
              </w:rPr>
            </w:pPr>
            <w:r>
              <w:rPr>
                <w:rFonts w:ascii="Arial" w:cs="Arial" w:eastAsia="Arial" w:hAnsi="Arial"/>
                <w:sz w:val="22"/>
                <w:szCs w:val="22"/>
                <w:b w:val="1"/>
                <w:bCs w:val="1"/>
                <w:color w:val="auto"/>
              </w:rPr>
              <w:t>2023 Guidance</w:t>
            </w:r>
          </w:p>
        </w:tc>
        <w:tc>
          <w:tcPr>
            <w:tcW w:w="8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r>
      <w:tr>
        <w:trPr>
          <w:trHeight w:val="223"/>
        </w:trPr>
        <w:tc>
          <w:tcPr>
            <w:tcW w:w="65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 in millions, except per share amounts)</w:t>
            </w:r>
          </w:p>
        </w:tc>
        <w:tc>
          <w:tcPr>
            <w:tcW w:w="236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As of 7/27/2023</w:t>
            </w:r>
          </w:p>
        </w:tc>
        <w:tc>
          <w:tcPr>
            <w:tcW w:w="236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As of 10/26/2023</w:t>
            </w:r>
          </w:p>
        </w:tc>
      </w:tr>
      <w:tr>
        <w:trPr>
          <w:trHeight w:val="250"/>
        </w:trPr>
        <w:tc>
          <w:tcPr>
            <w:tcW w:w="654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20"/>
                <w:szCs w:val="20"/>
                <w:b w:val="1"/>
                <w:bCs w:val="1"/>
                <w:color w:val="auto"/>
              </w:rPr>
              <w:t>Sales</w:t>
            </w:r>
          </w:p>
        </w:tc>
        <w:tc>
          <w:tcPr>
            <w:tcW w:w="880" w:type="dxa"/>
            <w:vAlign w:val="bottom"/>
            <w:tcBorders>
              <w:bottom w:val="single" w:sz="8" w:color="auto"/>
            </w:tcBorders>
            <w:gridSpan w:val="2"/>
            <w:shd w:val="clear" w:color="auto" w:fill="CCEEFF"/>
          </w:tcPr>
          <w:p>
            <w:pPr>
              <w:jc w:val="center"/>
              <w:ind w:left="4"/>
              <w:spacing w:after="0"/>
              <w:rPr>
                <w:sz w:val="20"/>
                <w:szCs w:val="20"/>
                <w:color w:val="auto"/>
              </w:rPr>
            </w:pPr>
            <w:r>
              <w:rPr>
                <w:rFonts w:ascii="Arial" w:cs="Arial" w:eastAsia="Arial" w:hAnsi="Arial"/>
                <w:sz w:val="20"/>
                <w:szCs w:val="20"/>
                <w:color w:val="auto"/>
                <w:w w:val="96"/>
              </w:rPr>
              <w:t>$38,400</w:t>
            </w:r>
          </w:p>
        </w:tc>
        <w:tc>
          <w:tcPr>
            <w:tcW w:w="1480" w:type="dxa"/>
            <w:vAlign w:val="bottom"/>
            <w:tcBorders>
              <w:bottom w:val="single" w:sz="8" w:color="auto"/>
              <w:right w:val="single" w:sz="8" w:color="auto"/>
            </w:tcBorders>
            <w:gridSpan w:val="2"/>
            <w:shd w:val="clear" w:color="auto" w:fill="CCEEFF"/>
          </w:tcPr>
          <w:p>
            <w:pPr>
              <w:ind w:left="180"/>
              <w:spacing w:after="0"/>
              <w:rPr>
                <w:sz w:val="20"/>
                <w:szCs w:val="20"/>
                <w:color w:val="auto"/>
              </w:rPr>
            </w:pPr>
            <w:r>
              <w:rPr>
                <w:rFonts w:ascii="Arial" w:cs="Arial" w:eastAsia="Arial" w:hAnsi="Arial"/>
                <w:sz w:val="20"/>
                <w:szCs w:val="20"/>
                <w:color w:val="auto"/>
              </w:rPr>
              <w:t>—  $38,800</w:t>
            </w:r>
          </w:p>
        </w:tc>
        <w:tc>
          <w:tcPr>
            <w:tcW w:w="236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Arial" w:cs="Arial" w:eastAsia="Arial" w:hAnsi="Arial"/>
                <w:sz w:val="20"/>
                <w:szCs w:val="20"/>
                <w:b w:val="1"/>
                <w:bCs w:val="1"/>
                <w:color w:val="auto"/>
                <w:w w:val="97"/>
              </w:rPr>
              <w:t>~$39,000</w:t>
            </w:r>
          </w:p>
        </w:tc>
      </w:tr>
      <w:tr>
        <w:trPr>
          <w:trHeight w:val="250"/>
        </w:trPr>
        <w:tc>
          <w:tcPr>
            <w:tcW w:w="576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6540" w:type="dxa"/>
            <w:vAlign w:val="bottom"/>
            <w:tcBorders>
              <w:left w:val="single" w:sz="8" w:color="auto"/>
              <w:right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0"/>
                <w:szCs w:val="20"/>
                <w:b w:val="1"/>
                <w:bCs w:val="1"/>
                <w:color w:val="auto"/>
              </w:rPr>
              <w:t>Segment operating income</w:t>
            </w:r>
            <w:r>
              <w:rPr>
                <w:rFonts w:ascii="Arial" w:cs="Arial" w:eastAsia="Arial" w:hAnsi="Arial"/>
                <w:sz w:val="25"/>
                <w:szCs w:val="25"/>
                <w:b w:val="1"/>
                <w:bCs w:val="1"/>
                <w:color w:val="auto"/>
                <w:vertAlign w:val="superscript"/>
              </w:rPr>
              <w:t>1</w:t>
            </w:r>
          </w:p>
        </w:tc>
        <w:tc>
          <w:tcPr>
            <w:tcW w:w="880" w:type="dxa"/>
            <w:vAlign w:val="bottom"/>
            <w:gridSpan w:val="2"/>
            <w:shd w:val="clear" w:color="auto" w:fill="CCEEFF"/>
          </w:tcPr>
          <w:p>
            <w:pPr>
              <w:jc w:val="center"/>
              <w:ind w:left="4"/>
              <w:spacing w:after="0"/>
              <w:rPr>
                <w:sz w:val="20"/>
                <w:szCs w:val="20"/>
                <w:color w:val="auto"/>
              </w:rPr>
            </w:pPr>
            <w:r>
              <w:rPr>
                <w:rFonts w:ascii="Arial" w:cs="Arial" w:eastAsia="Arial" w:hAnsi="Arial"/>
                <w:sz w:val="20"/>
                <w:szCs w:val="20"/>
                <w:color w:val="auto"/>
              </w:rPr>
              <w:t>$4,300</w:t>
            </w:r>
          </w:p>
        </w:tc>
        <w:tc>
          <w:tcPr>
            <w:tcW w:w="62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860" w:type="dxa"/>
            <w:vAlign w:val="bottom"/>
            <w:tcBorders>
              <w:right w:val="single" w:sz="8" w:color="auto"/>
            </w:tcBorders>
            <w:shd w:val="clear" w:color="auto" w:fill="CCEEFF"/>
          </w:tcPr>
          <w:p>
            <w:pPr>
              <w:jc w:val="center"/>
              <w:ind w:right="104"/>
              <w:spacing w:after="0"/>
              <w:rPr>
                <w:sz w:val="20"/>
                <w:szCs w:val="20"/>
                <w:color w:val="auto"/>
              </w:rPr>
            </w:pPr>
            <w:r>
              <w:rPr>
                <w:rFonts w:ascii="Arial" w:cs="Arial" w:eastAsia="Arial" w:hAnsi="Arial"/>
                <w:sz w:val="20"/>
                <w:szCs w:val="20"/>
                <w:color w:val="auto"/>
              </w:rPr>
              <w:t>$4,400</w:t>
            </w:r>
          </w:p>
        </w:tc>
        <w:tc>
          <w:tcPr>
            <w:tcW w:w="150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rPr>
              <w:t>$4,300   —</w:t>
            </w:r>
          </w:p>
        </w:tc>
        <w:tc>
          <w:tcPr>
            <w:tcW w:w="860" w:type="dxa"/>
            <w:vAlign w:val="bottom"/>
            <w:tcBorders>
              <w:right w:val="single" w:sz="8" w:color="auto"/>
            </w:tcBorders>
            <w:shd w:val="clear" w:color="auto" w:fill="CCEEFF"/>
          </w:tcPr>
          <w:p>
            <w:pPr>
              <w:jc w:val="center"/>
              <w:ind w:right="81"/>
              <w:spacing w:after="0"/>
              <w:rPr>
                <w:sz w:val="20"/>
                <w:szCs w:val="20"/>
                <w:color w:val="auto"/>
              </w:rPr>
            </w:pPr>
            <w:r>
              <w:rPr>
                <w:rFonts w:ascii="Arial" w:cs="Arial" w:eastAsia="Arial" w:hAnsi="Arial"/>
                <w:sz w:val="20"/>
                <w:szCs w:val="20"/>
                <w:color w:val="auto"/>
                <w:w w:val="98"/>
              </w:rPr>
              <w:t>$4,400</w:t>
            </w:r>
          </w:p>
        </w:tc>
      </w:tr>
      <w:tr>
        <w:trPr>
          <w:trHeight w:val="229"/>
        </w:trPr>
        <w:tc>
          <w:tcPr>
            <w:tcW w:w="6540" w:type="dxa"/>
            <w:vAlign w:val="bottom"/>
            <w:tcBorders>
              <w:left w:val="single" w:sz="8" w:color="auto"/>
              <w:right w:val="single" w:sz="8" w:color="auto"/>
            </w:tcBorders>
            <w:gridSpan w:val="2"/>
          </w:tcPr>
          <w:p>
            <w:pPr>
              <w:ind w:left="40"/>
              <w:spacing w:after="0" w:line="230" w:lineRule="exact"/>
              <w:rPr>
                <w:sz w:val="20"/>
                <w:szCs w:val="20"/>
                <w:color w:val="auto"/>
              </w:rPr>
            </w:pPr>
            <w:r>
              <w:rPr>
                <w:rFonts w:ascii="Arial" w:cs="Arial" w:eastAsia="Arial" w:hAnsi="Arial"/>
                <w:sz w:val="18"/>
                <w:szCs w:val="18"/>
                <w:color w:val="auto"/>
              </w:rPr>
              <w:t>Total net FAS/CAS pension adjustment</w:t>
            </w:r>
            <w:r>
              <w:rPr>
                <w:rFonts w:ascii="Arial" w:cs="Arial" w:eastAsia="Arial" w:hAnsi="Arial"/>
                <w:sz w:val="23"/>
                <w:szCs w:val="23"/>
                <w:color w:val="auto"/>
                <w:vertAlign w:val="superscript"/>
              </w:rPr>
              <w:t>2</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8"/>
              </w:rPr>
              <w:t>~$450</w:t>
            </w:r>
          </w:p>
        </w:tc>
        <w:tc>
          <w:tcPr>
            <w:tcW w:w="86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~$450</w:t>
            </w:r>
          </w:p>
        </w:tc>
        <w:tc>
          <w:tcPr>
            <w:tcW w:w="860" w:type="dxa"/>
            <w:vAlign w:val="bottom"/>
            <w:tcBorders>
              <w:right w:val="single" w:sz="8" w:color="auto"/>
            </w:tcBorders>
          </w:tcPr>
          <w:p>
            <w:pPr>
              <w:spacing w:after="0"/>
              <w:rPr>
                <w:sz w:val="19"/>
                <w:szCs w:val="19"/>
                <w:color w:val="auto"/>
              </w:rPr>
            </w:pPr>
          </w:p>
        </w:tc>
      </w:tr>
      <w:tr>
        <w:trPr>
          <w:trHeight w:val="230"/>
        </w:trPr>
        <w:tc>
          <w:tcPr>
            <w:tcW w:w="65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Unallocated corporate expense</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tcBorders>
              <w:right w:val="single" w:sz="8" w:color="auto"/>
            </w:tcBorders>
            <w:shd w:val="clear" w:color="auto" w:fill="CCEEFF"/>
          </w:tcPr>
          <w:p>
            <w:pPr>
              <w:spacing w:after="0"/>
              <w:rPr>
                <w:sz w:val="19"/>
                <w:szCs w:val="19"/>
                <w:color w:val="auto"/>
              </w:rPr>
            </w:pPr>
          </w:p>
        </w:tc>
      </w:tr>
      <w:tr>
        <w:trPr>
          <w:trHeight w:val="229"/>
        </w:trPr>
        <w:tc>
          <w:tcPr>
            <w:tcW w:w="6540" w:type="dxa"/>
            <w:vAlign w:val="bottom"/>
            <w:tcBorders>
              <w:left w:val="single" w:sz="8" w:color="auto"/>
              <w:right w:val="single" w:sz="8" w:color="auto"/>
            </w:tcBorders>
            <w:gridSpan w:val="2"/>
          </w:tcPr>
          <w:p>
            <w:pPr>
              <w:ind w:left="240"/>
              <w:spacing w:after="0"/>
              <w:rPr>
                <w:sz w:val="20"/>
                <w:szCs w:val="20"/>
                <w:color w:val="auto"/>
              </w:rPr>
            </w:pPr>
            <w:r>
              <w:rPr>
                <w:rFonts w:ascii="Arial" w:cs="Arial" w:eastAsia="Arial" w:hAnsi="Arial"/>
                <w:sz w:val="18"/>
                <w:szCs w:val="18"/>
                <w:color w:val="auto"/>
              </w:rPr>
              <w:t>Intangible asset amortization &amp; PP&amp;E step-up depreciation</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8"/>
              </w:rPr>
              <w:t>~$120</w:t>
            </w:r>
          </w:p>
        </w:tc>
        <w:tc>
          <w:tcPr>
            <w:tcW w:w="86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~$120</w:t>
            </w:r>
          </w:p>
        </w:tc>
        <w:tc>
          <w:tcPr>
            <w:tcW w:w="860" w:type="dxa"/>
            <w:vAlign w:val="bottom"/>
            <w:tcBorders>
              <w:right w:val="single" w:sz="8" w:color="auto"/>
            </w:tcBorders>
          </w:tcPr>
          <w:p>
            <w:pPr>
              <w:spacing w:after="0"/>
              <w:rPr>
                <w:sz w:val="19"/>
                <w:szCs w:val="19"/>
                <w:color w:val="auto"/>
              </w:rPr>
            </w:pPr>
          </w:p>
        </w:tc>
      </w:tr>
      <w:tr>
        <w:trPr>
          <w:trHeight w:val="229"/>
        </w:trPr>
        <w:tc>
          <w:tcPr>
            <w:tcW w:w="6540" w:type="dxa"/>
            <w:vAlign w:val="bottom"/>
            <w:tcBorders>
              <w:left w:val="single" w:sz="8" w:color="auto"/>
              <w:right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items</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w:t>
            </w:r>
          </w:p>
        </w:tc>
        <w:tc>
          <w:tcPr>
            <w:tcW w:w="860" w:type="dxa"/>
            <w:vAlign w:val="bottom"/>
            <w:tcBorders>
              <w:right w:val="single" w:sz="8" w:color="auto"/>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~$150</w:t>
            </w:r>
          </w:p>
        </w:tc>
        <w:tc>
          <w:tcPr>
            <w:tcW w:w="860" w:type="dxa"/>
            <w:vAlign w:val="bottom"/>
            <w:tcBorders>
              <w:right w:val="single" w:sz="8" w:color="auto"/>
            </w:tcBorders>
            <w:shd w:val="clear" w:color="auto" w:fill="CCEEFF"/>
          </w:tcPr>
          <w:p>
            <w:pPr>
              <w:spacing w:after="0"/>
              <w:rPr>
                <w:sz w:val="19"/>
                <w:szCs w:val="19"/>
                <w:color w:val="auto"/>
              </w:rPr>
            </w:pPr>
          </w:p>
        </w:tc>
      </w:tr>
      <w:tr>
        <w:trPr>
          <w:trHeight w:val="230"/>
        </w:trPr>
        <w:tc>
          <w:tcPr>
            <w:tcW w:w="6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Operating income</w:t>
            </w:r>
          </w:p>
        </w:tc>
        <w:tc>
          <w:tcPr>
            <w:tcW w:w="820" w:type="dxa"/>
            <w:vAlign w:val="bottom"/>
          </w:tcPr>
          <w:p>
            <w:pPr>
              <w:jc w:val="center"/>
              <w:ind w:left="64"/>
              <w:spacing w:after="0"/>
              <w:rPr>
                <w:sz w:val="20"/>
                <w:szCs w:val="20"/>
                <w:color w:val="auto"/>
              </w:rPr>
            </w:pPr>
            <w:r>
              <w:rPr>
                <w:rFonts w:ascii="Arial" w:cs="Arial" w:eastAsia="Arial" w:hAnsi="Arial"/>
                <w:sz w:val="18"/>
                <w:szCs w:val="18"/>
                <w:color w:val="auto"/>
                <w:w w:val="98"/>
              </w:rPr>
              <w:t>$3,950</w:t>
            </w: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ind w:right="104"/>
              <w:spacing w:after="0"/>
              <w:rPr>
                <w:sz w:val="20"/>
                <w:szCs w:val="20"/>
                <w:color w:val="auto"/>
              </w:rPr>
            </w:pPr>
            <w:r>
              <w:rPr>
                <w:rFonts w:ascii="Arial" w:cs="Arial" w:eastAsia="Arial" w:hAnsi="Arial"/>
                <w:sz w:val="18"/>
                <w:szCs w:val="18"/>
                <w:color w:val="auto"/>
                <w:w w:val="98"/>
              </w:rPr>
              <w:t>$4,050</w:t>
            </w:r>
          </w:p>
        </w:tc>
        <w:tc>
          <w:tcPr>
            <w:tcW w:w="820" w:type="dxa"/>
            <w:vAlign w:val="bottom"/>
          </w:tcPr>
          <w:p>
            <w:pPr>
              <w:jc w:val="right"/>
              <w:spacing w:after="0"/>
              <w:rPr>
                <w:sz w:val="20"/>
                <w:szCs w:val="20"/>
                <w:color w:val="auto"/>
              </w:rPr>
            </w:pPr>
            <w:r>
              <w:rPr>
                <w:rFonts w:ascii="Arial" w:cs="Arial" w:eastAsia="Arial" w:hAnsi="Arial"/>
                <w:sz w:val="18"/>
                <w:szCs w:val="18"/>
                <w:color w:val="auto"/>
              </w:rPr>
              <w:t>$3,950</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jc w:val="center"/>
              <w:ind w:right="101"/>
              <w:spacing w:after="0"/>
              <w:rPr>
                <w:sz w:val="20"/>
                <w:szCs w:val="20"/>
                <w:color w:val="auto"/>
              </w:rPr>
            </w:pPr>
            <w:r>
              <w:rPr>
                <w:rFonts w:ascii="Arial" w:cs="Arial" w:eastAsia="Arial" w:hAnsi="Arial"/>
                <w:sz w:val="18"/>
                <w:szCs w:val="18"/>
                <w:color w:val="auto"/>
                <w:w w:val="98"/>
              </w:rPr>
              <w:t>$4,050</w:t>
            </w:r>
          </w:p>
        </w:tc>
      </w:tr>
      <w:tr>
        <w:trPr>
          <w:trHeight w:val="229"/>
        </w:trPr>
        <w:tc>
          <w:tcPr>
            <w:tcW w:w="6540" w:type="dxa"/>
            <w:vAlign w:val="bottom"/>
            <w:tcBorders>
              <w:left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~$550</w:t>
            </w:r>
          </w:p>
        </w:tc>
        <w:tc>
          <w:tcPr>
            <w:tcW w:w="860" w:type="dxa"/>
            <w:vAlign w:val="bottom"/>
            <w:tcBorders>
              <w:right w:val="single" w:sz="8" w:color="auto"/>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~$550</w:t>
            </w:r>
          </w:p>
        </w:tc>
        <w:tc>
          <w:tcPr>
            <w:tcW w:w="860" w:type="dxa"/>
            <w:vAlign w:val="bottom"/>
            <w:tcBorders>
              <w:right w:val="single" w:sz="8" w:color="auto"/>
            </w:tcBorders>
            <w:shd w:val="clear" w:color="auto" w:fill="CCEEFF"/>
          </w:tcPr>
          <w:p>
            <w:pPr>
              <w:spacing w:after="0"/>
              <w:rPr>
                <w:sz w:val="19"/>
                <w:szCs w:val="19"/>
                <w:color w:val="auto"/>
              </w:rPr>
            </w:pPr>
          </w:p>
        </w:tc>
      </w:tr>
      <w:tr>
        <w:trPr>
          <w:trHeight w:val="229"/>
        </w:trPr>
        <w:tc>
          <w:tcPr>
            <w:tcW w:w="6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Effective tax rate %</w:t>
            </w: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8"/>
              </w:rPr>
              <w:t>~17%</w:t>
            </w:r>
          </w:p>
        </w:tc>
        <w:tc>
          <w:tcPr>
            <w:tcW w:w="860" w:type="dxa"/>
            <w:vAlign w:val="bottom"/>
            <w:tcBorders>
              <w:right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~17%</w:t>
            </w:r>
          </w:p>
        </w:tc>
        <w:tc>
          <w:tcPr>
            <w:tcW w:w="860" w:type="dxa"/>
            <w:vAlign w:val="bottom"/>
            <w:tcBorders>
              <w:right w:val="single" w:sz="8" w:color="auto"/>
            </w:tcBorders>
          </w:tcPr>
          <w:p>
            <w:pPr>
              <w:spacing w:after="0"/>
              <w:rPr>
                <w:sz w:val="19"/>
                <w:szCs w:val="19"/>
                <w:color w:val="auto"/>
              </w:rPr>
            </w:pPr>
          </w:p>
        </w:tc>
      </w:tr>
      <w:tr>
        <w:trPr>
          <w:trHeight w:val="229"/>
        </w:trPr>
        <w:tc>
          <w:tcPr>
            <w:tcW w:w="6540" w:type="dxa"/>
            <w:vAlign w:val="bottom"/>
            <w:tcBorders>
              <w:left w:val="single" w:sz="8" w:color="auto"/>
              <w:bottom w:val="single" w:sz="8" w:color="auto"/>
              <w:right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Mid 152</w:t>
            </w: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Mid 152</w:t>
            </w: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50"/>
        </w:trPr>
        <w:tc>
          <w:tcPr>
            <w:tcW w:w="576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spacing w:after="0"/>
              <w:rPr>
                <w:sz w:val="21"/>
                <w:szCs w:val="21"/>
                <w:color w:val="auto"/>
              </w:rPr>
            </w:pPr>
          </w:p>
        </w:tc>
      </w:tr>
      <w:tr>
        <w:trPr>
          <w:trHeight w:val="250"/>
        </w:trPr>
        <w:tc>
          <w:tcPr>
            <w:tcW w:w="6540" w:type="dxa"/>
            <w:vAlign w:val="bottom"/>
            <w:tcBorders>
              <w:left w:val="single" w:sz="8" w:color="auto"/>
              <w:right w:val="single" w:sz="8" w:color="auto"/>
            </w:tcBorders>
            <w:gridSpan w:val="2"/>
            <w:shd w:val="clear" w:color="auto" w:fill="CCEEFF"/>
          </w:tcPr>
          <w:p>
            <w:pPr>
              <w:ind w:left="40"/>
              <w:spacing w:after="0" w:line="250" w:lineRule="exact"/>
              <w:rPr>
                <w:sz w:val="20"/>
                <w:szCs w:val="20"/>
                <w:color w:val="auto"/>
              </w:rPr>
            </w:pPr>
            <w:r>
              <w:rPr>
                <w:rFonts w:ascii="Arial" w:cs="Arial" w:eastAsia="Arial" w:hAnsi="Arial"/>
                <w:sz w:val="20"/>
                <w:szCs w:val="20"/>
                <w:b w:val="1"/>
                <w:bCs w:val="1"/>
                <w:color w:val="auto"/>
              </w:rPr>
              <w:t>MTM-adjusted EPS</w:t>
            </w:r>
            <w:r>
              <w:rPr>
                <w:rFonts w:ascii="Arial" w:cs="Arial" w:eastAsia="Arial" w:hAnsi="Arial"/>
                <w:sz w:val="25"/>
                <w:szCs w:val="25"/>
                <w:b w:val="1"/>
                <w:bCs w:val="1"/>
                <w:color w:val="auto"/>
                <w:vertAlign w:val="superscript"/>
              </w:rPr>
              <w:t>1</w:t>
            </w:r>
          </w:p>
        </w:tc>
        <w:tc>
          <w:tcPr>
            <w:tcW w:w="2360" w:type="dxa"/>
            <w:vAlign w:val="bottom"/>
            <w:tcBorders>
              <w:right w:val="single" w:sz="8" w:color="auto"/>
            </w:tcBorders>
            <w:gridSpan w:val="4"/>
            <w:shd w:val="clear" w:color="auto" w:fill="CCEEFF"/>
          </w:tcPr>
          <w:p>
            <w:pPr>
              <w:jc w:val="center"/>
              <w:spacing w:after="0"/>
              <w:rPr>
                <w:sz w:val="20"/>
                <w:szCs w:val="20"/>
                <w:color w:val="auto"/>
              </w:rPr>
            </w:pPr>
            <w:r>
              <w:rPr>
                <w:rFonts w:ascii="Arial" w:cs="Arial" w:eastAsia="Arial" w:hAnsi="Arial"/>
                <w:sz w:val="20"/>
                <w:szCs w:val="20"/>
                <w:color w:val="auto"/>
              </w:rPr>
              <w:t>$22.45   —   $22.85</w:t>
            </w:r>
          </w:p>
        </w:tc>
        <w:tc>
          <w:tcPr>
            <w:tcW w:w="2360" w:type="dxa"/>
            <w:vAlign w:val="bottom"/>
            <w:tcBorders>
              <w:right w:val="single" w:sz="8" w:color="auto"/>
            </w:tcBorders>
            <w:gridSpan w:val="3"/>
            <w:shd w:val="clear" w:color="auto" w:fill="CCEEFF"/>
          </w:tcPr>
          <w:p>
            <w:pPr>
              <w:jc w:val="center"/>
              <w:spacing w:after="0"/>
              <w:rPr>
                <w:sz w:val="20"/>
                <w:szCs w:val="20"/>
                <w:color w:val="auto"/>
              </w:rPr>
            </w:pPr>
            <w:r>
              <w:rPr>
                <w:rFonts w:ascii="Arial" w:cs="Arial" w:eastAsia="Arial" w:hAnsi="Arial"/>
                <w:sz w:val="20"/>
                <w:szCs w:val="20"/>
                <w:color w:val="auto"/>
              </w:rPr>
              <w:t>$22.45   —   $22.85</w:t>
            </w:r>
          </w:p>
        </w:tc>
      </w:tr>
      <w:tr>
        <w:trPr>
          <w:trHeight w:val="257"/>
        </w:trPr>
        <w:tc>
          <w:tcPr>
            <w:tcW w:w="65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20"/>
                <w:szCs w:val="20"/>
                <w:b w:val="1"/>
                <w:bCs w:val="1"/>
                <w:color w:val="auto"/>
              </w:rPr>
              <w:t>Capital expenditures</w:t>
            </w:r>
          </w:p>
        </w:tc>
        <w:tc>
          <w:tcPr>
            <w:tcW w:w="2360" w:type="dxa"/>
            <w:vAlign w:val="bottom"/>
            <w:tcBorders>
              <w:right w:val="single" w:sz="8" w:color="auto"/>
            </w:tcBorders>
            <w:gridSpan w:val="4"/>
          </w:tcPr>
          <w:p>
            <w:pPr>
              <w:jc w:val="center"/>
              <w:spacing w:after="0"/>
              <w:rPr>
                <w:sz w:val="20"/>
                <w:szCs w:val="20"/>
                <w:color w:val="auto"/>
              </w:rPr>
            </w:pPr>
            <w:r>
              <w:rPr>
                <w:rFonts w:ascii="Arial" w:cs="Arial" w:eastAsia="Arial" w:hAnsi="Arial"/>
                <w:sz w:val="20"/>
                <w:szCs w:val="20"/>
                <w:color w:val="auto"/>
              </w:rPr>
              <w:t>$1,650   —   $1,700</w:t>
            </w:r>
          </w:p>
        </w:tc>
        <w:tc>
          <w:tcPr>
            <w:tcW w:w="2360" w:type="dxa"/>
            <w:vAlign w:val="bottom"/>
            <w:tcBorders>
              <w:right w:val="single" w:sz="8" w:color="auto"/>
            </w:tcBorders>
            <w:gridSpan w:val="3"/>
          </w:tcPr>
          <w:p>
            <w:pPr>
              <w:jc w:val="center"/>
              <w:spacing w:after="0"/>
              <w:rPr>
                <w:sz w:val="20"/>
                <w:szCs w:val="20"/>
                <w:color w:val="auto"/>
              </w:rPr>
            </w:pPr>
            <w:r>
              <w:rPr>
                <w:rFonts w:ascii="Arial" w:cs="Arial" w:eastAsia="Arial" w:hAnsi="Arial"/>
                <w:sz w:val="20"/>
                <w:szCs w:val="20"/>
                <w:color w:val="auto"/>
              </w:rPr>
              <w:t>$1,650   —   $1,700</w:t>
            </w:r>
          </w:p>
        </w:tc>
      </w:tr>
      <w:tr>
        <w:trPr>
          <w:trHeight w:val="256"/>
        </w:trPr>
        <w:tc>
          <w:tcPr>
            <w:tcW w:w="6540" w:type="dxa"/>
            <w:vAlign w:val="bottom"/>
            <w:tcBorders>
              <w:left w:val="single" w:sz="8" w:color="auto"/>
              <w:bottom w:val="single" w:sz="8" w:color="auto"/>
              <w:right w:val="single" w:sz="8" w:color="auto"/>
            </w:tcBorders>
            <w:gridSpan w:val="2"/>
            <w:shd w:val="clear" w:color="auto" w:fill="CCEEFF"/>
          </w:tcPr>
          <w:p>
            <w:pPr>
              <w:ind w:left="40"/>
              <w:spacing w:after="0" w:line="257" w:lineRule="exact"/>
              <w:rPr>
                <w:sz w:val="20"/>
                <w:szCs w:val="20"/>
                <w:color w:val="auto"/>
              </w:rPr>
            </w:pPr>
            <w:r>
              <w:rPr>
                <w:rFonts w:ascii="Arial" w:cs="Arial" w:eastAsia="Arial" w:hAnsi="Arial"/>
                <w:sz w:val="20"/>
                <w:szCs w:val="20"/>
                <w:b w:val="1"/>
                <w:bCs w:val="1"/>
                <w:color w:val="auto"/>
              </w:rPr>
              <w:t>Adjusted free cash flow</w:t>
            </w:r>
            <w:r>
              <w:rPr>
                <w:rFonts w:ascii="Arial" w:cs="Arial" w:eastAsia="Arial" w:hAnsi="Arial"/>
                <w:sz w:val="25"/>
                <w:szCs w:val="25"/>
                <w:b w:val="1"/>
                <w:bCs w:val="1"/>
                <w:color w:val="auto"/>
                <w:vertAlign w:val="superscript"/>
              </w:rPr>
              <w:t>1</w:t>
            </w:r>
          </w:p>
        </w:tc>
        <w:tc>
          <w:tcPr>
            <w:tcW w:w="820" w:type="dxa"/>
            <w:vAlign w:val="bottom"/>
            <w:tcBorders>
              <w:bottom w:val="single" w:sz="8" w:color="auto"/>
            </w:tcBorders>
            <w:shd w:val="clear" w:color="auto" w:fill="CCEEFF"/>
          </w:tcPr>
          <w:p>
            <w:pPr>
              <w:jc w:val="center"/>
              <w:ind w:left="64"/>
              <w:spacing w:after="0"/>
              <w:rPr>
                <w:sz w:val="20"/>
                <w:szCs w:val="20"/>
                <w:color w:val="auto"/>
              </w:rPr>
            </w:pPr>
            <w:r>
              <w:rPr>
                <w:rFonts w:ascii="Arial" w:cs="Arial" w:eastAsia="Arial" w:hAnsi="Arial"/>
                <w:sz w:val="20"/>
                <w:szCs w:val="20"/>
                <w:color w:val="auto"/>
              </w:rPr>
              <w:t>$1,850</w:t>
            </w:r>
          </w:p>
        </w:tc>
        <w:tc>
          <w:tcPr>
            <w:tcW w:w="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860" w:type="dxa"/>
            <w:vAlign w:val="bottom"/>
            <w:tcBorders>
              <w:bottom w:val="single" w:sz="8" w:color="auto"/>
              <w:right w:val="single" w:sz="8" w:color="auto"/>
            </w:tcBorders>
            <w:shd w:val="clear" w:color="auto" w:fill="CCEEFF"/>
          </w:tcPr>
          <w:p>
            <w:pPr>
              <w:jc w:val="center"/>
              <w:ind w:right="104"/>
              <w:spacing w:after="0"/>
              <w:rPr>
                <w:sz w:val="20"/>
                <w:szCs w:val="20"/>
                <w:color w:val="auto"/>
              </w:rPr>
            </w:pPr>
            <w:r>
              <w:rPr>
                <w:rFonts w:ascii="Arial" w:cs="Arial" w:eastAsia="Arial" w:hAnsi="Arial"/>
                <w:sz w:val="20"/>
                <w:szCs w:val="20"/>
                <w:color w:val="auto"/>
              </w:rPr>
              <w:t>$2,150</w:t>
            </w: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20"/>
                <w:szCs w:val="20"/>
                <w:color w:val="auto"/>
              </w:rPr>
              <w:t>$1,850</w:t>
            </w: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w:t>
            </w:r>
          </w:p>
        </w:tc>
        <w:tc>
          <w:tcPr>
            <w:tcW w:w="860" w:type="dxa"/>
            <w:vAlign w:val="bottom"/>
            <w:tcBorders>
              <w:bottom w:val="single" w:sz="8" w:color="auto"/>
              <w:right w:val="single" w:sz="8" w:color="auto"/>
            </w:tcBorders>
            <w:shd w:val="clear" w:color="auto" w:fill="CCEEFF"/>
          </w:tcPr>
          <w:p>
            <w:pPr>
              <w:jc w:val="center"/>
              <w:ind w:right="81"/>
              <w:spacing w:after="0"/>
              <w:rPr>
                <w:sz w:val="20"/>
                <w:szCs w:val="20"/>
                <w:color w:val="auto"/>
              </w:rPr>
            </w:pPr>
            <w:r>
              <w:rPr>
                <w:rFonts w:ascii="Arial" w:cs="Arial" w:eastAsia="Arial" w:hAnsi="Arial"/>
                <w:sz w:val="20"/>
                <w:szCs w:val="20"/>
                <w:color w:val="auto"/>
                <w:w w:val="98"/>
              </w:rPr>
              <w:t>$2,150</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2023 Segment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40575" cy="1329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13290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Borders>
              <w:top w:val="single" w:sz="8" w:color="auto"/>
              <w:right w:val="single" w:sz="8" w:color="auto"/>
            </w:tcBorders>
          </w:tcPr>
          <w:p>
            <w:pPr>
              <w:spacing w:after="0"/>
              <w:rPr>
                <w:sz w:val="19"/>
                <w:szCs w:val="19"/>
                <w:color w:val="auto"/>
              </w:rPr>
            </w:pPr>
          </w:p>
        </w:tc>
        <w:tc>
          <w:tcPr>
            <w:tcW w:w="3920" w:type="dxa"/>
            <w:vAlign w:val="bottom"/>
            <w:tcBorders>
              <w:top w:val="single" w:sz="8" w:color="auto"/>
              <w:bottom w:val="single" w:sz="8" w:color="auto"/>
              <w:right w:val="single" w:sz="8" w:color="auto"/>
            </w:tcBorders>
            <w:gridSpan w:val="2"/>
          </w:tcPr>
          <w:p>
            <w:pPr>
              <w:ind w:left="1320"/>
              <w:spacing w:after="0"/>
              <w:rPr>
                <w:sz w:val="20"/>
                <w:szCs w:val="20"/>
                <w:color w:val="auto"/>
              </w:rPr>
            </w:pPr>
            <w:r>
              <w:rPr>
                <w:rFonts w:ascii="Arial" w:cs="Arial" w:eastAsia="Arial" w:hAnsi="Arial"/>
                <w:sz w:val="18"/>
                <w:szCs w:val="18"/>
                <w:color w:val="auto"/>
              </w:rPr>
              <w:t>As of 7/27/2023</w:t>
            </w:r>
          </w:p>
        </w:tc>
        <w:tc>
          <w:tcPr>
            <w:tcW w:w="3900" w:type="dxa"/>
            <w:vAlign w:val="bottom"/>
            <w:tcBorders>
              <w:top w:val="single" w:sz="8" w:color="auto"/>
              <w:bottom w:val="single" w:sz="8" w:color="auto"/>
            </w:tcBorders>
            <w:gridSpan w:val="2"/>
          </w:tcPr>
          <w:p>
            <w:pPr>
              <w:ind w:left="1260"/>
              <w:spacing w:after="0"/>
              <w:rPr>
                <w:sz w:val="20"/>
                <w:szCs w:val="20"/>
                <w:color w:val="auto"/>
              </w:rPr>
            </w:pPr>
            <w:r>
              <w:rPr>
                <w:rFonts w:ascii="Arial" w:cs="Arial" w:eastAsia="Arial" w:hAnsi="Arial"/>
                <w:sz w:val="18"/>
                <w:szCs w:val="18"/>
                <w:color w:val="auto"/>
              </w:rPr>
              <w:t>As of 10/26/2023</w:t>
            </w:r>
          </w:p>
        </w:tc>
        <w:tc>
          <w:tcPr>
            <w:tcW w:w="20" w:type="dxa"/>
            <w:vAlign w:val="bottom"/>
            <w:tcBorders>
              <w:top w:val="single" w:sz="8" w:color="auto"/>
              <w:bottom w:val="single" w:sz="8" w:color="auto"/>
            </w:tcBorders>
          </w:tcPr>
          <w:p>
            <w:pPr>
              <w:spacing w:after="0"/>
              <w:rPr>
                <w:sz w:val="19"/>
                <w:szCs w:val="19"/>
                <w:color w:val="auto"/>
              </w:rPr>
            </w:pPr>
          </w:p>
        </w:tc>
      </w:tr>
      <w:tr>
        <w:trPr>
          <w:trHeight w:val="250"/>
        </w:trPr>
        <w:tc>
          <w:tcPr>
            <w:tcW w:w="3420" w:type="dxa"/>
            <w:vAlign w:val="bottom"/>
            <w:tcBorders>
              <w:right w:val="single" w:sz="8" w:color="auto"/>
            </w:tcBorders>
          </w:tcPr>
          <w:p>
            <w:pPr>
              <w:spacing w:after="0"/>
              <w:rPr>
                <w:sz w:val="21"/>
                <w:szCs w:val="21"/>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Sales ($B)</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OM Rate %</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Sales ($B)</w:t>
            </w:r>
          </w:p>
        </w:tc>
        <w:tc>
          <w:tcPr>
            <w:tcW w:w="1940" w:type="dxa"/>
            <w:vAlign w:val="bottom"/>
          </w:tcPr>
          <w:p>
            <w:pPr>
              <w:jc w:val="center"/>
              <w:spacing w:after="0"/>
              <w:rPr>
                <w:sz w:val="20"/>
                <w:szCs w:val="20"/>
                <w:color w:val="auto"/>
              </w:rPr>
            </w:pPr>
            <w:r>
              <w:rPr>
                <w:rFonts w:ascii="Arial" w:cs="Arial" w:eastAsia="Arial" w:hAnsi="Arial"/>
                <w:sz w:val="20"/>
                <w:szCs w:val="20"/>
                <w:b w:val="1"/>
                <w:bCs w:val="1"/>
                <w:color w:val="auto"/>
                <w:w w:val="97"/>
              </w:rPr>
              <w:t>OM Rate %</w:t>
            </w:r>
          </w:p>
        </w:tc>
        <w:tc>
          <w:tcPr>
            <w:tcW w:w="20" w:type="dxa"/>
            <w:vAlign w:val="bottom"/>
          </w:tcPr>
          <w:p>
            <w:pPr>
              <w:spacing w:after="0"/>
              <w:rPr>
                <w:sz w:val="21"/>
                <w:szCs w:val="21"/>
                <w:color w:val="auto"/>
              </w:rPr>
            </w:pPr>
          </w:p>
        </w:tc>
      </w:tr>
      <w:tr>
        <w:trPr>
          <w:trHeight w:val="257"/>
        </w:trPr>
        <w:tc>
          <w:tcPr>
            <w:tcW w:w="34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Aeronautics Systems</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8"/>
              </w:rPr>
              <w:t>Mid $10</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6"/>
              </w:rPr>
              <w:t>~10%</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b w:val="1"/>
                <w:bCs w:val="1"/>
                <w:color w:val="auto"/>
                <w:w w:val="98"/>
              </w:rPr>
              <w:t>Mid to High $10</w:t>
            </w:r>
          </w:p>
        </w:tc>
        <w:tc>
          <w:tcPr>
            <w:tcW w:w="194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6"/>
              </w:rPr>
              <w:t>~10%</w:t>
            </w:r>
          </w:p>
        </w:tc>
        <w:tc>
          <w:tcPr>
            <w:tcW w:w="20" w:type="dxa"/>
            <w:vAlign w:val="bottom"/>
          </w:tcPr>
          <w:p>
            <w:pPr>
              <w:spacing w:after="0"/>
              <w:rPr>
                <w:sz w:val="22"/>
                <w:szCs w:val="22"/>
                <w:color w:val="auto"/>
              </w:rPr>
            </w:pPr>
          </w:p>
        </w:tc>
      </w:tr>
      <w:tr>
        <w:trPr>
          <w:trHeight w:val="256"/>
        </w:trPr>
        <w:tc>
          <w:tcPr>
            <w:tcW w:w="34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Defense Systems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Mid to High $5</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~12%</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Mid to High $5</w:t>
            </w:r>
          </w:p>
        </w:tc>
        <w:tc>
          <w:tcPr>
            <w:tcW w:w="1940" w:type="dxa"/>
            <w:vAlign w:val="bottom"/>
          </w:tcPr>
          <w:p>
            <w:pPr>
              <w:jc w:val="center"/>
              <w:spacing w:after="0"/>
              <w:rPr>
                <w:sz w:val="20"/>
                <w:szCs w:val="20"/>
                <w:color w:val="auto"/>
              </w:rPr>
            </w:pPr>
            <w:r>
              <w:rPr>
                <w:rFonts w:ascii="Arial" w:cs="Arial" w:eastAsia="Arial" w:hAnsi="Arial"/>
                <w:sz w:val="20"/>
                <w:szCs w:val="20"/>
                <w:color w:val="auto"/>
                <w:w w:val="96"/>
              </w:rPr>
              <w:t>~12%</w:t>
            </w:r>
          </w:p>
        </w:tc>
        <w:tc>
          <w:tcPr>
            <w:tcW w:w="20" w:type="dxa"/>
            <w:vAlign w:val="bottom"/>
          </w:tcPr>
          <w:p>
            <w:pPr>
              <w:spacing w:after="0"/>
              <w:rPr>
                <w:sz w:val="22"/>
                <w:szCs w:val="22"/>
                <w:color w:val="auto"/>
              </w:rPr>
            </w:pPr>
          </w:p>
        </w:tc>
      </w:tr>
      <w:tr>
        <w:trPr>
          <w:trHeight w:val="257"/>
        </w:trPr>
        <w:tc>
          <w:tcPr>
            <w:tcW w:w="3420" w:type="dxa"/>
            <w:vAlign w:val="bottom"/>
            <w:tcBorders>
              <w:right w:val="single" w:sz="8" w:color="auto"/>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Mission Systems</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High $10</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9"/>
              </w:rPr>
              <w:t>Low 15%</w:t>
            </w:r>
          </w:p>
        </w:tc>
        <w:tc>
          <w:tcPr>
            <w:tcW w:w="19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7"/>
              </w:rPr>
              <w:t>High $10</w:t>
            </w:r>
          </w:p>
        </w:tc>
        <w:tc>
          <w:tcPr>
            <w:tcW w:w="1940" w:type="dxa"/>
            <w:vAlign w:val="bottom"/>
            <w:shd w:val="clear" w:color="auto" w:fill="CCEEFF"/>
          </w:tcPr>
          <w:p>
            <w:pPr>
              <w:jc w:val="center"/>
              <w:spacing w:after="0"/>
              <w:rPr>
                <w:sz w:val="20"/>
                <w:szCs w:val="20"/>
                <w:color w:val="auto"/>
              </w:rPr>
            </w:pPr>
            <w:r>
              <w:rPr>
                <w:rFonts w:ascii="Arial" w:cs="Arial" w:eastAsia="Arial" w:hAnsi="Arial"/>
                <w:sz w:val="20"/>
                <w:szCs w:val="20"/>
                <w:b w:val="1"/>
                <w:bCs w:val="1"/>
                <w:color w:val="auto"/>
                <w:w w:val="96"/>
              </w:rPr>
              <w:t>~15%</w:t>
            </w:r>
          </w:p>
        </w:tc>
        <w:tc>
          <w:tcPr>
            <w:tcW w:w="20" w:type="dxa"/>
            <w:vAlign w:val="bottom"/>
          </w:tcPr>
          <w:p>
            <w:pPr>
              <w:spacing w:after="0"/>
              <w:rPr>
                <w:sz w:val="22"/>
                <w:szCs w:val="22"/>
                <w:color w:val="auto"/>
              </w:rPr>
            </w:pPr>
          </w:p>
        </w:tc>
      </w:tr>
      <w:tr>
        <w:trPr>
          <w:trHeight w:val="256"/>
        </w:trPr>
        <w:tc>
          <w:tcPr>
            <w:tcW w:w="3420" w:type="dxa"/>
            <w:vAlign w:val="bottom"/>
            <w:tcBorders>
              <w:right w:val="single" w:sz="8" w:color="auto"/>
            </w:tcBorders>
          </w:tcPr>
          <w:p>
            <w:pPr>
              <w:ind w:left="40"/>
              <w:spacing w:after="0"/>
              <w:rPr>
                <w:sz w:val="20"/>
                <w:szCs w:val="20"/>
                <w:color w:val="auto"/>
              </w:rPr>
            </w:pPr>
            <w:r>
              <w:rPr>
                <w:rFonts w:ascii="Arial" w:cs="Arial" w:eastAsia="Arial" w:hAnsi="Arial"/>
                <w:sz w:val="20"/>
                <w:szCs w:val="20"/>
                <w:b w:val="1"/>
                <w:bCs w:val="1"/>
                <w:color w:val="auto"/>
              </w:rPr>
              <w:t>Space Systems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High $13</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~9%</w:t>
            </w:r>
          </w:p>
        </w:tc>
        <w:tc>
          <w:tcPr>
            <w:tcW w:w="1960" w:type="dxa"/>
            <w:vAlign w:val="bottom"/>
            <w:tcBorders>
              <w:right w:val="single" w:sz="8" w:color="auto"/>
            </w:tcBorders>
          </w:tcPr>
          <w:p>
            <w:pPr>
              <w:jc w:val="right"/>
              <w:ind w:right="662"/>
              <w:spacing w:after="0"/>
              <w:rPr>
                <w:sz w:val="20"/>
                <w:szCs w:val="20"/>
                <w:color w:val="auto"/>
              </w:rPr>
            </w:pPr>
            <w:r>
              <w:rPr>
                <w:rFonts w:ascii="Arial" w:cs="Arial" w:eastAsia="Arial" w:hAnsi="Arial"/>
                <w:sz w:val="20"/>
                <w:szCs w:val="20"/>
                <w:b w:val="1"/>
                <w:bCs w:val="1"/>
                <w:color w:val="auto"/>
              </w:rPr>
              <w:t>~$14</w:t>
            </w:r>
          </w:p>
        </w:tc>
        <w:tc>
          <w:tcPr>
            <w:tcW w:w="1940" w:type="dxa"/>
            <w:vAlign w:val="bottom"/>
          </w:tcPr>
          <w:p>
            <w:pPr>
              <w:jc w:val="center"/>
              <w:spacing w:after="0"/>
              <w:rPr>
                <w:sz w:val="20"/>
                <w:szCs w:val="20"/>
                <w:color w:val="auto"/>
              </w:rPr>
            </w:pPr>
            <w:r>
              <w:rPr>
                <w:rFonts w:ascii="Arial" w:cs="Arial" w:eastAsia="Arial" w:hAnsi="Arial"/>
                <w:sz w:val="20"/>
                <w:szCs w:val="20"/>
                <w:color w:val="auto"/>
                <w:w w:val="98"/>
              </w:rPr>
              <w:t>~9%</w:t>
            </w:r>
          </w:p>
        </w:tc>
        <w:tc>
          <w:tcPr>
            <w:tcW w:w="20" w:type="dxa"/>
            <w:vAlign w:val="bottom"/>
          </w:tcPr>
          <w:p>
            <w:pPr>
              <w:spacing w:after="0"/>
              <w:rPr>
                <w:sz w:val="22"/>
                <w:szCs w:val="22"/>
                <w:color w:val="auto"/>
              </w:rPr>
            </w:pPr>
          </w:p>
        </w:tc>
      </w:tr>
      <w:tr>
        <w:trPr>
          <w:trHeight w:val="257"/>
        </w:trPr>
        <w:tc>
          <w:tcPr>
            <w:tcW w:w="342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b w:val="1"/>
                <w:bCs w:val="1"/>
                <w:color w:val="auto"/>
              </w:rPr>
              <w:t>Eliminations</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~($2.2)</w:t>
            </w:r>
          </w:p>
        </w:tc>
        <w:tc>
          <w:tcPr>
            <w:tcW w:w="1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rPr>
              <w:t>Mid 13%</w:t>
            </w:r>
          </w:p>
        </w:tc>
        <w:tc>
          <w:tcPr>
            <w:tcW w:w="1960" w:type="dxa"/>
            <w:vAlign w:val="bottom"/>
            <w:tcBorders>
              <w:bottom w:val="single" w:sz="8" w:color="auto"/>
              <w:right w:val="single" w:sz="8" w:color="auto"/>
            </w:tcBorders>
            <w:shd w:val="clear" w:color="auto" w:fill="CCEEFF"/>
          </w:tcPr>
          <w:p>
            <w:pPr>
              <w:jc w:val="right"/>
              <w:ind w:right="582"/>
              <w:spacing w:after="0"/>
              <w:rPr>
                <w:sz w:val="20"/>
                <w:szCs w:val="20"/>
                <w:color w:val="auto"/>
              </w:rPr>
            </w:pPr>
            <w:r>
              <w:rPr>
                <w:rFonts w:ascii="Arial" w:cs="Arial" w:eastAsia="Arial" w:hAnsi="Arial"/>
                <w:sz w:val="20"/>
                <w:szCs w:val="20"/>
                <w:color w:val="auto"/>
              </w:rPr>
              <w:t>~($2.2)</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20"/>
                <w:szCs w:val="20"/>
                <w:color w:val="auto"/>
                <w:w w:val="97"/>
              </w:rPr>
              <w:t>Mid 13%</w:t>
            </w:r>
          </w:p>
        </w:tc>
        <w:tc>
          <w:tcPr>
            <w:tcW w:w="20" w:type="dxa"/>
            <w:vAlign w:val="bottom"/>
            <w:tcBorders>
              <w:bottom w:val="single" w:sz="8" w:color="auto"/>
            </w:tcBorders>
          </w:tcPr>
          <w:p>
            <w:pPr>
              <w:spacing w:after="0"/>
              <w:rPr>
                <w:sz w:val="22"/>
                <w:szCs w:val="22"/>
                <w:color w:val="auto"/>
              </w:rPr>
            </w:pPr>
          </w:p>
        </w:tc>
      </w:tr>
    </w:tbl>
    <w:p>
      <w:pPr>
        <w:spacing w:after="0" w:line="202" w:lineRule="exact"/>
        <w:rPr>
          <w:sz w:val="20"/>
          <w:szCs w:val="20"/>
          <w:color w:val="auto"/>
        </w:rPr>
      </w:pPr>
    </w:p>
    <w:p>
      <w:pPr>
        <w:ind w:left="280" w:hanging="254"/>
        <w:spacing w:after="0"/>
        <w:tabs>
          <w:tab w:leader="none" w:pos="2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Non-GAAP measure - see definitions at the end of this earnings release.</w:t>
      </w:r>
    </w:p>
    <w:p>
      <w:pPr>
        <w:spacing w:after="0" w:line="26" w:lineRule="exact"/>
        <w:rPr>
          <w:sz w:val="20"/>
          <w:szCs w:val="20"/>
          <w:color w:val="auto"/>
        </w:rPr>
      </w:pPr>
    </w:p>
    <w:p>
      <w:pPr>
        <w:ind w:left="280" w:right="100" w:hanging="254"/>
        <w:spacing w:after="0" w:line="222" w:lineRule="auto"/>
        <w:tabs>
          <w:tab w:leader="none" w:pos="2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Total Net FAS/CAS pension adjustment is presented as a single amount consistent with our historical presentation, and includes $160 million of expected CAS pension expense and $240 million of FAS pension service expense, both of which are reflected in operating income. Non-operating FAS pension benefit of $530 million is reflected below operating income, and the total net FAS/CAS pension adjustment is $450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731520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9"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60"/>
          </w:cols>
          <w:pgMar w:left="320" w:top="373" w:right="31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8</w:t>
            </w: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Northrop Grumman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Northrop Grumman will webcast its earnings conference call at 9:00 a.m. Eastern Time on October 26, 2023. A</w:t>
      </w:r>
    </w:p>
    <w:p>
      <w:pPr>
        <w:spacing w:after="0" w:line="20"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 xml:space="preserve">live audio broadcast of the conference call will be available on the investor relations page of the company’s website at </w:t>
      </w:r>
      <w:r>
        <w:rPr>
          <w:rFonts w:ascii="Arial" w:cs="Arial" w:eastAsia="Arial" w:hAnsi="Arial"/>
          <w:sz w:val="22"/>
          <w:szCs w:val="22"/>
          <w:u w:val="single" w:color="auto"/>
          <w:color w:val="auto"/>
        </w:rPr>
        <w:t>www.northropgrumman.com</w:t>
      </w:r>
      <w:r>
        <w:rPr>
          <w:rFonts w:ascii="Arial" w:cs="Arial" w:eastAsia="Arial" w:hAnsi="Arial"/>
          <w:sz w:val="22"/>
          <w:szCs w:val="22"/>
          <w:color w:val="auto"/>
        </w:rPr>
        <w:t>.</w:t>
      </w:r>
    </w:p>
    <w:p>
      <w:pPr>
        <w:spacing w:after="0" w:line="39" w:lineRule="exact"/>
        <w:rPr>
          <w:sz w:val="20"/>
          <w:szCs w:val="20"/>
          <w:color w:val="auto"/>
        </w:rPr>
      </w:pPr>
    </w:p>
    <w:p>
      <w:pPr>
        <w:ind w:right="200" w:firstLine="324"/>
        <w:spacing w:after="0" w:line="254" w:lineRule="auto"/>
        <w:rPr>
          <w:sz w:val="20"/>
          <w:szCs w:val="20"/>
          <w:color w:val="auto"/>
        </w:rPr>
      </w:pPr>
      <w:r>
        <w:rPr>
          <w:rFonts w:ascii="Arial" w:cs="Arial" w:eastAsia="Arial" w:hAnsi="Arial"/>
          <w:sz w:val="22"/>
          <w:szCs w:val="22"/>
          <w:color w:val="auto"/>
        </w:rPr>
        <w:t>Northrop Grumman is a leading global aerospace and defense technology company. Our pioneering solutions equip our customers with the capabilities they need to connect and protect the world, and push the boundaries of human exploration across the universe. Driven by a shared purpose to solve our customers’ toughest problems, our employees define possible every day.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Forward-Looking Statements</w:t>
      </w:r>
    </w:p>
    <w:p>
      <w:pPr>
        <w:spacing w:after="0" w:line="163"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This earnings release and the information we are incorporating by reference, and statements to be made on the earnings conference call, contain or may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w:t>
      </w:r>
    </w:p>
    <w:p>
      <w:pPr>
        <w:spacing w:after="0" w:line="68"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the Form 10-K for the year ended December 31, 2022, and from time to time in our other filings with the Securities and Exchange Commission (SEC). These risks and uncertainties are amplified by the global macroeconomic, health, security and political environments, including inflationary pressures, labor and supply chain challenges and COVID-19, which have caused and will continue to cause significant challenges, instability and uncertainty. They include:</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Industry and Economic Risks</w:t>
      </w:r>
    </w:p>
    <w:p>
      <w:pPr>
        <w:spacing w:after="0" w:line="98"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our dependence on the U.S. government for a substantial portion of our business</w:t>
      </w:r>
    </w:p>
    <w:p>
      <w:pPr>
        <w:spacing w:after="0" w:line="84" w:lineRule="exact"/>
        <w:rPr>
          <w:rFonts w:ascii="Arial" w:cs="Arial" w:eastAsia="Arial" w:hAnsi="Arial"/>
          <w:sz w:val="22"/>
          <w:szCs w:val="22"/>
          <w:color w:val="auto"/>
        </w:rPr>
      </w:pPr>
    </w:p>
    <w:p>
      <w:pPr>
        <w:jc w:val="both"/>
        <w:ind w:left="340" w:right="620" w:hanging="332"/>
        <w:spacing w:after="0" w:line="260"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significant delays or reductions in appropriations and/or for our programs, and U.S. government funding and program support more broadly, including as a result of a prolonged continuing resolution and/or government shutdown, and/or related to hostilities and other global events</w:t>
      </w:r>
    </w:p>
    <w:p>
      <w:pPr>
        <w:spacing w:after="0" w:line="55" w:lineRule="exact"/>
        <w:rPr>
          <w:rFonts w:ascii="Arial" w:cs="Arial" w:eastAsia="Arial" w:hAnsi="Arial"/>
          <w:sz w:val="22"/>
          <w:szCs w:val="22"/>
          <w:color w:val="auto"/>
        </w:rPr>
      </w:pPr>
    </w:p>
    <w:p>
      <w:pPr>
        <w:ind w:left="320" w:hanging="312"/>
        <w:spacing w:after="0"/>
        <w:tabs>
          <w:tab w:leader="none" w:pos="3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significant delays or reductions in payments as a result of or related to a breach of the debt ceiling</w:t>
      </w:r>
    </w:p>
    <w:p>
      <w:pPr>
        <w:spacing w:after="0" w:line="98" w:lineRule="exact"/>
        <w:rPr>
          <w:rFonts w:ascii="Arial" w:cs="Arial" w:eastAsia="Arial" w:hAnsi="Arial"/>
          <w:sz w:val="22"/>
          <w:szCs w:val="22"/>
          <w:color w:val="auto"/>
        </w:rPr>
      </w:pPr>
    </w:p>
    <w:p>
      <w:pPr>
        <w:ind w:left="340" w:right="340" w:hanging="332"/>
        <w:spacing w:after="0" w:line="250" w:lineRule="auto"/>
        <w:tabs>
          <w:tab w:leader="none" w:pos="335"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and/or other macroeconomic factors, and risks related to management’s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9</w:t>
            </w:r>
          </w:p>
        </w:tc>
      </w:tr>
    </w:tbl>
    <w:p>
      <w:pPr>
        <w:spacing w:after="0" w:line="396" w:lineRule="exact"/>
        <w:rPr>
          <w:sz w:val="20"/>
          <w:szCs w:val="20"/>
          <w:color w:val="auto"/>
        </w:rPr>
      </w:pPr>
    </w:p>
    <w:p>
      <w:pPr>
        <w:ind w:left="340" w:right="520"/>
        <w:spacing w:after="0" w:line="264" w:lineRule="auto"/>
        <w:rPr>
          <w:sz w:val="20"/>
          <w:szCs w:val="20"/>
          <w:color w:val="auto"/>
        </w:rPr>
      </w:pPr>
      <w:r>
        <w:rPr>
          <w:rFonts w:ascii="Arial" w:cs="Arial" w:eastAsia="Arial" w:hAnsi="Arial"/>
          <w:sz w:val="22"/>
          <w:szCs w:val="22"/>
          <w:color w:val="auto"/>
        </w:rPr>
        <w:t>judgments and assumptions in estimating and/or projecting contract revenue and performance which may be inaccurate</w:t>
      </w:r>
    </w:p>
    <w:p>
      <w:pPr>
        <w:spacing w:after="0" w:line="51" w:lineRule="exact"/>
        <w:rPr>
          <w:sz w:val="20"/>
          <w:szCs w:val="20"/>
          <w:color w:val="auto"/>
        </w:rPr>
      </w:pPr>
    </w:p>
    <w:p>
      <w:pPr>
        <w:ind w:left="340" w:right="140" w:hanging="332"/>
        <w:spacing w:after="0" w:line="264" w:lineRule="auto"/>
        <w:tabs>
          <w:tab w:leader="none" w:pos="335"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continued pressures from macroeconomic trends, including on costs, schedules, performance and ability to meet expectations</w:t>
      </w:r>
    </w:p>
    <w:p>
      <w:pPr>
        <w:spacing w:after="0" w:line="50" w:lineRule="exact"/>
        <w:rPr>
          <w:rFonts w:ascii="Arial" w:cs="Arial" w:eastAsia="Arial" w:hAnsi="Arial"/>
          <w:sz w:val="22"/>
          <w:szCs w:val="22"/>
          <w:color w:val="auto"/>
        </w:rPr>
      </w:pPr>
    </w:p>
    <w:p>
      <w:pPr>
        <w:ind w:left="320" w:hanging="312"/>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increased competition within our markets and bid protests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Legal and Regulatory Risks</w:t>
      </w:r>
    </w:p>
    <w:p>
      <w:pPr>
        <w:spacing w:after="0" w:line="85" w:lineRule="exact"/>
        <w:rPr>
          <w:sz w:val="20"/>
          <w:szCs w:val="20"/>
          <w:color w:val="auto"/>
        </w:rPr>
      </w:pPr>
    </w:p>
    <w:p>
      <w:pPr>
        <w:ind w:left="340" w:right="120" w:hanging="332"/>
        <w:spacing w:after="0" w:line="277" w:lineRule="auto"/>
        <w:tabs>
          <w:tab w:leader="none" w:pos="335"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investigations, claims, disputes, enforcement actions, litigation (including criminal, civil and administrative) and/or other legal proceedings</w:t>
      </w:r>
    </w:p>
    <w:p>
      <w:pPr>
        <w:spacing w:after="0" w:line="23" w:lineRule="exact"/>
        <w:rPr>
          <w:rFonts w:ascii="Arial" w:cs="Arial" w:eastAsia="Arial" w:hAnsi="Arial"/>
          <w:sz w:val="22"/>
          <w:szCs w:val="22"/>
          <w:color w:val="auto"/>
        </w:rPr>
      </w:pPr>
    </w:p>
    <w:p>
      <w:pPr>
        <w:ind w:left="340" w:right="580" w:hanging="332"/>
        <w:spacing w:after="0" w:line="277" w:lineRule="auto"/>
        <w:tabs>
          <w:tab w:leader="none" w:pos="335"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improper conduct of employees, agents, subcontractors, suppliers, business partners or joint ventures in which we participate, including the impact on our reputation and our ability to do business</w:t>
      </w:r>
    </w:p>
    <w:p>
      <w:pPr>
        <w:spacing w:after="0" w:line="23" w:lineRule="exact"/>
        <w:rPr>
          <w:rFonts w:ascii="Arial" w:cs="Arial" w:eastAsia="Arial" w:hAnsi="Arial"/>
          <w:sz w:val="22"/>
          <w:szCs w:val="22"/>
          <w:color w:val="auto"/>
        </w:rPr>
      </w:pPr>
    </w:p>
    <w:p>
      <w:pPr>
        <w:ind w:left="340" w:right="120" w:hanging="332"/>
        <w:spacing w:after="0" w:line="278" w:lineRule="auto"/>
        <w:tabs>
          <w:tab w:leader="none" w:pos="335" w:val="left"/>
        </w:tabs>
        <w:numPr>
          <w:ilvl w:val="0"/>
          <w:numId w:val="14"/>
        </w:numPr>
        <w:rPr>
          <w:rFonts w:ascii="Arial" w:cs="Arial" w:eastAsia="Arial" w:hAnsi="Arial"/>
          <w:sz w:val="21"/>
          <w:szCs w:val="21"/>
          <w:color w:val="auto"/>
        </w:rPr>
      </w:pPr>
      <w:r>
        <w:rPr>
          <w:rFonts w:ascii="Arial" w:cs="Arial" w:eastAsia="Arial" w:hAnsi="Arial"/>
          <w:sz w:val="21"/>
          <w:szCs w:val="21"/>
          <w:color w:val="auto"/>
        </w:rPr>
        <w:t>changes in procurement and other laws, SEC, DoD and other rules and regulations, contract terms and practices applicable to our industry, findings by the U.S. government as to our compliance with such requirements, more aggressive enforcement of such requirements and changes in our customers’ business practices globally</w:t>
      </w:r>
    </w:p>
    <w:p>
      <w:pPr>
        <w:spacing w:after="0" w:line="38" w:lineRule="exact"/>
        <w:rPr>
          <w:rFonts w:ascii="Arial" w:cs="Arial" w:eastAsia="Arial" w:hAnsi="Arial"/>
          <w:sz w:val="21"/>
          <w:szCs w:val="21"/>
          <w:color w:val="auto"/>
        </w:rPr>
      </w:pPr>
    </w:p>
    <w:p>
      <w:pPr>
        <w:ind w:left="320" w:hanging="312"/>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environmental matters, including unforeseen environmental costs and government and third party claims</w:t>
      </w:r>
    </w:p>
    <w:p>
      <w:pPr>
        <w:spacing w:after="0" w:line="98" w:lineRule="exact"/>
        <w:rPr>
          <w:rFonts w:ascii="Arial" w:cs="Arial" w:eastAsia="Arial" w:hAnsi="Arial"/>
          <w:sz w:val="22"/>
          <w:szCs w:val="22"/>
          <w:color w:val="auto"/>
        </w:rPr>
      </w:pPr>
    </w:p>
    <w:p>
      <w:pPr>
        <w:ind w:left="320" w:hanging="312"/>
        <w:spacing w:after="0"/>
        <w:tabs>
          <w:tab w:leader="none" w:pos="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unanticipated changes in our tax provisions or exposure to additional tax liabilities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Business and Operational Risks</w:t>
      </w:r>
    </w:p>
    <w:p>
      <w:pPr>
        <w:spacing w:after="0" w:line="9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impacts related to health epidemics and pandemics, including COVID-19</w:t>
      </w:r>
    </w:p>
    <w:p>
      <w:pPr>
        <w:spacing w:after="0" w:line="98" w:lineRule="exact"/>
        <w:rPr>
          <w:rFonts w:ascii="Arial" w:cs="Arial" w:eastAsia="Arial" w:hAnsi="Arial"/>
          <w:sz w:val="22"/>
          <w:szCs w:val="22"/>
          <w:color w:val="auto"/>
        </w:rPr>
      </w:pPr>
    </w:p>
    <w:p>
      <w:pPr>
        <w:ind w:left="340" w:hanging="332"/>
        <w:spacing w:after="0" w:line="264"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cyber and other security threats or disruptions faced by us, our customers or our suppliers and other partners, and changes in related regulations</w:t>
      </w:r>
    </w:p>
    <w:p>
      <w:pPr>
        <w:spacing w:after="0" w:line="50" w:lineRule="exact"/>
        <w:rPr>
          <w:rFonts w:ascii="Arial" w:cs="Arial" w:eastAsia="Arial" w:hAnsi="Arial"/>
          <w:sz w:val="22"/>
          <w:szCs w:val="22"/>
          <w:color w:val="auto"/>
        </w:rPr>
      </w:pPr>
    </w:p>
    <w:p>
      <w:pPr>
        <w:ind w:left="340" w:right="180" w:hanging="332"/>
        <w:spacing w:after="0" w:line="264"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our ability to attract and retain a qualified, talented and diverse workforce with the necessary security clearances to meet our performance obligations</w:t>
      </w:r>
    </w:p>
    <w:p>
      <w:pPr>
        <w:spacing w:after="0" w:line="50" w:lineRule="exact"/>
        <w:rPr>
          <w:rFonts w:ascii="Arial" w:cs="Arial" w:eastAsia="Arial" w:hAnsi="Arial"/>
          <w:sz w:val="22"/>
          <w:szCs w:val="22"/>
          <w:color w:val="auto"/>
        </w:rPr>
      </w:pPr>
    </w:p>
    <w:p>
      <w:pPr>
        <w:ind w:left="340" w:right="160" w:hanging="332"/>
        <w:spacing w:after="0" w:line="260"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performance and viability of our subcontractors and suppliers and the availability and pricing of raw materials and components, particularly with inflationary pressures, increased costs, shortages in labor and financial resources, supply chain disruptions, and extended material lead times</w:t>
      </w:r>
    </w:p>
    <w:p>
      <w:pPr>
        <w:spacing w:after="0" w:line="41" w:lineRule="exact"/>
        <w:rPr>
          <w:rFonts w:ascii="Arial" w:cs="Arial" w:eastAsia="Arial" w:hAnsi="Arial"/>
          <w:sz w:val="22"/>
          <w:szCs w:val="22"/>
          <w:color w:val="auto"/>
        </w:rPr>
      </w:pPr>
    </w:p>
    <w:p>
      <w:pPr>
        <w:ind w:left="340" w:right="240" w:hanging="332"/>
        <w:spacing w:after="0" w:line="260"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environmental, social and governance matters, including especially climate change, their impacts on our company, our operations and our stakeholders (employees, suppliers, customers, shareholders and regulators), and changes in laws, regulations and priorities related to these issues</w:t>
      </w:r>
    </w:p>
    <w:p>
      <w:pPr>
        <w:spacing w:after="0" w:line="55" w:lineRule="exact"/>
        <w:rPr>
          <w:rFonts w:ascii="Arial" w:cs="Arial" w:eastAsia="Arial" w:hAnsi="Arial"/>
          <w:sz w:val="22"/>
          <w:szCs w:val="22"/>
          <w:color w:val="auto"/>
        </w:rPr>
      </w:pPr>
    </w:p>
    <w:p>
      <w:pPr>
        <w:ind w:left="340" w:right="160" w:hanging="332"/>
        <w:spacing w:after="0" w:line="264"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our exposure to additional risks as a result of our international business, including risks related to global security, geopolitical and economic factors, misconduct, suppliers, laws and regulations</w:t>
      </w:r>
    </w:p>
    <w:p>
      <w:pPr>
        <w:spacing w:after="0" w:line="50" w:lineRule="exact"/>
        <w:rPr>
          <w:rFonts w:ascii="Arial" w:cs="Arial" w:eastAsia="Arial" w:hAnsi="Arial"/>
          <w:sz w:val="22"/>
          <w:szCs w:val="22"/>
          <w:color w:val="auto"/>
        </w:rPr>
      </w:pPr>
    </w:p>
    <w:p>
      <w:pPr>
        <w:ind w:left="340" w:right="480" w:hanging="332"/>
        <w:spacing w:after="0" w:line="254" w:lineRule="auto"/>
        <w:tabs>
          <w:tab w:leader="none" w:pos="335" w:val="left"/>
        </w:tabs>
        <w:numPr>
          <w:ilvl w:val="0"/>
          <w:numId w:val="15"/>
        </w:numPr>
        <w:rPr>
          <w:rFonts w:ascii="Arial" w:cs="Arial" w:eastAsia="Arial" w:hAnsi="Arial"/>
          <w:sz w:val="22"/>
          <w:szCs w:val="22"/>
          <w:color w:val="auto"/>
        </w:rPr>
      </w:pPr>
      <w:r>
        <w:rPr>
          <w:rFonts w:ascii="Arial" w:cs="Arial" w:eastAsia="Arial" w:hAnsi="Arial"/>
          <w:sz w:val="22"/>
          <w:szCs w:val="22"/>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60" w:lineRule="exact"/>
        <w:rPr>
          <w:rFonts w:ascii="Arial" w:cs="Arial" w:eastAsia="Arial" w:hAnsi="Arial"/>
          <w:sz w:val="22"/>
          <w:szCs w:val="22"/>
          <w:color w:val="auto"/>
        </w:rPr>
      </w:pPr>
    </w:p>
    <w:p>
      <w:pPr>
        <w:ind w:left="320" w:hanging="312"/>
        <w:spacing w:after="0"/>
        <w:tabs>
          <w:tab w:leader="none" w:pos="3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natural disasters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9"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3" w:right="35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10</w:t>
            </w:r>
          </w:p>
        </w:tc>
      </w:tr>
    </w:tbl>
    <w:p>
      <w:pPr>
        <w:spacing w:after="0" w:line="396" w:lineRule="exact"/>
        <w:rPr>
          <w:sz w:val="20"/>
          <w:szCs w:val="20"/>
          <w:color w:val="auto"/>
        </w:rPr>
      </w:pPr>
    </w:p>
    <w:p>
      <w:pPr>
        <w:ind w:left="340" w:right="80" w:hanging="332"/>
        <w:spacing w:after="0" w:line="288" w:lineRule="auto"/>
        <w:tabs>
          <w:tab w:leader="none" w:pos="335" w:val="left"/>
        </w:tabs>
        <w:numPr>
          <w:ilvl w:val="0"/>
          <w:numId w:val="16"/>
        </w:numPr>
        <w:rPr>
          <w:rFonts w:ascii="Arial" w:cs="Arial" w:eastAsia="Arial" w:hAnsi="Arial"/>
          <w:sz w:val="21"/>
          <w:szCs w:val="21"/>
          <w:color w:val="auto"/>
        </w:rPr>
      </w:pPr>
      <w:r>
        <w:rPr>
          <w:rFonts w:ascii="Arial" w:cs="Arial" w:eastAsia="Arial" w:hAnsi="Arial"/>
          <w:sz w:val="21"/>
          <w:szCs w:val="21"/>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7" w:lineRule="exact"/>
        <w:rPr>
          <w:rFonts w:ascii="Arial" w:cs="Arial" w:eastAsia="Arial" w:hAnsi="Arial"/>
          <w:sz w:val="21"/>
          <w:szCs w:val="21"/>
          <w:color w:val="auto"/>
        </w:rPr>
      </w:pPr>
    </w:p>
    <w:p>
      <w:pPr>
        <w:ind w:left="320" w:hanging="312"/>
        <w:spacing w:after="0"/>
        <w:tabs>
          <w:tab w:leader="none" w:pos="3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our ability appropriately to exploit and/or protect intellectual property rights</w:t>
      </w:r>
    </w:p>
    <w:p>
      <w:pPr>
        <w:spacing w:after="0" w:line="98" w:lineRule="exact"/>
        <w:rPr>
          <w:rFonts w:ascii="Arial" w:cs="Arial" w:eastAsia="Arial" w:hAnsi="Arial"/>
          <w:sz w:val="22"/>
          <w:szCs w:val="22"/>
          <w:color w:val="auto"/>
        </w:rPr>
      </w:pPr>
    </w:p>
    <w:p>
      <w:pPr>
        <w:ind w:left="340" w:right="160" w:hanging="332"/>
        <w:spacing w:after="0" w:line="264" w:lineRule="auto"/>
        <w:tabs>
          <w:tab w:leader="none" w:pos="335" w:val="left"/>
        </w:tabs>
        <w:numPr>
          <w:ilvl w:val="0"/>
          <w:numId w:val="16"/>
        </w:numPr>
        <w:rPr>
          <w:rFonts w:ascii="Arial" w:cs="Arial" w:eastAsia="Arial" w:hAnsi="Arial"/>
          <w:sz w:val="22"/>
          <w:szCs w:val="22"/>
          <w:color w:val="auto"/>
        </w:rPr>
      </w:pPr>
      <w:r>
        <w:rPr>
          <w:rFonts w:ascii="Arial" w:cs="Arial" w:eastAsia="Arial" w:hAnsi="Arial"/>
          <w:sz w:val="22"/>
          <w:szCs w:val="22"/>
          <w:color w:val="auto"/>
        </w:rPr>
        <w:t>our ability to develop new products and technologies, progress digital transformation, and maintain technologies, facilities, and equipment to win new competitions and meet the needs of our customers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General and Other Risk Factors</w:t>
      </w:r>
    </w:p>
    <w:p>
      <w:pPr>
        <w:spacing w:after="0" w:line="85" w:lineRule="exact"/>
        <w:rPr>
          <w:sz w:val="20"/>
          <w:szCs w:val="20"/>
          <w:color w:val="auto"/>
        </w:rPr>
      </w:pPr>
    </w:p>
    <w:p>
      <w:pPr>
        <w:ind w:left="340" w:right="480" w:hanging="332"/>
        <w:spacing w:after="0" w:line="277"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adequacy and availability of, and ability to obtain, insurance coverage, customer indemnifications or other liability protections</w:t>
      </w:r>
    </w:p>
    <w:p>
      <w:pPr>
        <w:spacing w:after="0" w:line="23" w:lineRule="exact"/>
        <w:rPr>
          <w:rFonts w:ascii="Arial" w:cs="Arial" w:eastAsia="Arial" w:hAnsi="Arial"/>
          <w:sz w:val="22"/>
          <w:szCs w:val="22"/>
          <w:color w:val="auto"/>
        </w:rPr>
      </w:pPr>
    </w:p>
    <w:p>
      <w:pPr>
        <w:ind w:left="340" w:right="80" w:hanging="332"/>
        <w:spacing w:after="0" w:line="254" w:lineRule="auto"/>
        <w:tabs>
          <w:tab w:leader="none" w:pos="335" w:val="left"/>
        </w:tabs>
        <w:numPr>
          <w:ilvl w:val="0"/>
          <w:numId w:val="17"/>
        </w:numPr>
        <w:rPr>
          <w:rFonts w:ascii="Arial" w:cs="Arial" w:eastAsia="Arial" w:hAnsi="Arial"/>
          <w:sz w:val="22"/>
          <w:szCs w:val="22"/>
          <w:i w:val="1"/>
          <w:iCs w:val="1"/>
          <w:color w:val="auto"/>
        </w:rPr>
      </w:pPr>
      <w:r>
        <w:rPr>
          <w:rFonts w:ascii="Arial" w:cs="Arial" w:eastAsia="Arial" w:hAnsi="Arial"/>
          <w:sz w:val="22"/>
          <w:szCs w:val="22"/>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63" w:lineRule="exact"/>
        <w:rPr>
          <w:rFonts w:ascii="Arial" w:cs="Arial" w:eastAsia="Arial" w:hAnsi="Arial"/>
          <w:sz w:val="22"/>
          <w:szCs w:val="22"/>
          <w:i w:val="1"/>
          <w:iCs w:val="1"/>
          <w:color w:val="auto"/>
        </w:rPr>
      </w:pPr>
    </w:p>
    <w:p>
      <w:pPr>
        <w:ind w:left="340" w:right="240" w:hanging="332"/>
        <w:spacing w:after="0" w:line="264" w:lineRule="auto"/>
        <w:tabs>
          <w:tab w:leader="none" w:pos="335" w:val="left"/>
        </w:tabs>
        <w:numPr>
          <w:ilvl w:val="0"/>
          <w:numId w:val="17"/>
        </w:numPr>
        <w:rPr>
          <w:rFonts w:ascii="Arial" w:cs="Arial" w:eastAsia="Arial" w:hAnsi="Arial"/>
          <w:sz w:val="22"/>
          <w:szCs w:val="22"/>
          <w:color w:val="auto"/>
        </w:rPr>
      </w:pPr>
      <w:r>
        <w:rPr>
          <w:rFonts w:ascii="Arial" w:cs="Arial" w:eastAsia="Arial" w:hAnsi="Arial"/>
          <w:sz w:val="22"/>
          <w:szCs w:val="22"/>
          <w:color w:val="auto"/>
        </w:rPr>
        <w:t>changes in business conditions that could impact business investments and/or recorded goodwill or the value of other long-lived assets, and other potential future liabilities</w:t>
      </w:r>
    </w:p>
    <w:p>
      <w:pPr>
        <w:spacing w:after="0" w:line="51"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You are urged to consider the limitations on, and risks associated with, forward-looking statements and not unduly rely on the accuracy of forward-looking statements. These forward-looking statements speak only as of the date this earnings release is first issued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54" w:lineRule="exact"/>
        <w:rPr>
          <w:sz w:val="20"/>
          <w:szCs w:val="20"/>
          <w:color w:val="auto"/>
        </w:rPr>
      </w:pPr>
    </w:p>
    <w:p>
      <w:pPr>
        <w:jc w:val="both"/>
        <w:ind w:right="220"/>
        <w:spacing w:after="0" w:line="302" w:lineRule="auto"/>
        <w:rPr>
          <w:sz w:val="20"/>
          <w:szCs w:val="20"/>
          <w:color w:val="auto"/>
        </w:rPr>
      </w:pPr>
      <w:r>
        <w:rPr>
          <w:rFonts w:ascii="Arial" w:cs="Arial" w:eastAsia="Arial" w:hAnsi="Arial"/>
          <w:sz w:val="21"/>
          <w:szCs w:val="21"/>
          <w:color w:val="auto"/>
        </w:rPr>
        <w:t>This release and the attachments also contain non-GAAP financial measures. A reconciliation to the nearest GAAP measure and a discussion of the company’s use of these measures are included in this release or the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20" w:top="373"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11</w:t>
            </w:r>
          </w:p>
        </w:tc>
      </w:tr>
    </w:tbl>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1</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right"/>
              <w:ind w:right="350"/>
              <w:spacing w:after="0"/>
              <w:rPr>
                <w:sz w:val="20"/>
                <w:szCs w:val="20"/>
                <w:color w:val="auto"/>
              </w:rPr>
            </w:pPr>
            <w:r>
              <w:rPr>
                <w:rFonts w:ascii="Arial" w:cs="Arial" w:eastAsia="Arial" w:hAnsi="Arial"/>
                <w:sz w:val="18"/>
                <w:szCs w:val="18"/>
                <w:color w:val="auto"/>
              </w:rPr>
              <w:t>Three Months Ended</w:t>
            </w:r>
          </w:p>
        </w:tc>
        <w:tc>
          <w:tcPr>
            <w:tcW w:w="2620" w:type="dxa"/>
            <w:vAlign w:val="bottom"/>
            <w:gridSpan w:val="4"/>
          </w:tcPr>
          <w:p>
            <w:pPr>
              <w:ind w:left="80"/>
              <w:spacing w:after="0"/>
              <w:rPr>
                <w:sz w:val="20"/>
                <w:szCs w:val="20"/>
                <w:color w:val="auto"/>
              </w:rPr>
            </w:pPr>
            <w:r>
              <w:rPr>
                <w:rFonts w:ascii="Arial" w:cs="Arial" w:eastAsia="Arial" w:hAnsi="Arial"/>
                <w:sz w:val="18"/>
                <w:szCs w:val="18"/>
                <w:color w:val="auto"/>
              </w:rPr>
              <w:t>Nine Months Ended September</w:t>
            </w:r>
          </w:p>
        </w:tc>
      </w:tr>
      <w:tr>
        <w:trPr>
          <w:trHeight w:val="229"/>
        </w:trPr>
        <w:tc>
          <w:tcPr>
            <w:tcW w:w="5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color w:val="auto"/>
              </w:rPr>
              <w:t>September 30</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30</w:t>
            </w:r>
          </w:p>
        </w:tc>
        <w:tc>
          <w:tcPr>
            <w:tcW w:w="940" w:type="dxa"/>
            <w:vAlign w:val="bottom"/>
            <w:tcBorders>
              <w:bottom w:val="single" w:sz="8" w:color="auto"/>
            </w:tcBorders>
          </w:tcPr>
          <w:p>
            <w:pPr>
              <w:spacing w:after="0"/>
              <w:rPr>
                <w:sz w:val="19"/>
                <w:szCs w:val="19"/>
                <w:color w:val="auto"/>
              </w:rPr>
            </w:pP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Product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7,678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6,979</w:t>
            </w:r>
          </w:p>
        </w:tc>
        <w:tc>
          <w:tcPr>
            <w:tcW w:w="3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22,390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20,599</w:t>
            </w:r>
          </w:p>
        </w:tc>
      </w:tr>
      <w:tr>
        <w:trPr>
          <w:trHeight w:val="229"/>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2,097</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6,262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sales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9,775</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8,971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28,652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6,135</w:t>
            </w:r>
          </w:p>
        </w:tc>
        <w:tc>
          <w:tcPr>
            <w:tcW w:w="3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5,589</w:t>
            </w:r>
          </w:p>
        </w:tc>
        <w:tc>
          <w:tcPr>
            <w:tcW w:w="3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17,738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1,599</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1,564</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4,848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r>
      <w:tr>
        <w:trPr>
          <w:trHeight w:val="230"/>
        </w:trPr>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1,025</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3,136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r>
      <w:tr>
        <w:trPr>
          <w:trHeight w:val="223"/>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8,759</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8,127</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25,722</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23,874</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1,016</w:t>
            </w:r>
          </w:p>
        </w:tc>
        <w:tc>
          <w:tcPr>
            <w:tcW w:w="3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3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2,930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(417)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29"/>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FAS pension benefit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397</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29"/>
        </w:trPr>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1,118</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3,103</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r>
      <w:tr>
        <w:trPr>
          <w:trHeight w:val="23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Federal and foreign income tax expense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175</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512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937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2,591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03"/>
        </w:trPr>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17.07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in millions</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151.2</w:t>
            </w:r>
          </w:p>
        </w:tc>
        <w:tc>
          <w:tcPr>
            <w:tcW w:w="3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154.6</w:t>
            </w:r>
          </w:p>
        </w:tc>
        <w:tc>
          <w:tcPr>
            <w:tcW w:w="3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151.8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155.3</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17.00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r>
      <w:tr>
        <w:trPr>
          <w:trHeight w:val="23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151.7</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152.4</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r>
      <w:tr>
        <w:trPr>
          <w:trHeight w:val="203"/>
        </w:trPr>
        <w:tc>
          <w:tcPr>
            <w:tcW w:w="5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Net earnings (from above)</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937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915</w:t>
            </w:r>
          </w:p>
        </w:tc>
        <w:tc>
          <w:tcPr>
            <w:tcW w:w="32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2,591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2,816</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Change in cumulative translation adjustment</w:t>
            </w:r>
          </w:p>
        </w:tc>
        <w:tc>
          <w:tcPr>
            <w:tcW w:w="2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6</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other,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940</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908</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2,597</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Northrop Grumman Corporation</w:t>
      </w:r>
    </w:p>
    <w:p>
      <w:pPr>
        <w:jc w:val="center"/>
        <w:ind w:right="20"/>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40" w:top="373" w:right="339" w:bottom="1440" w:gutter="0" w:footer="0" w:header="0"/>
        </w:sectPr>
      </w:pPr>
    </w:p>
    <w:bookmarkStart w:id="15" w:name="page16"/>
    <w:bookmarkEnd w:id="15"/>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12</w:t>
            </w:r>
          </w:p>
        </w:tc>
      </w:tr>
    </w:tbl>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2</w:t>
      </w:r>
    </w:p>
    <w:p>
      <w:pPr>
        <w:spacing w:after="0" w:line="31" w:lineRule="exact"/>
        <w:rPr>
          <w:sz w:val="20"/>
          <w:szCs w:val="20"/>
          <w:color w:val="auto"/>
        </w:rPr>
      </w:pPr>
    </w:p>
    <w:p>
      <w:pPr>
        <w:jc w:val="center"/>
        <w:ind w:left="340" w:right="2560"/>
        <w:spacing w:after="0" w:line="270" w:lineRule="auto"/>
        <w:rPr>
          <w:sz w:val="20"/>
          <w:szCs w:val="20"/>
          <w:color w:val="auto"/>
        </w:rPr>
      </w:pPr>
      <w:r>
        <w:rPr>
          <w:rFonts w:ascii="Arial" w:cs="Arial" w:eastAsia="Arial" w:hAnsi="Arial"/>
          <w:sz w:val="18"/>
          <w:szCs w:val="18"/>
          <w:b w:val="1"/>
          <w:bCs w:val="1"/>
          <w:color w:val="auto"/>
        </w:rPr>
        <w:t>NORTHROP GRUMMAN CORPORATION CONDENSED CONSOLIDATED STATEMENTS OF FINANCIAL POSITION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par value</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2,082</w:t>
            </w:r>
          </w:p>
        </w:tc>
        <w:tc>
          <w:tcPr>
            <w:tcW w:w="640" w:type="dxa"/>
            <w:vAlign w:val="bottom"/>
          </w:tcPr>
          <w:p>
            <w:pPr>
              <w:ind w:lef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1,764</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Unbilled receivables, net</w:t>
            </w: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6,270</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5,983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Inventoried costs,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1,355</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1,679</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13,150</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8"/>
                <w:szCs w:val="18"/>
                <w:color w:val="auto"/>
              </w:rPr>
              <w:t>Property, plant and equipment, net of accumulated depreciation of $7,742 for 2023 and $7,258</w:t>
            </w:r>
          </w:p>
        </w:tc>
        <w:tc>
          <w:tcPr>
            <w:tcW w:w="260" w:type="dxa"/>
            <w:vAlign w:val="bottom"/>
          </w:tcPr>
          <w:p>
            <w:pPr>
              <w:spacing w:after="0"/>
              <w:rPr>
                <w:sz w:val="15"/>
                <w:szCs w:val="15"/>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9,173</w:t>
            </w: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for 2022</w:t>
            </w:r>
          </w:p>
        </w:tc>
        <w:tc>
          <w:tcPr>
            <w:tcW w:w="2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1,714</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17,514</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17,516</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330</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2,691</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44,896</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Accrued employee compensation</w:t>
            </w: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1,927</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 payments and billings in excess of costs incurred</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3,458</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2,660</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10,305</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Long-term debt, net of current portion of $64 for 2023 and $1,072 for 2022</w:t>
            </w: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13,793</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11,805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 plan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1,147</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1,736</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1,987</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28,968</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28,443</w:t>
            </w:r>
          </w:p>
        </w:tc>
        <w:tc>
          <w:tcPr>
            <w:tcW w:w="0" w:type="dxa"/>
            <w:vAlign w:val="bottom"/>
          </w:tcPr>
          <w:p>
            <w:pPr>
              <w:spacing w:after="0"/>
              <w:rPr>
                <w:sz w:val="1"/>
                <w:szCs w:val="1"/>
                <w:color w:val="auto"/>
              </w:rPr>
            </w:pPr>
          </w:p>
        </w:tc>
      </w:tr>
      <w:tr>
        <w:trPr>
          <w:trHeight w:val="237"/>
        </w:trPr>
        <w:tc>
          <w:tcPr>
            <w:tcW w:w="7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$1 par value; 10,000,000 shares authorized; no shares issued and outstanding</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line="189" w:lineRule="exact"/>
              <w:rPr>
                <w:sz w:val="20"/>
                <w:szCs w:val="20"/>
                <w:color w:val="auto"/>
              </w:rPr>
            </w:pPr>
            <w:r>
              <w:rPr>
                <w:rFonts w:ascii="Arial" w:cs="Arial" w:eastAsia="Arial" w:hAnsi="Arial"/>
                <w:sz w:val="18"/>
                <w:szCs w:val="18"/>
                <w:color w:val="auto"/>
              </w:rPr>
              <w:t>Common stock, $1 par value; 800,000,000 shares authorized; issued and outstanding: 2023—</w:t>
            </w:r>
          </w:p>
        </w:tc>
        <w:tc>
          <w:tcPr>
            <w:tcW w:w="260" w:type="dxa"/>
            <w:vAlign w:val="bottom"/>
          </w:tcPr>
          <w:p>
            <w:pPr>
              <w:spacing w:after="0"/>
              <w:rPr>
                <w:sz w:val="16"/>
                <w:szCs w:val="16"/>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151</w:t>
            </w: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150,864,851 and 2022—153,157,924</w:t>
            </w:r>
          </w:p>
        </w:tc>
        <w:tc>
          <w:tcPr>
            <w:tcW w:w="2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b w:val="1"/>
                <w:bCs w:val="1"/>
                <w:color w:val="auto"/>
              </w:rPr>
              <w:t>15,924</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15,928</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44,896</w:t>
            </w:r>
          </w:p>
        </w:tc>
        <w:tc>
          <w:tcPr>
            <w:tcW w:w="6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3"/>
        </w:trPr>
        <w:tc>
          <w:tcPr>
            <w:tcW w:w="8660" w:type="dxa"/>
            <w:vAlign w:val="bottom"/>
            <w:gridSpan w:val="3"/>
          </w:tcPr>
          <w:p>
            <w:pPr>
              <w:spacing w:after="0"/>
              <w:rPr>
                <w:sz w:val="20"/>
                <w:szCs w:val="20"/>
                <w:color w:val="auto"/>
              </w:rPr>
            </w:pPr>
            <w:r>
              <w:rPr>
                <w:rFonts w:ascii="Arial" w:cs="Arial" w:eastAsia="Arial" w:hAnsi="Arial"/>
                <w:sz w:val="20"/>
                <w:szCs w:val="20"/>
                <w:color w:val="auto"/>
              </w:rPr>
              <w:t>Northrop Grumman Reports Third Quarter 2023 Financial Results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SCHEDULE 3</w:t>
            </w: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8640" w:type="dxa"/>
            <w:vAlign w:val="bottom"/>
            <w:gridSpan w:val="2"/>
            <w:vMerge w:val="restart"/>
          </w:tcPr>
          <w:p>
            <w:pPr>
              <w:jc w:val="center"/>
              <w:ind w:left="2450"/>
              <w:spacing w:after="0"/>
              <w:rPr>
                <w:sz w:val="20"/>
                <w:szCs w:val="20"/>
                <w:color w:val="auto"/>
              </w:rPr>
            </w:pPr>
            <w:r>
              <w:rPr>
                <w:rFonts w:ascii="Arial" w:cs="Arial" w:eastAsia="Arial" w:hAnsi="Arial"/>
                <w:sz w:val="18"/>
                <w:szCs w:val="18"/>
                <w:b w:val="1"/>
                <w:bCs w:val="1"/>
                <w:color w:val="auto"/>
                <w:w w:val="99"/>
              </w:rPr>
              <w:t>NORTHROP GRUMMAN CORPORATION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640" w:type="dxa"/>
            <w:vAlign w:val="bottom"/>
            <w:gridSpan w:val="2"/>
          </w:tcPr>
          <w:p>
            <w:pPr>
              <w:jc w:val="center"/>
              <w:ind w:left="243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Nine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4"/>
          </w:tcPr>
          <w:p>
            <w:pPr>
              <w:jc w:val="center"/>
              <w:ind w:right="300"/>
              <w:spacing w:after="0"/>
              <w:rPr>
                <w:sz w:val="20"/>
                <w:szCs w:val="20"/>
                <w:color w:val="auto"/>
              </w:rPr>
            </w:pPr>
            <w:r>
              <w:rPr>
                <w:rFonts w:ascii="Arial" w:cs="Arial" w:eastAsia="Arial" w:hAnsi="Arial"/>
                <w:sz w:val="18"/>
                <w:szCs w:val="18"/>
                <w:color w:val="auto"/>
                <w:w w:val="9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 in millions</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2,591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938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periodic pension and OPB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rPr>
              <w:t>Pension and OPB contributions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Unbilled receivables,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Inventoried costs, net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liabilities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1,445</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Proceeds from sale of equipment to a customer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rPr>
              <w:t>Proceeds from sale of minority investment</w:t>
            </w:r>
          </w:p>
        </w:tc>
        <w:tc>
          <w:tcPr>
            <w:tcW w:w="2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157</w:t>
            </w:r>
          </w:p>
        </w:tc>
        <w:tc>
          <w:tcPr>
            <w:tcW w:w="3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proceeds from issuance of long-term debt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1,995</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rPr>
              <w:t>Payments of long-term debt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(1,050)</w:t>
            </w:r>
          </w:p>
        </w:tc>
        <w:tc>
          <w:tcPr>
            <w:tcW w:w="3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repurchases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(1,154)</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rPr>
              <w:t>Cash dividends paid</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(834)</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Payments of employee taxes withheld from share-based awards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(1,128)</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gridSpan w:val="2"/>
          </w:tcPr>
          <w:p>
            <w:pPr>
              <w:ind w:left="2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2,577</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505460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Northrop Grumman Corporation</w:t>
      </w:r>
    </w:p>
    <w:p>
      <w:pPr>
        <w:jc w:val="center"/>
        <w:ind w:right="20"/>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ind w:right="20"/>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20"/>
          </w:cols>
          <w:pgMar w:left="340" w:top="373" w:right="33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14</w:t>
            </w:r>
          </w:p>
        </w:tc>
      </w:tr>
    </w:tbl>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BACKLOG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September 30, 2023</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rPr>
              <w:t>December 31,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vMerge w:val="continue"/>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Funded</w:t>
            </w:r>
            <w:r>
              <w:rPr>
                <w:rFonts w:ascii="Arial" w:cs="Arial" w:eastAsia="Arial" w:hAnsi="Arial"/>
                <w:sz w:val="23"/>
                <w:szCs w:val="23"/>
                <w:b w:val="1"/>
                <w:bCs w:val="1"/>
                <w:color w:val="auto"/>
                <w:vertAlign w:val="superscript"/>
              </w:rPr>
              <w:t>1</w:t>
            </w:r>
          </w:p>
        </w:tc>
        <w:tc>
          <w:tcPr>
            <w:tcW w:w="24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Unfunded</w:t>
            </w:r>
          </w:p>
        </w:tc>
        <w:tc>
          <w:tcPr>
            <w:tcW w:w="260" w:type="dxa"/>
            <w:vAlign w:val="bottom"/>
          </w:tcPr>
          <w:p>
            <w:pPr>
              <w:spacing w:after="0"/>
              <w:rPr>
                <w:sz w:val="14"/>
                <w:szCs w:val="14"/>
                <w:color w:val="auto"/>
              </w:rPr>
            </w:pPr>
          </w:p>
        </w:tc>
        <w:tc>
          <w:tcPr>
            <w:tcW w:w="1060" w:type="dxa"/>
            <w:vAlign w:val="bottom"/>
          </w:tcPr>
          <w:p>
            <w:pPr>
              <w:jc w:val="center"/>
              <w:ind w:right="70"/>
              <w:spacing w:after="0" w:line="170" w:lineRule="exact"/>
              <w:rPr>
                <w:sz w:val="20"/>
                <w:szCs w:val="20"/>
                <w:color w:val="auto"/>
              </w:rPr>
            </w:pPr>
            <w:r>
              <w:rPr>
                <w:rFonts w:ascii="Arial" w:cs="Arial" w:eastAsia="Arial" w:hAnsi="Arial"/>
                <w:sz w:val="18"/>
                <w:szCs w:val="18"/>
                <w:b w:val="1"/>
                <w:bCs w:val="1"/>
                <w:color w:val="auto"/>
                <w:w w:val="97"/>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line="170" w:lineRule="exact"/>
              <w:rPr>
                <w:sz w:val="20"/>
                <w:szCs w:val="20"/>
                <w:color w:val="auto"/>
              </w:rPr>
            </w:pPr>
            <w:r>
              <w:rPr>
                <w:rFonts w:ascii="Arial" w:cs="Arial" w:eastAsia="Arial" w:hAnsi="Arial"/>
                <w:sz w:val="18"/>
                <w:szCs w:val="18"/>
                <w:color w:val="auto"/>
                <w:w w:val="94"/>
              </w:rPr>
              <w:t>Total</w:t>
            </w:r>
          </w:p>
        </w:tc>
        <w:tc>
          <w:tcPr>
            <w:tcW w:w="1220" w:type="dxa"/>
            <w:vAlign w:val="bottom"/>
          </w:tcPr>
          <w:p>
            <w:pPr>
              <w:jc w:val="right"/>
              <w:ind w:right="10"/>
              <w:spacing w:after="0" w:line="170" w:lineRule="exact"/>
              <w:rPr>
                <w:sz w:val="20"/>
                <w:szCs w:val="20"/>
                <w:color w:val="auto"/>
              </w:rPr>
            </w:pPr>
            <w:r>
              <w:rPr>
                <w:rFonts w:ascii="Arial" w:cs="Arial" w:eastAsia="Arial" w:hAnsi="Arial"/>
                <w:sz w:val="18"/>
                <w:szCs w:val="18"/>
                <w:color w:val="auto"/>
              </w:rPr>
              <w:t>% Change in</w:t>
            </w:r>
          </w:p>
        </w:tc>
        <w:tc>
          <w:tcPr>
            <w:tcW w:w="0" w:type="dxa"/>
            <w:vAlign w:val="bottom"/>
          </w:tcPr>
          <w:p>
            <w:pPr>
              <w:spacing w:after="0"/>
              <w:rPr>
                <w:sz w:val="1"/>
                <w:szCs w:val="1"/>
                <w:color w:val="auto"/>
              </w:rPr>
            </w:pPr>
          </w:p>
        </w:tc>
      </w:tr>
      <w:tr>
        <w:trPr>
          <w:trHeight w:val="24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00"/>
              <w:spacing w:after="0" w:line="241" w:lineRule="exact"/>
              <w:rPr>
                <w:sz w:val="20"/>
                <w:szCs w:val="20"/>
                <w:color w:val="auto"/>
              </w:rPr>
            </w:pPr>
            <w:r>
              <w:rPr>
                <w:rFonts w:ascii="Arial" w:cs="Arial" w:eastAsia="Arial" w:hAnsi="Arial"/>
                <w:sz w:val="18"/>
                <w:szCs w:val="18"/>
                <w:b w:val="1"/>
                <w:bCs w:val="1"/>
                <w:color w:val="auto"/>
                <w:w w:val="96"/>
              </w:rPr>
              <w:t>Backlog</w:t>
            </w:r>
            <w:r>
              <w:rPr>
                <w:rFonts w:ascii="Arial" w:cs="Arial" w:eastAsia="Arial" w:hAnsi="Arial"/>
                <w:sz w:val="23"/>
                <w:szCs w:val="23"/>
                <w:b w:val="1"/>
                <w:bCs w:val="1"/>
                <w:color w:val="auto"/>
                <w:w w:val="96"/>
                <w:vertAlign w:val="superscript"/>
              </w:rPr>
              <w:t>2</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60"/>
              <w:spacing w:after="0" w:line="241" w:lineRule="exact"/>
              <w:rPr>
                <w:sz w:val="20"/>
                <w:szCs w:val="20"/>
                <w:color w:val="auto"/>
              </w:rPr>
            </w:pPr>
            <w:r>
              <w:rPr>
                <w:rFonts w:ascii="Arial" w:cs="Arial" w:eastAsia="Arial" w:hAnsi="Arial"/>
                <w:sz w:val="18"/>
                <w:szCs w:val="18"/>
                <w:color w:val="auto"/>
                <w:w w:val="96"/>
              </w:rPr>
              <w:t>Backlog</w:t>
            </w:r>
            <w:r>
              <w:rPr>
                <w:rFonts w:ascii="Arial" w:cs="Arial" w:eastAsia="Arial" w:hAnsi="Arial"/>
                <w:sz w:val="23"/>
                <w:szCs w:val="23"/>
                <w:color w:val="auto"/>
                <w:w w:val="96"/>
                <w:vertAlign w:val="superscript"/>
              </w:rPr>
              <w:t>2</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9,338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Defense Systems</w:t>
            </w: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6,425</w:t>
            </w:r>
          </w:p>
        </w:tc>
        <w:tc>
          <w:tcPr>
            <w:tcW w:w="2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1,713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8 %</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Mission Systems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11,260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4,247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9,819</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32,120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41,939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37,956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10 %</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36,513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47,418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83,931</w:t>
            </w: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78,743</w:t>
            </w:r>
          </w:p>
        </w:tc>
        <w:tc>
          <w:tcPr>
            <w:tcW w:w="1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300" w:hanging="132"/>
        <w:spacing w:after="0"/>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Funded backlog represents firm orders for which funding is authorized and appropriated.</w:t>
      </w:r>
    </w:p>
    <w:p>
      <w:pPr>
        <w:spacing w:after="0" w:line="16" w:lineRule="exact"/>
        <w:rPr>
          <w:sz w:val="20"/>
          <w:szCs w:val="20"/>
          <w:color w:val="auto"/>
        </w:rPr>
      </w:pPr>
    </w:p>
    <w:p>
      <w:pPr>
        <w:ind w:left="300" w:right="440" w:hanging="132"/>
        <w:spacing w:after="0" w:line="198" w:lineRule="auto"/>
        <w:tabs>
          <w:tab w:leader="none" w:pos="30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Total backlog excludes unexercised contract options and indefinite delivery, indefinite quantity (IDIQ) contracts until the time the option or IDIQ task order is exercised or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Northrop Grumman Corporation</w:t>
      </w:r>
    </w:p>
    <w:p>
      <w:pPr>
        <w:jc w:val="center"/>
        <w:spacing w:after="0" w:line="229"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8" w:name="page19"/>
    <w:bookmarkEnd w:id="18"/>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15</w:t>
            </w:r>
          </w:p>
        </w:tc>
      </w:tr>
    </w:tbl>
    <w:p>
      <w:pPr>
        <w:spacing w:after="0" w:line="382" w:lineRule="exact"/>
        <w:rPr>
          <w:sz w:val="20"/>
          <w:szCs w:val="20"/>
          <w:color w:val="auto"/>
        </w:rPr>
      </w:pPr>
    </w:p>
    <w:p>
      <w:pPr>
        <w:ind w:left="10100"/>
        <w:spacing w:after="0"/>
        <w:rPr>
          <w:sz w:val="20"/>
          <w:szCs w:val="20"/>
          <w:color w:val="auto"/>
        </w:rPr>
      </w:pPr>
      <w:r>
        <w:rPr>
          <w:rFonts w:ascii="Arial" w:cs="Arial" w:eastAsia="Arial" w:hAnsi="Arial"/>
          <w:sz w:val="17"/>
          <w:szCs w:val="17"/>
          <w:b w:val="1"/>
          <w:bCs w:val="1"/>
          <w:color w:val="auto"/>
        </w:rPr>
        <w:t>SCHEDULE 5</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NORTHROP GRUMMAN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PER SHARE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Three Months Ended</w:t>
            </w:r>
          </w:p>
        </w:tc>
        <w:tc>
          <w:tcPr>
            <w:tcW w:w="220" w:type="dxa"/>
            <w:vAlign w:val="bottom"/>
          </w:tcPr>
          <w:p>
            <w:pPr>
              <w:spacing w:after="0"/>
              <w:rPr>
                <w:sz w:val="17"/>
                <w:szCs w:val="17"/>
                <w:color w:val="auto"/>
              </w:rPr>
            </w:pPr>
          </w:p>
        </w:tc>
        <w:tc>
          <w:tcPr>
            <w:tcW w:w="2020" w:type="dxa"/>
            <w:vAlign w:val="bottom"/>
            <w:gridSpan w:val="3"/>
          </w:tcPr>
          <w:p>
            <w:pPr>
              <w:jc w:val="right"/>
              <w:ind w:right="250"/>
              <w:spacing w:after="0"/>
              <w:rPr>
                <w:sz w:val="20"/>
                <w:szCs w:val="20"/>
                <w:color w:val="auto"/>
              </w:rPr>
            </w:pPr>
            <w:r>
              <w:rPr>
                <w:rFonts w:ascii="Arial" w:cs="Arial" w:eastAsia="Arial" w:hAnsi="Arial"/>
                <w:sz w:val="18"/>
                <w:szCs w:val="18"/>
                <w:color w:val="auto"/>
              </w:rPr>
              <w:t>Nine Months Ended</w:t>
            </w:r>
          </w:p>
        </w:tc>
      </w:tr>
      <w:tr>
        <w:trPr>
          <w:trHeight w:val="229"/>
        </w:trPr>
        <w:tc>
          <w:tcPr>
            <w:tcW w:w="6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gridSpan w:val="4"/>
          </w:tcPr>
          <w:p>
            <w:pPr>
              <w:jc w:val="center"/>
              <w:ind w:right="300"/>
              <w:spacing w:after="0"/>
              <w:rPr>
                <w:sz w:val="20"/>
                <w:szCs w:val="20"/>
                <w:color w:val="auto"/>
              </w:rPr>
            </w:pPr>
            <w:r>
              <w:rPr>
                <w:rFonts w:ascii="Arial" w:cs="Arial" w:eastAsia="Arial" w:hAnsi="Arial"/>
                <w:sz w:val="18"/>
                <w:szCs w:val="18"/>
                <w:color w:val="auto"/>
              </w:rPr>
              <w:t>September 30</w:t>
            </w:r>
          </w:p>
        </w:tc>
        <w:tc>
          <w:tcPr>
            <w:tcW w:w="220" w:type="dxa"/>
            <w:vAlign w:val="bottom"/>
          </w:tcPr>
          <w:p>
            <w:pPr>
              <w:spacing w:after="0"/>
              <w:rPr>
                <w:sz w:val="19"/>
                <w:szCs w:val="19"/>
                <w:color w:val="auto"/>
              </w:rPr>
            </w:pPr>
          </w:p>
        </w:tc>
        <w:tc>
          <w:tcPr>
            <w:tcW w:w="2020" w:type="dxa"/>
            <w:vAlign w:val="bottom"/>
            <w:gridSpan w:val="3"/>
          </w:tcPr>
          <w:p>
            <w:pPr>
              <w:jc w:val="right"/>
              <w:ind w:right="470"/>
              <w:spacing w:after="0"/>
              <w:rPr>
                <w:sz w:val="20"/>
                <w:szCs w:val="20"/>
                <w:color w:val="auto"/>
              </w:rPr>
            </w:pPr>
            <w:r>
              <w:rPr>
                <w:rFonts w:ascii="Arial" w:cs="Arial" w:eastAsia="Arial" w:hAnsi="Arial"/>
                <w:sz w:val="18"/>
                <w:szCs w:val="18"/>
                <w:color w:val="auto"/>
              </w:rPr>
              <w:t>September 30</w:t>
            </w: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millions, except per share amounts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impact of total net FAS/CAS pension adjustment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6640" w:type="dxa"/>
            <w:vAlign w:val="bottom"/>
          </w:tcPr>
          <w:p>
            <w:pPr>
              <w:ind w:left="220"/>
              <w:spacing w:after="0"/>
              <w:rPr>
                <w:sz w:val="20"/>
                <w:szCs w:val="20"/>
                <w:color w:val="auto"/>
              </w:rPr>
            </w:pPr>
            <w:r>
              <w:rPr>
                <w:rFonts w:ascii="Arial" w:cs="Arial" w:eastAsia="Arial" w:hAnsi="Arial"/>
                <w:sz w:val="18"/>
                <w:szCs w:val="18"/>
                <w:color w:val="auto"/>
              </w:rPr>
              <w:t>FAS/CAS operating adjustment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29"/>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FAS pension benefit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397</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Total net FAS/CAS pension adjustment</w:t>
            </w: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335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29"/>
        </w:trPr>
        <w:tc>
          <w:tcPr>
            <w:tcW w:w="6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251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151.7</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152.4</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2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0.55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r>
      <w:tr>
        <w:trPr>
          <w:trHeight w:val="250"/>
        </w:trPr>
        <w:tc>
          <w:tcPr>
            <w:tcW w:w="6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0"/>
        </w:trPr>
        <w:tc>
          <w:tcPr>
            <w:tcW w:w="6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180"/>
        </w:trPr>
        <w:tc>
          <w:tcPr>
            <w:tcW w:w="664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Per share impact of intangible asset amortization and PP&amp;E step-up</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Intangible asset amortization and PP&amp;E step-up depreciation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66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After-tax impact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diluted shares outstanding, in millions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151.7</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152.4</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2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 share impact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r>
    </w:tbl>
    <w:p>
      <w:pPr>
        <w:spacing w:after="0" w:line="79" w:lineRule="exact"/>
        <w:rPr>
          <w:sz w:val="20"/>
          <w:szCs w:val="20"/>
          <w:color w:val="auto"/>
        </w:rPr>
      </w:pPr>
    </w:p>
    <w:p>
      <w:pPr>
        <w:ind w:left="300" w:hanging="227"/>
        <w:spacing w:after="0"/>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Based on a 21% federal statutory tax rate and a 5.25% blended state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20"/>
        <w:spacing w:after="0"/>
        <w:rPr>
          <w:sz w:val="20"/>
          <w:szCs w:val="20"/>
          <w:color w:val="auto"/>
        </w:rPr>
      </w:pPr>
      <w:r>
        <w:rPr>
          <w:rFonts w:ascii="Arial" w:cs="Arial" w:eastAsia="Arial" w:hAnsi="Arial"/>
          <w:sz w:val="14"/>
          <w:szCs w:val="14"/>
          <w:b w:val="1"/>
          <w:bCs w:val="1"/>
          <w:color w:val="auto"/>
        </w:rPr>
        <w:t>Northrop Grumman Corporation</w:t>
      </w:r>
    </w:p>
    <w:p>
      <w:pPr>
        <w:ind w:left="3820"/>
        <w:spacing w:after="0" w:line="209" w:lineRule="auto"/>
        <w:rPr>
          <w:sz w:val="20"/>
          <w:szCs w:val="20"/>
          <w:color w:val="auto"/>
        </w:rPr>
      </w:pPr>
      <w:r>
        <w:rPr>
          <w:rFonts w:ascii="Arial" w:cs="Arial" w:eastAsia="Arial" w:hAnsi="Arial"/>
          <w:sz w:val="14"/>
          <w:szCs w:val="14"/>
          <w:color w:val="auto"/>
        </w:rPr>
        <w:t>2980 Fairview Park Drive • Falls Church, VA 22042-4511</w:t>
      </w:r>
    </w:p>
    <w:p>
      <w:pPr>
        <w:jc w:val="center"/>
        <w:spacing w:after="0"/>
        <w:rPr>
          <w:sz w:val="20"/>
          <w:szCs w:val="20"/>
          <w:color w:val="auto"/>
        </w:rPr>
      </w:pPr>
      <w:r>
        <w:rPr>
          <w:rFonts w:ascii="Arial" w:cs="Arial" w:eastAsia="Arial" w:hAnsi="Arial"/>
          <w:sz w:val="14"/>
          <w:szCs w:val="14"/>
          <w:color w:val="auto"/>
        </w:rPr>
        <w:t>news.northropgrumman.com</w:t>
      </w:r>
    </w:p>
    <w:p>
      <w:pPr>
        <w:sectPr>
          <w:pgSz w:w="11900" w:h="16838" w:orient="portrait"/>
          <w:cols w:equalWidth="0" w:num="1">
            <w:col w:w="11240"/>
          </w:cols>
          <w:pgMar w:left="320" w:top="373" w:right="339" w:bottom="1440" w:gutter="0" w:footer="0" w:header="0"/>
        </w:sectPr>
      </w:pPr>
    </w:p>
    <w:bookmarkStart w:id="19" w:name="page20"/>
    <w:bookmarkEnd w:id="19"/>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8"/>
              </w:rPr>
              <w:t>Northrop Grumman Reports Third Quarter 2023 Financial Results</w:t>
            </w:r>
          </w:p>
        </w:tc>
        <w:tc>
          <w:tcPr>
            <w:tcW w:w="5460" w:type="dxa"/>
            <w:vAlign w:val="bottom"/>
          </w:tcPr>
          <w:p>
            <w:pPr>
              <w:jc w:val="right"/>
              <w:spacing w:after="0"/>
              <w:rPr>
                <w:sz w:val="20"/>
                <w:szCs w:val="20"/>
                <w:color w:val="auto"/>
              </w:rPr>
            </w:pPr>
            <w:r>
              <w:rPr>
                <w:rFonts w:ascii="Arial" w:cs="Arial" w:eastAsia="Arial" w:hAnsi="Arial"/>
                <w:sz w:val="22"/>
                <w:szCs w:val="22"/>
                <w:color w:val="auto"/>
              </w:rPr>
              <w:t>16</w:t>
            </w:r>
          </w:p>
        </w:tc>
      </w:tr>
    </w:tbl>
    <w:p>
      <w:pPr>
        <w:spacing w:after="0" w:line="377" w:lineRule="exact"/>
        <w:rPr>
          <w:sz w:val="20"/>
          <w:szCs w:val="20"/>
          <w:color w:val="auto"/>
        </w:rPr>
      </w:pPr>
    </w:p>
    <w:p>
      <w:pPr>
        <w:ind w:right="140"/>
        <w:spacing w:after="0" w:line="251" w:lineRule="auto"/>
        <w:rPr>
          <w:sz w:val="20"/>
          <w:szCs w:val="20"/>
          <w:color w:val="auto"/>
        </w:rPr>
      </w:pPr>
      <w:r>
        <w:rPr>
          <w:rFonts w:ascii="Arial" w:cs="Arial" w:eastAsia="Arial" w:hAnsi="Arial"/>
          <w:sz w:val="20"/>
          <w:szCs w:val="20"/>
          <w:b w:val="1"/>
          <w:bCs w:val="1"/>
          <w:u w:val="single" w:color="auto"/>
          <w:color w:val="auto"/>
        </w:rPr>
        <w:t>Non-GAAP Financial Measures Disclosure:</w:t>
      </w:r>
      <w:r>
        <w:rPr>
          <w:rFonts w:ascii="Arial" w:cs="Arial" w:eastAsia="Arial" w:hAnsi="Arial"/>
          <w:sz w:val="20"/>
          <w:szCs w:val="20"/>
          <w:b w:val="1"/>
          <w:bCs w:val="1"/>
          <w:color w:val="auto"/>
        </w:rPr>
        <w:t xml:space="preserve"> </w:t>
      </w:r>
      <w:r>
        <w:rPr>
          <w:rFonts w:ascii="Arial" w:cs="Arial" w:eastAsia="Arial" w:hAnsi="Arial"/>
          <w:sz w:val="20"/>
          <w:szCs w:val="20"/>
          <w:color w:val="auto"/>
        </w:rPr>
        <w:t>This earnings release contains non-GAAP (accounting principles generally</w:t>
      </w:r>
      <w:r>
        <w:rPr>
          <w:rFonts w:ascii="Arial" w:cs="Arial" w:eastAsia="Arial" w:hAnsi="Arial"/>
          <w:sz w:val="20"/>
          <w:szCs w:val="20"/>
          <w:b w:val="1"/>
          <w:bCs w:val="1"/>
          <w:color w:val="auto"/>
        </w:rPr>
        <w:t xml:space="preserve"> </w:t>
      </w:r>
      <w:r>
        <w:rPr>
          <w:rFonts w:ascii="Arial" w:cs="Arial" w:eastAsia="Arial" w:hAnsi="Arial"/>
          <w:sz w:val="20"/>
          <w:szCs w:val="20"/>
          <w:color w:val="auto"/>
        </w:rPr>
        <w:t>accepted in the United States of America) financial measures, as defined by SEC Regulation G and indicated by a footnote in the text of the release. Definitions for the non-GAAP measures are provided below and reconciliations are provided in the body of the release, except that reconciliations of forward-looking non-GAAP measures are not provided because the company is unable to provide such reconciliations without unreasonable effort due to the uncertainty and inherent difficulty of predicting the occurrence and financial impact of certain items, including, but not limited to, the impact of any mark-to-market pension adjustment. Other companies may define these measures differently or may utilize different non-GAAP measures.</w:t>
      </w:r>
    </w:p>
    <w:p>
      <w:pPr>
        <w:spacing w:after="0" w:line="58" w:lineRule="exact"/>
        <w:rPr>
          <w:sz w:val="20"/>
          <w:szCs w:val="20"/>
          <w:color w:val="auto"/>
        </w:rPr>
      </w:pPr>
    </w:p>
    <w:p>
      <w:pPr>
        <w:ind w:left="260" w:right="20"/>
        <w:spacing w:after="0" w:line="259" w:lineRule="auto"/>
        <w:rPr>
          <w:sz w:val="20"/>
          <w:szCs w:val="20"/>
          <w:color w:val="auto"/>
        </w:rPr>
      </w:pPr>
      <w:r>
        <w:rPr>
          <w:rFonts w:ascii="Arial" w:cs="Arial" w:eastAsia="Arial" w:hAnsi="Arial"/>
          <w:sz w:val="20"/>
          <w:szCs w:val="20"/>
          <w:b w:val="1"/>
          <w:bCs w:val="1"/>
          <w:u w:val="single" w:color="auto"/>
          <w:color w:val="auto"/>
        </w:rPr>
        <w:t>MTM-adjusted EPS:</w:t>
      </w:r>
      <w:r>
        <w:rPr>
          <w:rFonts w:ascii="Arial" w:cs="Arial" w:eastAsia="Arial" w:hAnsi="Arial"/>
          <w:sz w:val="20"/>
          <w:szCs w:val="20"/>
          <w:b w:val="1"/>
          <w:bCs w:val="1"/>
          <w:color w:val="auto"/>
        </w:rPr>
        <w:t xml:space="preserve"> </w:t>
      </w:r>
      <w:r>
        <w:rPr>
          <w:rFonts w:ascii="Arial" w:cs="Arial" w:eastAsia="Arial" w:hAnsi="Arial"/>
          <w:sz w:val="20"/>
          <w:szCs w:val="20"/>
          <w:color w:val="auto"/>
        </w:rPr>
        <w:t>Diluted earnings per share excluding the per share impact of MTM benefit (expense) and related tax</w:t>
      </w:r>
      <w:r>
        <w:rPr>
          <w:rFonts w:ascii="Arial" w:cs="Arial" w:eastAsia="Arial" w:hAnsi="Arial"/>
          <w:sz w:val="20"/>
          <w:szCs w:val="20"/>
          <w:b w:val="1"/>
          <w:bCs w:val="1"/>
          <w:color w:val="auto"/>
        </w:rPr>
        <w:t xml:space="preserve"> </w:t>
      </w:r>
      <w:r>
        <w:rPr>
          <w:rFonts w:ascii="Arial" w:cs="Arial" w:eastAsia="Arial" w:hAnsi="Arial"/>
          <w:sz w:val="20"/>
          <w:szCs w:val="20"/>
          <w:color w:val="auto"/>
        </w:rPr>
        <w:t>impacts. This measure may be useful to investors and other users of our financial statements as a supplemental measure in evaluating the company’s underlying financial performance per share by presenting the company’s diluted earnings per share results before the non-operational impact of pension and OPB actuarial gains and losses.</w:t>
      </w:r>
    </w:p>
    <w:p>
      <w:pPr>
        <w:spacing w:after="0" w:line="60" w:lineRule="exact"/>
        <w:rPr>
          <w:sz w:val="20"/>
          <w:szCs w:val="20"/>
          <w:color w:val="auto"/>
        </w:rPr>
      </w:pPr>
    </w:p>
    <w:p>
      <w:pPr>
        <w:ind w:left="260" w:right="140"/>
        <w:spacing w:after="0" w:line="252" w:lineRule="auto"/>
        <w:rPr>
          <w:sz w:val="20"/>
          <w:szCs w:val="20"/>
          <w:color w:val="auto"/>
        </w:rPr>
      </w:pPr>
      <w:r>
        <w:rPr>
          <w:rFonts w:ascii="Arial" w:cs="Arial" w:eastAsia="Arial" w:hAnsi="Arial"/>
          <w:sz w:val="20"/>
          <w:szCs w:val="20"/>
          <w:b w:val="1"/>
          <w:bCs w:val="1"/>
          <w:u w:val="single" w:color="auto"/>
          <w:color w:val="auto"/>
        </w:rPr>
        <w:t>Segment operating income and segment operating margin rate:</w:t>
      </w:r>
      <w:r>
        <w:rPr>
          <w:rFonts w:ascii="Arial" w:cs="Arial" w:eastAsia="Arial" w:hAnsi="Arial"/>
          <w:sz w:val="20"/>
          <w:szCs w:val="20"/>
          <w:b w:val="1"/>
          <w:bCs w:val="1"/>
          <w:color w:val="auto"/>
        </w:rPr>
        <w:t xml:space="preserve"> </w:t>
      </w:r>
      <w:r>
        <w:rPr>
          <w:rFonts w:ascii="Arial" w:cs="Arial" w:eastAsia="Arial" w:hAnsi="Arial"/>
          <w:sz w:val="20"/>
          <w:szCs w:val="20"/>
          <w:color w:val="auto"/>
        </w:rPr>
        <w:t>Segment operating income, as reconciled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“Consolidated Operating Results and Cash Flows” table within the body of this release, and segment operating margin rate (segment operating income divided by sales)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These measures may be useful to investors and other users of our financial statements as supplemental measures in evaluating the financial performance and operational trends of our sectors. These measures should not be considered in isolation or as alternatives to operating results presented in accordance with GAAP.</w:t>
      </w:r>
    </w:p>
    <w:p>
      <w:pPr>
        <w:spacing w:after="0" w:line="53" w:lineRule="exact"/>
        <w:rPr>
          <w:sz w:val="20"/>
          <w:szCs w:val="20"/>
          <w:color w:val="auto"/>
        </w:rPr>
      </w:pPr>
    </w:p>
    <w:p>
      <w:pPr>
        <w:ind w:left="260" w:right="80"/>
        <w:spacing w:after="0" w:line="250" w:lineRule="auto"/>
        <w:rPr>
          <w:sz w:val="20"/>
          <w:szCs w:val="20"/>
          <w:color w:val="auto"/>
        </w:rPr>
      </w:pPr>
      <w:r>
        <w:rPr>
          <w:rFonts w:ascii="Arial" w:cs="Arial" w:eastAsia="Arial" w:hAnsi="Arial"/>
          <w:sz w:val="20"/>
          <w:szCs w:val="20"/>
          <w:b w:val="1"/>
          <w:bCs w:val="1"/>
          <w:u w:val="single" w:color="auto"/>
          <w:color w:val="auto"/>
        </w:rPr>
        <w:t>Adjusted free cash flow:</w:t>
      </w:r>
      <w:r>
        <w:rPr>
          <w:rFonts w:ascii="Arial" w:cs="Arial" w:eastAsia="Arial" w:hAnsi="Arial"/>
          <w:sz w:val="20"/>
          <w:szCs w:val="20"/>
          <w:b w:val="1"/>
          <w:bCs w:val="1"/>
          <w:color w:val="auto"/>
        </w:rPr>
        <w:t xml:space="preserve"> </w:t>
      </w:r>
      <w:r>
        <w:rPr>
          <w:rFonts w:ascii="Arial" w:cs="Arial" w:eastAsia="Arial" w:hAnsi="Arial"/>
          <w:sz w:val="20"/>
          <w:szCs w:val="20"/>
          <w:color w:val="auto"/>
        </w:rPr>
        <w:t>Net cash provided by or used in operating activities, less capital expenditures, plus proceeds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sale of equipment to a customer (not otherwise included in net cash provided by or used in operating activities) and the after-tax impact of discretionary pension contributions. Adjusted free cash flow includes proceeds from the sale of equipment to a customer as such proceeds were generated in a customer sales transaction. It also includes the after-tax impact of discretionary pension contributions for consistency and comparability of financial performance. This measure may not be defined and calculated by other companies in the same manner. We use adjusted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Northrop Grumman Corporation</w:t>
      </w:r>
    </w:p>
    <w:p>
      <w:pPr>
        <w:jc w:val="center"/>
        <w:ind w:right="-19"/>
        <w:spacing w:after="0" w:line="221" w:lineRule="auto"/>
        <w:rPr>
          <w:sz w:val="20"/>
          <w:szCs w:val="20"/>
          <w:color w:val="auto"/>
        </w:rPr>
      </w:pPr>
      <w:r>
        <w:rPr>
          <w:rFonts w:ascii="Arial" w:cs="Arial" w:eastAsia="Arial" w:hAnsi="Arial"/>
          <w:sz w:val="14"/>
          <w:szCs w:val="14"/>
          <w:color w:val="auto"/>
        </w:rPr>
        <w:t>2980 Fairview Park Drive • Falls Church, VA 22042-4511</w:t>
      </w:r>
    </w:p>
    <w:p>
      <w:pPr>
        <w:jc w:val="center"/>
        <w:ind w:right="-19"/>
        <w:spacing w:after="0"/>
        <w:rPr>
          <w:sz w:val="20"/>
          <w:szCs w:val="20"/>
          <w:color w:val="auto"/>
        </w:rPr>
      </w:pPr>
      <w:r>
        <w:rPr>
          <w:rFonts w:ascii="Arial" w:cs="Arial" w:eastAsia="Arial" w:hAnsi="Arial"/>
          <w:sz w:val="14"/>
          <w:szCs w:val="14"/>
          <w:color w:val="auto"/>
        </w:rPr>
        <w:t>news.northropgrumman.com</w:t>
      </w:r>
    </w:p>
    <w:sectPr>
      <w:pgSz w:w="11900" w:h="16838" w:orient="portrait"/>
      <w:cols w:equalWidth="0" w:num="1">
        <w:col w:w="11220"/>
      </w:cols>
      <w:pgMar w:left="320" w:top="3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1"/>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amp;"/>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bullet"/>
      <w:start w:val="1"/>
    </w:lvl>
  </w:abstractNum>
  <w:abstractNum w:abstractNumId="18">
    <w:nsid w:val="257130A3"/>
    <w:multiLevelType w:val="hybridMultilevel"/>
    <w:lvl w:ilvl="0">
      <w:lvlJc w:val="left"/>
      <w:lvlText w:val="2"/>
      <w:numFmt w:val="bullet"/>
      <w:start w:val="1"/>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2023-10-26T05:50:13Z</dcterms:created>
  <dcterms:modified xsi:type="dcterms:W3CDTF">2023-10-26T05:50:13Z</dcterms:modified>
</cp:coreProperties>
</file>