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27940</wp:posOffset>
            </wp:positionV>
            <wp:extent cx="4166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-220345</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April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53975</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NORTHROP GRUMMAN CORPORATION</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1504950</wp:posOffset>
            </wp:positionH>
            <wp:positionV relativeFrom="paragraph">
              <wp:posOffset>71120</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b w:val="1"/>
          <w:bCs w:val="1"/>
          <w:color w:val="auto"/>
        </w:rPr>
        <w:t>1-16411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80-0640649</w:t>
      </w:r>
    </w:p>
    <w:p>
      <w:pPr>
        <w:spacing w:after="0" w:line="43" w:lineRule="exact"/>
        <w:rPr>
          <w:sz w:val="24"/>
          <w:szCs w:val="24"/>
          <w:color w:val="auto"/>
        </w:rPr>
      </w:pPr>
    </w:p>
    <w:p>
      <w:pPr>
        <w:sectPr>
          <w:pgSz w:w="11900" w:h="16838" w:orient="portrait"/>
          <w:cols w:equalWidth="0" w:num="3">
            <w:col w:w="4560" w:space="720"/>
            <w:col w:w="3020" w:space="720"/>
            <w:col w:w="2220"/>
          </w:cols>
          <w:pgMar w:left="320" w:top="1029" w:right="3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30" w:lineRule="exact"/>
        <w:rPr>
          <w:sz w:val="24"/>
          <w:szCs w:val="24"/>
          <w:color w:val="auto"/>
        </w:rPr>
      </w:pPr>
    </w:p>
    <w:p>
      <w:pPr>
        <w:sectPr>
          <w:pgSz w:w="11900" w:h="16838" w:orient="portrait"/>
          <w:cols w:equalWidth="0" w:num="3">
            <w:col w:w="4020" w:space="720"/>
            <w:col w:w="3520" w:space="720"/>
            <w:col w:w="2260"/>
          </w:cols>
          <w:pgMar w:left="320" w:top="1029"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8160" w:space="720"/>
            <w:col w:w="2360"/>
          </w:cols>
          <w:pgMar w:left="320" w:top="1029" w:right="339" w:bottom="1440" w:gutter="0" w:footer="0" w:header="0"/>
          <w:type w:val="continuous"/>
        </w:sectPr>
      </w:pPr>
    </w:p>
    <w:p>
      <w:pPr>
        <w:spacing w:after="0" w:line="20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2980 Fairview Park Drive, Falls Church, VA 22042</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offices)(Zip Code)</w:t>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(703) 280-2900</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029" w:right="339" w:bottom="1440" w:gutter="0" w:footer="0" w:header="0"/>
          <w:type w:val="continuous"/>
        </w:sectPr>
      </w:pPr>
    </w:p>
    <w:p>
      <w:pPr>
        <w:spacing w:after="0" w:line="291"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40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30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3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NOC</w:t>
            </w:r>
          </w:p>
        </w:tc>
        <w:tc>
          <w:tcPr>
            <w:tcW w:w="4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200" w:lineRule="exact"/>
        <w:rPr>
          <w:sz w:val="24"/>
          <w:szCs w:val="24"/>
          <w:color w:val="auto"/>
        </w:rPr>
      </w:pPr>
    </w:p>
    <w:p>
      <w:pPr>
        <w:spacing w:after="0" w:line="34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April 21, 2026, Northrop Grumman Corporation issued an earnings release announcing its financial results for the quarter ended March 31, 2026, under the heading “Northrop Grumman Reports First Quarter 2026 Financial Results.” The earnings release is furnished as Exhibit 99.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59"/>
        </w:trPr>
        <w:tc>
          <w:tcPr>
            <w:tcW w:w="380" w:type="dxa"/>
            <w:vAlign w:val="bottom"/>
          </w:tcPr>
          <w:p>
            <w:pPr>
              <w:spacing w:after="0"/>
              <w:rPr>
                <w:sz w:val="24"/>
                <w:szCs w:val="24"/>
                <w:color w:val="auto"/>
              </w:rPr>
            </w:pPr>
          </w:p>
        </w:tc>
        <w:tc>
          <w:tcPr>
            <w:tcW w:w="1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520" w:type="dxa"/>
            <w:vAlign w:val="bottom"/>
          </w:tcPr>
          <w:p>
            <w:pPr>
              <w:spacing w:after="0"/>
              <w:rPr>
                <w:sz w:val="24"/>
                <w:szCs w:val="24"/>
                <w:color w:val="auto"/>
              </w:rPr>
            </w:pPr>
          </w:p>
        </w:tc>
      </w:tr>
      <w:tr>
        <w:trPr>
          <w:trHeight w:val="439"/>
        </w:trPr>
        <w:tc>
          <w:tcPr>
            <w:tcW w:w="1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Earnings Release dated April 21, 2026 (furnished)</w:t>
            </w:r>
          </w:p>
        </w:tc>
      </w:tr>
      <w:tr>
        <w:trPr>
          <w:trHeight w:val="20"/>
        </w:trPr>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r>
      <w:tr>
        <w:trPr>
          <w:trHeight w:val="250"/>
        </w:trPr>
        <w:tc>
          <w:tcPr>
            <w:tcW w:w="1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3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2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C. McGarey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163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(Signature)</w:t>
      </w:r>
    </w:p>
    <w:p>
      <w:pPr>
        <w:ind w:left="6320"/>
        <w:spacing w:after="0" w:line="203" w:lineRule="auto"/>
        <w:rPr>
          <w:sz w:val="20"/>
          <w:szCs w:val="20"/>
          <w:color w:val="auto"/>
        </w:rPr>
      </w:pPr>
      <w:r>
        <w:rPr>
          <w:rFonts w:ascii="Times New Roman" w:cs="Times New Roman" w:eastAsia="Times New Roman" w:hAnsi="Times New Roman"/>
          <w:sz w:val="18"/>
          <w:szCs w:val="18"/>
          <w:color w:val="auto"/>
        </w:rPr>
        <w:t>Jennifer C. McGarey</w:t>
      </w:r>
    </w:p>
    <w:p>
      <w:pPr>
        <w:ind w:left="6320"/>
        <w:spacing w:after="0"/>
        <w:rPr>
          <w:sz w:val="20"/>
          <w:szCs w:val="20"/>
          <w:color w:val="auto"/>
        </w:rPr>
      </w:pPr>
      <w:r>
        <w:rPr>
          <w:rFonts w:ascii="Times New Roman" w:cs="Times New Roman" w:eastAsia="Times New Roman" w:hAnsi="Times New Roman"/>
          <w:sz w:val="18"/>
          <w:szCs w:val="18"/>
          <w:color w:val="auto"/>
        </w:rPr>
        <w:t>Corporate Vice President and Secretary</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2026</w:t>
      </w:r>
    </w:p>
    <w:p>
      <w:pPr>
        <w:sectPr>
          <w:pgSz w:w="11900" w:h="16838" w:orient="portrait"/>
          <w:cols w:equalWidth="0" w:num="1">
            <w:col w:w="10600"/>
          </w:cols>
          <w:pgMar w:left="320" w:top="927" w:right="97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30"/>
          <w:szCs w:val="30"/>
          <w:b w:val="1"/>
          <w:bCs w:val="1"/>
          <w:color w:val="auto"/>
        </w:rPr>
        <w:t>News Release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1070610</wp:posOffset>
            </wp:positionH>
            <wp:positionV relativeFrom="paragraph">
              <wp:posOffset>80645</wp:posOffset>
            </wp:positionV>
            <wp:extent cx="1748790"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87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80" w:type="dxa"/>
            <w:vAlign w:val="bottom"/>
          </w:tcPr>
          <w:p>
            <w:pPr>
              <w:spacing w:after="0"/>
              <w:rPr>
                <w:sz w:val="20"/>
                <w:szCs w:val="20"/>
                <w:color w:val="auto"/>
              </w:rPr>
            </w:pPr>
            <w:r>
              <w:rPr>
                <w:rFonts w:ascii="Arial" w:cs="Arial" w:eastAsia="Arial" w:hAnsi="Arial"/>
                <w:sz w:val="20"/>
                <w:szCs w:val="20"/>
                <w:color w:val="auto"/>
              </w:rPr>
              <w:t>Contact:</w:t>
            </w:r>
          </w:p>
        </w:tc>
        <w:tc>
          <w:tcPr>
            <w:tcW w:w="2360" w:type="dxa"/>
            <w:vAlign w:val="bottom"/>
            <w:gridSpan w:val="2"/>
          </w:tcPr>
          <w:p>
            <w:pPr>
              <w:spacing w:after="0"/>
              <w:rPr>
                <w:sz w:val="20"/>
                <w:szCs w:val="20"/>
                <w:color w:val="auto"/>
              </w:rPr>
            </w:pPr>
            <w:r>
              <w:rPr>
                <w:rFonts w:ascii="Arial" w:cs="Arial" w:eastAsia="Arial" w:hAnsi="Arial"/>
                <w:sz w:val="20"/>
                <w:szCs w:val="20"/>
                <w:color w:val="auto"/>
              </w:rPr>
              <w:t>Katie Young (Media)</w:t>
            </w:r>
          </w:p>
        </w:tc>
      </w:tr>
      <w:tr>
        <w:trPr>
          <w:trHeight w:val="257"/>
        </w:trPr>
        <w:tc>
          <w:tcPr>
            <w:tcW w:w="1380" w:type="dxa"/>
            <w:vAlign w:val="bottom"/>
          </w:tcPr>
          <w:p>
            <w:pPr>
              <w:spacing w:after="0"/>
              <w:rPr>
                <w:sz w:val="22"/>
                <w:szCs w:val="22"/>
                <w:color w:val="auto"/>
              </w:rPr>
            </w:pPr>
          </w:p>
        </w:tc>
        <w:tc>
          <w:tcPr>
            <w:tcW w:w="1820" w:type="dxa"/>
            <w:vAlign w:val="bottom"/>
          </w:tcPr>
          <w:p>
            <w:pPr>
              <w:spacing w:after="0"/>
              <w:rPr>
                <w:sz w:val="20"/>
                <w:szCs w:val="20"/>
                <w:color w:val="auto"/>
              </w:rPr>
            </w:pPr>
            <w:r>
              <w:rPr>
                <w:rFonts w:ascii="Arial" w:cs="Arial" w:eastAsia="Arial" w:hAnsi="Arial"/>
                <w:sz w:val="20"/>
                <w:szCs w:val="20"/>
                <w:color w:val="auto"/>
              </w:rPr>
              <w:t>908-520-9948</w:t>
            </w:r>
          </w:p>
        </w:tc>
        <w:tc>
          <w:tcPr>
            <w:tcW w:w="540" w:type="dxa"/>
            <w:vAlign w:val="bottom"/>
          </w:tcPr>
          <w:p>
            <w:pPr>
              <w:spacing w:after="0"/>
              <w:rPr>
                <w:sz w:val="22"/>
                <w:szCs w:val="22"/>
                <w:color w:val="auto"/>
              </w:rPr>
            </w:pPr>
          </w:p>
        </w:tc>
      </w:tr>
      <w:tr>
        <w:trPr>
          <w:trHeight w:val="211"/>
        </w:trPr>
        <w:tc>
          <w:tcPr>
            <w:tcW w:w="1380" w:type="dxa"/>
            <w:vAlign w:val="bottom"/>
          </w:tcPr>
          <w:p>
            <w:pPr>
              <w:spacing w:after="0"/>
              <w:rPr>
                <w:sz w:val="18"/>
                <w:szCs w:val="18"/>
                <w:color w:val="auto"/>
              </w:rPr>
            </w:pPr>
          </w:p>
        </w:tc>
        <w:tc>
          <w:tcPr>
            <w:tcW w:w="2360" w:type="dxa"/>
            <w:vAlign w:val="bottom"/>
            <w:tcBorders>
              <w:bottom w:val="single" w:sz="8" w:color="auto"/>
            </w:tcBorders>
            <w:gridSpan w:val="2"/>
          </w:tcPr>
          <w:p>
            <w:pPr>
              <w:spacing w:after="0" w:line="210" w:lineRule="exact"/>
              <w:rPr>
                <w:sz w:val="20"/>
                <w:szCs w:val="20"/>
                <w:color w:val="auto"/>
              </w:rPr>
            </w:pPr>
            <w:r>
              <w:rPr>
                <w:rFonts w:ascii="Arial" w:cs="Arial" w:eastAsia="Arial" w:hAnsi="Arial"/>
                <w:sz w:val="20"/>
                <w:szCs w:val="20"/>
                <w:color w:val="auto"/>
                <w:w w:val="98"/>
              </w:rPr>
              <w:t>katherine.young@ngc.com</w:t>
            </w:r>
          </w:p>
        </w:tc>
      </w:tr>
      <w:tr>
        <w:trPr>
          <w:trHeight w:val="539"/>
        </w:trPr>
        <w:tc>
          <w:tcPr>
            <w:tcW w:w="138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20"/>
                <w:szCs w:val="20"/>
                <w:color w:val="auto"/>
              </w:rPr>
              <w:t>Todd Ernst (Investors)</w:t>
            </w:r>
          </w:p>
        </w:tc>
      </w:tr>
      <w:tr>
        <w:trPr>
          <w:trHeight w:val="256"/>
        </w:trPr>
        <w:tc>
          <w:tcPr>
            <w:tcW w:w="1380" w:type="dxa"/>
            <w:vAlign w:val="bottom"/>
          </w:tcPr>
          <w:p>
            <w:pPr>
              <w:spacing w:after="0"/>
              <w:rPr>
                <w:sz w:val="22"/>
                <w:szCs w:val="22"/>
                <w:color w:val="auto"/>
              </w:rPr>
            </w:pPr>
          </w:p>
        </w:tc>
        <w:tc>
          <w:tcPr>
            <w:tcW w:w="1820" w:type="dxa"/>
            <w:vAlign w:val="bottom"/>
          </w:tcPr>
          <w:p>
            <w:pPr>
              <w:spacing w:after="0"/>
              <w:rPr>
                <w:sz w:val="20"/>
                <w:szCs w:val="20"/>
                <w:color w:val="auto"/>
              </w:rPr>
            </w:pPr>
            <w:r>
              <w:rPr>
                <w:rFonts w:ascii="Arial" w:cs="Arial" w:eastAsia="Arial" w:hAnsi="Arial"/>
                <w:sz w:val="20"/>
                <w:szCs w:val="20"/>
                <w:color w:val="auto"/>
              </w:rPr>
              <w:t>703-280-4535</w:t>
            </w:r>
          </w:p>
        </w:tc>
        <w:tc>
          <w:tcPr>
            <w:tcW w:w="540" w:type="dxa"/>
            <w:vAlign w:val="bottom"/>
          </w:tcPr>
          <w:p>
            <w:pPr>
              <w:spacing w:after="0"/>
              <w:rPr>
                <w:sz w:val="22"/>
                <w:szCs w:val="22"/>
                <w:color w:val="auto"/>
              </w:rPr>
            </w:pPr>
          </w:p>
        </w:tc>
      </w:tr>
      <w:tr>
        <w:trPr>
          <w:trHeight w:val="211"/>
        </w:trPr>
        <w:tc>
          <w:tcPr>
            <w:tcW w:w="1380" w:type="dxa"/>
            <w:vAlign w:val="bottom"/>
          </w:tcPr>
          <w:p>
            <w:pPr>
              <w:spacing w:after="0"/>
              <w:rPr>
                <w:sz w:val="18"/>
                <w:szCs w:val="18"/>
                <w:color w:val="auto"/>
              </w:rPr>
            </w:pPr>
          </w:p>
        </w:tc>
        <w:tc>
          <w:tcPr>
            <w:tcW w:w="2360" w:type="dxa"/>
            <w:vAlign w:val="bottom"/>
            <w:gridSpan w:val="2"/>
          </w:tcPr>
          <w:p>
            <w:pPr>
              <w:spacing w:after="0" w:line="210" w:lineRule="exact"/>
              <w:rPr>
                <w:sz w:val="20"/>
                <w:szCs w:val="20"/>
                <w:color w:val="auto"/>
              </w:rPr>
            </w:pPr>
            <w:r>
              <w:rPr>
                <w:rFonts w:ascii="Arial" w:cs="Arial" w:eastAsia="Arial" w:hAnsi="Arial"/>
                <w:sz w:val="20"/>
                <w:szCs w:val="20"/>
                <w:color w:val="auto"/>
              </w:rPr>
              <w:t>todd.ernst@ngc.com</w:t>
            </w:r>
          </w:p>
        </w:tc>
      </w:tr>
      <w:tr>
        <w:trPr>
          <w:trHeight w:val="20"/>
        </w:trPr>
        <w:tc>
          <w:tcPr>
            <w:tcW w:w="13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80" w:space="720"/>
            <w:col w:w="4420"/>
          </w:cols>
          <w:pgMar w:left="320" w:top="1440" w:right="359"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Northrop Grumman Reports First Quarter 2026 Financial Results</w:t>
      </w:r>
    </w:p>
    <w:p>
      <w:pPr>
        <w:spacing w:after="0" w:line="116" w:lineRule="exact"/>
        <w:rPr>
          <w:sz w:val="20"/>
          <w:szCs w:val="20"/>
          <w:color w:val="auto"/>
        </w:rPr>
      </w:pPr>
    </w:p>
    <w:p>
      <w:pPr>
        <w:ind w:left="340" w:right="180" w:hanging="332"/>
        <w:spacing w:after="0" w:line="252"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22"/>
          <w:szCs w:val="22"/>
          <w:color w:val="auto"/>
        </w:rPr>
        <w:t>Reached agreements with the U.S. Air Force to increase B-21 production capacity and accelerate Sentinel initial operating capability</w:t>
      </w:r>
    </w:p>
    <w:p>
      <w:pPr>
        <w:spacing w:after="0" w:line="1" w:lineRule="exact"/>
        <w:rPr>
          <w:rFonts w:ascii="Arial" w:cs="Arial" w:eastAsia="Arial" w:hAnsi="Arial"/>
          <w:sz w:val="22"/>
          <w:szCs w:val="22"/>
          <w:color w:val="auto"/>
        </w:rPr>
      </w:pP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Continued strong demand with net awards of $9.8 billion and backlog of $96 billion</w:t>
      </w:r>
    </w:p>
    <w:p>
      <w:pPr>
        <w:spacing w:after="0" w:line="3" w:lineRule="exact"/>
        <w:rPr>
          <w:rFonts w:ascii="Arial" w:cs="Arial" w:eastAsia="Arial" w:hAnsi="Arial"/>
          <w:sz w:val="22"/>
          <w:szCs w:val="22"/>
          <w:color w:val="auto"/>
        </w:rPr>
      </w:pPr>
    </w:p>
    <w:p>
      <w:pPr>
        <w:ind w:left="320" w:hanging="312"/>
        <w:spacing w:after="0" w:line="191" w:lineRule="auto"/>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Sales increase 4 percent to $9.9 billion; organic sales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increase 5 percent</w:t>
      </w: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Operating income and margin rate increase to $989 million and 10.0 percent, respectively</w:t>
      </w:r>
    </w:p>
    <w:p>
      <w:pPr>
        <w:spacing w:after="0" w:line="10" w:lineRule="exact"/>
        <w:rPr>
          <w:rFonts w:ascii="Arial" w:cs="Arial" w:eastAsia="Arial" w:hAnsi="Arial"/>
          <w:sz w:val="22"/>
          <w:szCs w:val="22"/>
          <w:color w:val="auto"/>
        </w:rPr>
      </w:pP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Diluted earnings per share (EPS) increases to $6.14</w:t>
      </w:r>
    </w:p>
    <w:p>
      <w:pPr>
        <w:spacing w:after="0" w:line="10" w:lineRule="exact"/>
        <w:rPr>
          <w:rFonts w:ascii="Arial" w:cs="Arial" w:eastAsia="Arial" w:hAnsi="Arial"/>
          <w:sz w:val="22"/>
          <w:szCs w:val="22"/>
          <w:color w:val="auto"/>
        </w:rPr>
      </w:pPr>
    </w:p>
    <w:p>
      <w:pPr>
        <w:ind w:left="340" w:right="140" w:hanging="332"/>
        <w:spacing w:after="0" w:line="225"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22"/>
          <w:szCs w:val="22"/>
          <w:color w:val="auto"/>
        </w:rPr>
        <w:t>Company reaffirms 2026 financial guidance for sales, segment operating income</w:t>
      </w:r>
      <w:r>
        <w:rPr>
          <w:rFonts w:ascii="Arial" w:cs="Arial" w:eastAsia="Arial" w:hAnsi="Arial"/>
          <w:sz w:val="28"/>
          <w:szCs w:val="28"/>
          <w:color w:val="auto"/>
          <w:vertAlign w:val="superscript"/>
        </w:rPr>
        <w:t>1</w:t>
      </w:r>
      <w:r>
        <w:rPr>
          <w:rFonts w:ascii="Arial" w:cs="Arial" w:eastAsia="Arial" w:hAnsi="Arial"/>
          <w:sz w:val="22"/>
          <w:szCs w:val="22"/>
          <w:color w:val="auto"/>
        </w:rPr>
        <w:t>, MTM-adjusted EPS</w:t>
      </w:r>
      <w:r>
        <w:rPr>
          <w:rFonts w:ascii="Arial" w:cs="Arial" w:eastAsia="Arial" w:hAnsi="Arial"/>
          <w:sz w:val="28"/>
          <w:szCs w:val="28"/>
          <w:color w:val="auto"/>
          <w:vertAlign w:val="superscript"/>
        </w:rPr>
        <w:t>1</w:t>
      </w:r>
      <w:r>
        <w:rPr>
          <w:rFonts w:ascii="Arial" w:cs="Arial" w:eastAsia="Arial" w:hAnsi="Arial"/>
          <w:sz w:val="22"/>
          <w:szCs w:val="22"/>
          <w:color w:val="auto"/>
        </w:rPr>
        <w:t>, and free cash flow</w:t>
      </w:r>
      <w:r>
        <w:rPr>
          <w:rFonts w:ascii="Arial" w:cs="Arial" w:eastAsia="Arial" w:hAnsi="Arial"/>
          <w:sz w:val="28"/>
          <w:szCs w:val="28"/>
          <w:color w:val="auto"/>
          <w:vertAlign w:val="superscript"/>
        </w:rPr>
        <w:t>1</w:t>
      </w:r>
    </w:p>
    <w:p>
      <w:pPr>
        <w:spacing w:after="0" w:line="132" w:lineRule="exact"/>
        <w:rPr>
          <w:sz w:val="20"/>
          <w:szCs w:val="20"/>
          <w:color w:val="auto"/>
        </w:rPr>
      </w:pPr>
    </w:p>
    <w:p>
      <w:pPr>
        <w:ind w:right="140"/>
        <w:spacing w:after="0" w:line="273" w:lineRule="auto"/>
        <w:rPr>
          <w:sz w:val="20"/>
          <w:szCs w:val="20"/>
          <w:color w:val="auto"/>
        </w:rPr>
      </w:pPr>
      <w:r>
        <w:rPr>
          <w:rFonts w:ascii="Arial" w:cs="Arial" w:eastAsia="Arial" w:hAnsi="Arial"/>
          <w:sz w:val="21"/>
          <w:szCs w:val="21"/>
          <w:color w:val="auto"/>
        </w:rPr>
        <w:t>FALLS CHURCH, Va. – April 21, 2026 – Northrop Grumman Corporation (NYSE: NOC) reported first quarter 2026 sales increased 4 percent to $9.9 billion, as compared with $9.5 billion in the first quarter of 2025. First quarter sales reflect continued strong demand for our global capabilities. First quarter 2026 net earnings totaled $875 million, or $6.14 per diluted share, as compared with $481 million, or $3.32 per diluted share, in the first quarter of 2025.</w:t>
      </w:r>
    </w:p>
    <w:p>
      <w:pPr>
        <w:spacing w:after="0" w:line="35" w:lineRule="exact"/>
        <w:rPr>
          <w:sz w:val="20"/>
          <w:szCs w:val="20"/>
          <w:color w:val="auto"/>
        </w:rPr>
      </w:pPr>
    </w:p>
    <w:p>
      <w:pPr>
        <w:ind w:right="80" w:firstLine="324"/>
        <w:spacing w:after="0" w:line="250" w:lineRule="auto"/>
        <w:rPr>
          <w:sz w:val="20"/>
          <w:szCs w:val="20"/>
          <w:color w:val="auto"/>
        </w:rPr>
      </w:pPr>
      <w:r>
        <w:rPr>
          <w:rFonts w:ascii="Arial" w:cs="Arial" w:eastAsia="Arial" w:hAnsi="Arial"/>
          <w:sz w:val="22"/>
          <w:szCs w:val="22"/>
          <w:color w:val="auto"/>
        </w:rPr>
        <w:t>“Northrop Grumman delivered strong first quarter results, with continued robust bookings, mid-single-digit organic sales growth, and solid operating performance, underscoring our ability to deliver in today’s unprecedented global demand environment,” said Kathy Warden, chair, chief executive officer and president. “With our diverse portfolio, robust manufacturing capacity, and proven performance, we’re delivering differentiating technology at speed and scale in support of our customers’ needs.”</w:t>
      </w:r>
    </w:p>
    <w:p>
      <w:pPr>
        <w:spacing w:after="0" w:line="200" w:lineRule="exact"/>
        <w:rPr>
          <w:sz w:val="20"/>
          <w:szCs w:val="20"/>
          <w:color w:val="auto"/>
        </w:rPr>
      </w:pPr>
    </w:p>
    <w:p>
      <w:pPr>
        <w:spacing w:after="0" w:line="361" w:lineRule="exact"/>
        <w:rPr>
          <w:sz w:val="20"/>
          <w:szCs w:val="20"/>
          <w:color w:val="auto"/>
        </w:rPr>
      </w:pPr>
    </w:p>
    <w:p>
      <w:pPr>
        <w:ind w:left="120" w:hanging="94"/>
        <w:spacing w:after="0"/>
        <w:tabs>
          <w:tab w:leader="none" w:pos="12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4"/>
          <w:szCs w:val="14"/>
          <w:b w:val="1"/>
          <w:bCs w:val="1"/>
          <w:color w:val="auto"/>
        </w:rPr>
        <w:t>Northrop Grumman Corporation</w:t>
      </w:r>
    </w:p>
    <w:p>
      <w:pPr>
        <w:jc w:val="center"/>
        <w:ind w:right="-39"/>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ind w:right="-3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1440" w:right="3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8"/>
              </w:rPr>
              <w:t>Northrop Grumman Reports First Quarter 2026 Financial Results</w:t>
            </w: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116"/>
        </w:trPr>
        <w:tc>
          <w:tcPr>
            <w:tcW w:w="7240" w:type="dxa"/>
            <w:vAlign w:val="bottom"/>
            <w:gridSpan w:val="4"/>
            <w:vMerge w:val="restart"/>
          </w:tcPr>
          <w:p>
            <w:pPr>
              <w:spacing w:after="0"/>
              <w:rPr>
                <w:sz w:val="20"/>
                <w:szCs w:val="20"/>
                <w:color w:val="auto"/>
              </w:rPr>
            </w:pPr>
            <w:r>
              <w:rPr>
                <w:rFonts w:ascii="Arial" w:cs="Arial" w:eastAsia="Arial" w:hAnsi="Arial"/>
                <w:sz w:val="22"/>
                <w:szCs w:val="22"/>
                <w:b w:val="1"/>
                <w:bCs w:val="1"/>
                <w:color w:val="auto"/>
              </w:rPr>
              <w:t>Consolidated Operating Results and Cash Flows</w:t>
            </w: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9"/>
        </w:trPr>
        <w:tc>
          <w:tcPr>
            <w:tcW w:w="724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Borders>
              <w:top w:val="single" w:sz="8" w:color="auto"/>
            </w:tcBorders>
          </w:tcPr>
          <w:p>
            <w:pPr>
              <w:spacing w:after="0"/>
              <w:rPr>
                <w:sz w:val="24"/>
                <w:szCs w:val="24"/>
                <w:color w:val="auto"/>
              </w:rPr>
            </w:pPr>
          </w:p>
        </w:tc>
        <w:tc>
          <w:tcPr>
            <w:tcW w:w="49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i w:val="1"/>
                <w:iCs w:val="1"/>
                <w:color w:val="auto"/>
              </w:rPr>
              <w:t>$ in millions, except per share amounts</w:t>
            </w:r>
          </w:p>
        </w:tc>
        <w:tc>
          <w:tcPr>
            <w:tcW w:w="2240" w:type="dxa"/>
            <w:vAlign w:val="bottom"/>
            <w:gridSpan w:val="2"/>
            <w:vMerge w:val="restart"/>
          </w:tcPr>
          <w:p>
            <w:pPr>
              <w:spacing w:after="0"/>
              <w:rPr>
                <w:sz w:val="24"/>
                <w:szCs w:val="24"/>
                <w:color w:val="auto"/>
              </w:rPr>
            </w:pPr>
          </w:p>
        </w:tc>
        <w:tc>
          <w:tcPr>
            <w:tcW w:w="270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8"/>
                <w:szCs w:val="18"/>
                <w:color w:val="auto"/>
              </w:rPr>
              <w:t>Three Months Ended March 31</w:t>
            </w: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2026</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2025</w:t>
            </w: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gridSpan w:val="3"/>
          </w:tcPr>
          <w:p>
            <w:pPr>
              <w:ind w:left="120"/>
              <w:spacing w:after="0"/>
              <w:rPr>
                <w:sz w:val="20"/>
                <w:szCs w:val="20"/>
                <w:color w:val="auto"/>
              </w:rPr>
            </w:pPr>
            <w:r>
              <w:rPr>
                <w:rFonts w:ascii="Arial" w:cs="Arial" w:eastAsia="Arial" w:hAnsi="Arial"/>
                <w:sz w:val="18"/>
                <w:szCs w:val="18"/>
                <w:color w:val="auto"/>
              </w:rPr>
              <w:t>Aeronautics Systems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71"/>
              <w:spacing w:after="0"/>
              <w:rPr>
                <w:sz w:val="20"/>
                <w:szCs w:val="20"/>
                <w:color w:val="auto"/>
              </w:rPr>
            </w:pPr>
            <w:r>
              <w:rPr>
                <w:rFonts w:ascii="Arial" w:cs="Arial" w:eastAsia="Arial" w:hAnsi="Arial"/>
                <w:sz w:val="18"/>
                <w:szCs w:val="18"/>
                <w:b w:val="1"/>
                <w:bCs w:val="1"/>
                <w:color w:val="auto"/>
              </w:rPr>
              <w:t>3,283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2,814</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Defense Systems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1,899</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1,805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20" w:type="dxa"/>
            <w:vAlign w:val="bottom"/>
            <w:gridSpan w:val="3"/>
          </w:tcPr>
          <w:p>
            <w:pPr>
              <w:ind w:left="120"/>
              <w:spacing w:after="0"/>
              <w:rPr>
                <w:sz w:val="20"/>
                <w:szCs w:val="20"/>
                <w:color w:val="auto"/>
              </w:rPr>
            </w:pPr>
            <w:r>
              <w:rPr>
                <w:rFonts w:ascii="Arial" w:cs="Arial" w:eastAsia="Arial" w:hAnsi="Arial"/>
                <w:sz w:val="18"/>
                <w:szCs w:val="18"/>
                <w:color w:val="auto"/>
              </w:rPr>
              <w:t>Mission Systems</w:t>
            </w:r>
          </w:p>
        </w:tc>
        <w:tc>
          <w:tcPr>
            <w:tcW w:w="280" w:type="dxa"/>
            <w:vAlign w:val="bottom"/>
          </w:tcPr>
          <w:p>
            <w:pPr>
              <w:spacing w:after="0"/>
              <w:rPr>
                <w:sz w:val="19"/>
                <w:szCs w:val="19"/>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b w:val="1"/>
                <w:bCs w:val="1"/>
                <w:color w:val="auto"/>
              </w:rPr>
              <w:t>2,861</w:t>
            </w:r>
          </w:p>
        </w:tc>
        <w:tc>
          <w:tcPr>
            <w:tcW w:w="34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2,807</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Space Systems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2,480</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2,568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72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(642)</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(526)</w:t>
            </w: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72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Total sales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9,881</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9,468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gridSpan w:val="3"/>
          </w:tcPr>
          <w:p>
            <w:pPr>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Aeronautics Systems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305</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20" w:type="dxa"/>
            <w:vAlign w:val="bottom"/>
            <w:gridSpan w:val="3"/>
          </w:tcPr>
          <w:p>
            <w:pPr>
              <w:ind w:left="120"/>
              <w:spacing w:after="0"/>
              <w:rPr>
                <w:sz w:val="20"/>
                <w:szCs w:val="20"/>
                <w:color w:val="auto"/>
              </w:rPr>
            </w:pPr>
            <w:r>
              <w:rPr>
                <w:rFonts w:ascii="Arial" w:cs="Arial" w:eastAsia="Arial" w:hAnsi="Arial"/>
                <w:sz w:val="18"/>
                <w:szCs w:val="18"/>
                <w:color w:val="auto"/>
              </w:rPr>
              <w:t>Defense Systems</w:t>
            </w:r>
          </w:p>
        </w:tc>
        <w:tc>
          <w:tcPr>
            <w:tcW w:w="280" w:type="dxa"/>
            <w:vAlign w:val="bottom"/>
          </w:tcPr>
          <w:p>
            <w:pPr>
              <w:spacing w:after="0"/>
              <w:rPr>
                <w:sz w:val="19"/>
                <w:szCs w:val="19"/>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b w:val="1"/>
                <w:bCs w:val="1"/>
                <w:color w:val="auto"/>
              </w:rPr>
              <w:t>184</w:t>
            </w:r>
          </w:p>
        </w:tc>
        <w:tc>
          <w:tcPr>
            <w:tcW w:w="34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179</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Mission Systems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433</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gridSpan w:val="3"/>
          </w:tcPr>
          <w:p>
            <w:pPr>
              <w:ind w:left="120"/>
              <w:spacing w:after="0"/>
              <w:rPr>
                <w:sz w:val="20"/>
                <w:szCs w:val="20"/>
                <w:color w:val="auto"/>
              </w:rPr>
            </w:pPr>
            <w:r>
              <w:rPr>
                <w:rFonts w:ascii="Arial" w:cs="Arial" w:eastAsia="Arial" w:hAnsi="Arial"/>
                <w:sz w:val="18"/>
                <w:szCs w:val="18"/>
                <w:color w:val="auto"/>
              </w:rPr>
              <w:t>Space Systems</w:t>
            </w:r>
          </w:p>
        </w:tc>
        <w:tc>
          <w:tcPr>
            <w:tcW w:w="280" w:type="dxa"/>
            <w:vAlign w:val="bottom"/>
          </w:tcPr>
          <w:p>
            <w:pPr>
              <w:spacing w:after="0"/>
              <w:rPr>
                <w:sz w:val="19"/>
                <w:szCs w:val="19"/>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b w:val="1"/>
                <w:bCs w:val="1"/>
                <w:color w:val="auto"/>
              </w:rPr>
              <w:t>235</w:t>
            </w:r>
          </w:p>
        </w:tc>
        <w:tc>
          <w:tcPr>
            <w:tcW w:w="34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283</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722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(85)</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(72)</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gridSpan w:val="3"/>
          </w:tcPr>
          <w:p>
            <w:pPr>
              <w:spacing w:after="0" w:line="223" w:lineRule="exact"/>
              <w:rPr>
                <w:sz w:val="20"/>
                <w:szCs w:val="20"/>
                <w:color w:val="auto"/>
              </w:rPr>
            </w:pPr>
            <w:r>
              <w:rPr>
                <w:rFonts w:ascii="Arial" w:cs="Arial" w:eastAsia="Arial" w:hAnsi="Arial"/>
                <w:sz w:val="18"/>
                <w:szCs w:val="18"/>
                <w:color w:val="auto"/>
              </w:rPr>
              <w:t>Segment operating income</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b w:val="1"/>
                <w:bCs w:val="1"/>
                <w:color w:val="auto"/>
              </w:rPr>
              <w:t>1,072</w:t>
            </w:r>
          </w:p>
        </w:tc>
        <w:tc>
          <w:tcPr>
            <w:tcW w:w="34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568</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89 %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2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i w:val="1"/>
                <w:iCs w:val="1"/>
                <w:color w:val="auto"/>
              </w:rPr>
              <w:t>Segment operating margin rate</w:t>
            </w:r>
            <w:r>
              <w:rPr>
                <w:rFonts w:ascii="Arial" w:cs="Arial" w:eastAsia="Arial" w:hAnsi="Arial"/>
                <w:sz w:val="21"/>
                <w:szCs w:val="21"/>
                <w:i w:val="1"/>
                <w:iCs w:val="1"/>
                <w:color w:val="auto"/>
                <w:vertAlign w:val="superscript"/>
              </w:rPr>
              <w:t>1</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10.8%</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480 bps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20" w:type="dxa"/>
            <w:vAlign w:val="bottom"/>
            <w:gridSpan w:val="3"/>
          </w:tcPr>
          <w:p>
            <w:pPr>
              <w:ind w:left="120"/>
              <w:spacing w:after="0"/>
              <w:rPr>
                <w:sz w:val="20"/>
                <w:szCs w:val="20"/>
                <w:color w:val="auto"/>
              </w:rPr>
            </w:pPr>
            <w:r>
              <w:rPr>
                <w:rFonts w:ascii="Arial" w:cs="Arial" w:eastAsia="Arial" w:hAnsi="Arial"/>
                <w:sz w:val="18"/>
                <w:szCs w:val="18"/>
                <w:color w:val="auto"/>
              </w:rPr>
              <w:t>FAS/CAS operating adjustment</w:t>
            </w:r>
          </w:p>
        </w:tc>
        <w:tc>
          <w:tcPr>
            <w:tcW w:w="280" w:type="dxa"/>
            <w:vAlign w:val="bottom"/>
          </w:tcPr>
          <w:p>
            <w:pPr>
              <w:spacing w:after="0"/>
              <w:rPr>
                <w:sz w:val="19"/>
                <w:szCs w:val="19"/>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b w:val="1"/>
                <w:bCs w:val="1"/>
                <w:color w:val="auto"/>
              </w:rPr>
              <w:t>7</w:t>
            </w:r>
          </w:p>
        </w:tc>
        <w:tc>
          <w:tcPr>
            <w:tcW w:w="34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63</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Unallocated corporate expense: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Intangible asset amortization and PP&amp;E step-up depreciation</w:t>
            </w:r>
          </w:p>
        </w:tc>
        <w:tc>
          <w:tcPr>
            <w:tcW w:w="28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b w:val="1"/>
                <w:bCs w:val="1"/>
                <w:color w:val="auto"/>
              </w:rPr>
              <w:t>(21)</w:t>
            </w:r>
          </w:p>
        </w:tc>
        <w:tc>
          <w:tcPr>
            <w:tcW w:w="34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7220" w:type="dxa"/>
            <w:vAlign w:val="bottom"/>
            <w:tcBorders>
              <w:bottom w:val="single" w:sz="8" w:color="auto"/>
            </w:tcBorders>
            <w:gridSpan w:val="3"/>
            <w:shd w:val="clear" w:color="auto" w:fill="CCEEFF"/>
          </w:tcPr>
          <w:p>
            <w:pPr>
              <w:ind w:left="340"/>
              <w:spacing w:after="0"/>
              <w:rPr>
                <w:sz w:val="20"/>
                <w:szCs w:val="20"/>
                <w:color w:val="auto"/>
              </w:rPr>
            </w:pPr>
            <w:r>
              <w:rPr>
                <w:rFonts w:ascii="Arial" w:cs="Arial" w:eastAsia="Arial" w:hAnsi="Arial"/>
                <w:sz w:val="18"/>
                <w:szCs w:val="18"/>
                <w:color w:val="auto"/>
              </w:rPr>
              <w:t>Other unallocated corporate expense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(69)</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86 %</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2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Unallocated corporate expense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(90)</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operating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989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tcPr>
          <w:p>
            <w:pPr>
              <w:spacing w:after="0"/>
              <w:rPr>
                <w:sz w:val="20"/>
                <w:szCs w:val="20"/>
                <w:color w:val="auto"/>
              </w:rPr>
            </w:pPr>
            <w:r>
              <w:rPr>
                <w:rFonts w:ascii="Arial" w:cs="Arial" w:eastAsia="Arial" w:hAnsi="Arial"/>
                <w:sz w:val="16"/>
                <w:szCs w:val="16"/>
                <w:i w:val="1"/>
                <w:iCs w:val="1"/>
                <w:color w:val="auto"/>
              </w:rPr>
              <w:t>Operating margin rate</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10.0%</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6.1%</w:t>
            </w:r>
          </w:p>
        </w:tc>
        <w:tc>
          <w:tcPr>
            <w:tcW w:w="1300" w:type="dxa"/>
            <w:vAlign w:val="bottom"/>
          </w:tcPr>
          <w:p>
            <w:pPr>
              <w:jc w:val="center"/>
              <w:ind w:left="10"/>
              <w:spacing w:after="0"/>
              <w:rPr>
                <w:sz w:val="20"/>
                <w:szCs w:val="20"/>
                <w:color w:val="auto"/>
              </w:rPr>
            </w:pPr>
            <w:r>
              <w:rPr>
                <w:rFonts w:ascii="Arial" w:cs="Arial" w:eastAsia="Arial" w:hAnsi="Arial"/>
                <w:sz w:val="16"/>
                <w:szCs w:val="16"/>
                <w:b w:val="1"/>
                <w:bCs w:val="1"/>
                <w:i w:val="1"/>
                <w:iCs w:val="1"/>
                <w:color w:val="auto"/>
              </w:rPr>
              <w:t>390 bps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(162)</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gridSpan w:val="3"/>
          </w:tcPr>
          <w:p>
            <w:pPr>
              <w:ind w:left="120"/>
              <w:spacing w:after="0"/>
              <w:rPr>
                <w:sz w:val="20"/>
                <w:szCs w:val="20"/>
                <w:color w:val="auto"/>
              </w:rPr>
            </w:pPr>
            <w:r>
              <w:rPr>
                <w:rFonts w:ascii="Arial" w:cs="Arial" w:eastAsia="Arial" w:hAnsi="Arial"/>
                <w:sz w:val="18"/>
                <w:szCs w:val="18"/>
                <w:color w:val="auto"/>
              </w:rPr>
              <w:t>Non-operating FAS pension benefit</w:t>
            </w:r>
          </w:p>
        </w:tc>
        <w:tc>
          <w:tcPr>
            <w:tcW w:w="280" w:type="dxa"/>
            <w:vAlign w:val="bottom"/>
          </w:tcPr>
          <w:p>
            <w:pPr>
              <w:spacing w:after="0"/>
              <w:rPr>
                <w:sz w:val="19"/>
                <w:szCs w:val="19"/>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b w:val="1"/>
                <w:bCs w:val="1"/>
                <w:color w:val="auto"/>
              </w:rPr>
              <w:t>166</w:t>
            </w:r>
          </w:p>
        </w:tc>
        <w:tc>
          <w:tcPr>
            <w:tcW w:w="34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130</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28 %</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722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37</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gridSpan w:val="3"/>
          </w:tcPr>
          <w:p>
            <w:pPr>
              <w:spacing w:after="0"/>
              <w:rPr>
                <w:sz w:val="20"/>
                <w:szCs w:val="20"/>
                <w:color w:val="auto"/>
              </w:rPr>
            </w:pPr>
            <w:r>
              <w:rPr>
                <w:rFonts w:ascii="Arial" w:cs="Arial" w:eastAsia="Arial" w:hAnsi="Arial"/>
                <w:sz w:val="18"/>
                <w:szCs w:val="18"/>
                <w:color w:val="auto"/>
              </w:rPr>
              <w:t>Earnings before income taxes</w:t>
            </w:r>
          </w:p>
        </w:tc>
        <w:tc>
          <w:tcPr>
            <w:tcW w:w="280" w:type="dxa"/>
            <w:vAlign w:val="bottom"/>
          </w:tcPr>
          <w:p>
            <w:pPr>
              <w:spacing w:after="0"/>
              <w:rPr>
                <w:sz w:val="19"/>
                <w:szCs w:val="19"/>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b w:val="1"/>
                <w:bCs w:val="1"/>
                <w:color w:val="auto"/>
              </w:rPr>
              <w:t>1,030</w:t>
            </w:r>
          </w:p>
        </w:tc>
        <w:tc>
          <w:tcPr>
            <w:tcW w:w="34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578</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and foreign income tax expense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155</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60 %</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220" w:type="dxa"/>
            <w:vAlign w:val="bottom"/>
            <w:tcBorders>
              <w:bottom w:val="single" w:sz="8" w:color="auto"/>
            </w:tcBorders>
            <w:gridSpan w:val="3"/>
          </w:tcPr>
          <w:p>
            <w:pPr>
              <w:spacing w:after="0"/>
              <w:rPr>
                <w:sz w:val="20"/>
                <w:szCs w:val="20"/>
                <w:color w:val="auto"/>
              </w:rPr>
            </w:pPr>
            <w:r>
              <w:rPr>
                <w:rFonts w:ascii="Arial" w:cs="Arial" w:eastAsia="Arial" w:hAnsi="Arial"/>
                <w:sz w:val="16"/>
                <w:szCs w:val="16"/>
                <w:i w:val="1"/>
                <w:iCs w:val="1"/>
                <w:color w:val="auto"/>
              </w:rPr>
              <w:t>Effective income tax rate</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15.0%</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16.8%</w:t>
            </w:r>
          </w:p>
        </w:tc>
        <w:tc>
          <w:tcPr>
            <w:tcW w:w="1300" w:type="dxa"/>
            <w:vAlign w:val="bottom"/>
            <w:tcBorders>
              <w:bottom w:val="single" w:sz="8" w:color="auto"/>
            </w:tcBorders>
          </w:tcPr>
          <w:p>
            <w:pPr>
              <w:jc w:val="center"/>
              <w:ind w:left="10"/>
              <w:spacing w:after="0"/>
              <w:rPr>
                <w:sz w:val="20"/>
                <w:szCs w:val="20"/>
                <w:color w:val="auto"/>
              </w:rPr>
            </w:pPr>
            <w:r>
              <w:rPr>
                <w:rFonts w:ascii="Arial" w:cs="Arial" w:eastAsia="Arial" w:hAnsi="Arial"/>
                <w:sz w:val="16"/>
                <w:szCs w:val="16"/>
                <w:b w:val="1"/>
                <w:bCs w:val="1"/>
                <w:i w:val="1"/>
                <w:iCs w:val="1"/>
                <w:color w:val="auto"/>
              </w:rPr>
              <w:t>(180) bps</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875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gridSpan w:val="3"/>
          </w:tcPr>
          <w:p>
            <w:pPr>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Pr>
          <w:p>
            <w:pPr>
              <w:spacing w:after="0"/>
              <w:rPr>
                <w:sz w:val="19"/>
                <w:szCs w:val="19"/>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b w:val="1"/>
                <w:bCs w:val="1"/>
                <w:color w:val="auto"/>
              </w:rPr>
              <w:t>6.14</w:t>
            </w:r>
          </w:p>
        </w:tc>
        <w:tc>
          <w:tcPr>
            <w:tcW w:w="34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3.32</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85 %</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72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Weighted-average diluted shares outstanding, in millions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142.5</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144.9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31"/>
              <w:spacing w:after="0"/>
              <w:rPr>
                <w:sz w:val="20"/>
                <w:szCs w:val="20"/>
                <w:color w:val="auto"/>
              </w:rPr>
            </w:pPr>
            <w:r>
              <w:rPr>
                <w:rFonts w:ascii="Arial" w:cs="Arial" w:eastAsia="Arial" w:hAnsi="Arial"/>
                <w:sz w:val="18"/>
                <w:szCs w:val="18"/>
                <w:b w:val="1"/>
                <w:bCs w:val="1"/>
                <w:color w:val="auto"/>
              </w:rPr>
              <w:t>(1,656)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(1,565)</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72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(167)</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(256)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220" w:type="dxa"/>
            <w:vAlign w:val="bottom"/>
            <w:tcBorders>
              <w:bottom w:val="single" w:sz="8" w:color="auto"/>
            </w:tcBorders>
            <w:gridSpan w:val="3"/>
          </w:tcPr>
          <w:p>
            <w:pPr>
              <w:spacing w:after="0" w:line="223" w:lineRule="exact"/>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1</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(1,823)</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(1,821)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ind w:left="120" w:hanging="94"/>
        <w:spacing w:after="0"/>
        <w:tabs>
          <w:tab w:leader="none" w:pos="12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First Quarter 2026 Financial Results</w:t>
            </w:r>
          </w:p>
        </w:tc>
        <w:tc>
          <w:tcPr>
            <w:tcW w:w="2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116"/>
        </w:trPr>
        <w:tc>
          <w:tcPr>
            <w:tcW w:w="772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Sales</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6"/>
        </w:trPr>
        <w:tc>
          <w:tcPr>
            <w:tcW w:w="77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40" w:type="dxa"/>
            <w:vAlign w:val="bottom"/>
            <w:gridSpan w:val="3"/>
          </w:tcPr>
          <w:p>
            <w:pPr>
              <w:jc w:val="right"/>
              <w:ind w:right="190"/>
              <w:spacing w:after="0"/>
              <w:rPr>
                <w:sz w:val="20"/>
                <w:szCs w:val="20"/>
                <w:color w:val="auto"/>
              </w:rPr>
            </w:pPr>
            <w:r>
              <w:rPr>
                <w:rFonts w:ascii="Arial" w:cs="Arial" w:eastAsia="Arial" w:hAnsi="Arial"/>
                <w:sz w:val="18"/>
                <w:szCs w:val="18"/>
                <w:color w:val="auto"/>
              </w:rPr>
              <w:t>Three Months Ended</w:t>
            </w:r>
          </w:p>
        </w:tc>
        <w:tc>
          <w:tcPr>
            <w:tcW w:w="1280" w:type="dxa"/>
            <w:vAlign w:val="bottom"/>
            <w:vMerge w:val="restart"/>
          </w:tcPr>
          <w:p>
            <w:pPr>
              <w:jc w:val="right"/>
              <w:ind w:right="406"/>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March 31</w:t>
            </w:r>
          </w:p>
        </w:tc>
        <w:tc>
          <w:tcPr>
            <w:tcW w:w="740" w:type="dxa"/>
            <w:vAlign w:val="bottom"/>
            <w:tcBorders>
              <w:bottom w:val="single" w:sz="8" w:color="auto"/>
            </w:tcBorders>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2026</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2025</w:t>
            </w:r>
          </w:p>
        </w:tc>
        <w:tc>
          <w:tcPr>
            <w:tcW w:w="1280" w:type="dxa"/>
            <w:vAlign w:val="bottom"/>
            <w:tcBorders>
              <w:bottom w:val="single" w:sz="8" w:color="auto"/>
            </w:tcBorders>
          </w:tcPr>
          <w:p>
            <w:pPr>
              <w:jc w:val="right"/>
              <w:ind w:right="166"/>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9,881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77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Less: Training services sales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7700" w:type="dxa"/>
            <w:vAlign w:val="bottom"/>
            <w:tcBorders>
              <w:bottom w:val="single" w:sz="8" w:color="auto"/>
            </w:tcBorders>
            <w:gridSpan w:val="2"/>
            <w:shd w:val="clear" w:color="auto" w:fill="CCEEFF"/>
          </w:tcPr>
          <w:p>
            <w:pPr>
              <w:spacing w:after="0" w:line="223" w:lineRule="exact"/>
              <w:rPr>
                <w:sz w:val="20"/>
                <w:szCs w:val="20"/>
                <w:color w:val="auto"/>
              </w:rPr>
            </w:pPr>
            <w:r>
              <w:rPr>
                <w:rFonts w:ascii="Arial" w:cs="Arial" w:eastAsia="Arial" w:hAnsi="Arial"/>
                <w:sz w:val="18"/>
                <w:szCs w:val="18"/>
                <w:color w:val="auto"/>
              </w:rPr>
              <w:t>Organic sales</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9,881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100" w:firstLine="324"/>
        <w:spacing w:after="0" w:line="257" w:lineRule="auto"/>
        <w:rPr>
          <w:sz w:val="20"/>
          <w:szCs w:val="20"/>
          <w:color w:val="auto"/>
        </w:rPr>
      </w:pPr>
      <w:r>
        <w:rPr>
          <w:rFonts w:ascii="Arial" w:cs="Arial" w:eastAsia="Arial" w:hAnsi="Arial"/>
          <w:sz w:val="22"/>
          <w:szCs w:val="22"/>
          <w:color w:val="auto"/>
        </w:rPr>
        <w:t>First quarter 2026 sales increased $413 million, or 4 percent, due to higher sales of $469 million at Aeronautics Systems, as well as higher sales at Defense Systems and Mission Systems. These increases were partially offset by $116 million of higher intercompany eliminations and lower sales at Space Systems due to the wind-down of work on the Next Generation Interceptor (NGI) program.</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 and Margin Rate</w:t>
      </w:r>
    </w:p>
    <w:p>
      <w:pPr>
        <w:spacing w:after="0" w:line="26" w:lineRule="exact"/>
        <w:rPr>
          <w:sz w:val="20"/>
          <w:szCs w:val="20"/>
          <w:color w:val="auto"/>
        </w:rPr>
      </w:pPr>
    </w:p>
    <w:p>
      <w:pPr>
        <w:ind w:right="280" w:firstLine="324"/>
        <w:spacing w:after="0" w:line="265" w:lineRule="auto"/>
        <w:rPr>
          <w:sz w:val="20"/>
          <w:szCs w:val="20"/>
          <w:color w:val="auto"/>
        </w:rPr>
      </w:pPr>
      <w:r>
        <w:rPr>
          <w:rFonts w:ascii="Arial" w:cs="Arial" w:eastAsia="Arial" w:hAnsi="Arial"/>
          <w:sz w:val="21"/>
          <w:szCs w:val="21"/>
          <w:color w:val="auto"/>
        </w:rPr>
        <w:t>First quarter 2026 operating income increased $416 million, or 73 percent, largely driven by the prior year $477 million B-21 loss provision at Aeronautics Systems, partially offset by a $56 million decrease in the FAS/CAS operating adjustment. Operating margin rate increased to 10.0 percent from 6.1 percent reflecting the items above.</w:t>
      </w:r>
    </w:p>
    <w:p>
      <w:pPr>
        <w:spacing w:after="0" w:line="238" w:lineRule="auto"/>
        <w:rPr>
          <w:sz w:val="20"/>
          <w:szCs w:val="20"/>
          <w:color w:val="auto"/>
        </w:rPr>
      </w:pPr>
      <w:r>
        <w:rPr>
          <w:rFonts w:ascii="Arial" w:cs="Arial" w:eastAsia="Arial" w:hAnsi="Arial"/>
          <w:sz w:val="22"/>
          <w:szCs w:val="22"/>
          <w:b w:val="1"/>
          <w:bCs w:val="1"/>
          <w:color w:val="auto"/>
        </w:rPr>
        <w:t>Segment Operating Income and Margin Rate</w:t>
      </w:r>
      <w:r>
        <w:rPr>
          <w:rFonts w:ascii="Arial" w:cs="Arial" w:eastAsia="Arial" w:hAnsi="Arial"/>
          <w:sz w:val="28"/>
          <w:szCs w:val="28"/>
          <w:b w:val="1"/>
          <w:bCs w:val="1"/>
          <w:color w:val="auto"/>
          <w:vertAlign w:val="superscript"/>
        </w:rPr>
        <w:t>1</w:t>
      </w:r>
    </w:p>
    <w:p>
      <w:pPr>
        <w:spacing w:after="0" w:line="1" w:lineRule="exact"/>
        <w:rPr>
          <w:sz w:val="20"/>
          <w:szCs w:val="20"/>
          <w:color w:val="auto"/>
        </w:rPr>
      </w:pPr>
    </w:p>
    <w:p>
      <w:pPr>
        <w:ind w:right="20" w:firstLine="324"/>
        <w:spacing w:after="0" w:line="222" w:lineRule="auto"/>
        <w:rPr>
          <w:sz w:val="20"/>
          <w:szCs w:val="20"/>
          <w:color w:val="auto"/>
        </w:rPr>
      </w:pPr>
      <w:r>
        <w:rPr>
          <w:rFonts w:ascii="Arial" w:cs="Arial" w:eastAsia="Arial" w:hAnsi="Arial"/>
          <w:sz w:val="22"/>
          <w:szCs w:val="22"/>
          <w:color w:val="auto"/>
        </w:rPr>
        <w:t>First quarter 2026 segment operating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increased $504 million, or 89 percent, primarily due to $488 million of higher operating income at Aeronautics Systems and $72 million of higher operating income at Mission Systems, partially offset by $48 million of lower operating income at Space Systems. Segment operating margin rate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increased to 10.8 percent from 6.0 percent primarily due to a higher operating margin rate at Aeronautics Systems and Mission Systems, partially offset by a lower operating margin rate at Space Systems.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Federal and Foreign Income Taxes</w:t>
      </w:r>
    </w:p>
    <w:p>
      <w:pPr>
        <w:spacing w:after="0" w:line="26"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First quarter 2026 income tax expense increased $58 million, or 60 percent, due to $452 million of higher earnings before income taxes, partially offset by a lower effective tax rate (ETR). The first quarter 2026 ETR decreased to 15.0 percent from 16.8 percent primarily due to higher research credits, including a benefit related to Corporate Alternative Minimum Tax guidance recently issued by the IRS.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Earnings</w:t>
      </w:r>
    </w:p>
    <w:p>
      <w:pPr>
        <w:spacing w:after="0" w:line="26" w:lineRule="exact"/>
        <w:rPr>
          <w:sz w:val="20"/>
          <w:szCs w:val="20"/>
          <w:color w:val="auto"/>
        </w:rPr>
      </w:pPr>
    </w:p>
    <w:p>
      <w:pPr>
        <w:ind w:right="80" w:firstLine="324"/>
        <w:spacing w:after="0" w:line="248" w:lineRule="auto"/>
        <w:rPr>
          <w:sz w:val="20"/>
          <w:szCs w:val="20"/>
          <w:color w:val="auto"/>
        </w:rPr>
      </w:pPr>
      <w:r>
        <w:rPr>
          <w:rFonts w:ascii="Arial" w:cs="Arial" w:eastAsia="Arial" w:hAnsi="Arial"/>
          <w:sz w:val="22"/>
          <w:szCs w:val="22"/>
          <w:color w:val="auto"/>
        </w:rPr>
        <w:t>First quarter 2026 net earnings increased $394 million, or 82 percent, primarily due to the $416 million increase in operating income described above and a $36 million increase in the non-operating FAS pension benefit, partially offset by a $58 million increase in income tax expense.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26" w:lineRule="exact"/>
        <w:rPr>
          <w:sz w:val="20"/>
          <w:szCs w:val="20"/>
          <w:color w:val="auto"/>
        </w:rPr>
      </w:pPr>
    </w:p>
    <w:p>
      <w:pPr>
        <w:ind w:right="20" w:firstLine="324"/>
        <w:spacing w:after="0" w:line="234" w:lineRule="auto"/>
        <w:rPr>
          <w:sz w:val="20"/>
          <w:szCs w:val="20"/>
          <w:color w:val="auto"/>
        </w:rPr>
      </w:pPr>
      <w:r>
        <w:rPr>
          <w:rFonts w:ascii="Arial" w:cs="Arial" w:eastAsia="Arial" w:hAnsi="Arial"/>
          <w:sz w:val="22"/>
          <w:szCs w:val="22"/>
          <w:color w:val="auto"/>
        </w:rPr>
        <w:t>First quarter 2026 net cash used in operating activities was comparable with the same period in 2025. Net cash used in operating activities reflects increases in trade working capital, consistent with the company’s historical timing of operating cash flows, which are generally more heavily weighted towards the second half of the year. First quarter 2026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comparable with the prior year period and reflects a $91 million increase in net cash used in operating activities and an $89 million reduction in capital expenditures.</w:t>
      </w:r>
    </w:p>
    <w:p>
      <w:pPr>
        <w:spacing w:after="0" w:line="200" w:lineRule="exact"/>
        <w:rPr>
          <w:sz w:val="20"/>
          <w:szCs w:val="20"/>
          <w:color w:val="auto"/>
        </w:rPr>
      </w:pPr>
    </w:p>
    <w:p>
      <w:pPr>
        <w:spacing w:after="0" w:line="358" w:lineRule="exact"/>
        <w:rPr>
          <w:sz w:val="20"/>
          <w:szCs w:val="20"/>
          <w:color w:val="auto"/>
        </w:rPr>
      </w:pPr>
    </w:p>
    <w:p>
      <w:pPr>
        <w:ind w:left="120" w:hanging="94"/>
        <w:spacing w:after="0"/>
        <w:tabs>
          <w:tab w:leader="none" w:pos="1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6" w:name="page7"/>
    <w:bookmarkEnd w:id="6"/>
    <w:tbl>
      <w:tblPr>
        <w:tblLayout w:type="fixed"/>
        <w:tblInd w:w="20" w:type="dxa"/>
        <w:tblCellMar>
          <w:top w:w="0" w:type="dxa"/>
          <w:left w:w="0" w:type="dxa"/>
          <w:bottom w:w="0" w:type="dxa"/>
          <w:right w:w="0" w:type="dxa"/>
        </w:tblCellMar>
      </w:tblPr>
      <w:tr>
        <w:trPr>
          <w:trHeight w:val="250"/>
        </w:trPr>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First Quarter 2026 Financial Results</w:t>
            </w:r>
          </w:p>
        </w:tc>
        <w:tc>
          <w:tcPr>
            <w:tcW w:w="5520" w:type="dxa"/>
            <w:vAlign w:val="bottom"/>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116"/>
        </w:trPr>
        <w:tc>
          <w:tcPr>
            <w:tcW w:w="5680" w:type="dxa"/>
            <w:vAlign w:val="bottom"/>
          </w:tcPr>
          <w:p>
            <w:pPr>
              <w:spacing w:after="0"/>
              <w:rPr>
                <w:sz w:val="10"/>
                <w:szCs w:val="10"/>
                <w:color w:val="auto"/>
              </w:rPr>
            </w:pPr>
          </w:p>
        </w:tc>
        <w:tc>
          <w:tcPr>
            <w:tcW w:w="5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Awards and Backlog</w:t>
      </w:r>
    </w:p>
    <w:p>
      <w:pPr>
        <w:spacing w:after="0" w:line="39" w:lineRule="exact"/>
        <w:rPr>
          <w:sz w:val="20"/>
          <w:szCs w:val="20"/>
          <w:color w:val="auto"/>
        </w:rPr>
      </w:pPr>
    </w:p>
    <w:p>
      <w:pPr>
        <w:ind w:right="300" w:firstLine="324"/>
        <w:spacing w:after="0" w:line="246" w:lineRule="auto"/>
        <w:rPr>
          <w:sz w:val="20"/>
          <w:szCs w:val="20"/>
          <w:color w:val="auto"/>
        </w:rPr>
      </w:pPr>
      <w:r>
        <w:rPr>
          <w:rFonts w:ascii="Arial" w:cs="Arial" w:eastAsia="Arial" w:hAnsi="Arial"/>
          <w:sz w:val="22"/>
          <w:szCs w:val="22"/>
          <w:color w:val="auto"/>
        </w:rPr>
        <w:t>First quarter 2026 net awards totaled $9.8 billion, and backlog totaled $95.6 billion. Significant first quarter new awards include $4.9 billion for restricted programs (primarily at Aeronautics Systems, Space Systems, and Mission Systems), $0.5 billion for F-35 (primarily at Aeronautics Systems), $0.5 billion for infrared countermeasures programs, and $0.4 billion for Triton.</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Segment Operating Results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AERONAUTICS SYSTEMS</w:t>
            </w:r>
          </w:p>
        </w:tc>
        <w:tc>
          <w:tcPr>
            <w:tcW w:w="120" w:type="dxa"/>
            <w:vAlign w:val="bottom"/>
          </w:tcPr>
          <w:p>
            <w:pPr>
              <w:spacing w:after="0"/>
              <w:rPr>
                <w:sz w:val="17"/>
                <w:szCs w:val="17"/>
                <w:color w:val="auto"/>
              </w:rPr>
            </w:pPr>
          </w:p>
        </w:tc>
        <w:tc>
          <w:tcPr>
            <w:tcW w:w="2380" w:type="dxa"/>
            <w:vAlign w:val="bottom"/>
            <w:gridSpan w:val="3"/>
          </w:tcPr>
          <w:p>
            <w:pPr>
              <w:jc w:val="center"/>
              <w:ind w:right="32"/>
              <w:spacing w:after="0"/>
              <w:rPr>
                <w:sz w:val="20"/>
                <w:szCs w:val="20"/>
                <w:color w:val="auto"/>
              </w:rPr>
            </w:pPr>
            <w:r>
              <w:rPr>
                <w:rFonts w:ascii="Arial" w:cs="Arial" w:eastAsia="Arial" w:hAnsi="Arial"/>
                <w:sz w:val="18"/>
                <w:szCs w:val="18"/>
                <w:color w:val="auto"/>
                <w:w w:val="99"/>
              </w:rPr>
              <w:t>Three Months Ended March</w:t>
            </w:r>
          </w:p>
        </w:tc>
        <w:tc>
          <w:tcPr>
            <w:tcW w:w="12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748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w:t>
            </w:r>
          </w:p>
        </w:tc>
        <w:tc>
          <w:tcPr>
            <w:tcW w:w="940" w:type="dxa"/>
            <w:vAlign w:val="bottom"/>
            <w:tcBorders>
              <w:bottom w:val="single" w:sz="8" w:color="auto"/>
            </w:tcBorders>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2026</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2025</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3,283</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2,814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17 %</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4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(183)</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Operating margin rate</w:t>
            </w: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6"/>
                <w:szCs w:val="16"/>
                <w:b w:val="1"/>
                <w:bCs w:val="1"/>
                <w:i w:val="1"/>
                <w:iCs w:val="1"/>
                <w:color w:val="auto"/>
              </w:rPr>
              <w:t>9.3 %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(6.5)%</w:t>
            </w: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6" w:lineRule="exact"/>
        <w:rPr>
          <w:sz w:val="20"/>
          <w:szCs w:val="20"/>
          <w:color w:val="auto"/>
        </w:rPr>
      </w:pPr>
    </w:p>
    <w:p>
      <w:pPr>
        <w:ind w:right="280" w:firstLine="324"/>
        <w:spacing w:after="0" w:line="249" w:lineRule="auto"/>
        <w:rPr>
          <w:sz w:val="20"/>
          <w:szCs w:val="20"/>
          <w:color w:val="auto"/>
        </w:rPr>
      </w:pPr>
      <w:r>
        <w:rPr>
          <w:rFonts w:ascii="Arial" w:cs="Arial" w:eastAsia="Arial" w:hAnsi="Arial"/>
          <w:sz w:val="22"/>
          <w:szCs w:val="22"/>
          <w:color w:val="auto"/>
        </w:rPr>
        <w:t>First quarter 2026 sales increased $469 million, or 17 percent, primarily due to higher sales on B-21 and other restricted programs as well as increased volume on the E-130J TACAMO program as it ramps up. The higher B-21 sales reflect the company’s first quarter 2026 agreement with the U.S. Air Force to expand production capacity and increase the aircraft production rate, including the sale of a company-owned test asset. The sales increases were partially offset by a decrease on F/A-18 as final production deliveries have completed.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26" w:lineRule="exact"/>
        <w:rPr>
          <w:sz w:val="20"/>
          <w:szCs w:val="20"/>
          <w:color w:val="auto"/>
        </w:rPr>
      </w:pPr>
    </w:p>
    <w:p>
      <w:pPr>
        <w:ind w:right="360" w:firstLine="324"/>
        <w:spacing w:after="0" w:line="253" w:lineRule="auto"/>
        <w:rPr>
          <w:sz w:val="20"/>
          <w:szCs w:val="20"/>
          <w:color w:val="auto"/>
        </w:rPr>
      </w:pPr>
      <w:r>
        <w:rPr>
          <w:rFonts w:ascii="Arial" w:cs="Arial" w:eastAsia="Arial" w:hAnsi="Arial"/>
          <w:sz w:val="22"/>
          <w:szCs w:val="22"/>
          <w:color w:val="auto"/>
        </w:rPr>
        <w:t>First quarter 2026 operating income increased $488 million and operating margin rate increased to 9.3 percent primarily due to the absence of the prior year B-21 loss provision.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DEFENSE SYSTEMS</w:t>
            </w:r>
          </w:p>
        </w:tc>
        <w:tc>
          <w:tcPr>
            <w:tcW w:w="120" w:type="dxa"/>
            <w:vAlign w:val="bottom"/>
          </w:tcPr>
          <w:p>
            <w:pPr>
              <w:spacing w:after="0"/>
              <w:rPr>
                <w:sz w:val="18"/>
                <w:szCs w:val="18"/>
                <w:color w:val="auto"/>
              </w:rPr>
            </w:pPr>
          </w:p>
        </w:tc>
        <w:tc>
          <w:tcPr>
            <w:tcW w:w="2380" w:type="dxa"/>
            <w:vAlign w:val="bottom"/>
            <w:gridSpan w:val="3"/>
          </w:tcPr>
          <w:p>
            <w:pPr>
              <w:jc w:val="right"/>
              <w:ind w:right="52"/>
              <w:spacing w:after="0"/>
              <w:rPr>
                <w:sz w:val="20"/>
                <w:szCs w:val="20"/>
                <w:color w:val="auto"/>
              </w:rPr>
            </w:pPr>
            <w:r>
              <w:rPr>
                <w:rFonts w:ascii="Arial" w:cs="Arial" w:eastAsia="Arial" w:hAnsi="Arial"/>
                <w:sz w:val="18"/>
                <w:szCs w:val="18"/>
                <w:color w:val="auto"/>
                <w:w w:val="99"/>
              </w:rPr>
              <w:t>Three Months Ended March</w:t>
            </w:r>
          </w:p>
        </w:tc>
        <w:tc>
          <w:tcPr>
            <w:tcW w:w="12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748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w:t>
            </w:r>
          </w:p>
        </w:tc>
        <w:tc>
          <w:tcPr>
            <w:tcW w:w="940" w:type="dxa"/>
            <w:vAlign w:val="bottom"/>
            <w:tcBorders>
              <w:bottom w:val="single" w:sz="8" w:color="auto"/>
            </w:tcBorders>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2026</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2025</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1,899</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1,805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Less: Training services sales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(72)</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Organic sales</w:t>
            </w:r>
            <w:r>
              <w:rPr>
                <w:rFonts w:ascii="Arial" w:cs="Arial" w:eastAsia="Arial" w:hAnsi="Arial"/>
                <w:sz w:val="23"/>
                <w:szCs w:val="23"/>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1,899</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1,733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0" w:type="dxa"/>
            <w:vAlign w:val="bottom"/>
          </w:tcPr>
          <w:p>
            <w:pPr>
              <w:spacing w:after="0"/>
              <w:rPr>
                <w:sz w:val="1"/>
                <w:szCs w:val="1"/>
                <w:color w:val="auto"/>
              </w:rPr>
            </w:pPr>
          </w:p>
        </w:tc>
      </w:tr>
      <w:tr>
        <w:trPr>
          <w:trHeight w:val="129"/>
        </w:trPr>
        <w:tc>
          <w:tcPr>
            <w:tcW w:w="7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184</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Operating margin rate</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6"/>
                <w:szCs w:val="16"/>
                <w:b w:val="1"/>
                <w:bCs w:val="1"/>
                <w:i w:val="1"/>
                <w:iCs w:val="1"/>
                <w:color w:val="auto"/>
              </w:rPr>
              <w:t>9.7 %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9.9 %</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39" w:lineRule="exact"/>
        <w:rPr>
          <w:sz w:val="20"/>
          <w:szCs w:val="20"/>
          <w:color w:val="auto"/>
        </w:rPr>
      </w:pPr>
    </w:p>
    <w:p>
      <w:pPr>
        <w:ind w:right="60" w:firstLine="324"/>
        <w:spacing w:after="0" w:line="246" w:lineRule="auto"/>
        <w:rPr>
          <w:sz w:val="20"/>
          <w:szCs w:val="20"/>
          <w:color w:val="auto"/>
        </w:rPr>
      </w:pPr>
      <w:r>
        <w:rPr>
          <w:rFonts w:ascii="Arial" w:cs="Arial" w:eastAsia="Arial" w:hAnsi="Arial"/>
          <w:sz w:val="22"/>
          <w:szCs w:val="22"/>
          <w:color w:val="auto"/>
        </w:rPr>
        <w:t>First quarter 2026 sales increased $94 million, or 5 percent, primarily due to higher volume on Sentinel as that program continues to ramp, as well as higher volume on tactical solid rocket motor programs and across the Integrated Battle Command System portfolio. These increases were partially offset by a $72 million reduction in sales related to the divested training services business.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First quarter 2026 operating income increased $5 million, or 3 percent, primarily due to higher sales, partially</w:t>
      </w:r>
    </w:p>
    <w:p>
      <w:pPr>
        <w:spacing w:after="0" w:line="4" w:lineRule="exact"/>
        <w:rPr>
          <w:sz w:val="20"/>
          <w:szCs w:val="20"/>
          <w:color w:val="auto"/>
        </w:rPr>
      </w:pPr>
    </w:p>
    <w:p>
      <w:pPr>
        <w:ind w:right="220"/>
        <w:spacing w:after="0" w:line="266" w:lineRule="auto"/>
        <w:rPr>
          <w:sz w:val="20"/>
          <w:szCs w:val="20"/>
          <w:color w:val="auto"/>
        </w:rPr>
      </w:pPr>
      <w:r>
        <w:rPr>
          <w:rFonts w:ascii="Arial" w:cs="Arial" w:eastAsia="Arial" w:hAnsi="Arial"/>
          <w:sz w:val="22"/>
          <w:szCs w:val="22"/>
          <w:color w:val="auto"/>
        </w:rPr>
        <w:t>offset by a lower operating margin rate. Operating margin rate decreased to 9.7 percent from 9.9 percent principally due to lower net EAC adjustments.</w:t>
      </w:r>
    </w:p>
    <w:p>
      <w:pPr>
        <w:spacing w:after="0" w:line="200" w:lineRule="exact"/>
        <w:rPr>
          <w:sz w:val="20"/>
          <w:szCs w:val="20"/>
          <w:color w:val="auto"/>
        </w:rPr>
      </w:pPr>
    </w:p>
    <w:p>
      <w:pPr>
        <w:spacing w:after="0" w:line="329" w:lineRule="exact"/>
        <w:rPr>
          <w:sz w:val="20"/>
          <w:szCs w:val="20"/>
          <w:color w:val="auto"/>
        </w:rPr>
      </w:pPr>
    </w:p>
    <w:p>
      <w:pPr>
        <w:ind w:left="120" w:hanging="94"/>
        <w:spacing w:after="0"/>
        <w:tabs>
          <w:tab w:leader="none" w:pos="1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First Quarter 2026 Financial Results</w:t>
            </w: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60" w:type="dxa"/>
            <w:vAlign w:val="bottom"/>
            <w:vMerge w:val="restart"/>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6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MISSION SYSTEMS</w:t>
            </w:r>
          </w:p>
        </w:tc>
        <w:tc>
          <w:tcPr>
            <w:tcW w:w="120" w:type="dxa"/>
            <w:vAlign w:val="bottom"/>
          </w:tcPr>
          <w:p>
            <w:pPr>
              <w:spacing w:after="0"/>
              <w:rPr>
                <w:sz w:val="10"/>
                <w:szCs w:val="10"/>
                <w:color w:val="auto"/>
              </w:rPr>
            </w:pPr>
          </w:p>
        </w:tc>
        <w:tc>
          <w:tcPr>
            <w:tcW w:w="2380" w:type="dxa"/>
            <w:vAlign w:val="bottom"/>
            <w:gridSpan w:val="3"/>
            <w:vMerge w:val="restart"/>
          </w:tcPr>
          <w:p>
            <w:pPr>
              <w:jc w:val="center"/>
              <w:ind w:right="32"/>
              <w:spacing w:after="0"/>
              <w:rPr>
                <w:sz w:val="20"/>
                <w:szCs w:val="20"/>
                <w:color w:val="auto"/>
              </w:rPr>
            </w:pPr>
            <w:r>
              <w:rPr>
                <w:rFonts w:ascii="Arial" w:cs="Arial" w:eastAsia="Arial" w:hAnsi="Arial"/>
                <w:sz w:val="18"/>
                <w:szCs w:val="18"/>
                <w:color w:val="auto"/>
                <w:w w:val="99"/>
              </w:rPr>
              <w:t>Three Months Ended March</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0"/>
        </w:trPr>
        <w:tc>
          <w:tcPr>
            <w:tcW w:w="20" w:type="dxa"/>
            <w:vAlign w:val="bottom"/>
          </w:tcPr>
          <w:p>
            <w:pPr>
              <w:spacing w:after="0"/>
              <w:rPr>
                <w:sz w:val="24"/>
                <w:szCs w:val="24"/>
                <w:color w:val="auto"/>
              </w:rPr>
            </w:pPr>
          </w:p>
        </w:tc>
        <w:tc>
          <w:tcPr>
            <w:tcW w:w="74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3"/>
            <w:vMerge w:val="continue"/>
          </w:tcPr>
          <w:p>
            <w:pPr>
              <w:spacing w:after="0"/>
              <w:rPr>
                <w:sz w:val="24"/>
                <w:szCs w:val="24"/>
                <w:color w:val="auto"/>
              </w:rPr>
            </w:pPr>
          </w:p>
        </w:tc>
        <w:tc>
          <w:tcPr>
            <w:tcW w:w="1260" w:type="dxa"/>
            <w:vAlign w:val="bottom"/>
            <w:vMerge w:val="restart"/>
          </w:tcPr>
          <w:p>
            <w:pPr>
              <w:jc w:val="right"/>
              <w:ind w:right="406"/>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60" w:type="dxa"/>
            <w:vAlign w:val="bottom"/>
            <w:gridSpan w:val="2"/>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w:t>
            </w:r>
          </w:p>
        </w:tc>
        <w:tc>
          <w:tcPr>
            <w:tcW w:w="940" w:type="dxa"/>
            <w:vAlign w:val="bottom"/>
            <w:tcBorders>
              <w:bottom w:val="single" w:sz="8" w:color="auto"/>
            </w:tcBorders>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2026</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2025</w:t>
            </w:r>
          </w:p>
        </w:tc>
        <w:tc>
          <w:tcPr>
            <w:tcW w:w="1260" w:type="dxa"/>
            <w:vAlign w:val="bottom"/>
            <w:tcBorders>
              <w:bottom w:val="single" w:sz="8" w:color="auto"/>
            </w:tcBorders>
          </w:tcPr>
          <w:p>
            <w:pPr>
              <w:jc w:val="right"/>
              <w:ind w:right="166"/>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2,861</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2,807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433</w:t>
            </w:r>
          </w:p>
        </w:tc>
        <w:tc>
          <w:tcPr>
            <w:tcW w:w="4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361</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20 %</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7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i w:val="1"/>
                <w:iCs w:val="1"/>
                <w:color w:val="auto"/>
              </w:rPr>
              <w:t>Operating margin rate</w:t>
            </w: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6"/>
                <w:szCs w:val="16"/>
                <w:b w:val="1"/>
                <w:bCs w:val="1"/>
                <w:i w:val="1"/>
                <w:iCs w:val="1"/>
                <w:color w:val="auto"/>
              </w:rPr>
              <w:t>15.1 %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12.9 %</w:t>
            </w: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6" w:lineRule="exact"/>
        <w:rPr>
          <w:sz w:val="20"/>
          <w:szCs w:val="20"/>
          <w:color w:val="auto"/>
        </w:rPr>
      </w:pPr>
    </w:p>
    <w:p>
      <w:pPr>
        <w:ind w:right="160" w:firstLine="324"/>
        <w:spacing w:after="0" w:line="254" w:lineRule="auto"/>
        <w:rPr>
          <w:sz w:val="20"/>
          <w:szCs w:val="20"/>
          <w:color w:val="auto"/>
        </w:rPr>
      </w:pPr>
      <w:r>
        <w:rPr>
          <w:rFonts w:ascii="Arial" w:cs="Arial" w:eastAsia="Arial" w:hAnsi="Arial"/>
          <w:sz w:val="22"/>
          <w:szCs w:val="22"/>
          <w:color w:val="auto"/>
        </w:rPr>
        <w:t>First quarter 2026 sales increased $54 million, or 2 percent, primarily due to ramp-up on restricted airborne radar programs and higher volume on marine systems programs, partially offset by lower volume on the Scalable Agile Beam Radar program and airborne electronic warfare programs.</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26" w:lineRule="exact"/>
        <w:rPr>
          <w:sz w:val="20"/>
          <w:szCs w:val="20"/>
          <w:color w:val="auto"/>
        </w:rPr>
      </w:pPr>
    </w:p>
    <w:p>
      <w:pPr>
        <w:ind w:right="180" w:firstLine="324"/>
        <w:spacing w:after="0" w:line="246" w:lineRule="auto"/>
        <w:rPr>
          <w:sz w:val="20"/>
          <w:szCs w:val="20"/>
          <w:color w:val="auto"/>
        </w:rPr>
      </w:pPr>
      <w:r>
        <w:rPr>
          <w:rFonts w:ascii="Arial" w:cs="Arial" w:eastAsia="Arial" w:hAnsi="Arial"/>
          <w:sz w:val="22"/>
          <w:szCs w:val="22"/>
          <w:color w:val="auto"/>
        </w:rPr>
        <w:t>First quarter 2026 operating income increased $72 million, or 20 percent, primarily due to a higher operating margin rate and higher sales. Operating margin rate increased to 15.1 percent from 12.9 percent, primarily due to prior year investments made by the sector in connection with restricted business opportunities, as well as higher net EAC adjustments in the current year.</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SPACE SYSTEMS</w:t>
            </w:r>
          </w:p>
        </w:tc>
        <w:tc>
          <w:tcPr>
            <w:tcW w:w="120" w:type="dxa"/>
            <w:vAlign w:val="bottom"/>
          </w:tcPr>
          <w:p>
            <w:pPr>
              <w:spacing w:after="0"/>
              <w:rPr>
                <w:sz w:val="17"/>
                <w:szCs w:val="17"/>
                <w:color w:val="auto"/>
              </w:rPr>
            </w:pPr>
          </w:p>
        </w:tc>
        <w:tc>
          <w:tcPr>
            <w:tcW w:w="2380" w:type="dxa"/>
            <w:vAlign w:val="bottom"/>
            <w:gridSpan w:val="3"/>
          </w:tcPr>
          <w:p>
            <w:pPr>
              <w:jc w:val="center"/>
              <w:ind w:right="32"/>
              <w:spacing w:after="0"/>
              <w:rPr>
                <w:sz w:val="20"/>
                <w:szCs w:val="20"/>
                <w:color w:val="auto"/>
              </w:rPr>
            </w:pPr>
            <w:r>
              <w:rPr>
                <w:rFonts w:ascii="Arial" w:cs="Arial" w:eastAsia="Arial" w:hAnsi="Arial"/>
                <w:sz w:val="18"/>
                <w:szCs w:val="18"/>
                <w:color w:val="auto"/>
                <w:w w:val="99"/>
              </w:rPr>
              <w:t>Three Months Ended March</w:t>
            </w:r>
          </w:p>
        </w:tc>
        <w:tc>
          <w:tcPr>
            <w:tcW w:w="12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7480" w:type="dxa"/>
            <w:vAlign w:val="bottom"/>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w:t>
            </w:r>
          </w:p>
        </w:tc>
        <w:tc>
          <w:tcPr>
            <w:tcW w:w="940" w:type="dxa"/>
            <w:vAlign w:val="bottom"/>
            <w:tcBorders>
              <w:bottom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2026</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2025</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2,480</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2,568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4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283</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Operating margin rate</w:t>
            </w: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6"/>
                <w:szCs w:val="16"/>
                <w:b w:val="1"/>
                <w:bCs w:val="1"/>
                <w:i w:val="1"/>
                <w:iCs w:val="1"/>
                <w:color w:val="auto"/>
              </w:rPr>
              <w:t>9.5 %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11.0 %</w:t>
            </w: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6" w:lineRule="exact"/>
        <w:rPr>
          <w:sz w:val="20"/>
          <w:szCs w:val="20"/>
          <w:color w:val="auto"/>
        </w:rPr>
      </w:pPr>
    </w:p>
    <w:p>
      <w:pPr>
        <w:ind w:right="40" w:firstLine="324"/>
        <w:spacing w:after="0" w:line="262" w:lineRule="auto"/>
        <w:rPr>
          <w:sz w:val="20"/>
          <w:szCs w:val="20"/>
          <w:color w:val="auto"/>
        </w:rPr>
      </w:pPr>
      <w:r>
        <w:rPr>
          <w:rFonts w:ascii="Arial" w:cs="Arial" w:eastAsia="Arial" w:hAnsi="Arial"/>
          <w:sz w:val="21"/>
          <w:szCs w:val="21"/>
          <w:color w:val="auto"/>
        </w:rPr>
        <w:t>First quarter 2026 sales decreased $88 million, or 3 percent, primarily due to wind-down of work on the NGI program, which reduced sales by $98 million, as well as lower sales on the Graphite Epoxy Motor (GEM) 63XL program related to the unfavorable EAC adjustment described below. These decreases were partially offset by higher volume on Space Development Agency satellite programs driven by ramp-up on the Tranche 3 tracking layer award.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26" w:lineRule="exact"/>
        <w:rPr>
          <w:sz w:val="20"/>
          <w:szCs w:val="20"/>
          <w:color w:val="auto"/>
        </w:rPr>
      </w:pPr>
    </w:p>
    <w:p>
      <w:pPr>
        <w:ind w:right="340" w:firstLine="324"/>
        <w:spacing w:after="0" w:line="250" w:lineRule="auto"/>
        <w:rPr>
          <w:sz w:val="20"/>
          <w:szCs w:val="20"/>
          <w:color w:val="auto"/>
        </w:rPr>
      </w:pPr>
      <w:r>
        <w:rPr>
          <w:rFonts w:ascii="Arial" w:cs="Arial" w:eastAsia="Arial" w:hAnsi="Arial"/>
          <w:sz w:val="22"/>
          <w:szCs w:val="22"/>
          <w:color w:val="auto"/>
        </w:rPr>
        <w:t>First quarter 2026 operating income decreased $48 million, or 17 percent, due to a lower operating margin rate and lower sales. Operating margin rate decreased to 9.5 percent from 11.0 percent, largely due to lower net EAC adjustments, including a $71 million unfavorable adjustment on GEM 63XL associated with a launch anomaly that occurred during the first quarter.</w:t>
      </w:r>
    </w:p>
    <w:p>
      <w:pPr>
        <w:spacing w:after="0" w:line="200" w:lineRule="exact"/>
        <w:rPr>
          <w:sz w:val="20"/>
          <w:szCs w:val="20"/>
          <w:color w:val="auto"/>
        </w:rPr>
      </w:pPr>
    </w:p>
    <w:p>
      <w:pPr>
        <w:spacing w:after="0" w:line="348" w:lineRule="exact"/>
        <w:rPr>
          <w:sz w:val="20"/>
          <w:szCs w:val="20"/>
          <w:color w:val="auto"/>
        </w:rPr>
      </w:pPr>
    </w:p>
    <w:p>
      <w:pPr>
        <w:ind w:left="120" w:hanging="94"/>
        <w:spacing w:after="0"/>
        <w:tabs>
          <w:tab w:leader="none" w:pos="1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250"/>
        </w:trPr>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First Quarter 2026 Financial Results</w:t>
            </w:r>
          </w:p>
        </w:tc>
        <w:tc>
          <w:tcPr>
            <w:tcW w:w="552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116"/>
        </w:trPr>
        <w:tc>
          <w:tcPr>
            <w:tcW w:w="5680" w:type="dxa"/>
            <w:vAlign w:val="bottom"/>
          </w:tcPr>
          <w:p>
            <w:pPr>
              <w:spacing w:after="0"/>
              <w:rPr>
                <w:sz w:val="10"/>
                <w:szCs w:val="10"/>
                <w:color w:val="auto"/>
              </w:rPr>
            </w:pPr>
          </w:p>
        </w:tc>
        <w:tc>
          <w:tcPr>
            <w:tcW w:w="5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Guidance</w:t>
      </w:r>
    </w:p>
    <w:p>
      <w:pPr>
        <w:spacing w:after="0" w:line="100" w:lineRule="exact"/>
        <w:rPr>
          <w:sz w:val="20"/>
          <w:szCs w:val="20"/>
          <w:color w:val="auto"/>
        </w:rPr>
      </w:pPr>
    </w:p>
    <w:p>
      <w:pPr>
        <w:ind w:firstLine="240"/>
        <w:spacing w:after="0" w:line="261" w:lineRule="auto"/>
        <w:rPr>
          <w:sz w:val="20"/>
          <w:szCs w:val="20"/>
          <w:color w:val="auto"/>
        </w:rPr>
      </w:pPr>
      <w:r>
        <w:rPr>
          <w:rFonts w:ascii="Arial" w:cs="Arial" w:eastAsia="Arial" w:hAnsi="Arial"/>
          <w:sz w:val="21"/>
          <w:szCs w:val="21"/>
          <w:color w:val="auto"/>
        </w:rPr>
        <w:t>Financial guidance, as well as outlook, trends, expectations and other forward-looking statements provided by the company for 2026 and beyond, reflect the company's judgment based on the information available to the company at the time of this release. The company’s financial guidance and outlook for 2026 and beyond reflect what the company currently anticipates will be the impacts on the company from, among other factors, the global macroeconomic, security, and political/budget environments, including the impacts from inflationary pressures and labor and supply chain challenges; changes in the threat environment; changes in government budget, appropriations and procurement priorities and processes; changes in the regulatory environment, including trade policy; and changes in support for our programs. We are not assuming, and the company’s financial guidance and outlook for 2026 and beyond do not reflect impacts on the company from, a prolonged government shutdown, or application of spending limits or other spending cuts. However, the company cannot predict how these factors will evolve or what impacts they will have, and there can be no assurance that the company’s current expectations or underlying assumptions are correct. These factors can affect the company’s ability to achieve guidance or meet expectations.</w:t>
      </w:r>
    </w:p>
    <w:p>
      <w:pPr>
        <w:spacing w:after="0" w:line="48" w:lineRule="exact"/>
        <w:rPr>
          <w:sz w:val="20"/>
          <w:szCs w:val="20"/>
          <w:color w:val="auto"/>
        </w:rPr>
      </w:pPr>
    </w:p>
    <w:p>
      <w:pPr>
        <w:ind w:right="40" w:firstLine="324"/>
        <w:spacing w:after="0" w:line="272" w:lineRule="auto"/>
        <w:rPr>
          <w:sz w:val="20"/>
          <w:szCs w:val="20"/>
          <w:color w:val="auto"/>
        </w:rPr>
      </w:pPr>
      <w:r>
        <w:rPr>
          <w:rFonts w:ascii="Arial" w:cs="Arial" w:eastAsia="Arial" w:hAnsi="Arial"/>
          <w:sz w:val="22"/>
          <w:szCs w:val="22"/>
          <w:color w:val="auto"/>
        </w:rPr>
        <w:t>For additional factors that may impact the company’s ability to achieve guidance or meet expectations, please see the “Forward-Looking Statements” section in this release and our Form 10-Q.</w:t>
      </w:r>
    </w:p>
    <w:p>
      <w:pPr>
        <w:spacing w:after="0" w:line="54" w:lineRule="exact"/>
        <w:rPr>
          <w:sz w:val="20"/>
          <w:szCs w:val="20"/>
          <w:color w:val="auto"/>
        </w:rPr>
      </w:pPr>
    </w:p>
    <w:tbl>
      <w:tblPr>
        <w:tblLayout w:type="fixed"/>
        <w:tblInd w:w="30" w:type="dxa"/>
        <w:tblCellMar>
          <w:top w:w="0" w:type="dxa"/>
          <w:left w:w="0" w:type="dxa"/>
          <w:bottom w:w="0" w:type="dxa"/>
          <w:right w:w="0" w:type="dxa"/>
        </w:tblCellMar>
      </w:tblPr>
      <w:tr>
        <w:trPr>
          <w:trHeight w:val="304"/>
        </w:trPr>
        <w:tc>
          <w:tcPr>
            <w:tcW w:w="4180" w:type="dxa"/>
            <w:vAlign w:val="bottom"/>
            <w:tcBorders>
              <w:top w:val="single" w:sz="8" w:color="auto"/>
              <w:left w:val="single" w:sz="8" w:color="auto"/>
              <w:bottom w:val="single" w:sz="8" w:color="auto"/>
            </w:tcBorders>
          </w:tcPr>
          <w:p>
            <w:pPr>
              <w:spacing w:after="0"/>
              <w:rPr>
                <w:sz w:val="24"/>
                <w:szCs w:val="24"/>
                <w:color w:val="auto"/>
              </w:rPr>
            </w:pPr>
          </w:p>
        </w:tc>
        <w:tc>
          <w:tcPr>
            <w:tcW w:w="4320" w:type="dxa"/>
            <w:vAlign w:val="bottom"/>
            <w:tcBorders>
              <w:top w:val="single" w:sz="8" w:color="auto"/>
              <w:bottom w:val="single" w:sz="8" w:color="auto"/>
            </w:tcBorders>
            <w:gridSpan w:val="2"/>
          </w:tcPr>
          <w:p>
            <w:pPr>
              <w:jc w:val="right"/>
              <w:ind w:right="2043"/>
              <w:spacing w:after="0"/>
              <w:rPr>
                <w:sz w:val="20"/>
                <w:szCs w:val="20"/>
                <w:color w:val="auto"/>
              </w:rPr>
            </w:pPr>
            <w:r>
              <w:rPr>
                <w:rFonts w:ascii="Arial" w:cs="Arial" w:eastAsia="Arial" w:hAnsi="Arial"/>
                <w:sz w:val="22"/>
                <w:szCs w:val="22"/>
                <w:b w:val="1"/>
                <w:bCs w:val="1"/>
                <w:color w:val="auto"/>
              </w:rPr>
              <w:t>2026 Guidance</w:t>
            </w:r>
          </w:p>
        </w:tc>
        <w:tc>
          <w:tcPr>
            <w:tcW w:w="270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 in millions, except per share amounts)</w:t>
            </w:r>
          </w:p>
        </w:tc>
        <w:tc>
          <w:tcPr>
            <w:tcW w:w="1900" w:type="dxa"/>
            <w:vAlign w:val="bottom"/>
            <w:tcBorders>
              <w:bottom w:val="single" w:sz="8" w:color="auto"/>
              <w:right w:val="single" w:sz="8" w:color="auto"/>
            </w:tcBorders>
          </w:tcPr>
          <w:p>
            <w:pPr>
              <w:spacing w:after="0"/>
              <w:rPr>
                <w:sz w:val="19"/>
                <w:szCs w:val="19"/>
                <w:color w:val="auto"/>
              </w:rPr>
            </w:pPr>
          </w:p>
        </w:tc>
        <w:tc>
          <w:tcPr>
            <w:tcW w:w="5120" w:type="dxa"/>
            <w:vAlign w:val="bottom"/>
            <w:tcBorders>
              <w:bottom w:val="single" w:sz="8" w:color="auto"/>
              <w:right w:val="single" w:sz="8" w:color="auto"/>
            </w:tcBorders>
            <w:gridSpan w:val="2"/>
          </w:tcPr>
          <w:p>
            <w:pPr>
              <w:ind w:left="1900"/>
              <w:spacing w:after="0"/>
              <w:rPr>
                <w:sz w:val="20"/>
                <w:szCs w:val="20"/>
                <w:color w:val="auto"/>
              </w:rPr>
            </w:pPr>
            <w:r>
              <w:rPr>
                <w:rFonts w:ascii="Arial" w:cs="Arial" w:eastAsia="Arial" w:hAnsi="Arial"/>
                <w:sz w:val="18"/>
                <w:szCs w:val="18"/>
                <w:b w:val="1"/>
                <w:bCs w:val="1"/>
                <w:color w:val="auto"/>
              </w:rPr>
              <w:t>As of 4/21/2026</w:t>
            </w:r>
          </w:p>
        </w:tc>
        <w:tc>
          <w:tcPr>
            <w:tcW w:w="0" w:type="dxa"/>
            <w:vAlign w:val="bottom"/>
          </w:tcPr>
          <w:p>
            <w:pPr>
              <w:spacing w:after="0"/>
              <w:rPr>
                <w:sz w:val="1"/>
                <w:szCs w:val="1"/>
                <w:color w:val="auto"/>
              </w:rPr>
            </w:pPr>
          </w:p>
        </w:tc>
      </w:tr>
      <w:tr>
        <w:trPr>
          <w:trHeight w:val="378"/>
        </w:trPr>
        <w:tc>
          <w:tcPr>
            <w:tcW w:w="418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Sales</w:t>
            </w:r>
          </w:p>
        </w:tc>
        <w:tc>
          <w:tcPr>
            <w:tcW w:w="1900" w:type="dxa"/>
            <w:vAlign w:val="bottom"/>
            <w:tcBorders>
              <w:right w:val="single" w:sz="8" w:color="auto"/>
            </w:tcBorders>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$43,500</w:t>
            </w:r>
          </w:p>
        </w:tc>
        <w:tc>
          <w:tcPr>
            <w:tcW w:w="27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 $44,000</w:t>
            </w:r>
          </w:p>
        </w:tc>
        <w:tc>
          <w:tcPr>
            <w:tcW w:w="0" w:type="dxa"/>
            <w:vAlign w:val="bottom"/>
          </w:tcPr>
          <w:p>
            <w:pPr>
              <w:spacing w:after="0"/>
              <w:rPr>
                <w:sz w:val="1"/>
                <w:szCs w:val="1"/>
                <w:color w:val="auto"/>
              </w:rPr>
            </w:pPr>
          </w:p>
        </w:tc>
      </w:tr>
      <w:tr>
        <w:trPr>
          <w:trHeight w:val="115"/>
        </w:trPr>
        <w:tc>
          <w:tcPr>
            <w:tcW w:w="418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Segment operating income</w:t>
            </w:r>
            <w:r>
              <w:rPr>
                <w:rFonts w:ascii="Arial" w:cs="Arial" w:eastAsia="Arial" w:hAnsi="Arial"/>
                <w:sz w:val="25"/>
                <w:szCs w:val="25"/>
                <w:b w:val="1"/>
                <w:bCs w:val="1"/>
                <w:color w:val="auto"/>
                <w:vertAlign w:val="superscript"/>
              </w:rPr>
              <w:t>1</w:t>
            </w:r>
          </w:p>
        </w:tc>
        <w:tc>
          <w:tcPr>
            <w:tcW w:w="1900" w:type="dxa"/>
            <w:vAlign w:val="bottom"/>
            <w:tcBorders>
              <w:right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2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4180" w:type="dxa"/>
            <w:vAlign w:val="bottom"/>
            <w:tcBorders>
              <w:left w:val="single" w:sz="8" w:color="auto"/>
            </w:tcBorders>
            <w:vMerge w:val="continue"/>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$4,850</w:t>
            </w:r>
          </w:p>
        </w:tc>
        <w:tc>
          <w:tcPr>
            <w:tcW w:w="27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 $5,000</w:t>
            </w:r>
          </w:p>
        </w:tc>
        <w:tc>
          <w:tcPr>
            <w:tcW w:w="0" w:type="dxa"/>
            <w:vAlign w:val="bottom"/>
          </w:tcPr>
          <w:p>
            <w:pPr>
              <w:spacing w:after="0"/>
              <w:rPr>
                <w:sz w:val="1"/>
                <w:szCs w:val="1"/>
                <w:color w:val="auto"/>
              </w:rPr>
            </w:pPr>
          </w:p>
        </w:tc>
      </w:tr>
      <w:tr>
        <w:trPr>
          <w:trHeight w:val="47"/>
        </w:trPr>
        <w:tc>
          <w:tcPr>
            <w:tcW w:w="418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MTM-adjusted EPS</w:t>
            </w:r>
            <w:r>
              <w:rPr>
                <w:rFonts w:ascii="Arial" w:cs="Arial" w:eastAsia="Arial" w:hAnsi="Arial"/>
                <w:sz w:val="25"/>
                <w:szCs w:val="25"/>
                <w:b w:val="1"/>
                <w:bCs w:val="1"/>
                <w:color w:val="auto"/>
                <w:vertAlign w:val="superscript"/>
              </w:rPr>
              <w:t>1</w:t>
            </w:r>
          </w:p>
        </w:tc>
        <w:tc>
          <w:tcPr>
            <w:tcW w:w="1900" w:type="dxa"/>
            <w:vAlign w:val="bottom"/>
            <w:tcBorders>
              <w:right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6"/>
        </w:trPr>
        <w:tc>
          <w:tcPr>
            <w:tcW w:w="4180" w:type="dxa"/>
            <w:vAlign w:val="bottom"/>
            <w:tcBorders>
              <w:left w:val="single" w:sz="8" w:color="auto"/>
            </w:tcBorders>
            <w:vMerge w:val="continue"/>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$27.40</w:t>
            </w:r>
          </w:p>
        </w:tc>
        <w:tc>
          <w:tcPr>
            <w:tcW w:w="27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 $27.90</w:t>
            </w:r>
          </w:p>
        </w:tc>
        <w:tc>
          <w:tcPr>
            <w:tcW w:w="0" w:type="dxa"/>
            <w:vAlign w:val="bottom"/>
          </w:tcPr>
          <w:p>
            <w:pPr>
              <w:spacing w:after="0"/>
              <w:rPr>
                <w:sz w:val="1"/>
                <w:szCs w:val="1"/>
                <w:color w:val="auto"/>
              </w:rPr>
            </w:pPr>
          </w:p>
        </w:tc>
      </w:tr>
      <w:tr>
        <w:trPr>
          <w:trHeight w:val="47"/>
        </w:trPr>
        <w:tc>
          <w:tcPr>
            <w:tcW w:w="4180" w:type="dxa"/>
            <w:vAlign w:val="bottom"/>
            <w:tcBorders>
              <w:left w:val="single" w:sz="8" w:color="auto"/>
              <w:bottom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6"/>
        </w:trPr>
        <w:tc>
          <w:tcPr>
            <w:tcW w:w="418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Free cash flow</w:t>
            </w:r>
            <w:r>
              <w:rPr>
                <w:rFonts w:ascii="Arial" w:cs="Arial" w:eastAsia="Arial" w:hAnsi="Arial"/>
                <w:sz w:val="25"/>
                <w:szCs w:val="25"/>
                <w:b w:val="1"/>
                <w:bCs w:val="1"/>
                <w:color w:val="auto"/>
                <w:vertAlign w:val="superscript"/>
              </w:rPr>
              <w:t>1</w:t>
            </w:r>
          </w:p>
        </w:tc>
        <w:tc>
          <w:tcPr>
            <w:tcW w:w="1900" w:type="dxa"/>
            <w:vAlign w:val="bottom"/>
            <w:tcBorders>
              <w:right w:val="single" w:sz="8" w:color="auto"/>
            </w:tcBorders>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$3,100</w:t>
            </w:r>
          </w:p>
        </w:tc>
        <w:tc>
          <w:tcPr>
            <w:tcW w:w="27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 $3,500</w:t>
            </w:r>
          </w:p>
        </w:tc>
        <w:tc>
          <w:tcPr>
            <w:tcW w:w="0" w:type="dxa"/>
            <w:vAlign w:val="bottom"/>
          </w:tcPr>
          <w:p>
            <w:pPr>
              <w:spacing w:after="0"/>
              <w:rPr>
                <w:sz w:val="1"/>
                <w:szCs w:val="1"/>
                <w:color w:val="auto"/>
              </w:rPr>
            </w:pPr>
          </w:p>
        </w:tc>
      </w:tr>
      <w:tr>
        <w:trPr>
          <w:trHeight w:val="41"/>
        </w:trPr>
        <w:tc>
          <w:tcPr>
            <w:tcW w:w="418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120015</wp:posOffset>
            </wp:positionV>
            <wp:extent cx="7115175" cy="2143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214312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2026 Segment Guidance</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6080" w:type="dxa"/>
            <w:vAlign w:val="bottom"/>
            <w:tcBorders>
              <w:top w:val="single" w:sz="8" w:color="auto"/>
              <w:right w:val="single" w:sz="8" w:color="auto"/>
            </w:tcBorders>
          </w:tcPr>
          <w:p>
            <w:pPr>
              <w:spacing w:after="0"/>
              <w:rPr>
                <w:sz w:val="20"/>
                <w:szCs w:val="20"/>
                <w:color w:val="auto"/>
              </w:rPr>
            </w:pPr>
          </w:p>
        </w:tc>
        <w:tc>
          <w:tcPr>
            <w:tcW w:w="5120" w:type="dxa"/>
            <w:vAlign w:val="bottom"/>
            <w:tcBorders>
              <w:top w:val="single" w:sz="8" w:color="auto"/>
              <w:bottom w:val="single" w:sz="8" w:color="auto"/>
            </w:tcBorders>
            <w:gridSpan w:val="2"/>
          </w:tcPr>
          <w:p>
            <w:pPr>
              <w:ind w:left="1900"/>
              <w:spacing w:after="0"/>
              <w:rPr>
                <w:sz w:val="20"/>
                <w:szCs w:val="20"/>
                <w:color w:val="auto"/>
              </w:rPr>
            </w:pPr>
            <w:r>
              <w:rPr>
                <w:rFonts w:ascii="Arial" w:cs="Arial" w:eastAsia="Arial" w:hAnsi="Arial"/>
                <w:sz w:val="18"/>
                <w:szCs w:val="18"/>
                <w:b w:val="1"/>
                <w:bCs w:val="1"/>
                <w:color w:val="auto"/>
              </w:rPr>
              <w:t>As of 4/21/2026</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Sales ($B)</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OM Rate %</w:t>
            </w:r>
          </w:p>
        </w:tc>
        <w:tc>
          <w:tcPr>
            <w:tcW w:w="0" w:type="dxa"/>
            <w:vAlign w:val="bottom"/>
          </w:tcPr>
          <w:p>
            <w:pPr>
              <w:spacing w:after="0"/>
              <w:rPr>
                <w:sz w:val="1"/>
                <w:szCs w:val="1"/>
                <w:color w:val="auto"/>
              </w:rPr>
            </w:pPr>
          </w:p>
        </w:tc>
      </w:tr>
      <w:tr>
        <w:trPr>
          <w:trHeight w:val="378"/>
        </w:trPr>
        <w:tc>
          <w:tcPr>
            <w:tcW w:w="608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Aeronautics Systems</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Mid $13</w:t>
            </w:r>
          </w:p>
        </w:tc>
        <w:tc>
          <w:tcPr>
            <w:tcW w:w="2560" w:type="dxa"/>
            <w:vAlign w:val="bottom"/>
          </w:tcPr>
          <w:p>
            <w:pPr>
              <w:jc w:val="center"/>
              <w:spacing w:after="0"/>
              <w:rPr>
                <w:sz w:val="20"/>
                <w:szCs w:val="20"/>
                <w:color w:val="auto"/>
              </w:rPr>
            </w:pPr>
            <w:r>
              <w:rPr>
                <w:rFonts w:ascii="Arial" w:cs="Arial" w:eastAsia="Arial" w:hAnsi="Arial"/>
                <w:sz w:val="20"/>
                <w:szCs w:val="20"/>
                <w:b w:val="1"/>
                <w:bCs w:val="1"/>
                <w:color w:val="auto"/>
                <w:w w:val="99"/>
              </w:rPr>
              <w:t>Low to Mid 9%</w:t>
            </w:r>
          </w:p>
        </w:tc>
        <w:tc>
          <w:tcPr>
            <w:tcW w:w="0" w:type="dxa"/>
            <w:vAlign w:val="bottom"/>
          </w:tcPr>
          <w:p>
            <w:pPr>
              <w:spacing w:after="0"/>
              <w:rPr>
                <w:sz w:val="1"/>
                <w:szCs w:val="1"/>
                <w:color w:val="auto"/>
              </w:rPr>
            </w:pPr>
          </w:p>
        </w:tc>
      </w:tr>
      <w:tr>
        <w:trPr>
          <w:trHeight w:val="115"/>
        </w:trPr>
        <w:tc>
          <w:tcPr>
            <w:tcW w:w="608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Defense Systems</w:t>
            </w: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8"/>
              </w:rPr>
              <w:t>Mid to High $8</w:t>
            </w:r>
          </w:p>
        </w:tc>
        <w:tc>
          <w:tcPr>
            <w:tcW w:w="2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6080" w:type="dxa"/>
            <w:vAlign w:val="bottom"/>
            <w:tcBorders>
              <w:right w:val="single" w:sz="8" w:color="auto"/>
            </w:tcBorders>
            <w:vMerge w:val="continue"/>
          </w:tcPr>
          <w:p>
            <w:pPr>
              <w:spacing w:after="0"/>
              <w:rPr>
                <w:sz w:val="24"/>
                <w:szCs w:val="24"/>
                <w:color w:val="auto"/>
              </w:rPr>
            </w:pPr>
          </w:p>
        </w:tc>
        <w:tc>
          <w:tcPr>
            <w:tcW w:w="2560" w:type="dxa"/>
            <w:vAlign w:val="bottom"/>
            <w:tcBorders>
              <w:right w:val="single" w:sz="8" w:color="auto"/>
            </w:tcBorders>
            <w:vMerge w:val="continue"/>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0"/>
                <w:szCs w:val="20"/>
                <w:b w:val="1"/>
                <w:bCs w:val="1"/>
                <w:color w:val="auto"/>
                <w:w w:val="96"/>
              </w:rPr>
              <w:t>~10%</w:t>
            </w:r>
          </w:p>
        </w:tc>
        <w:tc>
          <w:tcPr>
            <w:tcW w:w="0" w:type="dxa"/>
            <w:vAlign w:val="bottom"/>
          </w:tcPr>
          <w:p>
            <w:pPr>
              <w:spacing w:after="0"/>
              <w:rPr>
                <w:sz w:val="1"/>
                <w:szCs w:val="1"/>
                <w:color w:val="auto"/>
              </w:rPr>
            </w:pPr>
          </w:p>
        </w:tc>
      </w:tr>
      <w:tr>
        <w:trPr>
          <w:trHeight w:val="115"/>
        </w:trPr>
        <w:tc>
          <w:tcPr>
            <w:tcW w:w="608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Mission Systems</w:t>
            </w: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8"/>
              </w:rPr>
              <w:t>High $12</w:t>
            </w:r>
          </w:p>
        </w:tc>
        <w:tc>
          <w:tcPr>
            <w:tcW w:w="2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6080" w:type="dxa"/>
            <w:vAlign w:val="bottom"/>
            <w:tcBorders>
              <w:right w:val="single" w:sz="8" w:color="auto"/>
            </w:tcBorders>
            <w:vMerge w:val="continue"/>
          </w:tcPr>
          <w:p>
            <w:pPr>
              <w:spacing w:after="0"/>
              <w:rPr>
                <w:sz w:val="24"/>
                <w:szCs w:val="24"/>
                <w:color w:val="auto"/>
              </w:rPr>
            </w:pPr>
          </w:p>
        </w:tc>
        <w:tc>
          <w:tcPr>
            <w:tcW w:w="2560" w:type="dxa"/>
            <w:vAlign w:val="bottom"/>
            <w:tcBorders>
              <w:right w:val="single" w:sz="8" w:color="auto"/>
            </w:tcBorders>
            <w:vMerge w:val="continue"/>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0"/>
                <w:szCs w:val="20"/>
                <w:b w:val="1"/>
                <w:bCs w:val="1"/>
                <w:color w:val="auto"/>
                <w:w w:val="99"/>
              </w:rPr>
              <w:t>High 14%</w:t>
            </w:r>
          </w:p>
        </w:tc>
        <w:tc>
          <w:tcPr>
            <w:tcW w:w="0" w:type="dxa"/>
            <w:vAlign w:val="bottom"/>
          </w:tcPr>
          <w:p>
            <w:pPr>
              <w:spacing w:after="0"/>
              <w:rPr>
                <w:sz w:val="1"/>
                <w:szCs w:val="1"/>
                <w:color w:val="auto"/>
              </w:rPr>
            </w:pPr>
          </w:p>
        </w:tc>
      </w:tr>
      <w:tr>
        <w:trPr>
          <w:trHeight w:val="115"/>
        </w:trPr>
        <w:tc>
          <w:tcPr>
            <w:tcW w:w="608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Space Systems</w:t>
            </w:r>
          </w:p>
        </w:tc>
        <w:tc>
          <w:tcPr>
            <w:tcW w:w="2560" w:type="dxa"/>
            <w:vAlign w:val="bottom"/>
            <w:tcBorders>
              <w:right w:val="single" w:sz="8" w:color="auto"/>
            </w:tcBorders>
            <w:vMerge w:val="restart"/>
          </w:tcPr>
          <w:p>
            <w:pPr>
              <w:jc w:val="right"/>
              <w:ind w:right="984"/>
              <w:spacing w:after="0"/>
              <w:rPr>
                <w:sz w:val="20"/>
                <w:szCs w:val="20"/>
                <w:color w:val="auto"/>
              </w:rPr>
            </w:pPr>
            <w:r>
              <w:rPr>
                <w:rFonts w:ascii="Arial" w:cs="Arial" w:eastAsia="Arial" w:hAnsi="Arial"/>
                <w:sz w:val="20"/>
                <w:szCs w:val="20"/>
                <w:b w:val="1"/>
                <w:bCs w:val="1"/>
                <w:color w:val="auto"/>
              </w:rPr>
              <w:t>~$11</w:t>
            </w:r>
          </w:p>
        </w:tc>
        <w:tc>
          <w:tcPr>
            <w:tcW w:w="2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6080" w:type="dxa"/>
            <w:vAlign w:val="bottom"/>
            <w:tcBorders>
              <w:right w:val="single" w:sz="8" w:color="auto"/>
            </w:tcBorders>
            <w:vMerge w:val="continue"/>
          </w:tcPr>
          <w:p>
            <w:pPr>
              <w:spacing w:after="0"/>
              <w:rPr>
                <w:sz w:val="24"/>
                <w:szCs w:val="24"/>
                <w:color w:val="auto"/>
              </w:rPr>
            </w:pPr>
          </w:p>
        </w:tc>
        <w:tc>
          <w:tcPr>
            <w:tcW w:w="2560" w:type="dxa"/>
            <w:vAlign w:val="bottom"/>
            <w:tcBorders>
              <w:right w:val="single" w:sz="8" w:color="auto"/>
            </w:tcBorders>
            <w:vMerge w:val="continue"/>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0"/>
                <w:szCs w:val="20"/>
                <w:b w:val="1"/>
                <w:bCs w:val="1"/>
                <w:color w:val="auto"/>
                <w:w w:val="96"/>
              </w:rPr>
              <w:t>~11%</w:t>
            </w:r>
          </w:p>
        </w:tc>
        <w:tc>
          <w:tcPr>
            <w:tcW w:w="0" w:type="dxa"/>
            <w:vAlign w:val="bottom"/>
          </w:tcPr>
          <w:p>
            <w:pPr>
              <w:spacing w:after="0"/>
              <w:rPr>
                <w:sz w:val="1"/>
                <w:szCs w:val="1"/>
                <w:color w:val="auto"/>
              </w:rPr>
            </w:pPr>
          </w:p>
        </w:tc>
      </w:tr>
      <w:tr>
        <w:trPr>
          <w:trHeight w:val="115"/>
        </w:trPr>
        <w:tc>
          <w:tcPr>
            <w:tcW w:w="6080" w:type="dxa"/>
            <w:vAlign w:val="bottom"/>
            <w:tcBorders>
              <w:right w:val="single" w:sz="8" w:color="auto"/>
            </w:tcBorders>
          </w:tcPr>
          <w:p>
            <w:pPr>
              <w:spacing w:after="0"/>
              <w:rPr>
                <w:sz w:val="10"/>
                <w:szCs w:val="10"/>
                <w:color w:val="auto"/>
              </w:rPr>
            </w:pPr>
          </w:p>
        </w:tc>
        <w:tc>
          <w:tcPr>
            <w:tcW w:w="2560" w:type="dxa"/>
            <w:vAlign w:val="bottom"/>
            <w:tcBorders>
              <w:right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608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Intersegment Eliminations</w:t>
            </w:r>
          </w:p>
        </w:tc>
        <w:tc>
          <w:tcPr>
            <w:tcW w:w="2560" w:type="dxa"/>
            <w:vAlign w:val="bottom"/>
            <w:tcBorders>
              <w:right w:val="single" w:sz="8" w:color="auto"/>
            </w:tcBorders>
          </w:tcPr>
          <w:p>
            <w:pPr>
              <w:jc w:val="right"/>
              <w:ind w:right="884"/>
              <w:spacing w:after="0"/>
              <w:rPr>
                <w:sz w:val="20"/>
                <w:szCs w:val="20"/>
                <w:color w:val="auto"/>
              </w:rPr>
            </w:pPr>
            <w:r>
              <w:rPr>
                <w:rFonts w:ascii="Arial" w:cs="Arial" w:eastAsia="Arial" w:hAnsi="Arial"/>
                <w:sz w:val="20"/>
                <w:szCs w:val="20"/>
                <w:b w:val="1"/>
                <w:bCs w:val="1"/>
                <w:color w:val="auto"/>
              </w:rPr>
              <w:t>~($2.4)</w:t>
            </w:r>
          </w:p>
        </w:tc>
        <w:tc>
          <w:tcPr>
            <w:tcW w:w="2560" w:type="dxa"/>
            <w:vAlign w:val="bottom"/>
          </w:tcPr>
          <w:p>
            <w:pPr>
              <w:jc w:val="center"/>
              <w:spacing w:after="0"/>
              <w:rPr>
                <w:sz w:val="20"/>
                <w:szCs w:val="20"/>
                <w:color w:val="auto"/>
              </w:rPr>
            </w:pPr>
            <w:r>
              <w:rPr>
                <w:rFonts w:ascii="Arial" w:cs="Arial" w:eastAsia="Arial" w:hAnsi="Arial"/>
                <w:sz w:val="20"/>
                <w:szCs w:val="20"/>
                <w:b w:val="1"/>
                <w:bCs w:val="1"/>
                <w:color w:val="auto"/>
                <w:w w:val="99"/>
              </w:rPr>
              <w:t>High 13%</w:t>
            </w:r>
          </w:p>
        </w:tc>
        <w:tc>
          <w:tcPr>
            <w:tcW w:w="0" w:type="dxa"/>
            <w:vAlign w:val="bottom"/>
          </w:tcPr>
          <w:p>
            <w:pPr>
              <w:spacing w:after="0"/>
              <w:rPr>
                <w:sz w:val="1"/>
                <w:szCs w:val="1"/>
                <w:color w:val="auto"/>
              </w:rPr>
            </w:pPr>
          </w:p>
        </w:tc>
      </w:tr>
      <w:tr>
        <w:trPr>
          <w:trHeight w:val="122"/>
        </w:trPr>
        <w:tc>
          <w:tcPr>
            <w:tcW w:w="608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60" w:hanging="234"/>
        <w:spacing w:after="0"/>
        <w:tabs>
          <w:tab w:leader="none" w:pos="26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9" w:name="page10"/>
    <w:bookmarkEnd w:id="9"/>
    <w:tbl>
      <w:tblPr>
        <w:tblLayout w:type="fixed"/>
        <w:tblInd w:w="20" w:type="dxa"/>
        <w:tblCellMar>
          <w:top w:w="0" w:type="dxa"/>
          <w:left w:w="0" w:type="dxa"/>
          <w:bottom w:w="0" w:type="dxa"/>
          <w:right w:w="0" w:type="dxa"/>
        </w:tblCellMar>
      </w:tblPr>
      <w:tr>
        <w:trPr>
          <w:trHeight w:val="250"/>
        </w:trPr>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First Quarter 2026 Financial Results</w:t>
            </w:r>
          </w:p>
        </w:tc>
        <w:tc>
          <w:tcPr>
            <w:tcW w:w="5520" w:type="dxa"/>
            <w:vAlign w:val="bottom"/>
            <w:vMerge w:val="restart"/>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116"/>
        </w:trPr>
        <w:tc>
          <w:tcPr>
            <w:tcW w:w="5680" w:type="dxa"/>
            <w:vAlign w:val="bottom"/>
          </w:tcPr>
          <w:p>
            <w:pPr>
              <w:spacing w:after="0"/>
              <w:rPr>
                <w:sz w:val="10"/>
                <w:szCs w:val="10"/>
                <w:color w:val="auto"/>
              </w:rPr>
            </w:pPr>
          </w:p>
        </w:tc>
        <w:tc>
          <w:tcPr>
            <w:tcW w:w="5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Northrop Grumman</w:t>
      </w:r>
    </w:p>
    <w:p>
      <w:pPr>
        <w:spacing w:after="0" w:line="100" w:lineRule="exact"/>
        <w:rPr>
          <w:sz w:val="20"/>
          <w:szCs w:val="20"/>
          <w:color w:val="auto"/>
        </w:rPr>
      </w:pPr>
    </w:p>
    <w:p>
      <w:pPr>
        <w:jc w:val="both"/>
        <w:ind w:right="260" w:firstLine="324"/>
        <w:spacing w:after="0" w:line="257" w:lineRule="auto"/>
        <w:rPr>
          <w:sz w:val="20"/>
          <w:szCs w:val="20"/>
          <w:color w:val="auto"/>
        </w:rPr>
      </w:pPr>
      <w:r>
        <w:rPr>
          <w:rFonts w:ascii="Arial" w:cs="Arial" w:eastAsia="Arial" w:hAnsi="Arial"/>
          <w:sz w:val="22"/>
          <w:szCs w:val="22"/>
          <w:color w:val="auto"/>
        </w:rPr>
        <w:t xml:space="preserve">Northrop Grumman will webcast its earnings conference call at 9:30 a.m. Eastern Time on April 21, 2026. A live audio broadcast of the conference call will be available on the investor relations page of the company’s website at </w:t>
      </w:r>
      <w:r>
        <w:rPr>
          <w:rFonts w:ascii="Arial" w:cs="Arial" w:eastAsia="Arial" w:hAnsi="Arial"/>
          <w:sz w:val="22"/>
          <w:szCs w:val="22"/>
          <w:u w:val="single" w:color="auto"/>
          <w:color w:val="auto"/>
        </w:rPr>
        <w:t>www.northropgrumman.com</w:t>
      </w:r>
      <w:r>
        <w:rPr>
          <w:rFonts w:ascii="Arial" w:cs="Arial" w:eastAsia="Arial" w:hAnsi="Arial"/>
          <w:sz w:val="22"/>
          <w:szCs w:val="22"/>
          <w:color w:val="auto"/>
        </w:rPr>
        <w:t>.</w:t>
      </w:r>
    </w:p>
    <w:p>
      <w:pPr>
        <w:spacing w:after="0" w:line="51" w:lineRule="exact"/>
        <w:rPr>
          <w:sz w:val="20"/>
          <w:szCs w:val="20"/>
          <w:color w:val="auto"/>
        </w:rPr>
      </w:pPr>
    </w:p>
    <w:p>
      <w:pPr>
        <w:ind w:right="180" w:firstLine="324"/>
        <w:spacing w:after="0" w:line="257" w:lineRule="auto"/>
        <w:rPr>
          <w:sz w:val="20"/>
          <w:szCs w:val="20"/>
          <w:color w:val="auto"/>
        </w:rPr>
      </w:pPr>
      <w:r>
        <w:rPr>
          <w:rFonts w:ascii="Arial" w:cs="Arial" w:eastAsia="Arial" w:hAnsi="Arial"/>
          <w:sz w:val="22"/>
          <w:szCs w:val="22"/>
          <w:color w:val="auto"/>
        </w:rPr>
        <w:t>Northrop Grumman is a leading global aerospace and defense technology company. Our pioneering solutions equip our customers with the capabilities they need to connect and protect the world, and push the boundaries of human exploration across the universe. Driven by a shared purpose to solve our customers’ toughest problems, our employees define possible every day.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 and Projections</w:t>
      </w:r>
    </w:p>
    <w:p>
      <w:pPr>
        <w:spacing w:after="0" w:line="87"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This earnings release and the information we are incorporating by reference, and statements to be made on the earnings conference call, contain or may contain statements that constitute “forward-looking statements” within the meaning of the Private Securities Litigation Reform Act of 1995. Words such as “will,” “expect,” “anticipate,” “intend,” “may,” “could,” “should,” “plan,” “strategy,” “project,” “forecast,” “achieve,” “believe,” “estimate,” “guidance,” “outlook,” “trends,” “goals,” “confident,” “targeting,” “on track” and similar expressions generally identify these forward-looking statements.</w:t>
      </w:r>
    </w:p>
    <w:p>
      <w:pPr>
        <w:spacing w:after="0" w:line="60"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Forward-looking statements include, among other things, statements relating to our future financial condition, results of operations and/or cash flows, including financial guidance, outlook, trends, expectations and other forward-looking statements for 2026 and beyond.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the Form 10-K for the year ended December 31, 2025, and from time to time in our other filings with the Securities and Exchange Commission (SEC). They include: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Industry and Economic Risks</w:t>
      </w:r>
    </w:p>
    <w:p>
      <w:pPr>
        <w:spacing w:after="0" w:line="85"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our dependence on the U.S. government for a substantial portion of our business</w:t>
      </w:r>
    </w:p>
    <w:p>
      <w:pPr>
        <w:spacing w:after="0" w:line="98" w:lineRule="exact"/>
        <w:rPr>
          <w:rFonts w:ascii="Arial" w:cs="Arial" w:eastAsia="Arial" w:hAnsi="Arial"/>
          <w:sz w:val="22"/>
          <w:szCs w:val="22"/>
          <w:color w:val="auto"/>
        </w:rPr>
      </w:pPr>
    </w:p>
    <w:p>
      <w:pPr>
        <w:jc w:val="both"/>
        <w:ind w:left="340" w:right="600" w:hanging="332"/>
        <w:spacing w:after="0" w:line="264"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significant delays or reductions in appropriations and/or for our programs, and U.S. government funding and program support more broadly, including as a result of a prolonged continuing resolution and/or government shutdown, and/or related to the global security environment or other global events</w:t>
      </w:r>
    </w:p>
    <w:p>
      <w:pPr>
        <w:spacing w:after="0" w:line="42" w:lineRule="exact"/>
        <w:rPr>
          <w:rFonts w:ascii="Arial" w:cs="Arial" w:eastAsia="Arial" w:hAnsi="Arial"/>
          <w:sz w:val="22"/>
          <w:szCs w:val="22"/>
          <w:color w:val="auto"/>
        </w:rPr>
      </w:pPr>
    </w:p>
    <w:p>
      <w:pPr>
        <w:ind w:left="340" w:right="100" w:hanging="332"/>
        <w:spacing w:after="0" w:line="272"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significant delays or reductions in payments as a result of or related to a breach of the debt ceiling or a prolonged government shutdown</w:t>
      </w:r>
    </w:p>
    <w:p>
      <w:pPr>
        <w:spacing w:after="0" w:line="34" w:lineRule="exact"/>
        <w:rPr>
          <w:rFonts w:ascii="Arial" w:cs="Arial" w:eastAsia="Arial" w:hAnsi="Arial"/>
          <w:sz w:val="22"/>
          <w:szCs w:val="22"/>
          <w:color w:val="auto"/>
        </w:rPr>
      </w:pPr>
    </w:p>
    <w:p>
      <w:pPr>
        <w:ind w:left="340" w:right="380" w:hanging="332"/>
        <w:spacing w:after="0" w:line="253"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changes in trade policies and/or other macroeconomic factors, and risks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376" w:right="359" w:bottom="1440" w:gutter="0" w:footer="0" w:header="0"/>
        </w:sectPr>
      </w:pPr>
    </w:p>
    <w:bookmarkStart w:id="10" w:name="page11"/>
    <w:bookmarkEnd w:id="10"/>
    <w:tbl>
      <w:tblPr>
        <w:tblLayout w:type="fixed"/>
        <w:tblInd w:w="20" w:type="dxa"/>
        <w:tblCellMar>
          <w:top w:w="0" w:type="dxa"/>
          <w:left w:w="0" w:type="dxa"/>
          <w:bottom w:w="0" w:type="dxa"/>
          <w:right w:w="0" w:type="dxa"/>
        </w:tblCellMar>
      </w:tblPr>
      <w:tr>
        <w:trPr>
          <w:trHeight w:val="250"/>
        </w:trPr>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First Quarter 2026 Financial Results</w:t>
            </w:r>
          </w:p>
        </w:tc>
        <w:tc>
          <w:tcPr>
            <w:tcW w:w="5520" w:type="dxa"/>
            <w:vAlign w:val="bottom"/>
            <w:vMerge w:val="restart"/>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116"/>
        </w:trPr>
        <w:tc>
          <w:tcPr>
            <w:tcW w:w="5680" w:type="dxa"/>
            <w:vAlign w:val="bottom"/>
          </w:tcPr>
          <w:p>
            <w:pPr>
              <w:spacing w:after="0"/>
              <w:rPr>
                <w:sz w:val="10"/>
                <w:szCs w:val="10"/>
                <w:color w:val="auto"/>
              </w:rPr>
            </w:pPr>
          </w:p>
        </w:tc>
        <w:tc>
          <w:tcPr>
            <w:tcW w:w="5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40" w:right="180"/>
        <w:spacing w:after="0" w:line="285" w:lineRule="auto"/>
        <w:rPr>
          <w:sz w:val="20"/>
          <w:szCs w:val="20"/>
          <w:color w:val="auto"/>
        </w:rPr>
      </w:pPr>
      <w:r>
        <w:rPr>
          <w:rFonts w:ascii="Arial" w:cs="Arial" w:eastAsia="Arial" w:hAnsi="Arial"/>
          <w:sz w:val="22"/>
          <w:szCs w:val="22"/>
          <w:color w:val="auto"/>
        </w:rPr>
        <w:t>to management’s judgments and assumptions in estimating and/or projecting contract revenue and performance which may be inaccurate</w:t>
      </w:r>
    </w:p>
    <w:p>
      <w:pPr>
        <w:spacing w:after="0" w:line="7"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increased competition within our markets and bid protests</w:t>
      </w:r>
    </w:p>
    <w:p>
      <w:pPr>
        <w:spacing w:after="0" w:line="98" w:lineRule="exact"/>
        <w:rPr>
          <w:rFonts w:ascii="Arial" w:cs="Arial" w:eastAsia="Arial" w:hAnsi="Arial"/>
          <w:sz w:val="22"/>
          <w:szCs w:val="22"/>
          <w:color w:val="auto"/>
        </w:rPr>
      </w:pPr>
    </w:p>
    <w:p>
      <w:pPr>
        <w:ind w:left="340" w:right="140" w:hanging="332"/>
        <w:spacing w:after="0" w:line="272" w:lineRule="auto"/>
        <w:tabs>
          <w:tab w:leader="none" w:pos="335" w:val="left"/>
        </w:tabs>
        <w:numPr>
          <w:ilvl w:val="0"/>
          <w:numId w:val="10"/>
        </w:numPr>
        <w:rPr>
          <w:rFonts w:ascii="Arial" w:cs="Arial" w:eastAsia="Arial" w:hAnsi="Arial"/>
          <w:sz w:val="22"/>
          <w:szCs w:val="22"/>
          <w:color w:val="auto"/>
        </w:rPr>
      </w:pPr>
      <w:r>
        <w:rPr>
          <w:rFonts w:ascii="Arial" w:cs="Arial" w:eastAsia="Arial" w:hAnsi="Arial"/>
          <w:sz w:val="22"/>
          <w:szCs w:val="22"/>
          <w:color w:val="auto"/>
        </w:rPr>
        <w:t>continued pressures from macroeconomic trends, including on costs, schedules, performance and ability to meet expectations</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Legal and Regulatory Risks</w:t>
      </w:r>
    </w:p>
    <w:p>
      <w:pPr>
        <w:spacing w:after="0" w:line="98" w:lineRule="exact"/>
        <w:rPr>
          <w:sz w:val="20"/>
          <w:szCs w:val="20"/>
          <w:color w:val="auto"/>
        </w:rPr>
      </w:pPr>
    </w:p>
    <w:p>
      <w:pPr>
        <w:ind w:left="340" w:right="120" w:hanging="332"/>
        <w:spacing w:after="0" w:line="272" w:lineRule="auto"/>
        <w:tabs>
          <w:tab w:leader="none" w:pos="335"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investigations, claims, disputes, enforcement actions, litigation (including criminal, civil and administrative) and/or other legal proceedings</w:t>
      </w:r>
    </w:p>
    <w:p>
      <w:pPr>
        <w:spacing w:after="0" w:line="34" w:lineRule="exact"/>
        <w:rPr>
          <w:rFonts w:ascii="Arial" w:cs="Arial" w:eastAsia="Arial" w:hAnsi="Arial"/>
          <w:sz w:val="22"/>
          <w:szCs w:val="22"/>
          <w:color w:val="auto"/>
        </w:rPr>
      </w:pPr>
    </w:p>
    <w:p>
      <w:pPr>
        <w:ind w:left="340" w:right="300" w:hanging="332"/>
        <w:spacing w:after="0" w:line="273" w:lineRule="auto"/>
        <w:tabs>
          <w:tab w:leader="none" w:pos="335" w:val="left"/>
        </w:tabs>
        <w:numPr>
          <w:ilvl w:val="0"/>
          <w:numId w:val="11"/>
        </w:numPr>
        <w:rPr>
          <w:rFonts w:ascii="Arial" w:cs="Arial" w:eastAsia="Arial" w:hAnsi="Arial"/>
          <w:sz w:val="21"/>
          <w:szCs w:val="21"/>
          <w:color w:val="auto"/>
        </w:rPr>
      </w:pPr>
      <w:r>
        <w:rPr>
          <w:rFonts w:ascii="Arial" w:cs="Arial" w:eastAsia="Arial" w:hAnsi="Arial"/>
          <w:sz w:val="21"/>
          <w:szCs w:val="21"/>
          <w:color w:val="auto"/>
        </w:rPr>
        <w:t>changes in procurement and other laws, SEC, U.S. Department of War (DoW) and other rules and regulations, including changes through executive orders, contract terms and practices applicable to our industry, findings by the U.S. government as to our compliance with such requirements, more aggressive enforcement of such requirements and changes in our customers’ business practices and preferences globally</w:t>
      </w:r>
    </w:p>
    <w:p>
      <w:pPr>
        <w:spacing w:after="0" w:line="35" w:lineRule="exact"/>
        <w:rPr>
          <w:rFonts w:ascii="Arial" w:cs="Arial" w:eastAsia="Arial" w:hAnsi="Arial"/>
          <w:sz w:val="21"/>
          <w:szCs w:val="21"/>
          <w:color w:val="auto"/>
        </w:rPr>
      </w:pPr>
    </w:p>
    <w:p>
      <w:pPr>
        <w:ind w:left="340" w:right="580" w:hanging="332"/>
        <w:spacing w:after="0" w:line="272" w:lineRule="auto"/>
        <w:tabs>
          <w:tab w:leader="none" w:pos="335"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improper conduct of employees, agents, subcontractors, suppliers, business partners or joint ventures in which we participate, including the impact on our reputation and our ability to do business</w:t>
      </w:r>
    </w:p>
    <w:p>
      <w:pPr>
        <w:spacing w:after="0" w:line="34" w:lineRule="exact"/>
        <w:rPr>
          <w:rFonts w:ascii="Arial" w:cs="Arial" w:eastAsia="Arial" w:hAnsi="Arial"/>
          <w:sz w:val="22"/>
          <w:szCs w:val="22"/>
          <w:color w:val="auto"/>
        </w:rPr>
      </w:pPr>
    </w:p>
    <w:p>
      <w:pPr>
        <w:ind w:left="320" w:hanging="312"/>
        <w:spacing w:after="0"/>
        <w:tabs>
          <w:tab w:leader="none" w:pos="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environmental matters, unforeseen environmental costs and government and third-party claims</w:t>
      </w:r>
    </w:p>
    <w:p>
      <w:pPr>
        <w:spacing w:after="0" w:line="84" w:lineRule="exact"/>
        <w:rPr>
          <w:rFonts w:ascii="Arial" w:cs="Arial" w:eastAsia="Arial" w:hAnsi="Arial"/>
          <w:sz w:val="22"/>
          <w:szCs w:val="22"/>
          <w:color w:val="auto"/>
        </w:rPr>
      </w:pPr>
    </w:p>
    <w:p>
      <w:pPr>
        <w:ind w:left="320" w:hanging="312"/>
        <w:spacing w:after="0"/>
        <w:tabs>
          <w:tab w:leader="none" w:pos="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unanticipated changes in our tax provisions or exposure to additional tax liabilities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Business and Operational Risks</w:t>
      </w:r>
    </w:p>
    <w:p>
      <w:pPr>
        <w:spacing w:after="0" w:line="98" w:lineRule="exact"/>
        <w:rPr>
          <w:sz w:val="20"/>
          <w:szCs w:val="20"/>
          <w:color w:val="auto"/>
        </w:rPr>
      </w:pPr>
    </w:p>
    <w:p>
      <w:pPr>
        <w:ind w:left="340" w:hanging="332"/>
        <w:spacing w:after="0" w:line="272" w:lineRule="auto"/>
        <w:tabs>
          <w:tab w:leader="none" w:pos="335" w:val="left"/>
        </w:tabs>
        <w:numPr>
          <w:ilvl w:val="0"/>
          <w:numId w:val="12"/>
        </w:numPr>
        <w:rPr>
          <w:rFonts w:ascii="Arial" w:cs="Arial" w:eastAsia="Arial" w:hAnsi="Arial"/>
          <w:sz w:val="22"/>
          <w:szCs w:val="22"/>
          <w:color w:val="auto"/>
        </w:rPr>
      </w:pPr>
      <w:r>
        <w:rPr>
          <w:rFonts w:ascii="Arial" w:cs="Arial" w:eastAsia="Arial" w:hAnsi="Arial"/>
          <w:sz w:val="22"/>
          <w:szCs w:val="22"/>
          <w:color w:val="auto"/>
        </w:rPr>
        <w:t>cyber and other security threats or disruptions faced by us, our customers or our suppliers and other partners, and changes in related regulations</w:t>
      </w:r>
    </w:p>
    <w:p>
      <w:pPr>
        <w:spacing w:after="0" w:line="34" w:lineRule="exact"/>
        <w:rPr>
          <w:rFonts w:ascii="Arial" w:cs="Arial" w:eastAsia="Arial" w:hAnsi="Arial"/>
          <w:sz w:val="22"/>
          <w:szCs w:val="22"/>
          <w:color w:val="auto"/>
        </w:rPr>
      </w:pPr>
    </w:p>
    <w:p>
      <w:pPr>
        <w:ind w:left="340" w:right="100" w:hanging="332"/>
        <w:spacing w:after="0" w:line="257" w:lineRule="auto"/>
        <w:tabs>
          <w:tab w:leader="none" w:pos="335"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performance and viability of our subcontractors and suppliers and the availability and pricing of raw materials, critical minerals and metals, chemicals, parts and components, particularly with inflationary pressures, increased costs, pricing changes, shortages in labor and financial resources, supply chain disruptions, and extended material lead times</w:t>
      </w:r>
    </w:p>
    <w:p>
      <w:pPr>
        <w:spacing w:after="0" w:line="50" w:lineRule="exact"/>
        <w:rPr>
          <w:rFonts w:ascii="Arial" w:cs="Arial" w:eastAsia="Arial" w:hAnsi="Arial"/>
          <w:sz w:val="22"/>
          <w:szCs w:val="22"/>
          <w:color w:val="auto"/>
        </w:rPr>
      </w:pPr>
    </w:p>
    <w:p>
      <w:pPr>
        <w:ind w:left="340" w:right="220" w:hanging="332"/>
        <w:spacing w:after="0" w:line="272" w:lineRule="auto"/>
        <w:tabs>
          <w:tab w:leader="none" w:pos="335" w:val="left"/>
        </w:tabs>
        <w:numPr>
          <w:ilvl w:val="0"/>
          <w:numId w:val="12"/>
        </w:numPr>
        <w:rPr>
          <w:rFonts w:ascii="Arial" w:cs="Arial" w:eastAsia="Arial" w:hAnsi="Arial"/>
          <w:sz w:val="22"/>
          <w:szCs w:val="22"/>
          <w:color w:val="auto"/>
        </w:rPr>
      </w:pPr>
      <w:r>
        <w:rPr>
          <w:rFonts w:ascii="Arial" w:cs="Arial" w:eastAsia="Arial" w:hAnsi="Arial"/>
          <w:sz w:val="22"/>
          <w:szCs w:val="22"/>
          <w:color w:val="auto"/>
        </w:rPr>
        <w:t>our ability to attract and retain a qualified and talented workforce with the necessary security clearances to meet our performance obligations</w:t>
      </w:r>
    </w:p>
    <w:p>
      <w:pPr>
        <w:spacing w:after="0" w:line="34" w:lineRule="exact"/>
        <w:rPr>
          <w:rFonts w:ascii="Arial" w:cs="Arial" w:eastAsia="Arial" w:hAnsi="Arial"/>
          <w:sz w:val="22"/>
          <w:szCs w:val="22"/>
          <w:color w:val="auto"/>
        </w:rPr>
      </w:pPr>
    </w:p>
    <w:p>
      <w:pPr>
        <w:ind w:left="340" w:right="200" w:hanging="332"/>
        <w:spacing w:after="0" w:line="296" w:lineRule="auto"/>
        <w:tabs>
          <w:tab w:leader="none" w:pos="335" w:val="left"/>
        </w:tabs>
        <w:numPr>
          <w:ilvl w:val="0"/>
          <w:numId w:val="12"/>
        </w:numPr>
        <w:rPr>
          <w:rFonts w:ascii="Arial" w:cs="Arial" w:eastAsia="Arial" w:hAnsi="Arial"/>
          <w:sz w:val="21"/>
          <w:szCs w:val="21"/>
          <w:color w:val="auto"/>
        </w:rPr>
      </w:pPr>
      <w:r>
        <w:rPr>
          <w:rFonts w:ascii="Arial" w:cs="Arial" w:eastAsia="Arial" w:hAnsi="Arial"/>
          <w:sz w:val="21"/>
          <w:szCs w:val="21"/>
          <w:color w:val="auto"/>
        </w:rPr>
        <w:t>our exposure to additional risks as a result of our international business, including risks related to global security and strategic alliances, geopolitical and economic factors, misconduct, suppliers, laws and regulations</w:t>
      </w:r>
    </w:p>
    <w:p>
      <w:pPr>
        <w:spacing w:after="0" w:line="11" w:lineRule="exact"/>
        <w:rPr>
          <w:rFonts w:ascii="Arial" w:cs="Arial" w:eastAsia="Arial" w:hAnsi="Arial"/>
          <w:sz w:val="21"/>
          <w:szCs w:val="21"/>
          <w:color w:val="auto"/>
        </w:rPr>
      </w:pPr>
    </w:p>
    <w:p>
      <w:pPr>
        <w:ind w:left="340" w:right="300" w:hanging="332"/>
        <w:spacing w:after="0" w:line="272" w:lineRule="auto"/>
        <w:tabs>
          <w:tab w:leader="none" w:pos="335" w:val="left"/>
        </w:tabs>
        <w:numPr>
          <w:ilvl w:val="0"/>
          <w:numId w:val="12"/>
        </w:numPr>
        <w:rPr>
          <w:rFonts w:ascii="Arial" w:cs="Arial" w:eastAsia="Arial" w:hAnsi="Arial"/>
          <w:sz w:val="22"/>
          <w:szCs w:val="22"/>
          <w:color w:val="auto"/>
        </w:rPr>
      </w:pPr>
      <w:r>
        <w:rPr>
          <w:rFonts w:ascii="Arial" w:cs="Arial" w:eastAsia="Arial" w:hAnsi="Arial"/>
          <w:sz w:val="22"/>
          <w:szCs w:val="22"/>
          <w:color w:val="auto"/>
        </w:rPr>
        <w:t>our ability to innovate, develop new products and technologies, progress and benefit from digital transformation and maintain technologies to meet the needs of our customers</w:t>
      </w:r>
    </w:p>
    <w:p>
      <w:pPr>
        <w:spacing w:after="0" w:line="34" w:lineRule="exact"/>
        <w:rPr>
          <w:rFonts w:ascii="Arial" w:cs="Arial" w:eastAsia="Arial" w:hAnsi="Arial"/>
          <w:sz w:val="22"/>
          <w:szCs w:val="22"/>
          <w:color w:val="auto"/>
        </w:rPr>
      </w:pPr>
    </w:p>
    <w:p>
      <w:pPr>
        <w:ind w:left="320" w:hanging="312"/>
        <w:spacing w:after="0"/>
        <w:tabs>
          <w:tab w:leader="none" w:pos="3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natural disasters, epidemics, pandemics and similar outbreaks and other significant disruptions</w:t>
      </w:r>
    </w:p>
    <w:p>
      <w:pPr>
        <w:spacing w:after="0" w:line="84" w:lineRule="exact"/>
        <w:rPr>
          <w:rFonts w:ascii="Arial" w:cs="Arial" w:eastAsia="Arial" w:hAnsi="Arial"/>
          <w:sz w:val="22"/>
          <w:szCs w:val="22"/>
          <w:color w:val="auto"/>
        </w:rPr>
      </w:pPr>
    </w:p>
    <w:p>
      <w:pPr>
        <w:ind w:left="340" w:right="80" w:hanging="332"/>
        <w:spacing w:after="0" w:line="301" w:lineRule="auto"/>
        <w:tabs>
          <w:tab w:leader="none" w:pos="335" w:val="left"/>
        </w:tabs>
        <w:numPr>
          <w:ilvl w:val="0"/>
          <w:numId w:val="12"/>
        </w:numPr>
        <w:rPr>
          <w:rFonts w:ascii="Arial" w:cs="Arial" w:eastAsia="Arial" w:hAnsi="Arial"/>
          <w:sz w:val="21"/>
          <w:szCs w:val="21"/>
          <w:color w:val="auto"/>
        </w:rPr>
      </w:pPr>
      <w:r>
        <w:rPr>
          <w:rFonts w:ascii="Arial" w:cs="Arial" w:eastAsia="Arial" w:hAnsi="Arial"/>
          <w:sz w:val="21"/>
          <w:szCs w:val="21"/>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1" w:lineRule="exact"/>
        <w:rPr>
          <w:rFonts w:ascii="Arial" w:cs="Arial" w:eastAsia="Arial" w:hAnsi="Arial"/>
          <w:sz w:val="21"/>
          <w:szCs w:val="21"/>
          <w:color w:val="auto"/>
        </w:rPr>
      </w:pPr>
    </w:p>
    <w:p>
      <w:pPr>
        <w:ind w:left="320" w:hanging="312"/>
        <w:spacing w:after="0"/>
        <w:tabs>
          <w:tab w:leader="none" w:pos="3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our ability appropriately to protect and exploit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376" w:right="359" w:bottom="1440" w:gutter="0" w:footer="0" w:header="0"/>
        </w:sectPr>
      </w:pPr>
    </w:p>
    <w:bookmarkStart w:id="11" w:name="page12"/>
    <w:bookmarkEnd w:id="11"/>
    <w:tbl>
      <w:tblPr>
        <w:tblLayout w:type="fixed"/>
        <w:tblInd w:w="20" w:type="dxa"/>
        <w:tblCellMar>
          <w:top w:w="0" w:type="dxa"/>
          <w:left w:w="0" w:type="dxa"/>
          <w:bottom w:w="0" w:type="dxa"/>
          <w:right w:w="0" w:type="dxa"/>
        </w:tblCellMar>
      </w:tblPr>
      <w:tr>
        <w:trPr>
          <w:trHeight w:val="250"/>
        </w:trPr>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First Quarter 2026 Financial Results</w:t>
            </w:r>
          </w:p>
        </w:tc>
        <w:tc>
          <w:tcPr>
            <w:tcW w:w="5520" w:type="dxa"/>
            <w:vAlign w:val="bottom"/>
            <w:vMerge w:val="restart"/>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116"/>
        </w:trPr>
        <w:tc>
          <w:tcPr>
            <w:tcW w:w="5680" w:type="dxa"/>
            <w:vAlign w:val="bottom"/>
          </w:tcPr>
          <w:p>
            <w:pPr>
              <w:spacing w:after="0"/>
              <w:rPr>
                <w:sz w:val="10"/>
                <w:szCs w:val="10"/>
                <w:color w:val="auto"/>
              </w:rPr>
            </w:pPr>
          </w:p>
        </w:tc>
        <w:tc>
          <w:tcPr>
            <w:tcW w:w="5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General and Other Risk Factors</w:t>
      </w:r>
    </w:p>
    <w:p>
      <w:pPr>
        <w:spacing w:after="0" w:line="98" w:lineRule="exact"/>
        <w:rPr>
          <w:sz w:val="20"/>
          <w:szCs w:val="20"/>
          <w:color w:val="auto"/>
        </w:rPr>
      </w:pPr>
    </w:p>
    <w:p>
      <w:pPr>
        <w:ind w:left="340" w:right="480" w:hanging="332"/>
        <w:spacing w:after="0" w:line="272" w:lineRule="auto"/>
        <w:tabs>
          <w:tab w:leader="none" w:pos="335"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adequacy and availability of, and ability to obtain, insurance coverage, customer indemnifications or other liability protections</w:t>
      </w:r>
    </w:p>
    <w:p>
      <w:pPr>
        <w:spacing w:after="0" w:line="34" w:lineRule="exact"/>
        <w:rPr>
          <w:rFonts w:ascii="Arial" w:cs="Arial" w:eastAsia="Arial" w:hAnsi="Arial"/>
          <w:sz w:val="22"/>
          <w:szCs w:val="22"/>
          <w:color w:val="auto"/>
        </w:rPr>
      </w:pPr>
    </w:p>
    <w:p>
      <w:pPr>
        <w:ind w:left="340" w:right="80" w:hanging="332"/>
        <w:spacing w:after="0" w:line="257" w:lineRule="auto"/>
        <w:tabs>
          <w:tab w:leader="none" w:pos="335" w:val="left"/>
        </w:tabs>
        <w:numPr>
          <w:ilvl w:val="0"/>
          <w:numId w:val="13"/>
        </w:numPr>
        <w:rPr>
          <w:rFonts w:ascii="Arial" w:cs="Arial" w:eastAsia="Arial" w:hAnsi="Arial"/>
          <w:sz w:val="22"/>
          <w:szCs w:val="22"/>
          <w:i w:val="1"/>
          <w:iCs w:val="1"/>
          <w:color w:val="auto"/>
        </w:rPr>
      </w:pPr>
      <w:r>
        <w:rPr>
          <w:rFonts w:ascii="Arial" w:cs="Arial" w:eastAsia="Arial" w:hAnsi="Arial"/>
          <w:sz w:val="22"/>
          <w:szCs w:val="22"/>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50" w:lineRule="exact"/>
        <w:rPr>
          <w:rFonts w:ascii="Arial" w:cs="Arial" w:eastAsia="Arial" w:hAnsi="Arial"/>
          <w:sz w:val="22"/>
          <w:szCs w:val="22"/>
          <w:i w:val="1"/>
          <w:iCs w:val="1"/>
          <w:color w:val="auto"/>
        </w:rPr>
      </w:pPr>
    </w:p>
    <w:p>
      <w:pPr>
        <w:ind w:left="340" w:right="240" w:hanging="332"/>
        <w:spacing w:after="0" w:line="272" w:lineRule="auto"/>
        <w:tabs>
          <w:tab w:leader="none" w:pos="335" w:val="left"/>
        </w:tabs>
        <w:numPr>
          <w:ilvl w:val="0"/>
          <w:numId w:val="13"/>
        </w:numPr>
        <w:rPr>
          <w:rFonts w:ascii="Arial" w:cs="Arial" w:eastAsia="Arial" w:hAnsi="Arial"/>
          <w:sz w:val="22"/>
          <w:szCs w:val="22"/>
          <w:color w:val="auto"/>
        </w:rPr>
      </w:pPr>
      <w:r>
        <w:rPr>
          <w:rFonts w:ascii="Arial" w:cs="Arial" w:eastAsia="Arial" w:hAnsi="Arial"/>
          <w:sz w:val="22"/>
          <w:szCs w:val="22"/>
          <w:color w:val="auto"/>
        </w:rPr>
        <w:t>changes in business conditions that could impact business investments and/or recorded goodwill or the value of other long-lived assets, and other potential future liabilities</w:t>
      </w:r>
    </w:p>
    <w:p>
      <w:pPr>
        <w:spacing w:after="0" w:line="34"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You are urged to consider the limitations on, and risks associated with, forward-looking statements and not unduly rely on the accuracy of forward-looking statements. These forward-looking statements speak only as of the date this earnings release is first issued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40" w:lineRule="exact"/>
        <w:rPr>
          <w:sz w:val="20"/>
          <w:szCs w:val="20"/>
          <w:color w:val="auto"/>
        </w:rPr>
      </w:pPr>
    </w:p>
    <w:p>
      <w:pPr>
        <w:jc w:val="both"/>
        <w:ind w:right="220"/>
        <w:spacing w:after="0" w:line="296" w:lineRule="auto"/>
        <w:rPr>
          <w:sz w:val="20"/>
          <w:szCs w:val="20"/>
          <w:color w:val="auto"/>
        </w:rPr>
      </w:pPr>
      <w:r>
        <w:rPr>
          <w:rFonts w:ascii="Arial" w:cs="Arial" w:eastAsia="Arial" w:hAnsi="Arial"/>
          <w:sz w:val="21"/>
          <w:szCs w:val="21"/>
          <w:color w:val="auto"/>
        </w:rPr>
        <w:t>This release and the attachments also contain non-GAAP financial measures. A reconciliation to the nearest GAAP measure and a discussion of the company’s use of these measures are included in this release or the attachments.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504190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376"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First Quarter 2026 Financial Results</w:t>
            </w:r>
          </w:p>
        </w:tc>
        <w:tc>
          <w:tcPr>
            <w:tcW w:w="3000" w:type="dxa"/>
            <w:vAlign w:val="bottom"/>
            <w:vMerge w:val="restart"/>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30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8680" w:type="dxa"/>
            <w:vAlign w:val="bottom"/>
            <w:gridSpan w:val="2"/>
            <w:vMerge w:val="restart"/>
          </w:tcPr>
          <w:p>
            <w:pPr>
              <w:jc w:val="center"/>
              <w:ind w:left="2450"/>
              <w:spacing w:after="0"/>
              <w:rPr>
                <w:sz w:val="20"/>
                <w:szCs w:val="20"/>
                <w:color w:val="auto"/>
              </w:rPr>
            </w:pPr>
            <w:r>
              <w:rPr>
                <w:rFonts w:ascii="Arial" w:cs="Arial" w:eastAsia="Arial" w:hAnsi="Arial"/>
                <w:sz w:val="18"/>
                <w:szCs w:val="18"/>
                <w:b w:val="1"/>
                <w:bCs w:val="1"/>
                <w:color w:val="auto"/>
                <w:w w:val="99"/>
              </w:rPr>
              <w:t>NORTHROP GRUMMAN CORPORATION</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4"/>
          </w:tcPr>
          <w:p>
            <w:pPr>
              <w:jc w:val="center"/>
              <w:ind w:left="1170"/>
              <w:spacing w:after="0"/>
              <w:rPr>
                <w:sz w:val="20"/>
                <w:szCs w:val="20"/>
                <w:color w:val="auto"/>
              </w:rPr>
            </w:pPr>
            <w:r>
              <w:rPr>
                <w:rFonts w:ascii="Arial" w:cs="Arial" w:eastAsia="Arial" w:hAnsi="Arial"/>
                <w:sz w:val="18"/>
                <w:szCs w:val="18"/>
                <w:b w:val="1"/>
                <w:bCs w:val="1"/>
                <w:color w:val="auto"/>
                <w:w w:val="99"/>
              </w:rPr>
              <w:t>CONDENSED CONSOLIDATED STATEMENTS OF EARNINGS AND COMPREHENSIVE INCOME</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680" w:type="dxa"/>
            <w:vAlign w:val="bottom"/>
            <w:gridSpan w:val="2"/>
          </w:tcPr>
          <w:p>
            <w:pPr>
              <w:jc w:val="center"/>
              <w:ind w:left="2430"/>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5"/>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5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9"/>
              </w:rPr>
              <w:t>Three Months Ended March 31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in millions, except per share amounts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9"/>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gridSpan w:val="2"/>
          </w:tcPr>
          <w:p>
            <w:pPr>
              <w:ind w:left="200"/>
              <w:spacing w:after="0"/>
              <w:rPr>
                <w:sz w:val="20"/>
                <w:szCs w:val="20"/>
                <w:color w:val="auto"/>
              </w:rPr>
            </w:pPr>
            <w:r>
              <w:rPr>
                <w:rFonts w:ascii="Arial" w:cs="Arial" w:eastAsia="Arial" w:hAnsi="Arial"/>
                <w:sz w:val="18"/>
                <w:szCs w:val="18"/>
                <w:color w:val="auto"/>
              </w:rPr>
              <w:t>Product</w:t>
            </w: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7,958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7,521</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868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1,923</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sales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9,881</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gridSpan w:val="2"/>
          </w:tcPr>
          <w:p>
            <w:pPr>
              <w:ind w:left="20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6,433</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1,488</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86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971</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8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8,892</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989</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(162)</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Non-operating FAS pension benefit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166</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86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Federal and foreign income tax expense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155</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8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142.1</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Weighted-average diluted shares outstanding, in millions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142.5</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Net earnings (from above)</w:t>
            </w: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875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gridSpan w:val="2"/>
          </w:tcPr>
          <w:p>
            <w:pPr>
              <w:ind w:left="200"/>
              <w:spacing w:after="0"/>
              <w:rPr>
                <w:sz w:val="20"/>
                <w:szCs w:val="20"/>
                <w:color w:val="auto"/>
              </w:rPr>
            </w:pPr>
            <w:r>
              <w:rPr>
                <w:rFonts w:ascii="Arial" w:cs="Arial" w:eastAsia="Arial" w:hAnsi="Arial"/>
                <w:sz w:val="18"/>
                <w:szCs w:val="18"/>
                <w:color w:val="auto"/>
              </w:rPr>
              <w:t>Change in cumulative translation adjustment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868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Change in other, net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8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First Quarter 2026 Financial Results</w:t>
            </w:r>
          </w:p>
        </w:tc>
        <w:tc>
          <w:tcPr>
            <w:tcW w:w="2080" w:type="dxa"/>
            <w:vAlign w:val="bottom"/>
            <w:vMerge w:val="restart"/>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7760" w:type="dxa"/>
            <w:vAlign w:val="bottom"/>
            <w:gridSpan w:val="2"/>
            <w:vMerge w:val="restart"/>
          </w:tcPr>
          <w:p>
            <w:pPr>
              <w:jc w:val="center"/>
              <w:ind w:left="3370"/>
              <w:spacing w:after="0"/>
              <w:rPr>
                <w:sz w:val="20"/>
                <w:szCs w:val="20"/>
                <w:color w:val="auto"/>
              </w:rPr>
            </w:pPr>
            <w:r>
              <w:rPr>
                <w:rFonts w:ascii="Arial" w:cs="Arial" w:eastAsia="Arial" w:hAnsi="Arial"/>
                <w:sz w:val="18"/>
                <w:szCs w:val="18"/>
                <w:b w:val="1"/>
                <w:bCs w:val="1"/>
                <w:color w:val="auto"/>
                <w:w w:val="99"/>
              </w:rPr>
              <w:t>NORTHROP GRUMMAN CORPORATION</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SCHEDULE 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4"/>
          </w:tcPr>
          <w:p>
            <w:pPr>
              <w:jc w:val="center"/>
              <w:ind w:left="1630"/>
              <w:spacing w:after="0"/>
              <w:rPr>
                <w:sz w:val="20"/>
                <w:szCs w:val="20"/>
                <w:color w:val="auto"/>
              </w:rPr>
            </w:pPr>
            <w:r>
              <w:rPr>
                <w:rFonts w:ascii="Arial" w:cs="Arial" w:eastAsia="Arial" w:hAnsi="Arial"/>
                <w:sz w:val="18"/>
                <w:szCs w:val="18"/>
                <w:b w:val="1"/>
                <w:bCs w:val="1"/>
                <w:color w:val="auto"/>
                <w:w w:val="99"/>
              </w:rPr>
              <w:t>CONDENSED CONSOLIDATED STATEMENTS OF FINANCIAL POSITION</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760" w:type="dxa"/>
            <w:vAlign w:val="bottom"/>
            <w:gridSpan w:val="2"/>
          </w:tcPr>
          <w:p>
            <w:pPr>
              <w:jc w:val="center"/>
              <w:ind w:left="3350"/>
              <w:spacing w:after="0"/>
              <w:rPr>
                <w:sz w:val="20"/>
                <w:szCs w:val="20"/>
                <w:color w:val="auto"/>
              </w:rPr>
            </w:pPr>
            <w:r>
              <w:rPr>
                <w:rFonts w:ascii="Arial" w:cs="Arial" w:eastAsia="Arial" w:hAnsi="Arial"/>
                <w:sz w:val="18"/>
                <w:szCs w:val="18"/>
                <w:b w:val="1"/>
                <w:bCs w:val="1"/>
                <w:color w:val="auto"/>
                <w:w w:val="99"/>
              </w:rPr>
              <w:t>(Unaudited)</w:t>
            </w: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2"/>
        </w:trPr>
        <w:tc>
          <w:tcPr>
            <w:tcW w:w="2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in millions, except par value</w:t>
            </w: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March 31, 2026</w:t>
            </w: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December 31, 2025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2,090</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1,806</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Unbilled receivables, net</w:t>
            </w:r>
          </w:p>
        </w:tc>
        <w:tc>
          <w:tcPr>
            <w:tcW w:w="18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7,556</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Inventoried costs, net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1,450</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1,868</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77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14,770</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60" w:type="dxa"/>
            <w:vAlign w:val="bottom"/>
            <w:gridSpan w:val="2"/>
          </w:tcPr>
          <w:p>
            <w:pPr>
              <w:ind w:left="120"/>
              <w:spacing w:after="0" w:line="169" w:lineRule="exact"/>
              <w:rPr>
                <w:sz w:val="20"/>
                <w:szCs w:val="20"/>
                <w:color w:val="auto"/>
              </w:rPr>
            </w:pPr>
            <w:r>
              <w:rPr>
                <w:rFonts w:ascii="Arial" w:cs="Arial" w:eastAsia="Arial" w:hAnsi="Arial"/>
                <w:sz w:val="18"/>
                <w:szCs w:val="18"/>
                <w:color w:val="auto"/>
              </w:rPr>
              <w:t>Property, plant and equipment, net of accumulated depreciation of $9,854 for 2026 and $9,648</w:t>
            </w:r>
          </w:p>
        </w:tc>
        <w:tc>
          <w:tcPr>
            <w:tcW w:w="180" w:type="dxa"/>
            <w:vAlign w:val="bottom"/>
          </w:tcPr>
          <w:p>
            <w:pPr>
              <w:spacing w:after="0"/>
              <w:rPr>
                <w:sz w:val="14"/>
                <w:szCs w:val="14"/>
                <w:color w:val="auto"/>
              </w:rPr>
            </w:pPr>
          </w:p>
        </w:tc>
        <w:tc>
          <w:tcPr>
            <w:tcW w:w="15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10,243</w:t>
            </w:r>
          </w:p>
        </w:tc>
        <w:tc>
          <w:tcPr>
            <w:tcW w:w="3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10,972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for 2025</w:t>
            </w:r>
          </w:p>
        </w:tc>
        <w:tc>
          <w:tcPr>
            <w:tcW w:w="18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1,925</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17,439</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17,437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743</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Pension and other postretirement benefit plan assets</w:t>
            </w:r>
          </w:p>
        </w:tc>
        <w:tc>
          <w:tcPr>
            <w:tcW w:w="18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3,307</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77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1,580</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50,007</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6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2,681</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Accrued employee compensation</w:t>
            </w:r>
          </w:p>
        </w:tc>
        <w:tc>
          <w:tcPr>
            <w:tcW w:w="18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1,732</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Advance payments and billings in excess of costs incurred</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3,697</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4,711</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77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12,821</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Long-term debt, net of current portion of $758 for 2026 and $534 for 2025</w:t>
            </w:r>
          </w:p>
        </w:tc>
        <w:tc>
          <w:tcPr>
            <w:tcW w:w="18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14,411</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15,162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Pension and other postretirement benefit plan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1,095</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1,905</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77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2,660</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32,892</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34,703</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6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Preferred stock, $1 par value; 10,000,000 shares authorized; no shares issued and outstanding</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6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Common stock, $1 par value; 800,000,000 shares authorized; issued and outstanding: 2026—</w:t>
            </w:r>
          </w:p>
        </w:tc>
        <w:tc>
          <w:tcPr>
            <w:tcW w:w="180" w:type="dxa"/>
            <w:vAlign w:val="bottom"/>
          </w:tcPr>
          <w:p>
            <w:pPr>
              <w:spacing w:after="0"/>
              <w:rPr>
                <w:sz w:val="15"/>
                <w:szCs w:val="15"/>
                <w:color w:val="auto"/>
              </w:rPr>
            </w:pPr>
          </w:p>
        </w:tc>
        <w:tc>
          <w:tcPr>
            <w:tcW w:w="15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142</w:t>
            </w:r>
          </w:p>
        </w:tc>
        <w:tc>
          <w:tcPr>
            <w:tcW w:w="3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142,033,476 and 2025—141,997,194</w:t>
            </w:r>
          </w:p>
        </w:tc>
        <w:tc>
          <w:tcPr>
            <w:tcW w:w="18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Paid-in capital</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17,096</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77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17,115</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16,674</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7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50,007</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First Quarter 2026 Financial Results</w:t>
            </w:r>
          </w:p>
        </w:tc>
        <w:tc>
          <w:tcPr>
            <w:tcW w:w="3000" w:type="dxa"/>
            <w:vAlign w:val="bottom"/>
            <w:vMerge w:val="restart"/>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30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8680" w:type="dxa"/>
            <w:vAlign w:val="bottom"/>
            <w:gridSpan w:val="2"/>
            <w:vMerge w:val="restart"/>
          </w:tcPr>
          <w:p>
            <w:pPr>
              <w:jc w:val="center"/>
              <w:ind w:left="2450"/>
              <w:spacing w:after="0"/>
              <w:rPr>
                <w:sz w:val="20"/>
                <w:szCs w:val="20"/>
                <w:color w:val="auto"/>
              </w:rPr>
            </w:pPr>
            <w:r>
              <w:rPr>
                <w:rFonts w:ascii="Arial" w:cs="Arial" w:eastAsia="Arial" w:hAnsi="Arial"/>
                <w:sz w:val="18"/>
                <w:szCs w:val="18"/>
                <w:b w:val="1"/>
                <w:bCs w:val="1"/>
                <w:color w:val="auto"/>
                <w:w w:val="99"/>
              </w:rPr>
              <w:t>NORTHROP GRUMMAN CORPORATION</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680" w:type="dxa"/>
            <w:vAlign w:val="bottom"/>
            <w:gridSpan w:val="2"/>
          </w:tcPr>
          <w:p>
            <w:pPr>
              <w:jc w:val="center"/>
              <w:ind w:left="2430"/>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5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9"/>
              </w:rPr>
              <w:t>Three Months Ended March 31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9"/>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875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372</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gridSpan w:val="2"/>
          </w:tcPr>
          <w:p>
            <w:pPr>
              <w:ind w:left="1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308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B-21 loss provision</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gridSpan w:val="2"/>
          </w:tcPr>
          <w:p>
            <w:pPr>
              <w:ind w:left="120"/>
              <w:spacing w:after="0"/>
              <w:rPr>
                <w:sz w:val="20"/>
                <w:szCs w:val="20"/>
                <w:color w:val="auto"/>
              </w:rPr>
            </w:pPr>
            <w:r>
              <w:rPr>
                <w:rFonts w:ascii="Arial" w:cs="Arial" w:eastAsia="Arial" w:hAnsi="Arial"/>
                <w:sz w:val="18"/>
                <w:szCs w:val="18"/>
                <w:color w:val="auto"/>
              </w:rPr>
              <w:t>Net periodic pension and OPB income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Pension and OPB contributions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gridSpan w:val="2"/>
          </w:tcPr>
          <w:p>
            <w:pPr>
              <w:ind w:left="12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gridSpan w:val="2"/>
          </w:tcPr>
          <w:p>
            <w:pPr>
              <w:ind w:left="340"/>
              <w:spacing w:after="0"/>
              <w:rPr>
                <w:sz w:val="20"/>
                <w:szCs w:val="20"/>
                <w:color w:val="auto"/>
              </w:rPr>
            </w:pPr>
            <w:r>
              <w:rPr>
                <w:rFonts w:ascii="Arial" w:cs="Arial" w:eastAsia="Arial" w:hAnsi="Arial"/>
                <w:sz w:val="18"/>
                <w:szCs w:val="18"/>
                <w:color w:val="auto"/>
              </w:rPr>
              <w:t>Unbilled receivables,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(551)</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Inventoried costs, net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accounts payable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gridSpan w:val="2"/>
          </w:tcPr>
          <w:p>
            <w:pPr>
              <w:ind w:left="340"/>
              <w:spacing w:after="0"/>
              <w:rPr>
                <w:sz w:val="20"/>
                <w:szCs w:val="20"/>
                <w:color w:val="auto"/>
              </w:rPr>
            </w:pPr>
            <w:r>
              <w:rPr>
                <w:rFonts w:ascii="Arial" w:cs="Arial" w:eastAsia="Arial" w:hAnsi="Arial"/>
                <w:sz w:val="18"/>
                <w:szCs w:val="18"/>
                <w:color w:val="auto"/>
              </w:rPr>
              <w:t>Advance payments and billings in excess of costs incurred</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(389)</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(802)</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gridSpan w:val="2"/>
          </w:tcPr>
          <w:p>
            <w:pPr>
              <w:ind w:left="340"/>
              <w:spacing w:after="0"/>
              <w:rPr>
                <w:sz w:val="20"/>
                <w:szCs w:val="20"/>
                <w:color w:val="auto"/>
              </w:rPr>
            </w:pPr>
            <w:r>
              <w:rPr>
                <w:rFonts w:ascii="Arial" w:cs="Arial" w:eastAsia="Arial" w:hAnsi="Arial"/>
                <w:sz w:val="18"/>
                <w:szCs w:val="18"/>
                <w:color w:val="auto"/>
              </w:rPr>
              <w:t>Income taxes payable,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868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(1,656)</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68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86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Other investing activities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8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gridSpan w:val="2"/>
          </w:tcPr>
          <w:p>
            <w:pPr>
              <w:ind w:left="120"/>
              <w:spacing w:after="0"/>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(527)</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borrowings on commercial paper</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498</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gridSpan w:val="2"/>
          </w:tcPr>
          <w:p>
            <w:pPr>
              <w:ind w:left="120"/>
              <w:spacing w:after="0"/>
              <w:rPr>
                <w:sz w:val="20"/>
                <w:szCs w:val="20"/>
                <w:color w:val="auto"/>
              </w:rPr>
            </w:pPr>
            <w:r>
              <w:rPr>
                <w:rFonts w:ascii="Arial" w:cs="Arial" w:eastAsia="Arial" w:hAnsi="Arial"/>
                <w:sz w:val="18"/>
                <w:szCs w:val="18"/>
                <w:color w:val="auto"/>
              </w:rPr>
              <w:t>Common stock repurchases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dividends paid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gridSpan w:val="2"/>
          </w:tcPr>
          <w:p>
            <w:pPr>
              <w:ind w:left="120"/>
              <w:spacing w:after="0"/>
              <w:rPr>
                <w:sz w:val="20"/>
                <w:szCs w:val="20"/>
                <w:color w:val="auto"/>
              </w:rPr>
            </w:pPr>
            <w:r>
              <w:rPr>
                <w:rFonts w:ascii="Arial" w:cs="Arial" w:eastAsia="Arial" w:hAnsi="Arial"/>
                <w:sz w:val="18"/>
                <w:szCs w:val="18"/>
                <w:color w:val="auto"/>
              </w:rPr>
              <w:t>Payments of employee taxes withheld from share-based awards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868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(2,313)</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4,403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8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2,090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568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8"/>
              </w:rPr>
              <w:t>Northrop Grumman Reports First Quarter 2026 Financial Results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20" w:type="dxa"/>
            <w:vAlign w:val="bottom"/>
            <w:vMerge w:val="restart"/>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620" w:type="dxa"/>
            <w:vAlign w:val="bottom"/>
            <w:gridSpan w:val="8"/>
            <w:vMerge w:val="restart"/>
          </w:tcPr>
          <w:p>
            <w:pPr>
              <w:jc w:val="center"/>
              <w:spacing w:after="0"/>
              <w:rPr>
                <w:sz w:val="20"/>
                <w:szCs w:val="20"/>
                <w:color w:val="auto"/>
              </w:rPr>
            </w:pPr>
            <w:r>
              <w:rPr>
                <w:rFonts w:ascii="Arial" w:cs="Arial" w:eastAsia="Arial" w:hAnsi="Arial"/>
                <w:sz w:val="18"/>
                <w:szCs w:val="18"/>
                <w:b w:val="1"/>
                <w:bCs w:val="1"/>
                <w:color w:val="auto"/>
                <w:w w:val="99"/>
              </w:rPr>
              <w:t>NORTHROP GRUMMAN CORPORATION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SCHEDULE 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620" w:type="dxa"/>
            <w:vAlign w:val="bottom"/>
            <w:gridSpan w:val="8"/>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8"/>
              </w:rPr>
              <w:t>TOTAL BACKLOG</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99"/>
              </w:rPr>
              <w:t>(Unaudited)</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5"/>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2026</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color w:val="auto"/>
              </w:rPr>
              <w:t>December 31,</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2025</w:t>
            </w:r>
          </w:p>
        </w:tc>
        <w:tc>
          <w:tcPr>
            <w:tcW w:w="1320" w:type="dxa"/>
            <w:vAlign w:val="bottom"/>
            <w:vMerge w:val="restart"/>
          </w:tcPr>
          <w:p>
            <w:pPr>
              <w:jc w:val="right"/>
              <w:ind w:right="8"/>
              <w:spacing w:after="0"/>
              <w:rPr>
                <w:sz w:val="20"/>
                <w:szCs w:val="20"/>
                <w:color w:val="auto"/>
              </w:rPr>
            </w:pPr>
            <w:r>
              <w:rPr>
                <w:rFonts w:ascii="Arial" w:cs="Arial" w:eastAsia="Arial" w:hAnsi="Arial"/>
                <w:sz w:val="18"/>
                <w:szCs w:val="18"/>
                <w:color w:val="auto"/>
              </w:rPr>
              <w:t>% Change in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00" w:type="dxa"/>
            <w:vAlign w:val="bottom"/>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Funded</w:t>
            </w:r>
            <w:r>
              <w:rPr>
                <w:rFonts w:ascii="Arial" w:cs="Arial" w:eastAsia="Arial" w:hAnsi="Arial"/>
                <w:sz w:val="23"/>
                <w:szCs w:val="23"/>
                <w:b w:val="1"/>
                <w:bCs w:val="1"/>
                <w:color w:val="auto"/>
                <w:vertAlign w:val="superscript"/>
              </w:rPr>
              <w:t>1</w:t>
            </w:r>
          </w:p>
        </w:tc>
        <w:tc>
          <w:tcPr>
            <w:tcW w:w="180" w:type="dxa"/>
            <w:vAlign w:val="bottom"/>
          </w:tcPr>
          <w:p>
            <w:pPr>
              <w:spacing w:after="0"/>
              <w:rPr>
                <w:sz w:val="14"/>
                <w:szCs w:val="14"/>
                <w:color w:val="auto"/>
              </w:rPr>
            </w:pPr>
          </w:p>
        </w:tc>
        <w:tc>
          <w:tcPr>
            <w:tcW w:w="11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Unfunded</w:t>
            </w:r>
          </w:p>
        </w:tc>
        <w:tc>
          <w:tcPr>
            <w:tcW w:w="220" w:type="dxa"/>
            <w:vAlign w:val="bottom"/>
          </w:tcPr>
          <w:p>
            <w:pPr>
              <w:spacing w:after="0"/>
              <w:rPr>
                <w:sz w:val="14"/>
                <w:szCs w:val="14"/>
                <w:color w:val="auto"/>
              </w:rPr>
            </w:pPr>
          </w:p>
        </w:tc>
        <w:tc>
          <w:tcPr>
            <w:tcW w:w="10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7"/>
              </w:rPr>
              <w:t>Total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70"/>
              <w:spacing w:after="0" w:line="169" w:lineRule="exact"/>
              <w:rPr>
                <w:sz w:val="20"/>
                <w:szCs w:val="20"/>
                <w:color w:val="auto"/>
              </w:rPr>
            </w:pPr>
            <w:r>
              <w:rPr>
                <w:rFonts w:ascii="Arial" w:cs="Arial" w:eastAsia="Arial" w:hAnsi="Arial"/>
                <w:sz w:val="18"/>
                <w:szCs w:val="18"/>
                <w:color w:val="auto"/>
                <w:w w:val="94"/>
              </w:rPr>
              <w:t>Total</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vMerge w:val="continue"/>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300"/>
              <w:spacing w:after="0" w:line="243" w:lineRule="exact"/>
              <w:rPr>
                <w:sz w:val="20"/>
                <w:szCs w:val="20"/>
                <w:color w:val="auto"/>
              </w:rPr>
            </w:pPr>
            <w:r>
              <w:rPr>
                <w:rFonts w:ascii="Arial" w:cs="Arial" w:eastAsia="Arial" w:hAnsi="Arial"/>
                <w:sz w:val="18"/>
                <w:szCs w:val="18"/>
                <w:b w:val="1"/>
                <w:bCs w:val="1"/>
                <w:color w:val="auto"/>
                <w:w w:val="96"/>
              </w:rPr>
              <w:t>Backlog</w:t>
            </w:r>
            <w:r>
              <w:rPr>
                <w:rFonts w:ascii="Arial" w:cs="Arial" w:eastAsia="Arial" w:hAnsi="Arial"/>
                <w:sz w:val="23"/>
                <w:szCs w:val="23"/>
                <w:b w:val="1"/>
                <w:bCs w:val="1"/>
                <w:color w:val="auto"/>
                <w:w w:val="96"/>
                <w:vertAlign w:val="superscript"/>
              </w:rPr>
              <w:t>2</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70"/>
              <w:spacing w:after="0" w:line="243" w:lineRule="exact"/>
              <w:rPr>
                <w:sz w:val="20"/>
                <w:szCs w:val="20"/>
                <w:color w:val="auto"/>
              </w:rPr>
            </w:pPr>
            <w:r>
              <w:rPr>
                <w:rFonts w:ascii="Arial" w:cs="Arial" w:eastAsia="Arial" w:hAnsi="Arial"/>
                <w:sz w:val="18"/>
                <w:szCs w:val="18"/>
                <w:color w:val="auto"/>
                <w:w w:val="96"/>
              </w:rPr>
              <w:t>Backlog</w:t>
            </w:r>
            <w:r>
              <w:rPr>
                <w:rFonts w:ascii="Arial" w:cs="Arial" w:eastAsia="Arial" w:hAnsi="Arial"/>
                <w:sz w:val="23"/>
                <w:szCs w:val="23"/>
                <w:color w:val="auto"/>
                <w:w w:val="96"/>
                <w:vertAlign w:val="superscript"/>
              </w:rPr>
              <w:t>2</w:t>
            </w:r>
          </w:p>
        </w:tc>
        <w:tc>
          <w:tcPr>
            <w:tcW w:w="13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Aeronautics Systems</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12,996</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11,275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Defense Systems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7,759</w:t>
            </w:r>
          </w:p>
        </w:tc>
        <w:tc>
          <w:tcPr>
            <w:tcW w:w="1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19,970</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27,729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27,796</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Mission Systems</w:t>
            </w: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12,887</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4,916</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Space Systems</w:t>
            </w:r>
          </w:p>
        </w:tc>
        <w:tc>
          <w:tcPr>
            <w:tcW w:w="1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10,426</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15,379</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25,805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backlog</w:t>
            </w:r>
          </w:p>
        </w:tc>
        <w:tc>
          <w:tcPr>
            <w:tcW w:w="1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44,068</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51,540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95,608</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95,681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00" w:hanging="132"/>
        <w:spacing w:after="0"/>
        <w:tabs>
          <w:tab w:leader="none" w:pos="30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Funded backlog represents firm orders for which funding is authorized and appropriated.</w:t>
      </w:r>
    </w:p>
    <w:p>
      <w:pPr>
        <w:spacing w:after="0" w:line="12" w:lineRule="exact"/>
        <w:rPr>
          <w:sz w:val="20"/>
          <w:szCs w:val="20"/>
          <w:color w:val="auto"/>
        </w:rPr>
      </w:pPr>
    </w:p>
    <w:p>
      <w:pPr>
        <w:ind w:left="300" w:right="440" w:hanging="132"/>
        <w:spacing w:after="0" w:line="200" w:lineRule="auto"/>
        <w:tabs>
          <w:tab w:leader="none" w:pos="30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Total backlog excludes unexercised contract options and indefinite delivery, indefinite quantity (IDIQ) contracts until the time the option or IDIQ task order is exercised or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First Quarter 2026 Financial Results</w:t>
            </w:r>
          </w:p>
        </w:tc>
        <w:tc>
          <w:tcPr>
            <w:tcW w:w="3300" w:type="dxa"/>
            <w:vAlign w:val="bottom"/>
            <w:vMerge w:val="restart"/>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33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8980" w:type="dxa"/>
            <w:vAlign w:val="bottom"/>
            <w:gridSpan w:val="2"/>
            <w:vMerge w:val="restart"/>
          </w:tcPr>
          <w:p>
            <w:pPr>
              <w:jc w:val="center"/>
              <w:ind w:left="2150"/>
              <w:spacing w:after="0"/>
              <w:rPr>
                <w:sz w:val="20"/>
                <w:szCs w:val="20"/>
                <w:color w:val="auto"/>
              </w:rPr>
            </w:pPr>
            <w:r>
              <w:rPr>
                <w:rFonts w:ascii="Arial" w:cs="Arial" w:eastAsia="Arial" w:hAnsi="Arial"/>
                <w:sz w:val="18"/>
                <w:szCs w:val="18"/>
                <w:b w:val="1"/>
                <w:bCs w:val="1"/>
                <w:color w:val="auto"/>
                <w:w w:val="99"/>
              </w:rPr>
              <w:t>NORTHROP GRUMMAN CORPORATION</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jc w:val="center"/>
              <w:ind w:left="2150"/>
              <w:spacing w:after="0"/>
              <w:rPr>
                <w:sz w:val="20"/>
                <w:szCs w:val="20"/>
                <w:color w:val="auto"/>
              </w:rPr>
            </w:pPr>
            <w:r>
              <w:rPr>
                <w:rFonts w:ascii="Arial" w:cs="Arial" w:eastAsia="Arial" w:hAnsi="Arial"/>
                <w:sz w:val="18"/>
                <w:szCs w:val="18"/>
                <w:b w:val="1"/>
                <w:bCs w:val="1"/>
                <w:color w:val="auto"/>
                <w:w w:val="99"/>
              </w:rPr>
              <w:t>SUPPLEMENTAL PER SHARE INFORMATION</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980" w:type="dxa"/>
            <w:vAlign w:val="bottom"/>
            <w:gridSpan w:val="2"/>
          </w:tcPr>
          <w:p>
            <w:pPr>
              <w:jc w:val="center"/>
              <w:ind w:left="2130"/>
              <w:spacing w:after="0"/>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1"/>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3"/>
          </w:tcPr>
          <w:p>
            <w:pPr>
              <w:jc w:val="right"/>
              <w:ind w:right="189"/>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March 31</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auto"/>
            </w:tcBorders>
          </w:tcPr>
          <w:p>
            <w:pPr>
              <w:spacing w:after="0"/>
              <w:rPr>
                <w:sz w:val="19"/>
                <w:szCs w:val="19"/>
                <w:color w:val="auto"/>
              </w:rPr>
            </w:pPr>
          </w:p>
        </w:tc>
        <w:tc>
          <w:tcPr>
            <w:tcW w:w="8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in millions, except per share amounts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2026</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8"/>
                <w:szCs w:val="18"/>
                <w:color w:val="auto"/>
                <w:w w:val="94"/>
              </w:rPr>
              <w:t>2025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 share impact of total net FAS/CAS pension adjustment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80" w:type="dxa"/>
            <w:vAlign w:val="bottom"/>
            <w:gridSpan w:val="2"/>
          </w:tcPr>
          <w:p>
            <w:pPr>
              <w:ind w:left="200"/>
              <w:spacing w:after="0"/>
              <w:rPr>
                <w:sz w:val="20"/>
                <w:szCs w:val="20"/>
                <w:color w:val="auto"/>
              </w:rPr>
            </w:pPr>
            <w:r>
              <w:rPr>
                <w:rFonts w:ascii="Arial" w:cs="Arial" w:eastAsia="Arial" w:hAnsi="Arial"/>
                <w:sz w:val="18"/>
                <w:szCs w:val="18"/>
                <w:color w:val="auto"/>
              </w:rPr>
              <w:t>FAS/CAS operating adjustment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898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Non-operating FAS pension benefit</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Total net FAS/CAS pension adjustment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8980" w:type="dxa"/>
            <w:vAlign w:val="bottom"/>
            <w:tcBorders>
              <w:bottom w:val="single" w:sz="8" w:color="auto"/>
            </w:tcBorders>
            <w:gridSpan w:val="2"/>
            <w:shd w:val="clear" w:color="auto" w:fill="CCEEFF"/>
          </w:tcPr>
          <w:p>
            <w:pPr>
              <w:spacing w:after="0" w:line="230" w:lineRule="exact"/>
              <w:rPr>
                <w:sz w:val="20"/>
                <w:szCs w:val="20"/>
                <w:color w:val="auto"/>
              </w:rPr>
            </w:pPr>
            <w:r>
              <w:rPr>
                <w:rFonts w:ascii="Arial" w:cs="Arial" w:eastAsia="Arial" w:hAnsi="Arial"/>
                <w:sz w:val="18"/>
                <w:szCs w:val="18"/>
                <w:color w:val="auto"/>
              </w:rPr>
              <w:t>Tax effect</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After-tax impact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89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Weighted-average diluted shares outstanding, in millions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142.5</w:t>
            </w: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Per share impact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0.91</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68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98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 share impact of intangible asset amortization and PP&amp;E step-up depreciation</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Intangible asset amortization and PP&amp;E step-up depreciation</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8980" w:type="dxa"/>
            <w:vAlign w:val="bottom"/>
            <w:tcBorders>
              <w:bottom w:val="single" w:sz="8" w:color="auto"/>
            </w:tcBorders>
            <w:gridSpan w:val="2"/>
            <w:shd w:val="clear" w:color="auto" w:fill="CCEEFF"/>
          </w:tcPr>
          <w:p>
            <w:pPr>
              <w:spacing w:after="0" w:line="230" w:lineRule="exact"/>
              <w:rPr>
                <w:sz w:val="20"/>
                <w:szCs w:val="20"/>
                <w:color w:val="auto"/>
              </w:rPr>
            </w:pPr>
            <w:r>
              <w:rPr>
                <w:rFonts w:ascii="Arial" w:cs="Arial" w:eastAsia="Arial" w:hAnsi="Arial"/>
                <w:sz w:val="18"/>
                <w:szCs w:val="18"/>
                <w:color w:val="auto"/>
              </w:rPr>
              <w:t>Tax effect</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After-tax impact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89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Weighted-average diluted shares outstanding, in millions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142.5</w:t>
            </w: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Per share impact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(0.11)</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00" w:hanging="227"/>
        <w:spacing w:after="0"/>
        <w:tabs>
          <w:tab w:leader="none" w:pos="30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Based on a 21% federal statutory tax rate and a 5.25% blended state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506730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7" w:name="page18"/>
    <w:bookmarkEnd w:id="17"/>
    <w:tbl>
      <w:tblPr>
        <w:tblLayout w:type="fixed"/>
        <w:tblInd w:w="20" w:type="dxa"/>
        <w:tblCellMar>
          <w:top w:w="0" w:type="dxa"/>
          <w:left w:w="0" w:type="dxa"/>
          <w:bottom w:w="0" w:type="dxa"/>
          <w:right w:w="0" w:type="dxa"/>
        </w:tblCellMar>
      </w:tblPr>
      <w:tr>
        <w:trPr>
          <w:trHeight w:val="250"/>
        </w:trPr>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First Quarter 2026 Financial Results</w:t>
            </w:r>
          </w:p>
        </w:tc>
        <w:tc>
          <w:tcPr>
            <w:tcW w:w="5520" w:type="dxa"/>
            <w:vAlign w:val="bottom"/>
            <w:vMerge w:val="restart"/>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116"/>
        </w:trPr>
        <w:tc>
          <w:tcPr>
            <w:tcW w:w="5680" w:type="dxa"/>
            <w:vAlign w:val="bottom"/>
          </w:tcPr>
          <w:p>
            <w:pPr>
              <w:spacing w:after="0"/>
              <w:rPr>
                <w:sz w:val="10"/>
                <w:szCs w:val="10"/>
                <w:color w:val="auto"/>
              </w:rPr>
            </w:pPr>
          </w:p>
        </w:tc>
        <w:tc>
          <w:tcPr>
            <w:tcW w:w="5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b w:val="1"/>
          <w:bCs w:val="1"/>
          <w:u w:val="single" w:color="auto"/>
          <w:color w:val="auto"/>
        </w:rPr>
        <w:t>Non-GAAP Financial Measures Disclosure:</w:t>
      </w:r>
      <w:r>
        <w:rPr>
          <w:rFonts w:ascii="Arial" w:cs="Arial" w:eastAsia="Arial" w:hAnsi="Arial"/>
          <w:sz w:val="20"/>
          <w:szCs w:val="20"/>
          <w:b w:val="1"/>
          <w:bCs w:val="1"/>
          <w:color w:val="auto"/>
        </w:rPr>
        <w:t xml:space="preserve"> </w:t>
      </w:r>
      <w:r>
        <w:rPr>
          <w:rFonts w:ascii="Arial" w:cs="Arial" w:eastAsia="Arial" w:hAnsi="Arial"/>
          <w:sz w:val="20"/>
          <w:szCs w:val="20"/>
          <w:color w:val="auto"/>
        </w:rPr>
        <w:t>This earnings release contains non-GAAP (accounting principles generally</w:t>
      </w:r>
      <w:r>
        <w:rPr>
          <w:rFonts w:ascii="Arial" w:cs="Arial" w:eastAsia="Arial" w:hAnsi="Arial"/>
          <w:sz w:val="20"/>
          <w:szCs w:val="20"/>
          <w:b w:val="1"/>
          <w:bCs w:val="1"/>
          <w:color w:val="auto"/>
        </w:rPr>
        <w:t xml:space="preserve"> </w:t>
      </w:r>
      <w:r>
        <w:rPr>
          <w:rFonts w:ascii="Arial" w:cs="Arial" w:eastAsia="Arial" w:hAnsi="Arial"/>
          <w:sz w:val="20"/>
          <w:szCs w:val="20"/>
          <w:color w:val="auto"/>
        </w:rPr>
        <w:t>accepted in the United States of America) financial measures, as defined by SEC Regulation G and indicated by a footnote in the text of the release. Definitions for the non-GAAP measures are provided below and reconciliations are provided in the body of the release, except that reconciliations of forward-looking non-GAAP measures are not provided because the company is unable to provide such reconciliations without unreasonable effort due to the uncertainty and inherent difficulty of predicting the occurrence and financial impact of certain items, including, but not limited to, the impact of any mark-to-market pension adjustment. Other companies may define these measures differently or may utilize different non-GAAP measures.</w:t>
      </w:r>
    </w:p>
    <w:p>
      <w:pPr>
        <w:spacing w:after="0" w:line="51" w:lineRule="exact"/>
        <w:rPr>
          <w:sz w:val="20"/>
          <w:szCs w:val="20"/>
          <w:color w:val="auto"/>
        </w:rPr>
      </w:pPr>
    </w:p>
    <w:p>
      <w:pPr>
        <w:ind w:left="260" w:right="140"/>
        <w:spacing w:after="0" w:line="260" w:lineRule="auto"/>
        <w:rPr>
          <w:sz w:val="20"/>
          <w:szCs w:val="20"/>
          <w:color w:val="auto"/>
        </w:rPr>
      </w:pPr>
      <w:r>
        <w:rPr>
          <w:rFonts w:ascii="Arial" w:cs="Arial" w:eastAsia="Arial" w:hAnsi="Arial"/>
          <w:sz w:val="20"/>
          <w:szCs w:val="20"/>
          <w:b w:val="1"/>
          <w:bCs w:val="1"/>
          <w:u w:val="single" w:color="auto"/>
          <w:color w:val="auto"/>
        </w:rPr>
        <w:t>MTM-adjusted EPS:</w:t>
      </w:r>
      <w:r>
        <w:rPr>
          <w:rFonts w:ascii="Arial" w:cs="Arial" w:eastAsia="Arial" w:hAnsi="Arial"/>
          <w:sz w:val="20"/>
          <w:szCs w:val="20"/>
          <w:b w:val="1"/>
          <w:bCs w:val="1"/>
          <w:color w:val="auto"/>
        </w:rPr>
        <w:t xml:space="preserve"> </w:t>
      </w:r>
      <w:r>
        <w:rPr>
          <w:rFonts w:ascii="Arial" w:cs="Arial" w:eastAsia="Arial" w:hAnsi="Arial"/>
          <w:sz w:val="20"/>
          <w:szCs w:val="20"/>
          <w:color w:val="auto"/>
        </w:rPr>
        <w:t>Diluted earnings per share excluding the per share impact of MTM benefit (expense) and related tax</w:t>
      </w:r>
      <w:r>
        <w:rPr>
          <w:rFonts w:ascii="Arial" w:cs="Arial" w:eastAsia="Arial" w:hAnsi="Arial"/>
          <w:sz w:val="20"/>
          <w:szCs w:val="20"/>
          <w:b w:val="1"/>
          <w:bCs w:val="1"/>
          <w:color w:val="auto"/>
        </w:rPr>
        <w:t xml:space="preserve"> </w:t>
      </w:r>
      <w:r>
        <w:rPr>
          <w:rFonts w:ascii="Arial" w:cs="Arial" w:eastAsia="Arial" w:hAnsi="Arial"/>
          <w:sz w:val="20"/>
          <w:szCs w:val="20"/>
          <w:color w:val="auto"/>
        </w:rPr>
        <w:t>impacts. This measure may be useful to investors and other users of our financial statements as a supplemental measure in evaluating the company’s underlying financial performance by presenting the company’s diluted earnings per share results before the non-operational impact of pension and OPB actuarial gains and losses.</w:t>
      </w:r>
    </w:p>
    <w:p>
      <w:pPr>
        <w:spacing w:after="0" w:line="43" w:lineRule="exact"/>
        <w:rPr>
          <w:sz w:val="20"/>
          <w:szCs w:val="20"/>
          <w:color w:val="auto"/>
        </w:rPr>
      </w:pPr>
    </w:p>
    <w:p>
      <w:pPr>
        <w:ind w:left="260" w:right="40"/>
        <w:spacing w:after="0" w:line="254" w:lineRule="auto"/>
        <w:rPr>
          <w:sz w:val="20"/>
          <w:szCs w:val="20"/>
          <w:color w:val="auto"/>
        </w:rPr>
      </w:pPr>
      <w:r>
        <w:rPr>
          <w:rFonts w:ascii="Arial" w:cs="Arial" w:eastAsia="Arial" w:hAnsi="Arial"/>
          <w:sz w:val="20"/>
          <w:szCs w:val="20"/>
          <w:b w:val="1"/>
          <w:bCs w:val="1"/>
          <w:u w:val="single" w:color="auto"/>
          <w:color w:val="auto"/>
        </w:rPr>
        <w:t>Segment operating income and segment operating margin rate:</w:t>
      </w:r>
      <w:r>
        <w:rPr>
          <w:rFonts w:ascii="Arial" w:cs="Arial" w:eastAsia="Arial" w:hAnsi="Arial"/>
          <w:sz w:val="20"/>
          <w:szCs w:val="20"/>
          <w:b w:val="1"/>
          <w:bCs w:val="1"/>
          <w:color w:val="auto"/>
        </w:rPr>
        <w:t xml:space="preserve"> </w:t>
      </w:r>
      <w:r>
        <w:rPr>
          <w:rFonts w:ascii="Arial" w:cs="Arial" w:eastAsia="Arial" w:hAnsi="Arial"/>
          <w:sz w:val="20"/>
          <w:szCs w:val="20"/>
          <w:color w:val="auto"/>
        </w:rPr>
        <w:t>Segment operating income and segment operating</w:t>
      </w:r>
      <w:r>
        <w:rPr>
          <w:rFonts w:ascii="Arial" w:cs="Arial" w:eastAsia="Arial" w:hAnsi="Arial"/>
          <w:sz w:val="20"/>
          <w:szCs w:val="20"/>
          <w:b w:val="1"/>
          <w:bCs w:val="1"/>
          <w:color w:val="auto"/>
        </w:rPr>
        <w:t xml:space="preserve"> </w:t>
      </w:r>
      <w:r>
        <w:rPr>
          <w:rFonts w:ascii="Arial" w:cs="Arial" w:eastAsia="Arial" w:hAnsi="Arial"/>
          <w:sz w:val="20"/>
          <w:szCs w:val="20"/>
          <w:color w:val="auto"/>
        </w:rPr>
        <w:t>margin rate (segment operating income divided by sales)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These measures may be useful to investors and other users of our financial statements as supplemental measures in evaluating the financial performance and operational trends of our sectors. These measures should not be considered in isolation or as alternatives to operating results presented in accordance with GAAP.</w:t>
      </w:r>
    </w:p>
    <w:p>
      <w:pPr>
        <w:spacing w:after="0" w:line="51" w:lineRule="exact"/>
        <w:rPr>
          <w:sz w:val="20"/>
          <w:szCs w:val="20"/>
          <w:color w:val="auto"/>
        </w:rPr>
      </w:pPr>
    </w:p>
    <w:p>
      <w:pPr>
        <w:ind w:left="260" w:right="300"/>
        <w:spacing w:after="0" w:line="255" w:lineRule="auto"/>
        <w:rPr>
          <w:sz w:val="20"/>
          <w:szCs w:val="20"/>
          <w:color w:val="auto"/>
        </w:rPr>
      </w:pPr>
      <w:r>
        <w:rPr>
          <w:rFonts w:ascii="Arial" w:cs="Arial" w:eastAsia="Arial" w:hAnsi="Arial"/>
          <w:sz w:val="20"/>
          <w:szCs w:val="20"/>
          <w:b w:val="1"/>
          <w:bCs w:val="1"/>
          <w:u w:val="single" w:color="auto"/>
          <w:color w:val="auto"/>
        </w:rPr>
        <w:t>Free cash flow:</w:t>
      </w:r>
      <w:r>
        <w:rPr>
          <w:rFonts w:ascii="Arial" w:cs="Arial" w:eastAsia="Arial" w:hAnsi="Arial"/>
          <w:sz w:val="20"/>
          <w:szCs w:val="20"/>
          <w:b w:val="1"/>
          <w:bCs w:val="1"/>
          <w:color w:val="auto"/>
        </w:rPr>
        <w:t xml:space="preserve"> </w:t>
      </w:r>
      <w:r>
        <w:rPr>
          <w:rFonts w:ascii="Arial" w:cs="Arial" w:eastAsia="Arial" w:hAnsi="Arial"/>
          <w:sz w:val="20"/>
          <w:szCs w:val="20"/>
          <w:color w:val="auto"/>
        </w:rPr>
        <w:t>Net cash provided by or used in operating activities less capital expenditures. We use free cash flow as a</w:t>
      </w:r>
      <w:r>
        <w:rPr>
          <w:rFonts w:ascii="Arial" w:cs="Arial" w:eastAsia="Arial" w:hAnsi="Arial"/>
          <w:sz w:val="20"/>
          <w:szCs w:val="20"/>
          <w:b w:val="1"/>
          <w:bCs w:val="1"/>
          <w:color w:val="auto"/>
        </w:rPr>
        <w:t xml:space="preserve"> </w:t>
      </w:r>
      <w:r>
        <w:rPr>
          <w:rFonts w:ascii="Arial" w:cs="Arial" w:eastAsia="Arial" w:hAnsi="Arial"/>
          <w:sz w:val="20"/>
          <w:szCs w:val="20"/>
          <w:color w:val="auto"/>
        </w:rPr>
        <w:t>key factor in our planning for, and consideration of, acquisitions, the payment of dividends and stock repurchases. This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61" w:lineRule="exact"/>
        <w:rPr>
          <w:sz w:val="20"/>
          <w:szCs w:val="20"/>
          <w:color w:val="auto"/>
        </w:rPr>
      </w:pPr>
    </w:p>
    <w:p>
      <w:pPr>
        <w:ind w:left="260" w:right="200"/>
        <w:spacing w:after="0" w:line="255" w:lineRule="auto"/>
        <w:rPr>
          <w:sz w:val="20"/>
          <w:szCs w:val="20"/>
          <w:color w:val="auto"/>
        </w:rPr>
      </w:pPr>
      <w:r>
        <w:rPr>
          <w:rFonts w:ascii="Arial" w:cs="Arial" w:eastAsia="Arial" w:hAnsi="Arial"/>
          <w:sz w:val="20"/>
          <w:szCs w:val="20"/>
          <w:b w:val="1"/>
          <w:bCs w:val="1"/>
          <w:u w:val="single" w:color="auto"/>
          <w:color w:val="auto"/>
        </w:rPr>
        <w:t>Organic sales:</w:t>
      </w:r>
      <w:r>
        <w:rPr>
          <w:rFonts w:ascii="Arial" w:cs="Arial" w:eastAsia="Arial" w:hAnsi="Arial"/>
          <w:sz w:val="20"/>
          <w:szCs w:val="20"/>
          <w:b w:val="1"/>
          <w:bCs w:val="1"/>
          <w:color w:val="auto"/>
        </w:rPr>
        <w:t xml:space="preserve"> </w:t>
      </w:r>
      <w:r>
        <w:rPr>
          <w:rFonts w:ascii="Arial" w:cs="Arial" w:eastAsia="Arial" w:hAnsi="Arial"/>
          <w:sz w:val="20"/>
          <w:szCs w:val="20"/>
          <w:color w:val="auto"/>
        </w:rPr>
        <w:t>Total sales excluding sales attributable to the company’s former training services business. This measure</w:t>
      </w:r>
      <w:r>
        <w:rPr>
          <w:rFonts w:ascii="Arial" w:cs="Arial" w:eastAsia="Arial" w:hAnsi="Arial"/>
          <w:sz w:val="20"/>
          <w:szCs w:val="20"/>
          <w:b w:val="1"/>
          <w:bCs w:val="1"/>
          <w:color w:val="auto"/>
        </w:rPr>
        <w:t xml:space="preserve"> </w:t>
      </w:r>
      <w:r>
        <w:rPr>
          <w:rFonts w:ascii="Arial" w:cs="Arial" w:eastAsia="Arial" w:hAnsi="Arial"/>
          <w:sz w:val="20"/>
          <w:szCs w:val="20"/>
          <w:color w:val="auto"/>
        </w:rPr>
        <w:t>may be useful to investors and other users of our financial statements as a supplemental measure in evaluating the company’s underlying sales growth as well as in understanding our ongoing business and future sales trends by presenting the company’s sales adjusted for the impact of the divestiture.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527685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sectPr>
      <w:pgSz w:w="11900" w:h="16838" w:orient="portrait"/>
      <w:cols w:equalWidth="0" w:num="1">
        <w:col w:w="11220"/>
      </w:cols>
      <w:pgMar w:left="320" w:top="3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1"/>
      <w:numFmt w:val="bullet"/>
      <w:start w:val="1"/>
    </w:lvl>
  </w:abstractNum>
  <w:abstractNum w:abstractNumId="4">
    <w:nsid w:val="216231B"/>
    <w:multiLevelType w:val="hybridMultilevel"/>
    <w:lvl w:ilvl="0">
      <w:lvlJc w:val="left"/>
      <w:lvlText w:val="1"/>
      <w:numFmt w:val="bullet"/>
      <w:start w:val="1"/>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1"/>
      <w:numFmt w:val="bullet"/>
      <w:start w:val="1"/>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bullet"/>
      <w:start w:val="1"/>
    </w:lvl>
  </w:abstractNum>
  <w:abstractNum w:abstractNumId="14">
    <w:nsid w:val="41A7C4C9"/>
    <w:multiLevelType w:val="hybridMultilevel"/>
    <w:lvl w:ilvl="0">
      <w:lvlJc w:val="left"/>
      <w:lvlText w:val="2"/>
      <w:numFmt w:val="bullet"/>
      <w:start w:val="1"/>
    </w:lvl>
  </w:abstractNum>
  <w:abstractNum w:abstractNumId="15">
    <w:nsid w:val="6B68079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2026-04-21T05:46:22Z</dcterms:created>
  <dcterms:modified xsi:type="dcterms:W3CDTF">2026-04-21T05:46:22Z</dcterms:modified>
</cp:coreProperties>
</file>