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9"/>
        <w:spacing w:after="0" w:line="237" w:lineRule="auto"/>
        <w:rPr>
          <w:sz w:val="20"/>
          <w:szCs w:val="20"/>
          <w:color w:val="auto"/>
        </w:rPr>
      </w:pPr>
      <w:r>
        <w:rPr>
          <w:rFonts w:ascii="Arial" w:cs="Arial" w:eastAsia="Arial" w:hAnsi="Arial"/>
          <w:sz w:val="22"/>
          <w:szCs w:val="22"/>
          <w:b w:val="1"/>
          <w:bCs w:val="1"/>
          <w:color w:val="auto"/>
        </w:rPr>
        <w:t>Securities Exchange Act of 1934</w:t>
      </w:r>
    </w:p>
    <w:p>
      <w:pPr>
        <w:spacing w:after="0"/>
        <w:rPr>
          <w:sz w:val="20"/>
          <w:szCs w:val="20"/>
          <w:color w:val="auto"/>
        </w:rPr>
      </w:pPr>
      <w:r>
        <w:rPr>
          <w:rFonts w:ascii="Arial" w:cs="Arial" w:eastAsia="Arial" w:hAnsi="Arial"/>
          <w:sz w:val="18"/>
          <w:szCs w:val="18"/>
          <w:color w:val="auto"/>
        </w:rPr>
        <w:t xml:space="preserve">Filed by the Registrant </w:t>
      </w:r>
      <w:r>
        <w:rPr>
          <w:sz w:val="1"/>
          <w:szCs w:val="1"/>
          <w:color w:val="auto"/>
        </w:rPr>
        <w:drawing>
          <wp:inline distT="0" distB="0" distL="0" distR="0">
            <wp:extent cx="111760" cy="111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 </w:t>
      </w:r>
      <w:r>
        <w:rPr>
          <w:sz w:val="1"/>
          <w:szCs w:val="1"/>
          <w:color w:val="auto"/>
        </w:rPr>
        <w:drawing>
          <wp:inline distT="0" distB="0" distL="0" distR="0">
            <wp:extent cx="111125" cy="111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720"/>
        <w:spacing w:after="0"/>
        <w:rPr>
          <w:sz w:val="20"/>
          <w:szCs w:val="20"/>
          <w:color w:val="auto"/>
        </w:rPr>
      </w:pPr>
      <w:r>
        <w:rPr>
          <w:rFonts w:ascii="Arial" w:cs="Arial" w:eastAsia="Arial" w:hAnsi="Arial"/>
          <w:sz w:val="18"/>
          <w:szCs w:val="18"/>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10287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9"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-85090</wp:posOffset>
            </wp:positionV>
            <wp:extent cx="10287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7" w:lineRule="exact"/>
        <w:rPr>
          <w:sz w:val="24"/>
          <w:szCs w:val="24"/>
          <w:color w:val="auto"/>
        </w:rPr>
      </w:pPr>
    </w:p>
    <w:p>
      <w:pPr>
        <w:ind w:left="720"/>
        <w:spacing w:after="0"/>
        <w:rPr>
          <w:sz w:val="20"/>
          <w:szCs w:val="20"/>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-87630</wp:posOffset>
            </wp:positionV>
            <wp:extent cx="10287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Definitive Additional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1371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4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-87630</wp:posOffset>
            </wp:positionV>
            <wp:extent cx="102870"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Northrop Grumman Corporation</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-104775</wp:posOffset>
            </wp:positionV>
            <wp:extent cx="128905"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0015"/>
                    </a:xfrm>
                    <a:prstGeom prst="rect">
                      <a:avLst/>
                    </a:prstGeom>
                    <a:noFill/>
                  </pic:spPr>
                </pic:pic>
              </a:graphicData>
            </a:graphic>
          </wp:anchor>
        </w:drawing>
      </w:r>
    </w:p>
    <w:p>
      <w:pPr>
        <w:spacing w:after="0" w:line="4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-87630</wp:posOffset>
            </wp:positionV>
            <wp:extent cx="10287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3" w:lineRule="exact"/>
        <w:rPr>
          <w:sz w:val="24"/>
          <w:szCs w:val="24"/>
          <w:color w:val="auto"/>
        </w:rPr>
      </w:pPr>
    </w:p>
    <w:p>
      <w:pPr>
        <w:ind w:left="1500" w:hanging="386"/>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500" w:hanging="386"/>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500" w:right="420" w:hanging="386"/>
        <w:spacing w:after="0" w:line="277" w:lineRule="auto"/>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500" w:hanging="386"/>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500" w:hanging="386"/>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-147320</wp:posOffset>
            </wp:positionV>
            <wp:extent cx="61976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-584835</wp:posOffset>
            </wp:positionV>
            <wp:extent cx="6197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-1158875</wp:posOffset>
            </wp:positionV>
            <wp:extent cx="6197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-1596390</wp:posOffset>
            </wp:positionV>
            <wp:extent cx="61976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4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93980"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43" w:lineRule="exact"/>
        <w:rPr>
          <w:sz w:val="24"/>
          <w:szCs w:val="24"/>
          <w:color w:val="auto"/>
        </w:rPr>
      </w:pPr>
    </w:p>
    <w:p>
      <w:pPr>
        <w:ind w:left="720"/>
        <w:spacing w:after="0" w:line="308" w:lineRule="auto"/>
        <w:rPr>
          <w:sz w:val="20"/>
          <w:szCs w:val="20"/>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-308610</wp:posOffset>
            </wp:positionV>
            <wp:extent cx="93980"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180" w:lineRule="exact"/>
        <w:rPr>
          <w:sz w:val="24"/>
          <w:szCs w:val="24"/>
          <w:color w:val="auto"/>
        </w:rPr>
      </w:pPr>
    </w:p>
    <w:p>
      <w:pPr>
        <w:ind w:left="1500" w:hanging="386"/>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500" w:hanging="386"/>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500" w:hanging="386"/>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500" w:hanging="386"/>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288925</wp:posOffset>
            </wp:positionV>
            <wp:extent cx="61976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-147320</wp:posOffset>
            </wp:positionV>
            <wp:extent cx="61976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-584835</wp:posOffset>
            </wp:positionV>
            <wp:extent cx="6197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-1021715</wp:posOffset>
            </wp:positionV>
            <wp:extent cx="6197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5866130</wp:posOffset>
            </wp:positionH>
            <wp:positionV relativeFrom="page">
              <wp:posOffset>363220</wp:posOffset>
            </wp:positionV>
            <wp:extent cx="147447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08610"/>
                    </a:xfrm>
                    <a:prstGeom prst="rect">
                      <a:avLst/>
                    </a:prstGeom>
                    <a:noFill/>
                  </pic:spPr>
                </pic:pic>
              </a:graphicData>
            </a:graphic>
          </wp:anchor>
        </w:drawing>
        <w:t>Northrop Grumman Corporation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2980 Fairview Park Drive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Falls Church, Virginia 22042</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May 5, 2020</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Dear Shareholder:</w:t>
      </w:r>
    </w:p>
    <w:p>
      <w:pPr>
        <w:spacing w:after="0" w:line="159"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On April 3, 2020, Northrop Grumman Corporation filed our definitive Proxy Statement for the 2020 Annual Meeting of Shareholders. In connection with the 2020 Annual Meeting, shareholders are being asked to approve, on an advisory basis, the compensation of our named executive officers, as described in the Proxy Statement (“say on pay proposal”). On April 26, 2020, Glass Lewis, a proxy advisory firm, issued voting recommendations relating to the 2020 Annual Meeting. Glass Lewis recommends in favor of the Company’s say on pay proposal, but raised several issues related to the Company’s executive compensation programs. The statement below constitutes a Report Feedback Statement in response to Glass Lewis’ analysis of the Company’s executive compensation and is intended to provide additional information that we believe shareholders will value as they review the Glass Lewis report and bring more clarity on Glass Lewis’ Pay-for-Performance analysis of the Company.</w:t>
      </w:r>
    </w:p>
    <w:p>
      <w:pPr>
        <w:spacing w:after="0" w:line="114"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The Report Feedback Statement contains certain non-GAAP financial measures, which are noted herein. For more information, including definitions, reconciliations to the most directly comparable GAAP measure and why we believe these measures may be useful to investors, see Appendix A - Use of Non-GAAP Financial Measures.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To:</w:t>
        <w:tab/>
        <w:t>Glass Lewis</w:t>
      </w:r>
    </w:p>
    <w:p>
      <w:pPr>
        <w:spacing w:after="0" w:line="13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Re:</w:t>
        <w:tab/>
        <w:t>Report Feedback Statement</w:t>
      </w:r>
    </w:p>
    <w:p>
      <w:pPr>
        <w:spacing w:after="0" w:line="135"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We appreciate the opportunity to provide a response to the 2020 Glass Lewis Report on Northrop Grumman Corporation’s 2020 Proxy Statement filed on April 3, 2020. We are providing additional clarification that we believe our shareholders will value as they review the Glass Lewis report. We are concerned that the Glass Lewis’ Pay-for-Performance analysis leaves an inaccurate perception of Northrop Grumman’s executive compensation program, although we acknowledge and appreciate that Glass Lewis recommended a vote “FOR” our 2020 Say-on-Pay proposal.</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With regard to Glass Lewis’ Pay-For-Performance analysis disclosed on page 7 of the report, we agree Glass Lewis has disclosed the GAAP measures correctly as reported by Northrop Grumman. However, we contend Glass Lewis should also have considered pension-adjusted metrics in their analysis of our performance. As noted in our proxy statement, management uses pension-adjusted metrics, such as pension-adjusted net income, as internal measures of financial performance and for performance-based compensation decisions. This has been our consistent practice for many years as it adjusts our earnings for the non-operational impact of pension income and expense. Also, during 2018, the company changed its accounting for pensions to the mark-to-market method, which is the preferable method under U.S. GAAP, but can result in significant volatility in GAAP earnings.</w:t>
      </w:r>
    </w:p>
    <w:p>
      <w:pPr>
        <w:spacing w:after="0" w:line="131"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When evaluating our bottom line performance, we adjust GAAP earnings for the after-tax impact of pension income recognized during the year and mark-to-market pension income or expense recognized at the end of the year. As such, during 2018 and 2019, we removed from earnings $ 1.3B and $1.0B, respectively, of net pension income recorded during those years and added back to earnings $0.6B and $1.4B, respectively, of mark-to-market pension expense recorded at the end of those years. During 2018 and 2019, we also adjusted our earnings for items associated with the Company’s June 2018 acquisition of Orbital ATK, including intangible asset amortization, step-up depreciation and transaction-related expenses.</w:t>
      </w:r>
    </w:p>
    <w:p>
      <w:pPr>
        <w:sectPr>
          <w:pgSz w:w="11900" w:h="16838" w:orient="portrait"/>
          <w:cols w:equalWidth="0" w:num="1">
            <w:col w:w="11240"/>
          </w:cols>
          <w:pgMar w:left="320" w:top="1349" w:right="339" w:bottom="1440" w:gutter="0" w:footer="0" w:header="0"/>
        </w:sectPr>
      </w:pPr>
    </w:p>
    <w:bookmarkStart w:id="2" w:name="page3"/>
    <w:bookmarkEnd w:id="2"/>
    <w:p>
      <w:pPr>
        <w:spacing w:after="0" w:line="243" w:lineRule="auto"/>
        <w:rPr>
          <w:sz w:val="20"/>
          <w:szCs w:val="20"/>
          <w:color w:val="auto"/>
        </w:rPr>
      </w:pPr>
      <w:r>
        <w:rPr>
          <w:rFonts w:ascii="Arial" w:cs="Arial" w:eastAsia="Arial" w:hAnsi="Arial"/>
          <w:sz w:val="20"/>
          <w:szCs w:val="20"/>
          <w:color w:val="auto"/>
        </w:rPr>
        <w:t>We believe the noted adjustments to our 2018 and 2019 GAAP earnings allowed us to more effectively compare the Company’s operating results against our peers during those years. We also note that pension-related adjustments are a common practice across our industrial and broader market peers.</w:t>
      </w:r>
    </w:p>
    <w:p>
      <w:pPr>
        <w:spacing w:after="0" w:line="12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charts below highlight the after-tax impact of the adjustments described above on our 2018 and 2019 GAAP earnings. On a pension-adjusted basis, net income and EPS increased significantly from 2018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614670" cy="1859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1467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We welcome our shareholders to review our 2020 Proxy Statement and to contact the company with any questions they may have.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rPr>
          <w:sz w:val="20"/>
          <w:szCs w:val="20"/>
          <w:color w:val="auto"/>
        </w:rPr>
      </w:pPr>
      <w:r>
        <w:rPr>
          <w:rFonts w:ascii="Arial" w:cs="Arial" w:eastAsia="Arial" w:hAnsi="Arial"/>
          <w:sz w:val="20"/>
          <w:szCs w:val="20"/>
          <w:color w:val="auto"/>
        </w:rPr>
        <w:t>David F. Keffer</w:t>
      </w:r>
    </w:p>
    <w:p>
      <w:pPr>
        <w:spacing w:after="0" w:line="200" w:lineRule="exact"/>
        <w:rPr>
          <w:sz w:val="20"/>
          <w:szCs w:val="20"/>
          <w:color w:val="auto"/>
        </w:rPr>
      </w:pPr>
    </w:p>
    <w:p>
      <w:pPr>
        <w:spacing w:after="0" w:line="257" w:lineRule="exact"/>
        <w:rPr>
          <w:sz w:val="20"/>
          <w:szCs w:val="20"/>
          <w:color w:val="auto"/>
        </w:rPr>
      </w:pPr>
    </w:p>
    <w:p>
      <w:pPr>
        <w:jc w:val="both"/>
        <w:ind w:left="260" w:right="40" w:hanging="239"/>
        <w:spacing w:after="0" w:line="266" w:lineRule="auto"/>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Pension-Adjusted Net Income is a non-GAAP measure. For more information, including the definition, a reconciliation to the most directly comparable GAAP measure and why we believe the measure may be useful to investors, see "Appendix A - Use of Non-GAAP Financial Measures” in the company’s 2020 Proxy Statement and Appendix A attached.</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Based on 174.6M and 170.0M weighted average diluted shares outstanding in 2018 and 2019, respectively.</w:t>
      </w:r>
    </w:p>
    <w:p>
      <w:pPr>
        <w:sectPr>
          <w:pgSz w:w="11900" w:h="16838" w:orient="portrait"/>
          <w:cols w:equalWidth="0" w:num="1">
            <w:col w:w="11180"/>
          </w:cols>
          <w:pgMar w:left="320" w:top="568"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Appendix A - Use of Non-GAAP Financial Measures</w:t>
      </w:r>
    </w:p>
    <w:p>
      <w:pPr>
        <w:spacing w:after="0" w:line="39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filing contains non -GAAP (accounting principles generally accepted in the United States of America) financial measures, as defined by SEC Regulation G and noted herein.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and reconciliations for the non-GAAP financial measures contained herein are provided below. Other companies may define these measures differently or may utilize different non-GAAP financial measures.</w:t>
      </w:r>
    </w:p>
    <w:p>
      <w:pPr>
        <w:spacing w:after="0" w:line="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u w:val="single" w:color="auto"/>
          <w:color w:val="auto"/>
        </w:rPr>
        <w:t>Pension-adjusted metrics</w:t>
      </w:r>
      <w:r>
        <w:rPr>
          <w:rFonts w:ascii="Arial" w:cs="Arial" w:eastAsia="Arial" w:hAnsi="Arial"/>
          <w:sz w:val="18"/>
          <w:szCs w:val="18"/>
          <w:color w:val="auto"/>
        </w:rPr>
        <w:t>: For financial statement purposes, we account for our employee pension plans in accordance with GAAP (FAS).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the 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 The net FAS (service)/CAS pension adjustment referred to below reflects the difference between CAS pension expense included as cost in segment operating income and the service cost component of FAS expense included in total operating income. The following pension-adjusted measures may be useful to investors and other users of our financial statements in evaluating our performance based upon the pension costs charged to our contracts. All pension-adjusted metrics are reconciled below.</w:t>
      </w:r>
    </w:p>
    <w:p>
      <w:pPr>
        <w:spacing w:after="0" w:line="50" w:lineRule="exact"/>
        <w:rPr>
          <w:sz w:val="20"/>
          <w:szCs w:val="20"/>
          <w:color w:val="auto"/>
        </w:rPr>
      </w:pPr>
    </w:p>
    <w:p>
      <w:pPr>
        <w:ind w:left="660" w:right="1160"/>
        <w:spacing w:after="0" w:line="287" w:lineRule="auto"/>
        <w:rPr>
          <w:sz w:val="20"/>
          <w:szCs w:val="20"/>
          <w:color w:val="auto"/>
        </w:rPr>
      </w:pPr>
      <w:r>
        <w:rPr>
          <w:rFonts w:ascii="Arial" w:cs="Arial" w:eastAsia="Arial" w:hAnsi="Arial"/>
          <w:sz w:val="18"/>
          <w:szCs w:val="18"/>
          <w:b w:val="1"/>
          <w:bCs w:val="1"/>
          <w:u w:val="single" w:color="auto"/>
          <w:color w:val="auto"/>
        </w:rPr>
        <w:t>After-tax net pension adjustment</w:t>
      </w:r>
      <w:r>
        <w:rPr>
          <w:rFonts w:ascii="Arial" w:cs="Arial" w:eastAsia="Arial" w:hAnsi="Arial"/>
          <w:sz w:val="18"/>
          <w:szCs w:val="18"/>
          <w:color w:val="auto"/>
        </w:rPr>
        <w:t>: The net income impact, after-tax at the statutory rate of 21 percent, of the net FAS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(service)/CAS pension adjustment and net FAS (non-service) pension benefit.</w:t>
      </w:r>
    </w:p>
    <w:p>
      <w:pPr>
        <w:spacing w:after="0" w:line="18"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b w:val="1"/>
          <w:bCs w:val="1"/>
          <w:u w:val="single" w:color="auto"/>
          <w:color w:val="auto"/>
        </w:rPr>
        <w:t>Pension-adjusted net income</w:t>
      </w:r>
      <w:r>
        <w:rPr>
          <w:rFonts w:ascii="Arial" w:cs="Arial" w:eastAsia="Arial" w:hAnsi="Arial"/>
          <w:sz w:val="18"/>
          <w:szCs w:val="18"/>
          <w:color w:val="auto"/>
        </w:rPr>
        <w:t>: Net earnings before the after-tax net pension adjustment as defined above and excluding MTM</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benefit and related tax impacts. As approved by the Compensation Committee, this metric has been adjusted to exclude Innovation Systems intangible asset amortization and PP&amp;E step-up depreciation and Orbital ATK transaction-related expenses. Orbital ATK transaction-related expenses are primarily comprised of advisory, legal and other costs related to the completion of the transaction.</w:t>
      </w:r>
    </w:p>
    <w:p>
      <w:pPr>
        <w:spacing w:after="0" w:line="202" w:lineRule="exact"/>
        <w:rPr>
          <w:sz w:val="20"/>
          <w:szCs w:val="20"/>
          <w:color w:val="auto"/>
        </w:rPr>
      </w:pPr>
    </w:p>
    <w:tbl>
      <w:tblPr>
        <w:tblLayout w:type="fixed"/>
        <w:tblInd w:w="50" w:type="dxa"/>
        <w:tblCellMar>
          <w:top w:w="0" w:type="dxa"/>
          <w:left w:w="0" w:type="dxa"/>
          <w:bottom w:w="0" w:type="dxa"/>
          <w:right w:w="0" w:type="dxa"/>
        </w:tblCellMar>
      </w:tblPr>
      <w:tr>
        <w:trPr>
          <w:trHeight w:val="272"/>
        </w:trPr>
        <w:tc>
          <w:tcPr>
            <w:tcW w:w="9260" w:type="dxa"/>
            <w:vAlign w:val="bottom"/>
            <w:tcBorders>
              <w:left w:val="single" w:sz="8" w:color="auto"/>
            </w:tcBorders>
            <w:shd w:val="clear" w:color="auto" w:fill="000000"/>
          </w:tcPr>
          <w:p>
            <w:pPr>
              <w:spacing w:after="0"/>
              <w:rPr>
                <w:sz w:val="23"/>
                <w:szCs w:val="23"/>
                <w:color w:val="auto"/>
              </w:rPr>
            </w:pPr>
          </w:p>
        </w:tc>
        <w:tc>
          <w:tcPr>
            <w:tcW w:w="640" w:type="dxa"/>
            <w:vAlign w:val="bottom"/>
            <w:shd w:val="clear" w:color="auto" w:fill="000000"/>
          </w:tcPr>
          <w:p>
            <w:pPr>
              <w:spacing w:after="0"/>
              <w:rPr>
                <w:sz w:val="23"/>
                <w:szCs w:val="23"/>
                <w:color w:val="auto"/>
              </w:rPr>
            </w:pPr>
          </w:p>
        </w:tc>
        <w:tc>
          <w:tcPr>
            <w:tcW w:w="1300" w:type="dxa"/>
            <w:vAlign w:val="bottom"/>
            <w:tcBorders>
              <w:right w:val="single" w:sz="8" w:color="auto"/>
            </w:tcBorders>
            <w:shd w:val="clear" w:color="auto" w:fill="000000"/>
          </w:tcPr>
          <w:p>
            <w:pPr>
              <w:jc w:val="right"/>
              <w:ind w:right="493"/>
              <w:spacing w:after="0"/>
              <w:rPr>
                <w:sz w:val="20"/>
                <w:szCs w:val="20"/>
                <w:color w:val="auto"/>
              </w:rPr>
            </w:pPr>
            <w:r>
              <w:rPr>
                <w:rFonts w:ascii="Arial" w:cs="Arial" w:eastAsia="Arial" w:hAnsi="Arial"/>
                <w:sz w:val="14"/>
                <w:szCs w:val="14"/>
                <w:b w:val="1"/>
                <w:bCs w:val="1"/>
                <w:color w:val="FFFFFF"/>
              </w:rPr>
              <w:t>Total Year</w:t>
            </w:r>
          </w:p>
        </w:tc>
      </w:tr>
      <w:tr>
        <w:trPr>
          <w:trHeight w:val="282"/>
        </w:trPr>
        <w:tc>
          <w:tcPr>
            <w:tcW w:w="9260" w:type="dxa"/>
            <w:vAlign w:val="bottom"/>
            <w:tcBorders>
              <w:left w:val="single" w:sz="8" w:color="auto"/>
            </w:tcBorders>
            <w:shd w:val="clear" w:color="auto" w:fill="000000"/>
          </w:tcPr>
          <w:p>
            <w:pPr>
              <w:ind w:left="40"/>
              <w:spacing w:after="0"/>
              <w:rPr>
                <w:sz w:val="20"/>
                <w:szCs w:val="20"/>
                <w:color w:val="auto"/>
              </w:rPr>
            </w:pPr>
            <w:r>
              <w:rPr>
                <w:rFonts w:ascii="Arial" w:cs="Arial" w:eastAsia="Arial" w:hAnsi="Arial"/>
                <w:sz w:val="14"/>
                <w:szCs w:val="14"/>
                <w:b w:val="1"/>
                <w:bCs w:val="1"/>
                <w:color w:val="FFFFFF"/>
              </w:rPr>
              <w:t>($M)</w:t>
            </w:r>
          </w:p>
        </w:tc>
        <w:tc>
          <w:tcPr>
            <w:tcW w:w="640" w:type="dxa"/>
            <w:vAlign w:val="bottom"/>
            <w:shd w:val="clear" w:color="auto" w:fill="000000"/>
          </w:tcPr>
          <w:p>
            <w:pPr>
              <w:spacing w:after="0"/>
              <w:rPr>
                <w:sz w:val="24"/>
                <w:szCs w:val="24"/>
                <w:color w:val="auto"/>
              </w:rPr>
            </w:pPr>
          </w:p>
        </w:tc>
        <w:tc>
          <w:tcPr>
            <w:tcW w:w="1300" w:type="dxa"/>
            <w:vAlign w:val="bottom"/>
            <w:tcBorders>
              <w:right w:val="single" w:sz="8" w:color="auto"/>
            </w:tcBorders>
            <w:shd w:val="clear" w:color="auto" w:fill="000000"/>
          </w:tcPr>
          <w:p>
            <w:pPr>
              <w:jc w:val="right"/>
              <w:ind w:right="673"/>
              <w:spacing w:after="0"/>
              <w:rPr>
                <w:sz w:val="20"/>
                <w:szCs w:val="20"/>
                <w:color w:val="auto"/>
              </w:rPr>
            </w:pPr>
            <w:r>
              <w:rPr>
                <w:rFonts w:ascii="Arial" w:cs="Arial" w:eastAsia="Arial" w:hAnsi="Arial"/>
                <w:sz w:val="14"/>
                <w:szCs w:val="14"/>
                <w:b w:val="1"/>
                <w:bCs w:val="1"/>
                <w:color w:val="FFFFFF"/>
              </w:rPr>
              <w:t>2019</w:t>
            </w:r>
          </w:p>
        </w:tc>
      </w:tr>
      <w:tr>
        <w:trPr>
          <w:trHeight w:val="243"/>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2,248</w:t>
            </w:r>
          </w:p>
        </w:tc>
      </w:tr>
      <w:tr>
        <w:trPr>
          <w:trHeight w:val="270"/>
        </w:trPr>
        <w:tc>
          <w:tcPr>
            <w:tcW w:w="92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Net FAS (service)/CAS pension adjustment</w:t>
            </w:r>
          </w:p>
        </w:tc>
        <w:tc>
          <w:tcPr>
            <w:tcW w:w="640" w:type="dxa"/>
            <w:vAlign w:val="bottom"/>
          </w:tcPr>
          <w:p>
            <w:pPr>
              <w:spacing w:after="0"/>
              <w:rPr>
                <w:sz w:val="23"/>
                <w:szCs w:val="23"/>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(465)</w:t>
            </w:r>
          </w:p>
        </w:tc>
      </w:tr>
      <w:tr>
        <w:trPr>
          <w:trHeight w:val="270"/>
        </w:trPr>
        <w:tc>
          <w:tcPr>
            <w:tcW w:w="92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Net FAS (non-service) pension benefit</w:t>
            </w:r>
          </w:p>
        </w:tc>
        <w:tc>
          <w:tcPr>
            <w:tcW w:w="640" w:type="dxa"/>
            <w:vAlign w:val="bottom"/>
          </w:tcPr>
          <w:p>
            <w:pPr>
              <w:spacing w:after="0"/>
              <w:rPr>
                <w:sz w:val="23"/>
                <w:szCs w:val="23"/>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70"/>
        </w:trPr>
        <w:tc>
          <w:tcPr>
            <w:tcW w:w="92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Tax effect of net pension adjustment</w:t>
            </w:r>
          </w:p>
        </w:tc>
        <w:tc>
          <w:tcPr>
            <w:tcW w:w="640" w:type="dxa"/>
            <w:vAlign w:val="bottom"/>
          </w:tcPr>
          <w:p>
            <w:pPr>
              <w:spacing w:after="0"/>
              <w:rPr>
                <w:sz w:val="23"/>
                <w:szCs w:val="23"/>
                <w:color w:val="auto"/>
              </w:rPr>
            </w:pPr>
          </w:p>
        </w:tc>
        <w:tc>
          <w:tcPr>
            <w:tcW w:w="130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266</w:t>
            </w:r>
          </w:p>
        </w:tc>
      </w:tr>
      <w:tr>
        <w:trPr>
          <w:trHeight w:val="27"/>
        </w:trPr>
        <w:tc>
          <w:tcPr>
            <w:tcW w:w="926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37"/>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After-tax net pension adjustment</w:t>
            </w:r>
          </w:p>
        </w:tc>
        <w:tc>
          <w:tcPr>
            <w:tcW w:w="640" w:type="dxa"/>
            <w:vAlign w:val="bottom"/>
          </w:tcPr>
          <w:p>
            <w:pPr>
              <w:spacing w:after="0"/>
              <w:rPr>
                <w:sz w:val="20"/>
                <w:szCs w:val="20"/>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(999)</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Innovation Systems intangible asset amortization and PP&amp;E step-up depreciation</w:t>
            </w:r>
          </w:p>
        </w:tc>
        <w:tc>
          <w:tcPr>
            <w:tcW w:w="640" w:type="dxa"/>
            <w:vAlign w:val="bottom"/>
          </w:tcPr>
          <w:p>
            <w:pPr>
              <w:spacing w:after="0"/>
              <w:rPr>
                <w:sz w:val="23"/>
                <w:szCs w:val="23"/>
                <w:color w:val="auto"/>
              </w:rPr>
            </w:pPr>
          </w:p>
        </w:tc>
        <w:tc>
          <w:tcPr>
            <w:tcW w:w="130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375</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Orbital ATK transaction-related expenses</w:t>
            </w:r>
          </w:p>
        </w:tc>
        <w:tc>
          <w:tcPr>
            <w:tcW w:w="640" w:type="dxa"/>
            <w:vAlign w:val="bottom"/>
          </w:tcPr>
          <w:p>
            <w:pPr>
              <w:spacing w:after="0"/>
              <w:rPr>
                <w:sz w:val="23"/>
                <w:szCs w:val="23"/>
                <w:color w:val="auto"/>
              </w:rPr>
            </w:pPr>
          </w:p>
        </w:tc>
        <w:tc>
          <w:tcPr>
            <w:tcW w:w="130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9</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Tax effect of items above</w:t>
            </w:r>
          </w:p>
        </w:tc>
        <w:tc>
          <w:tcPr>
            <w:tcW w:w="640" w:type="dxa"/>
            <w:vAlign w:val="bottom"/>
          </w:tcPr>
          <w:p>
            <w:pPr>
              <w:spacing w:after="0"/>
              <w:rPr>
                <w:sz w:val="23"/>
                <w:szCs w:val="23"/>
                <w:color w:val="auto"/>
              </w:rPr>
            </w:pPr>
          </w:p>
        </w:tc>
        <w:tc>
          <w:tcPr>
            <w:tcW w:w="1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After-tax MTM adjustment</w:t>
            </w:r>
          </w:p>
        </w:tc>
        <w:tc>
          <w:tcPr>
            <w:tcW w:w="640" w:type="dxa"/>
            <w:vAlign w:val="bottom"/>
          </w:tcPr>
          <w:p>
            <w:pPr>
              <w:spacing w:after="0"/>
              <w:rPr>
                <w:sz w:val="23"/>
                <w:szCs w:val="23"/>
                <w:color w:val="auto"/>
              </w:rPr>
            </w:pPr>
          </w:p>
        </w:tc>
        <w:tc>
          <w:tcPr>
            <w:tcW w:w="130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1,358</w:t>
            </w:r>
          </w:p>
        </w:tc>
      </w:tr>
      <w:tr>
        <w:trPr>
          <w:trHeight w:val="27"/>
        </w:trPr>
        <w:tc>
          <w:tcPr>
            <w:tcW w:w="926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37"/>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Pension-adjusted net income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2,910</w:t>
            </w:r>
          </w:p>
        </w:tc>
      </w:tr>
      <w:tr>
        <w:trPr>
          <w:trHeight w:val="27"/>
        </w:trPr>
        <w:tc>
          <w:tcPr>
            <w:tcW w:w="926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40"/>
          </w:cols>
          <w:pgMar w:left="320" w:top="598"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9260" w:type="dxa"/>
            <w:vAlign w:val="bottom"/>
            <w:tcBorders>
              <w:left w:val="single" w:sz="8" w:color="auto"/>
            </w:tcBorders>
            <w:shd w:val="clear" w:color="auto" w:fill="000000"/>
          </w:tcPr>
          <w:p>
            <w:pPr>
              <w:spacing w:after="0"/>
              <w:rPr>
                <w:sz w:val="23"/>
                <w:szCs w:val="23"/>
                <w:color w:val="auto"/>
              </w:rPr>
            </w:pPr>
          </w:p>
        </w:tc>
        <w:tc>
          <w:tcPr>
            <w:tcW w:w="1940" w:type="dxa"/>
            <w:vAlign w:val="bottom"/>
            <w:tcBorders>
              <w:right w:val="single" w:sz="8" w:color="auto"/>
            </w:tcBorders>
            <w:gridSpan w:val="2"/>
            <w:shd w:val="clear" w:color="auto" w:fill="000000"/>
          </w:tcPr>
          <w:p>
            <w:pPr>
              <w:jc w:val="right"/>
              <w:ind w:right="491"/>
              <w:spacing w:after="0"/>
              <w:rPr>
                <w:sz w:val="20"/>
                <w:szCs w:val="20"/>
                <w:color w:val="auto"/>
              </w:rPr>
            </w:pPr>
            <w:r>
              <w:rPr>
                <w:rFonts w:ascii="Arial" w:cs="Arial" w:eastAsia="Arial" w:hAnsi="Arial"/>
                <w:sz w:val="14"/>
                <w:szCs w:val="14"/>
                <w:b w:val="1"/>
                <w:bCs w:val="1"/>
                <w:color w:val="FFFFFF"/>
              </w:rPr>
              <w:t>Total Year</w:t>
            </w:r>
          </w:p>
        </w:tc>
      </w:tr>
      <w:tr>
        <w:trPr>
          <w:trHeight w:val="282"/>
        </w:trPr>
        <w:tc>
          <w:tcPr>
            <w:tcW w:w="9260" w:type="dxa"/>
            <w:vAlign w:val="bottom"/>
            <w:tcBorders>
              <w:left w:val="single" w:sz="8" w:color="auto"/>
            </w:tcBorders>
            <w:shd w:val="clear" w:color="auto" w:fill="000000"/>
          </w:tcPr>
          <w:p>
            <w:pPr>
              <w:ind w:left="40"/>
              <w:spacing w:after="0"/>
              <w:rPr>
                <w:sz w:val="20"/>
                <w:szCs w:val="20"/>
                <w:color w:val="auto"/>
              </w:rPr>
            </w:pPr>
            <w:r>
              <w:rPr>
                <w:rFonts w:ascii="Arial" w:cs="Arial" w:eastAsia="Arial" w:hAnsi="Arial"/>
                <w:sz w:val="14"/>
                <w:szCs w:val="14"/>
                <w:b w:val="1"/>
                <w:bCs w:val="1"/>
                <w:color w:val="FFFFFF"/>
              </w:rPr>
              <w:t>($M)</w:t>
            </w:r>
          </w:p>
        </w:tc>
        <w:tc>
          <w:tcPr>
            <w:tcW w:w="1940" w:type="dxa"/>
            <w:vAlign w:val="bottom"/>
            <w:tcBorders>
              <w:right w:val="single" w:sz="8" w:color="auto"/>
            </w:tcBorders>
            <w:gridSpan w:val="2"/>
            <w:shd w:val="clear" w:color="auto" w:fill="000000"/>
          </w:tcPr>
          <w:p>
            <w:pPr>
              <w:jc w:val="right"/>
              <w:ind w:right="671"/>
              <w:spacing w:after="0"/>
              <w:rPr>
                <w:sz w:val="20"/>
                <w:szCs w:val="20"/>
                <w:color w:val="auto"/>
              </w:rPr>
            </w:pPr>
            <w:r>
              <w:rPr>
                <w:rFonts w:ascii="Arial" w:cs="Arial" w:eastAsia="Arial" w:hAnsi="Arial"/>
                <w:sz w:val="14"/>
                <w:szCs w:val="14"/>
                <w:b w:val="1"/>
                <w:bCs w:val="1"/>
                <w:color w:val="FFFFFF"/>
              </w:rPr>
              <w:t>2018</w:t>
            </w:r>
          </w:p>
        </w:tc>
      </w:tr>
      <w:tr>
        <w:trPr>
          <w:trHeight w:val="243"/>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w:t>
            </w:r>
          </w:p>
        </w:tc>
        <w:tc>
          <w:tcPr>
            <w:tcW w:w="940" w:type="dxa"/>
            <w:vAlign w:val="bottom"/>
          </w:tcPr>
          <w:p>
            <w:pPr>
              <w:jc w:val="right"/>
              <w:ind w:right="259"/>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3,229</w:t>
            </w:r>
          </w:p>
        </w:tc>
      </w:tr>
      <w:tr>
        <w:trPr>
          <w:trHeight w:val="270"/>
        </w:trPr>
        <w:tc>
          <w:tcPr>
            <w:tcW w:w="92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Net FAS (service)/CAS pension adjustment</w:t>
            </w:r>
          </w:p>
        </w:tc>
        <w:tc>
          <w:tcPr>
            <w:tcW w:w="940" w:type="dxa"/>
            <w:vAlign w:val="bottom"/>
          </w:tcPr>
          <w:p>
            <w:pPr>
              <w:spacing w:after="0"/>
              <w:rPr>
                <w:sz w:val="23"/>
                <w:szCs w:val="23"/>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70"/>
        </w:trPr>
        <w:tc>
          <w:tcPr>
            <w:tcW w:w="92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Net FAS (non-service) pension benefit</w:t>
            </w:r>
          </w:p>
        </w:tc>
        <w:tc>
          <w:tcPr>
            <w:tcW w:w="940" w:type="dxa"/>
            <w:vAlign w:val="bottom"/>
          </w:tcPr>
          <w:p>
            <w:pPr>
              <w:spacing w:after="0"/>
              <w:rPr>
                <w:sz w:val="23"/>
                <w:szCs w:val="23"/>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(1,049)</w:t>
            </w:r>
          </w:p>
        </w:tc>
      </w:tr>
      <w:tr>
        <w:trPr>
          <w:trHeight w:val="270"/>
        </w:trPr>
        <w:tc>
          <w:tcPr>
            <w:tcW w:w="926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Tax effect of net pension adjustment</w:t>
            </w:r>
          </w:p>
        </w:tc>
        <w:tc>
          <w:tcPr>
            <w:tcW w:w="940" w:type="dxa"/>
            <w:vAlign w:val="bottom"/>
          </w:tcPr>
          <w:p>
            <w:pPr>
              <w:spacing w:after="0"/>
              <w:rPr>
                <w:sz w:val="23"/>
                <w:szCs w:val="23"/>
                <w:color w:val="auto"/>
              </w:rPr>
            </w:pP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349</w:t>
            </w:r>
          </w:p>
        </w:tc>
      </w:tr>
      <w:tr>
        <w:trPr>
          <w:trHeight w:val="27"/>
        </w:trPr>
        <w:tc>
          <w:tcPr>
            <w:tcW w:w="926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After-tax net pension adjustment</w:t>
            </w:r>
          </w:p>
        </w:tc>
        <w:tc>
          <w:tcPr>
            <w:tcW w:w="940" w:type="dxa"/>
            <w:vAlign w:val="bottom"/>
          </w:tcPr>
          <w:p>
            <w:pPr>
              <w:spacing w:after="0"/>
              <w:rPr>
                <w:sz w:val="20"/>
                <w:szCs w:val="20"/>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(1,313)</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 xml:space="preserve">MTM pension expense </w:t>
            </w:r>
            <w:r>
              <w:rPr>
                <w:rFonts w:ascii="Arial" w:cs="Arial" w:eastAsia="Arial" w:hAnsi="Arial"/>
                <w:sz w:val="14"/>
                <w:szCs w:val="14"/>
                <w:color w:val="auto"/>
              </w:rPr>
              <w:t>(1)</w:t>
            </w:r>
          </w:p>
        </w:tc>
        <w:tc>
          <w:tcPr>
            <w:tcW w:w="940" w:type="dxa"/>
            <w:vAlign w:val="bottom"/>
          </w:tcPr>
          <w:p>
            <w:pPr>
              <w:spacing w:after="0"/>
              <w:rPr>
                <w:sz w:val="23"/>
                <w:szCs w:val="23"/>
                <w:color w:val="auto"/>
              </w:rPr>
            </w:pP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699</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Innovation Systems operating income</w:t>
            </w:r>
          </w:p>
        </w:tc>
        <w:tc>
          <w:tcPr>
            <w:tcW w:w="940" w:type="dxa"/>
            <w:vAlign w:val="bottom"/>
          </w:tcPr>
          <w:p>
            <w:pPr>
              <w:spacing w:after="0"/>
              <w:rPr>
                <w:sz w:val="23"/>
                <w:szCs w:val="23"/>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Innovation Systems intangible asset amortization and PP&amp;E step-up depreciation</w:t>
            </w:r>
          </w:p>
        </w:tc>
        <w:tc>
          <w:tcPr>
            <w:tcW w:w="940" w:type="dxa"/>
            <w:vAlign w:val="bottom"/>
          </w:tcPr>
          <w:p>
            <w:pPr>
              <w:spacing w:after="0"/>
              <w:rPr>
                <w:sz w:val="23"/>
                <w:szCs w:val="23"/>
                <w:color w:val="auto"/>
              </w:rPr>
            </w:pP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208</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Orbital ATK transaction-related expenses</w:t>
            </w:r>
          </w:p>
        </w:tc>
        <w:tc>
          <w:tcPr>
            <w:tcW w:w="940" w:type="dxa"/>
            <w:vAlign w:val="bottom"/>
          </w:tcPr>
          <w:p>
            <w:pPr>
              <w:spacing w:after="0"/>
              <w:rPr>
                <w:sz w:val="23"/>
                <w:szCs w:val="23"/>
                <w:color w:val="auto"/>
              </w:rPr>
            </w:pP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color w:val="auto"/>
              </w:rPr>
              <w:t>45</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3"/>
                <w:szCs w:val="23"/>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Tax effect of items above</w:t>
            </w:r>
          </w:p>
        </w:tc>
        <w:tc>
          <w:tcPr>
            <w:tcW w:w="940" w:type="dxa"/>
            <w:vAlign w:val="bottom"/>
          </w:tcPr>
          <w:p>
            <w:pPr>
              <w:spacing w:after="0"/>
              <w:rPr>
                <w:sz w:val="23"/>
                <w:szCs w:val="23"/>
                <w:color w:val="auto"/>
              </w:rPr>
            </w:pP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9260" w:type="dxa"/>
            <w:vAlign w:val="bottom"/>
            <w:tcBorders>
              <w:left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37"/>
        </w:trPr>
        <w:tc>
          <w:tcPr>
            <w:tcW w:w="92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Pension-adjusted net income</w:t>
            </w:r>
          </w:p>
        </w:tc>
        <w:tc>
          <w:tcPr>
            <w:tcW w:w="940" w:type="dxa"/>
            <w:vAlign w:val="bottom"/>
          </w:tcPr>
          <w:p>
            <w:pPr>
              <w:jc w:val="right"/>
              <w:ind w:right="259"/>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2,393</w:t>
            </w:r>
          </w:p>
        </w:tc>
      </w:tr>
      <w:tr>
        <w:trPr>
          <w:trHeight w:val="27"/>
        </w:trPr>
        <w:tc>
          <w:tcPr>
            <w:tcW w:w="10200" w:type="dxa"/>
            <w:vAlign w:val="bottom"/>
            <w:tcBorders>
              <w:left w:val="single" w:sz="8" w:color="auto"/>
              <w:bottom w:val="single" w:sz="8" w:color="auto"/>
            </w:tcBorders>
            <w:gridSpan w:val="2"/>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11"/>
        </w:trPr>
        <w:tc>
          <w:tcPr>
            <w:tcW w:w="10200" w:type="dxa"/>
            <w:vAlign w:val="bottom"/>
            <w:tcBorders>
              <w:left w:val="single" w:sz="8" w:color="auto"/>
            </w:tcBorders>
            <w:gridSpan w:val="2"/>
          </w:tcPr>
          <w:p>
            <w:pPr>
              <w:ind w:left="40"/>
              <w:spacing w:after="0" w:line="211" w:lineRule="exact"/>
              <w:rPr>
                <w:sz w:val="20"/>
                <w:szCs w:val="20"/>
                <w:color w:val="auto"/>
              </w:rPr>
            </w:pPr>
            <w:r>
              <w:rPr>
                <w:rFonts w:ascii="Arial" w:cs="Arial" w:eastAsia="Arial" w:hAnsi="Arial"/>
                <w:sz w:val="24"/>
                <w:szCs w:val="24"/>
                <w:color w:val="auto"/>
                <w:vertAlign w:val="superscript"/>
              </w:rPr>
              <w:t>(1)</w:t>
            </w:r>
            <w:r>
              <w:rPr>
                <w:rFonts w:ascii="Arial" w:cs="Arial" w:eastAsia="Arial" w:hAnsi="Arial"/>
                <w:sz w:val="15"/>
                <w:szCs w:val="15"/>
                <w:color w:val="auto"/>
              </w:rPr>
              <w:t xml:space="preserve"> Represents the MTM expense related to the Company's pension plans only. During 2018, the Company recorded a total MTM expense of $</w:t>
            </w:r>
          </w:p>
        </w:tc>
        <w:tc>
          <w:tcPr>
            <w:tcW w:w="1000" w:type="dxa"/>
            <w:vAlign w:val="bottom"/>
            <w:tcBorders>
              <w:right w:val="single" w:sz="8" w:color="auto"/>
            </w:tcBorders>
          </w:tcPr>
          <w:p>
            <w:pPr>
              <w:jc w:val="right"/>
              <w:ind w:right="91"/>
              <w:spacing w:after="0"/>
              <w:rPr>
                <w:sz w:val="20"/>
                <w:szCs w:val="20"/>
                <w:color w:val="auto"/>
              </w:rPr>
            </w:pPr>
            <w:r>
              <w:rPr>
                <w:rFonts w:ascii="Arial" w:cs="Arial" w:eastAsia="Arial" w:hAnsi="Arial"/>
                <w:sz w:val="16"/>
                <w:szCs w:val="16"/>
                <w:color w:val="auto"/>
                <w:w w:val="98"/>
              </w:rPr>
              <w:t>655 million,</w:t>
            </w:r>
          </w:p>
        </w:tc>
      </w:tr>
      <w:tr>
        <w:trPr>
          <w:trHeight w:val="208"/>
        </w:trPr>
        <w:tc>
          <w:tcPr>
            <w:tcW w:w="92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of which $699 million related to pension and ($44) million related to OPB.</w:t>
            </w:r>
          </w:p>
        </w:tc>
        <w:tc>
          <w:tcPr>
            <w:tcW w:w="9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-2536825</wp:posOffset>
            </wp:positionV>
            <wp:extent cx="11487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sectPr>
      <w:pgSz w:w="11900" w:h="16838" w:orient="portrait"/>
      <w:cols w:equalWidth="0" w:num="1">
        <w:col w:w="11180"/>
      </w:cols>
      <w:pgMar w:left="360" w:top="70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2020-05-05T15:37:44Z</dcterms:created>
  <dcterms:modified xsi:type="dcterms:W3CDTF">2020-05-05T15:37:44Z</dcterms:modified>
</cp:coreProperties>
</file>